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C7B" w:rsidRPr="0055610F" w:rsidRDefault="00F91C7B" w:rsidP="001A5518">
      <w:pPr>
        <w:rPr>
          <w:b/>
          <w:bCs/>
          <w:i/>
          <w:iCs/>
          <w:sz w:val="22"/>
          <w:szCs w:val="22"/>
          <w:u w:val="single"/>
          <w:lang w:val="sr-Latn-ME"/>
        </w:rPr>
      </w:pPr>
    </w:p>
    <w:p w:rsidR="002510A5" w:rsidRPr="0055610F" w:rsidRDefault="002510A5" w:rsidP="002510A5">
      <w:pPr>
        <w:jc w:val="center"/>
        <w:rPr>
          <w:b/>
          <w:bCs/>
          <w:iCs/>
          <w:sz w:val="22"/>
          <w:szCs w:val="22"/>
          <w:u w:val="single"/>
          <w:lang w:val="sr-Latn-ME"/>
        </w:rPr>
      </w:pPr>
      <w:r w:rsidRPr="0055610F">
        <w:rPr>
          <w:b/>
          <w:bCs/>
          <w:iCs/>
          <w:sz w:val="22"/>
          <w:szCs w:val="22"/>
          <w:u w:val="single"/>
          <w:lang w:val="sr-Latn-ME"/>
        </w:rPr>
        <w:t>SAŽETAK KARAKTERISTIKA LIJEKA</w:t>
      </w:r>
    </w:p>
    <w:p w:rsidR="002510A5" w:rsidRPr="0055610F" w:rsidRDefault="002510A5" w:rsidP="002510A5">
      <w:pPr>
        <w:rPr>
          <w:b/>
          <w:bCs/>
          <w:i/>
          <w:iCs/>
          <w:sz w:val="22"/>
          <w:szCs w:val="22"/>
          <w:u w:val="single"/>
          <w:lang w:val="sr-Latn-ME"/>
        </w:rPr>
      </w:pPr>
    </w:p>
    <w:p w:rsidR="003C17AB" w:rsidRPr="0055610F" w:rsidRDefault="003C17AB" w:rsidP="00CA1FEB">
      <w:pPr>
        <w:rPr>
          <w:sz w:val="22"/>
          <w:szCs w:val="22"/>
          <w:lang w:val="sr-Latn-ME"/>
        </w:rPr>
      </w:pPr>
    </w:p>
    <w:p w:rsidR="00411B4B" w:rsidRPr="0055610F" w:rsidRDefault="00411B4B" w:rsidP="004D5825">
      <w:pPr>
        <w:tabs>
          <w:tab w:val="left" w:pos="540"/>
          <w:tab w:val="left" w:pos="569"/>
        </w:tabs>
        <w:jc w:val="both"/>
        <w:rPr>
          <w:b/>
          <w:bCs/>
          <w:sz w:val="22"/>
          <w:szCs w:val="22"/>
          <w:lang w:val="sr-Latn-ME"/>
        </w:rPr>
      </w:pPr>
      <w:r w:rsidRPr="0055610F">
        <w:rPr>
          <w:b/>
          <w:bCs/>
          <w:sz w:val="22"/>
          <w:szCs w:val="22"/>
          <w:lang w:val="sr-Latn-ME"/>
        </w:rPr>
        <w:t>1.</w:t>
      </w:r>
      <w:r w:rsidR="00F5167F" w:rsidRPr="0055610F">
        <w:rPr>
          <w:b/>
          <w:bCs/>
          <w:sz w:val="22"/>
          <w:szCs w:val="22"/>
          <w:lang w:val="sr-Latn-ME"/>
        </w:rPr>
        <w:tab/>
      </w:r>
      <w:r w:rsidR="002846DB" w:rsidRPr="0055610F">
        <w:rPr>
          <w:b/>
          <w:bCs/>
          <w:sz w:val="22"/>
          <w:szCs w:val="22"/>
          <w:lang w:val="sr-Latn-ME"/>
        </w:rPr>
        <w:t xml:space="preserve">NAZIV </w:t>
      </w:r>
      <w:r w:rsidRPr="0055610F">
        <w:rPr>
          <w:b/>
          <w:bCs/>
          <w:sz w:val="22"/>
          <w:szCs w:val="22"/>
          <w:lang w:val="sr-Latn-ME"/>
        </w:rPr>
        <w:t>LIJEKA</w:t>
      </w:r>
    </w:p>
    <w:p w:rsidR="00EC2532" w:rsidRPr="0055610F" w:rsidRDefault="00EC2532" w:rsidP="004D5825">
      <w:pPr>
        <w:jc w:val="both"/>
        <w:rPr>
          <w:sz w:val="22"/>
          <w:szCs w:val="22"/>
          <w:lang w:val="sr-Latn-ME"/>
        </w:rPr>
      </w:pPr>
    </w:p>
    <w:p w:rsidR="00496E03" w:rsidRPr="007642DC" w:rsidRDefault="00496E03" w:rsidP="004D5825">
      <w:pPr>
        <w:jc w:val="both"/>
        <w:rPr>
          <w:iCs/>
          <w:sz w:val="22"/>
          <w:szCs w:val="22"/>
          <w:lang w:val="sr-Latn-ME"/>
        </w:rPr>
      </w:pPr>
      <w:r w:rsidRPr="007642DC">
        <w:rPr>
          <w:iCs/>
          <w:sz w:val="22"/>
          <w:szCs w:val="22"/>
          <w:lang w:val="sr-Latn-ME"/>
        </w:rPr>
        <w:t>Mab</w:t>
      </w:r>
      <w:r w:rsidR="007A426B">
        <w:rPr>
          <w:iCs/>
          <w:sz w:val="22"/>
          <w:szCs w:val="22"/>
          <w:lang w:val="sr-Latn-ME"/>
        </w:rPr>
        <w:t>T</w:t>
      </w:r>
      <w:r w:rsidRPr="007642DC">
        <w:rPr>
          <w:iCs/>
          <w:sz w:val="22"/>
          <w:szCs w:val="22"/>
          <w:lang w:val="sr-Latn-ME"/>
        </w:rPr>
        <w:t>hera, koncentrat za rastvor za infuziju, 100 mg/10</w:t>
      </w:r>
      <w:r w:rsidR="007642DC" w:rsidRPr="007642DC">
        <w:rPr>
          <w:iCs/>
          <w:sz w:val="22"/>
          <w:szCs w:val="22"/>
          <w:lang w:val="sr-Latn-ME"/>
        </w:rPr>
        <w:t xml:space="preserve"> </w:t>
      </w:r>
      <w:r w:rsidR="007642DC">
        <w:rPr>
          <w:iCs/>
          <w:sz w:val="22"/>
          <w:szCs w:val="22"/>
          <w:lang w:val="sr-Latn-ME"/>
        </w:rPr>
        <w:t>ml</w:t>
      </w:r>
      <w:r w:rsidRPr="007642DC">
        <w:rPr>
          <w:iCs/>
          <w:sz w:val="22"/>
          <w:szCs w:val="22"/>
          <w:lang w:val="sr-Latn-ME"/>
        </w:rPr>
        <w:t xml:space="preserve"> (10 mg/</w:t>
      </w:r>
      <w:r w:rsidR="007642DC">
        <w:rPr>
          <w:iCs/>
          <w:sz w:val="22"/>
          <w:szCs w:val="22"/>
          <w:lang w:val="sr-Latn-ME"/>
        </w:rPr>
        <w:t>ml</w:t>
      </w:r>
      <w:r w:rsidRPr="007642DC">
        <w:rPr>
          <w:iCs/>
          <w:sz w:val="22"/>
          <w:szCs w:val="22"/>
          <w:lang w:val="sr-Latn-ME"/>
        </w:rPr>
        <w:t xml:space="preserve">), 2 bočice sa 10 </w:t>
      </w:r>
      <w:r w:rsidR="007642DC">
        <w:rPr>
          <w:iCs/>
          <w:sz w:val="22"/>
          <w:szCs w:val="22"/>
          <w:lang w:val="sr-Latn-ME"/>
        </w:rPr>
        <w:t>ml</w:t>
      </w:r>
      <w:r w:rsidRPr="007642DC">
        <w:rPr>
          <w:iCs/>
          <w:sz w:val="22"/>
          <w:szCs w:val="22"/>
          <w:lang w:val="sr-Latn-ME"/>
        </w:rPr>
        <w:t xml:space="preserve"> koncentrata</w:t>
      </w:r>
    </w:p>
    <w:p w:rsidR="00496E03" w:rsidRPr="007642DC" w:rsidRDefault="00496E03" w:rsidP="004D5825">
      <w:pPr>
        <w:jc w:val="both"/>
        <w:rPr>
          <w:iCs/>
          <w:sz w:val="22"/>
          <w:szCs w:val="22"/>
          <w:lang w:val="sr-Latn-ME"/>
        </w:rPr>
      </w:pPr>
      <w:r w:rsidRPr="007642DC">
        <w:rPr>
          <w:iCs/>
          <w:sz w:val="22"/>
          <w:szCs w:val="22"/>
          <w:lang w:val="sr-Latn-ME"/>
        </w:rPr>
        <w:t>Mab</w:t>
      </w:r>
      <w:r w:rsidR="007A426B">
        <w:rPr>
          <w:iCs/>
          <w:sz w:val="22"/>
          <w:szCs w:val="22"/>
          <w:lang w:val="sr-Latn-ME"/>
        </w:rPr>
        <w:t>T</w:t>
      </w:r>
      <w:r w:rsidRPr="007642DC">
        <w:rPr>
          <w:iCs/>
          <w:sz w:val="22"/>
          <w:szCs w:val="22"/>
          <w:lang w:val="sr-Latn-ME"/>
        </w:rPr>
        <w:t>hera, koncentrat za rastvor za infuziju, 500 mg/50</w:t>
      </w:r>
      <w:r w:rsidR="007642DC" w:rsidRPr="007642DC">
        <w:rPr>
          <w:iCs/>
          <w:sz w:val="22"/>
          <w:szCs w:val="22"/>
          <w:lang w:val="sr-Latn-ME"/>
        </w:rPr>
        <w:t xml:space="preserve"> </w:t>
      </w:r>
      <w:r w:rsidR="007642DC">
        <w:rPr>
          <w:iCs/>
          <w:sz w:val="22"/>
          <w:szCs w:val="22"/>
          <w:lang w:val="sr-Latn-ME"/>
        </w:rPr>
        <w:t>ml</w:t>
      </w:r>
      <w:r w:rsidRPr="007642DC">
        <w:rPr>
          <w:iCs/>
          <w:sz w:val="22"/>
          <w:szCs w:val="22"/>
          <w:lang w:val="sr-Latn-ME"/>
        </w:rPr>
        <w:t xml:space="preserve"> (10 mg/</w:t>
      </w:r>
      <w:r w:rsidR="007642DC">
        <w:rPr>
          <w:iCs/>
          <w:sz w:val="22"/>
          <w:szCs w:val="22"/>
          <w:lang w:val="sr-Latn-ME"/>
        </w:rPr>
        <w:t>ml</w:t>
      </w:r>
      <w:r w:rsidRPr="007642DC">
        <w:rPr>
          <w:iCs/>
          <w:sz w:val="22"/>
          <w:szCs w:val="22"/>
          <w:lang w:val="sr-Latn-ME"/>
        </w:rPr>
        <w:t xml:space="preserve">), 1 bočica sa 50 </w:t>
      </w:r>
      <w:r w:rsidR="007642DC">
        <w:rPr>
          <w:iCs/>
          <w:sz w:val="22"/>
          <w:szCs w:val="22"/>
          <w:lang w:val="sr-Latn-ME"/>
        </w:rPr>
        <w:t>ml</w:t>
      </w:r>
      <w:r w:rsidRPr="007642DC">
        <w:rPr>
          <w:iCs/>
          <w:sz w:val="22"/>
          <w:szCs w:val="22"/>
          <w:lang w:val="sr-Latn-ME"/>
        </w:rPr>
        <w:t xml:space="preserve"> koncentrata</w:t>
      </w:r>
    </w:p>
    <w:p w:rsidR="00496E03" w:rsidRPr="0055610F" w:rsidRDefault="00496E03" w:rsidP="004D5825">
      <w:pPr>
        <w:jc w:val="both"/>
        <w:rPr>
          <w:bCs/>
          <w:sz w:val="22"/>
          <w:szCs w:val="22"/>
          <w:lang w:val="sr-Latn-ME"/>
        </w:rPr>
      </w:pPr>
    </w:p>
    <w:p w:rsidR="006D20A5" w:rsidRPr="0055610F" w:rsidRDefault="00496E03" w:rsidP="004D5825">
      <w:pPr>
        <w:pStyle w:val="Header"/>
        <w:tabs>
          <w:tab w:val="left" w:pos="284"/>
        </w:tabs>
        <w:jc w:val="both"/>
        <w:rPr>
          <w:sz w:val="22"/>
          <w:szCs w:val="22"/>
          <w:lang w:val="sr-Latn-ME"/>
        </w:rPr>
      </w:pPr>
      <w:r w:rsidRPr="0055610F">
        <w:rPr>
          <w:sz w:val="22"/>
          <w:szCs w:val="22"/>
          <w:lang w:val="sr-Latn-ME"/>
        </w:rPr>
        <w:t>INN: rituksimab</w:t>
      </w:r>
    </w:p>
    <w:p w:rsidR="00530BD7" w:rsidRPr="0055610F" w:rsidRDefault="00530BD7" w:rsidP="004D5825">
      <w:pPr>
        <w:jc w:val="both"/>
        <w:rPr>
          <w:bCs/>
          <w:sz w:val="22"/>
          <w:szCs w:val="22"/>
          <w:lang w:val="sr-Latn-ME"/>
        </w:rPr>
      </w:pPr>
    </w:p>
    <w:p w:rsidR="00411B4B" w:rsidRPr="0055610F" w:rsidRDefault="00411B4B" w:rsidP="004D5825">
      <w:pPr>
        <w:tabs>
          <w:tab w:val="left" w:pos="540"/>
          <w:tab w:val="left" w:pos="569"/>
        </w:tabs>
        <w:jc w:val="both"/>
        <w:rPr>
          <w:b/>
          <w:bCs/>
          <w:sz w:val="22"/>
          <w:szCs w:val="22"/>
          <w:lang w:val="sr-Latn-ME"/>
        </w:rPr>
      </w:pPr>
      <w:r w:rsidRPr="0055610F">
        <w:rPr>
          <w:b/>
          <w:bCs/>
          <w:sz w:val="22"/>
          <w:szCs w:val="22"/>
          <w:lang w:val="sr-Latn-ME"/>
        </w:rPr>
        <w:t xml:space="preserve">2. </w:t>
      </w:r>
      <w:r w:rsidR="00F5167F" w:rsidRPr="0055610F">
        <w:rPr>
          <w:b/>
          <w:bCs/>
          <w:sz w:val="22"/>
          <w:szCs w:val="22"/>
          <w:lang w:val="sr-Latn-ME"/>
        </w:rPr>
        <w:tab/>
      </w:r>
      <w:r w:rsidRPr="0055610F">
        <w:rPr>
          <w:b/>
          <w:bCs/>
          <w:sz w:val="22"/>
          <w:szCs w:val="22"/>
          <w:lang w:val="sr-Latn-ME"/>
        </w:rPr>
        <w:t>KVALITATIVNI I KVANTITATIVNI SASTAV</w:t>
      </w:r>
    </w:p>
    <w:p w:rsidR="005A0B2E" w:rsidRPr="0055610F" w:rsidRDefault="005A0B2E"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Jedan </w:t>
      </w:r>
      <w:r w:rsidR="007642DC">
        <w:rPr>
          <w:sz w:val="22"/>
          <w:szCs w:val="22"/>
          <w:lang w:val="sr-Latn-ME"/>
        </w:rPr>
        <w:t>ml</w:t>
      </w:r>
      <w:r w:rsidRPr="0055610F">
        <w:rPr>
          <w:sz w:val="22"/>
          <w:szCs w:val="22"/>
          <w:lang w:val="sr-Latn-ME"/>
        </w:rPr>
        <w:t xml:space="preserve"> sadrži 10 mg rituksimaba.</w:t>
      </w:r>
    </w:p>
    <w:p w:rsidR="00496E03" w:rsidRPr="0055610F" w:rsidRDefault="00496E03" w:rsidP="004D5825">
      <w:pPr>
        <w:jc w:val="both"/>
        <w:rPr>
          <w:sz w:val="22"/>
          <w:szCs w:val="22"/>
          <w:lang w:val="sr-Latn-ME"/>
        </w:rPr>
      </w:pPr>
      <w:r w:rsidRPr="0055610F">
        <w:rPr>
          <w:sz w:val="22"/>
          <w:szCs w:val="22"/>
          <w:lang w:val="sr-Latn-ME"/>
        </w:rPr>
        <w:t>MabThera, 100 mg: Jedna bočica  od 10</w:t>
      </w:r>
      <w:r w:rsidR="007642DC" w:rsidRPr="0055610F">
        <w:rPr>
          <w:sz w:val="22"/>
          <w:szCs w:val="22"/>
          <w:lang w:val="sr-Latn-ME"/>
        </w:rPr>
        <w:t xml:space="preserve"> </w:t>
      </w:r>
      <w:r w:rsidR="007642DC">
        <w:rPr>
          <w:sz w:val="22"/>
          <w:szCs w:val="22"/>
          <w:lang w:val="sr-Latn-ME"/>
        </w:rPr>
        <w:t>ml</w:t>
      </w:r>
      <w:r w:rsidRPr="0055610F">
        <w:rPr>
          <w:sz w:val="22"/>
          <w:szCs w:val="22"/>
          <w:lang w:val="sr-Latn-ME"/>
        </w:rPr>
        <w:t xml:space="preserve"> sadrži 100 mg rituksimaba.</w:t>
      </w:r>
    </w:p>
    <w:p w:rsidR="00496E03" w:rsidRPr="0055610F" w:rsidRDefault="00496E03" w:rsidP="004D5825">
      <w:pPr>
        <w:jc w:val="both"/>
        <w:rPr>
          <w:sz w:val="22"/>
          <w:szCs w:val="22"/>
          <w:lang w:val="sr-Latn-ME"/>
        </w:rPr>
      </w:pPr>
      <w:r w:rsidRPr="0055610F">
        <w:rPr>
          <w:sz w:val="22"/>
          <w:szCs w:val="22"/>
          <w:lang w:val="sr-Latn-ME"/>
        </w:rPr>
        <w:t>MabThera, 500 mg: Jedna bočica od 50</w:t>
      </w:r>
      <w:r w:rsidR="007642DC" w:rsidRPr="0055610F">
        <w:rPr>
          <w:sz w:val="22"/>
          <w:szCs w:val="22"/>
          <w:lang w:val="sr-Latn-ME"/>
        </w:rPr>
        <w:t xml:space="preserve"> </w:t>
      </w:r>
      <w:r w:rsidR="007642DC">
        <w:rPr>
          <w:sz w:val="22"/>
          <w:szCs w:val="22"/>
          <w:lang w:val="sr-Latn-ME"/>
        </w:rPr>
        <w:t>ml</w:t>
      </w:r>
      <w:r w:rsidRPr="0055610F">
        <w:rPr>
          <w:sz w:val="22"/>
          <w:szCs w:val="22"/>
          <w:lang w:val="sr-Latn-ME"/>
        </w:rPr>
        <w:t xml:space="preserve"> sadrži 500 mg rituksimaba.</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Rituksimab je genetskim inženjeringom dobijeno himerno mišje/humano monoklonsko antitijelo koje predstavlja glikozilirani imunoglobulin sa konstantnim regionima humanog IgG1 i mišjim sekvencama varijabilnih regiona lakih i teških lanaca. Ovo antitijelo se proizvodi u kulturi ćelijske suspenzije sisara (jajnici kineskog hrčka) i potom prečišćava afinitetnom hromatografijom i jonskom izmjenom, uključujući specifične procedure uklanjanja i inaktivacije virusa.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u w:val="single"/>
          <w:lang w:val="sr-Latn-ME"/>
        </w:rPr>
      </w:pPr>
      <w:r w:rsidRPr="0055610F">
        <w:rPr>
          <w:sz w:val="22"/>
          <w:szCs w:val="22"/>
          <w:u w:val="single"/>
          <w:lang w:val="sr-Latn-ME"/>
        </w:rPr>
        <w:t>Pomoćne supstance sa poznatim dejstvom:</w:t>
      </w:r>
    </w:p>
    <w:p w:rsidR="00496E03" w:rsidRPr="0055610F" w:rsidRDefault="00496E03" w:rsidP="004D5825">
      <w:pPr>
        <w:ind w:right="-185"/>
        <w:jc w:val="both"/>
        <w:rPr>
          <w:sz w:val="22"/>
          <w:szCs w:val="22"/>
          <w:lang w:val="sr-Latn-ME"/>
        </w:rPr>
      </w:pPr>
      <w:r w:rsidRPr="0055610F">
        <w:rPr>
          <w:sz w:val="22"/>
          <w:szCs w:val="22"/>
          <w:lang w:val="sr-Latn-ME"/>
        </w:rPr>
        <w:t>MabThera 100</w:t>
      </w:r>
      <w:r w:rsidR="007642DC" w:rsidRPr="0055610F">
        <w:rPr>
          <w:sz w:val="22"/>
          <w:szCs w:val="22"/>
          <w:lang w:val="sr-Latn-ME"/>
        </w:rPr>
        <w:t xml:space="preserve"> </w:t>
      </w:r>
      <w:r w:rsidRPr="0055610F">
        <w:rPr>
          <w:sz w:val="22"/>
          <w:szCs w:val="22"/>
          <w:lang w:val="sr-Latn-ME"/>
        </w:rPr>
        <w:t>mg: Ovaj lijek sadrži 2.3</w:t>
      </w:r>
      <w:r w:rsidR="007642DC" w:rsidRPr="0055610F">
        <w:rPr>
          <w:sz w:val="22"/>
          <w:szCs w:val="22"/>
          <w:lang w:val="sr-Latn-ME"/>
        </w:rPr>
        <w:t xml:space="preserve"> </w:t>
      </w:r>
      <w:r w:rsidRPr="0055610F">
        <w:rPr>
          <w:sz w:val="22"/>
          <w:szCs w:val="22"/>
          <w:lang w:val="sr-Latn-ME"/>
        </w:rPr>
        <w:t>mmol (52.6</w:t>
      </w:r>
      <w:r w:rsidR="007642DC" w:rsidRPr="0055610F">
        <w:rPr>
          <w:sz w:val="22"/>
          <w:szCs w:val="22"/>
          <w:lang w:val="sr-Latn-ME"/>
        </w:rPr>
        <w:t xml:space="preserve"> </w:t>
      </w:r>
      <w:r w:rsidRPr="0055610F">
        <w:rPr>
          <w:sz w:val="22"/>
          <w:szCs w:val="22"/>
          <w:lang w:val="sr-Latn-ME"/>
        </w:rPr>
        <w:t xml:space="preserve">mg) natrijuma po bočici od 10 </w:t>
      </w:r>
      <w:r w:rsidR="007642DC">
        <w:rPr>
          <w:sz w:val="22"/>
          <w:szCs w:val="22"/>
          <w:lang w:val="sr-Latn-ME"/>
        </w:rPr>
        <w:t>ml</w:t>
      </w:r>
      <w:r w:rsidRPr="0055610F">
        <w:rPr>
          <w:sz w:val="22"/>
          <w:szCs w:val="22"/>
          <w:lang w:val="sr-Latn-ME"/>
        </w:rPr>
        <w:t>.</w:t>
      </w:r>
    </w:p>
    <w:p w:rsidR="00496E03" w:rsidRPr="0055610F" w:rsidRDefault="00496E03" w:rsidP="004D5825">
      <w:pPr>
        <w:jc w:val="both"/>
        <w:rPr>
          <w:sz w:val="22"/>
          <w:szCs w:val="22"/>
          <w:lang w:val="sr-Latn-ME"/>
        </w:rPr>
      </w:pPr>
      <w:r w:rsidRPr="0055610F">
        <w:rPr>
          <w:sz w:val="22"/>
          <w:szCs w:val="22"/>
          <w:lang w:val="sr-Latn-ME"/>
        </w:rPr>
        <w:t>MabThera 500</w:t>
      </w:r>
      <w:r w:rsidR="007642DC" w:rsidRPr="0055610F">
        <w:rPr>
          <w:sz w:val="22"/>
          <w:szCs w:val="22"/>
          <w:lang w:val="sr-Latn-ME"/>
        </w:rPr>
        <w:t xml:space="preserve"> </w:t>
      </w:r>
      <w:r w:rsidRPr="0055610F">
        <w:rPr>
          <w:sz w:val="22"/>
          <w:szCs w:val="22"/>
          <w:lang w:val="sr-Latn-ME"/>
        </w:rPr>
        <w:t xml:space="preserve">mg: Ovaj lijek sadrži 11.5 mmol (263.2 mg) natrijuma po bočici od 50 </w:t>
      </w:r>
      <w:r w:rsidR="007642DC">
        <w:rPr>
          <w:sz w:val="22"/>
          <w:szCs w:val="22"/>
          <w:lang w:val="sr-Latn-ME"/>
        </w:rPr>
        <w:t>ml</w:t>
      </w:r>
      <w:r w:rsidRPr="0055610F">
        <w:rPr>
          <w:sz w:val="22"/>
          <w:szCs w:val="22"/>
          <w:lang w:val="sr-Latn-ME"/>
        </w:rPr>
        <w:t>.</w:t>
      </w:r>
    </w:p>
    <w:p w:rsidR="00496E03" w:rsidRPr="0055610F" w:rsidRDefault="00496E03" w:rsidP="004D5825">
      <w:pPr>
        <w:jc w:val="both"/>
        <w:rPr>
          <w:sz w:val="22"/>
          <w:szCs w:val="22"/>
          <w:lang w:val="sr-Latn-ME"/>
        </w:rPr>
      </w:pPr>
    </w:p>
    <w:p w:rsidR="0003793F" w:rsidRPr="0055610F" w:rsidRDefault="0003793F" w:rsidP="004D5825">
      <w:pPr>
        <w:jc w:val="both"/>
        <w:rPr>
          <w:sz w:val="22"/>
          <w:szCs w:val="22"/>
          <w:lang w:val="sr-Latn-ME"/>
        </w:rPr>
      </w:pPr>
      <w:r w:rsidRPr="0055610F">
        <w:rPr>
          <w:sz w:val="22"/>
          <w:szCs w:val="22"/>
          <w:lang w:val="sr-Latn-ME"/>
        </w:rPr>
        <w:t>Za spisak svih ekscipijenasa, pogledati dio 6.1.</w:t>
      </w:r>
    </w:p>
    <w:p w:rsidR="0003793F" w:rsidRPr="0055610F" w:rsidRDefault="0003793F" w:rsidP="004D5825">
      <w:pPr>
        <w:jc w:val="both"/>
        <w:rPr>
          <w:sz w:val="22"/>
          <w:szCs w:val="22"/>
          <w:lang w:val="sr-Latn-ME"/>
        </w:rPr>
      </w:pPr>
    </w:p>
    <w:p w:rsidR="00C37FD7" w:rsidRPr="0055610F" w:rsidRDefault="00C37FD7" w:rsidP="004D5825">
      <w:pPr>
        <w:jc w:val="both"/>
        <w:rPr>
          <w:sz w:val="22"/>
          <w:szCs w:val="22"/>
          <w:lang w:val="sr-Latn-ME"/>
        </w:rPr>
      </w:pPr>
    </w:p>
    <w:p w:rsidR="00411B4B" w:rsidRPr="0055610F" w:rsidRDefault="00411B4B" w:rsidP="004D5825">
      <w:pPr>
        <w:tabs>
          <w:tab w:val="left" w:pos="540"/>
          <w:tab w:val="left" w:pos="569"/>
        </w:tabs>
        <w:jc w:val="both"/>
        <w:rPr>
          <w:b/>
          <w:bCs/>
          <w:sz w:val="22"/>
          <w:szCs w:val="22"/>
          <w:lang w:val="sr-Latn-ME"/>
        </w:rPr>
      </w:pPr>
      <w:r w:rsidRPr="0055610F">
        <w:rPr>
          <w:b/>
          <w:bCs/>
          <w:sz w:val="22"/>
          <w:szCs w:val="22"/>
          <w:lang w:val="sr-Latn-ME"/>
        </w:rPr>
        <w:t xml:space="preserve">3. </w:t>
      </w:r>
      <w:r w:rsidR="00F5167F" w:rsidRPr="0055610F">
        <w:rPr>
          <w:b/>
          <w:bCs/>
          <w:sz w:val="22"/>
          <w:szCs w:val="22"/>
          <w:lang w:val="sr-Latn-ME"/>
        </w:rPr>
        <w:tab/>
      </w:r>
      <w:r w:rsidRPr="0055610F">
        <w:rPr>
          <w:b/>
          <w:bCs/>
          <w:sz w:val="22"/>
          <w:szCs w:val="22"/>
          <w:lang w:val="sr-Latn-ME"/>
        </w:rPr>
        <w:t>FARMACEUTSKI OBLIK</w:t>
      </w:r>
      <w:r w:rsidR="009F2D23" w:rsidRPr="0055610F">
        <w:rPr>
          <w:b/>
          <w:bCs/>
          <w:sz w:val="22"/>
          <w:szCs w:val="22"/>
          <w:lang w:val="sr-Latn-ME"/>
        </w:rPr>
        <w:t xml:space="preserve"> </w:t>
      </w:r>
    </w:p>
    <w:p w:rsidR="00411B4B" w:rsidRPr="0055610F" w:rsidRDefault="00411B4B" w:rsidP="004D5825">
      <w:pPr>
        <w:jc w:val="both"/>
        <w:rPr>
          <w:bCs/>
          <w:sz w:val="22"/>
          <w:szCs w:val="22"/>
          <w:lang w:val="sr-Latn-ME"/>
        </w:rPr>
      </w:pPr>
    </w:p>
    <w:p w:rsidR="00496E03" w:rsidRPr="0055610F" w:rsidRDefault="00496E03" w:rsidP="004D5825">
      <w:pPr>
        <w:jc w:val="both"/>
        <w:rPr>
          <w:bCs/>
          <w:sz w:val="22"/>
          <w:szCs w:val="22"/>
          <w:lang w:val="sr-Latn-ME"/>
        </w:rPr>
      </w:pPr>
      <w:r w:rsidRPr="0055610F">
        <w:rPr>
          <w:bCs/>
          <w:sz w:val="22"/>
          <w:szCs w:val="22"/>
          <w:lang w:val="sr-Latn-ME"/>
        </w:rPr>
        <w:t>Koncentrat za rastvor za infuziju.</w:t>
      </w:r>
    </w:p>
    <w:p w:rsidR="00496E03" w:rsidRPr="0055610F" w:rsidRDefault="00496E03" w:rsidP="004D5825">
      <w:pPr>
        <w:jc w:val="both"/>
        <w:rPr>
          <w:bCs/>
          <w:sz w:val="22"/>
          <w:szCs w:val="22"/>
          <w:lang w:val="sr-Latn-ME"/>
        </w:rPr>
      </w:pPr>
      <w:r w:rsidRPr="0055610F">
        <w:rPr>
          <w:bCs/>
          <w:sz w:val="22"/>
          <w:szCs w:val="22"/>
          <w:lang w:val="sr-Latn-ME"/>
        </w:rPr>
        <w:t>Bistra, bezbojna tečnost, čija je pH između 6.2 – 6.8 i osmolalnost 324 - 396 mOsmol/kg.</w:t>
      </w:r>
    </w:p>
    <w:p w:rsidR="00EC2532" w:rsidRPr="0055610F" w:rsidRDefault="00EC2532" w:rsidP="004D5825">
      <w:pPr>
        <w:jc w:val="both"/>
        <w:rPr>
          <w:bCs/>
          <w:sz w:val="22"/>
          <w:szCs w:val="22"/>
          <w:lang w:val="sr-Latn-ME"/>
        </w:rPr>
      </w:pPr>
    </w:p>
    <w:p w:rsidR="007642DC" w:rsidRPr="0055610F" w:rsidRDefault="007642DC" w:rsidP="004D5825">
      <w:pPr>
        <w:jc w:val="both"/>
        <w:rPr>
          <w:bCs/>
          <w:sz w:val="22"/>
          <w:szCs w:val="22"/>
          <w:lang w:val="sr-Latn-ME"/>
        </w:rPr>
      </w:pPr>
    </w:p>
    <w:p w:rsidR="00411B4B" w:rsidRPr="0055610F" w:rsidRDefault="00411B4B" w:rsidP="004D5825">
      <w:pPr>
        <w:tabs>
          <w:tab w:val="left" w:pos="540"/>
          <w:tab w:val="left" w:pos="569"/>
        </w:tabs>
        <w:jc w:val="both"/>
        <w:rPr>
          <w:b/>
          <w:bCs/>
          <w:sz w:val="22"/>
          <w:szCs w:val="22"/>
          <w:lang w:val="sr-Latn-ME"/>
        </w:rPr>
      </w:pPr>
      <w:r w:rsidRPr="0055610F">
        <w:rPr>
          <w:b/>
          <w:bCs/>
          <w:sz w:val="22"/>
          <w:szCs w:val="22"/>
          <w:lang w:val="sr-Latn-ME"/>
        </w:rPr>
        <w:t xml:space="preserve">4. </w:t>
      </w:r>
      <w:r w:rsidR="00480FB1" w:rsidRPr="0055610F">
        <w:rPr>
          <w:b/>
          <w:bCs/>
          <w:sz w:val="22"/>
          <w:szCs w:val="22"/>
          <w:lang w:val="sr-Latn-ME"/>
        </w:rPr>
        <w:tab/>
      </w:r>
      <w:r w:rsidRPr="0055610F">
        <w:rPr>
          <w:b/>
          <w:bCs/>
          <w:sz w:val="22"/>
          <w:szCs w:val="22"/>
          <w:lang w:val="sr-Latn-ME"/>
        </w:rPr>
        <w:t>KLINIČKI PODACI</w:t>
      </w:r>
    </w:p>
    <w:p w:rsidR="00CD6F02" w:rsidRPr="0055610F" w:rsidRDefault="00CD6F02" w:rsidP="004D5825">
      <w:pPr>
        <w:tabs>
          <w:tab w:val="left" w:pos="540"/>
          <w:tab w:val="left" w:pos="569"/>
        </w:tabs>
        <w:jc w:val="both"/>
        <w:rPr>
          <w:bCs/>
          <w:sz w:val="22"/>
          <w:szCs w:val="22"/>
          <w:lang w:val="sr-Latn-ME"/>
        </w:rPr>
      </w:pPr>
    </w:p>
    <w:p w:rsidR="00411B4B" w:rsidRPr="0055610F" w:rsidRDefault="00411B4B" w:rsidP="004D5825">
      <w:pPr>
        <w:tabs>
          <w:tab w:val="left" w:pos="540"/>
          <w:tab w:val="left" w:pos="569"/>
        </w:tabs>
        <w:jc w:val="both"/>
        <w:rPr>
          <w:b/>
          <w:bCs/>
          <w:sz w:val="22"/>
          <w:szCs w:val="22"/>
          <w:lang w:val="sr-Latn-ME"/>
        </w:rPr>
      </w:pPr>
      <w:r w:rsidRPr="0055610F">
        <w:rPr>
          <w:b/>
          <w:bCs/>
          <w:sz w:val="22"/>
          <w:szCs w:val="22"/>
          <w:lang w:val="sr-Latn-ME"/>
        </w:rPr>
        <w:t xml:space="preserve">4.1. </w:t>
      </w:r>
      <w:r w:rsidR="00480FB1" w:rsidRPr="0055610F">
        <w:rPr>
          <w:b/>
          <w:bCs/>
          <w:sz w:val="22"/>
          <w:szCs w:val="22"/>
          <w:lang w:val="sr-Latn-ME"/>
        </w:rPr>
        <w:tab/>
      </w:r>
      <w:r w:rsidRPr="0055610F">
        <w:rPr>
          <w:b/>
          <w:bCs/>
          <w:sz w:val="22"/>
          <w:szCs w:val="22"/>
          <w:lang w:val="sr-Latn-ME"/>
        </w:rPr>
        <w:t>Terapijske indikacije</w:t>
      </w:r>
    </w:p>
    <w:p w:rsidR="007B7C69" w:rsidRPr="0055610F" w:rsidRDefault="007B7C69" w:rsidP="004D5825">
      <w:pPr>
        <w:tabs>
          <w:tab w:val="left" w:pos="284"/>
          <w:tab w:val="center" w:pos="4320"/>
          <w:tab w:val="right" w:pos="8640"/>
        </w:tabs>
        <w:jc w:val="both"/>
        <w:rPr>
          <w:bCs/>
          <w:sz w:val="22"/>
          <w:szCs w:val="22"/>
          <w:lang w:val="sr-Latn-ME"/>
        </w:rPr>
      </w:pPr>
    </w:p>
    <w:p w:rsidR="00496E03" w:rsidRPr="0055610F" w:rsidRDefault="00496E03" w:rsidP="004D5825">
      <w:pPr>
        <w:jc w:val="both"/>
        <w:rPr>
          <w:sz w:val="22"/>
          <w:szCs w:val="22"/>
          <w:lang w:val="sr-Latn-ME"/>
        </w:rPr>
      </w:pPr>
      <w:r w:rsidRPr="0055610F">
        <w:rPr>
          <w:sz w:val="22"/>
          <w:szCs w:val="22"/>
          <w:u w:val="single"/>
          <w:lang w:val="sr-Latn-ME"/>
        </w:rPr>
        <w:t>Non-Hodgkinov limfom (NHL)</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u w:val="single"/>
          <w:lang w:val="sr-Latn-ME"/>
        </w:rPr>
      </w:pPr>
      <w:r w:rsidRPr="0055610F">
        <w:rPr>
          <w:sz w:val="22"/>
          <w:szCs w:val="22"/>
          <w:lang w:val="sr-Latn-ME"/>
        </w:rPr>
        <w:t>MabThera je indikovana za liječenje prethodno neliječenih odraslih pacijenata stadijumu III-IV folikularnog limfoma u kombinaciji sa hemioterapijom.</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MabThera je kao terapija održavanja indikovana za liječenje odraslih pacijenata oboljelih od folikularnog limfoma koji su odgovorili na indukcionu terapiju.</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Monoterapija lijekom MabThera je indikovana za liječenje odraslih pacijenata u stadijumu III-IV folikularnog limfoma koji su rezistentni na hemioterapiju ili su u fazi drugog ili još poznijeg recidiva posl</w:t>
      </w:r>
      <w:r w:rsidR="003E333A" w:rsidRPr="0055610F">
        <w:rPr>
          <w:sz w:val="22"/>
          <w:szCs w:val="22"/>
          <w:lang w:val="sr-Latn-ME"/>
        </w:rPr>
        <w:t>ij</w:t>
      </w:r>
      <w:r w:rsidRPr="0055610F">
        <w:rPr>
          <w:sz w:val="22"/>
          <w:szCs w:val="22"/>
          <w:lang w:val="sr-Latn-ME"/>
        </w:rPr>
        <w:t xml:space="preserve">e hemioterapije.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MabThera je indikovana za liječenje odraslih pacijenata sa CD20 pozitivnim difuznim non-Hodgkinovim limfomom krupnih B ćelija u kombinaciji sa CHOP (ciklofosfamid, doksorubicin, vinkristin, prednizolon) hemioterapijom. </w:t>
      </w:r>
    </w:p>
    <w:p w:rsidR="00496E03" w:rsidRPr="0055610F" w:rsidRDefault="00496E03" w:rsidP="004D5825">
      <w:pPr>
        <w:jc w:val="both"/>
        <w:rPr>
          <w:sz w:val="22"/>
          <w:szCs w:val="22"/>
          <w:lang w:val="sr-Latn-ME"/>
        </w:rPr>
      </w:pPr>
      <w:r w:rsidRPr="0055610F">
        <w:rPr>
          <w:sz w:val="22"/>
          <w:szCs w:val="22"/>
          <w:lang w:val="sr-Latn-ME"/>
        </w:rPr>
        <w:t>Lijek MabThera u kombinaciji sa hemioterapijom je indikovan za l</w:t>
      </w:r>
      <w:r w:rsidR="003E333A" w:rsidRPr="0055610F">
        <w:rPr>
          <w:sz w:val="22"/>
          <w:szCs w:val="22"/>
          <w:lang w:val="sr-Latn-ME"/>
        </w:rPr>
        <w:t>i</w:t>
      </w:r>
      <w:r w:rsidRPr="0055610F">
        <w:rPr>
          <w:sz w:val="22"/>
          <w:szCs w:val="22"/>
          <w:lang w:val="sr-Latn-ME"/>
        </w:rPr>
        <w:t xml:space="preserve">ječenje pedijatrijskih pacijenata (starosti </w:t>
      </w:r>
      <w:r w:rsidR="00B8085A">
        <w:rPr>
          <w:sz w:val="22"/>
          <w:szCs w:val="22"/>
          <w:lang w:val="sr-Latn-ME"/>
        </w:rPr>
        <w:t>od</w:t>
      </w:r>
      <w:r w:rsidR="003E333A" w:rsidRPr="0055610F">
        <w:rPr>
          <w:sz w:val="22"/>
          <w:szCs w:val="22"/>
          <w:lang w:val="sr-Latn-ME"/>
        </w:rPr>
        <w:t xml:space="preserve"> </w:t>
      </w:r>
      <w:r w:rsidRPr="0055610F">
        <w:rPr>
          <w:sz w:val="22"/>
          <w:szCs w:val="22"/>
          <w:lang w:val="sr-Latn-ME"/>
        </w:rPr>
        <w:t xml:space="preserve">6 mjeseci do </w:t>
      </w:r>
      <w:r w:rsidR="00B8085A">
        <w:rPr>
          <w:sz w:val="22"/>
          <w:szCs w:val="22"/>
          <w:lang w:val="sr-Latn-ME"/>
        </w:rPr>
        <w:t>manje od</w:t>
      </w:r>
      <w:r w:rsidR="003E333A" w:rsidRPr="0055610F">
        <w:rPr>
          <w:sz w:val="22"/>
          <w:szCs w:val="22"/>
          <w:lang w:val="sr-Latn-ME"/>
        </w:rPr>
        <w:t xml:space="preserve"> </w:t>
      </w:r>
      <w:r w:rsidRPr="0055610F">
        <w:rPr>
          <w:sz w:val="22"/>
          <w:szCs w:val="22"/>
          <w:lang w:val="sr-Latn-ME"/>
        </w:rPr>
        <w:t xml:space="preserve">18 godina) sa prethodno neliječenim uznapredovalim CD20 </w:t>
      </w:r>
      <w:r w:rsidRPr="0055610F">
        <w:rPr>
          <w:sz w:val="22"/>
          <w:szCs w:val="22"/>
          <w:lang w:val="sr-Latn-ME"/>
        </w:rPr>
        <w:lastRenderedPageBreak/>
        <w:t>pozitivnim difuznim limfomom krupnih B ćelija (DLBLC), Burkitovim limfomom (BL)/Burkitova leukemija (akutna leukemija zrelih B-ćelija) (BAL) ili limfom sličan Burkitu (BLL).</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u w:val="single"/>
          <w:lang w:val="sr-Latn-ME"/>
        </w:rPr>
      </w:pPr>
      <w:r w:rsidRPr="0055610F">
        <w:rPr>
          <w:sz w:val="22"/>
          <w:szCs w:val="22"/>
          <w:u w:val="single"/>
          <w:lang w:val="sr-Latn-ME"/>
        </w:rPr>
        <w:t>Hronična limfocitna leukemija (CLL)</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MabThera je u kombinaciji sa hemioterapijom indikovana za liječenje </w:t>
      </w:r>
      <w:r w:rsidR="00B8085A">
        <w:rPr>
          <w:sz w:val="22"/>
          <w:szCs w:val="22"/>
          <w:lang w:val="sr-Latn-ME"/>
        </w:rPr>
        <w:t xml:space="preserve">odraslih </w:t>
      </w:r>
      <w:r w:rsidRPr="0055610F">
        <w:rPr>
          <w:sz w:val="22"/>
          <w:szCs w:val="22"/>
          <w:lang w:val="sr-Latn-ME"/>
        </w:rPr>
        <w:t>pacijenata sa prethodno neliječenom i relapsirajućom/refraktornom hroničnom limfocitnom leukemijom. Dostupni su samo ograničeni podaci o efikasnosti i bezbjednosti za pacijente prethodno liječene monoklonskim antitijelima uključujući lijek MabThera, kao i za pacijente refraktorne na liječenje lijekom MabThera u kombinaciji sa hemioterapijom.</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u w:val="single"/>
          <w:lang w:val="sr-Latn-ME"/>
        </w:rPr>
      </w:pPr>
      <w:r w:rsidRPr="0055610F">
        <w:rPr>
          <w:sz w:val="22"/>
          <w:szCs w:val="22"/>
          <w:lang w:val="sr-Latn-ME"/>
        </w:rPr>
        <w:t xml:space="preserve">Vidjeti </w:t>
      </w:r>
      <w:r w:rsidR="003E333A" w:rsidRPr="0055610F">
        <w:rPr>
          <w:sz w:val="22"/>
          <w:szCs w:val="22"/>
          <w:lang w:val="sr-Latn-ME"/>
        </w:rPr>
        <w:t xml:space="preserve">dio </w:t>
      </w:r>
      <w:r w:rsidRPr="0055610F">
        <w:rPr>
          <w:sz w:val="22"/>
          <w:szCs w:val="22"/>
          <w:lang w:val="sr-Latn-ME"/>
        </w:rPr>
        <w:t>5.1 za dodatne informacije.</w:t>
      </w:r>
    </w:p>
    <w:p w:rsidR="00496E03" w:rsidRPr="0055610F" w:rsidRDefault="00496E03" w:rsidP="004D5825">
      <w:pPr>
        <w:jc w:val="both"/>
        <w:rPr>
          <w:sz w:val="22"/>
          <w:szCs w:val="22"/>
          <w:u w:val="single"/>
          <w:lang w:val="sr-Latn-ME"/>
        </w:rPr>
      </w:pPr>
    </w:p>
    <w:p w:rsidR="00496E03" w:rsidRPr="0055610F" w:rsidRDefault="00496E03" w:rsidP="004D5825">
      <w:pPr>
        <w:jc w:val="both"/>
        <w:rPr>
          <w:sz w:val="22"/>
          <w:szCs w:val="22"/>
          <w:u w:val="single"/>
          <w:lang w:val="sr-Latn-ME"/>
        </w:rPr>
      </w:pPr>
      <w:r w:rsidRPr="0055610F">
        <w:rPr>
          <w:sz w:val="22"/>
          <w:szCs w:val="22"/>
          <w:u w:val="single"/>
          <w:lang w:val="sr-Latn-ME"/>
        </w:rPr>
        <w:t>Reumatoidni artritis</w:t>
      </w:r>
    </w:p>
    <w:p w:rsidR="00496E03" w:rsidRPr="0055610F" w:rsidRDefault="00496E03" w:rsidP="004D5825">
      <w:pPr>
        <w:jc w:val="both"/>
        <w:rPr>
          <w:sz w:val="22"/>
          <w:szCs w:val="22"/>
          <w:u w:val="single"/>
          <w:lang w:val="sr-Latn-ME"/>
        </w:rPr>
      </w:pPr>
    </w:p>
    <w:p w:rsidR="00496E03" w:rsidRPr="0055610F" w:rsidRDefault="00496E03" w:rsidP="004D5825">
      <w:pPr>
        <w:jc w:val="both"/>
        <w:rPr>
          <w:sz w:val="22"/>
          <w:szCs w:val="22"/>
          <w:lang w:val="sr-Latn-ME"/>
        </w:rPr>
      </w:pPr>
      <w:r w:rsidRPr="0055610F">
        <w:rPr>
          <w:sz w:val="22"/>
          <w:szCs w:val="22"/>
          <w:lang w:val="sr-Latn-ME"/>
        </w:rPr>
        <w:t>MabThera je u kombinaciji sa metotreksatom indikovana za liječenje odraslih pacijenata sa teškim oblikom aktivnog reumatoidnog artritisa koji ili ni</w:t>
      </w:r>
      <w:r w:rsidR="003E333A" w:rsidRPr="0055610F">
        <w:rPr>
          <w:sz w:val="22"/>
          <w:szCs w:val="22"/>
          <w:lang w:val="sr-Latn-ME"/>
        </w:rPr>
        <w:t>je</w:t>
      </w:r>
      <w:r w:rsidRPr="0055610F">
        <w:rPr>
          <w:sz w:val="22"/>
          <w:szCs w:val="22"/>
          <w:lang w:val="sr-Latn-ME"/>
        </w:rPr>
        <w:t>su adekvatno reagovali , ili ni</w:t>
      </w:r>
      <w:r w:rsidR="003E333A" w:rsidRPr="0055610F">
        <w:rPr>
          <w:sz w:val="22"/>
          <w:szCs w:val="22"/>
          <w:lang w:val="sr-Latn-ME"/>
        </w:rPr>
        <w:t>je</w:t>
      </w:r>
      <w:r w:rsidRPr="0055610F">
        <w:rPr>
          <w:sz w:val="22"/>
          <w:szCs w:val="22"/>
          <w:lang w:val="sr-Latn-ME"/>
        </w:rPr>
        <w:t xml:space="preserve">su podnosili druge antireumatske ljekove koji mijenjaju tok bolesti (engl. </w:t>
      </w:r>
      <w:r w:rsidRPr="0055610F">
        <w:rPr>
          <w:i/>
          <w:sz w:val="22"/>
          <w:szCs w:val="22"/>
          <w:lang w:val="sr-Latn-ME"/>
        </w:rPr>
        <w:t xml:space="preserve">disease-modifying anti-rheumatic drugs, </w:t>
      </w:r>
      <w:r w:rsidRPr="0055610F">
        <w:rPr>
          <w:sz w:val="22"/>
          <w:szCs w:val="22"/>
          <w:lang w:val="sr-Latn-ME"/>
        </w:rPr>
        <w:t xml:space="preserve">DMARD), uključujući i jednu ili više terapija inhibitorima faktora tumorske nekroze (TNF). </w:t>
      </w:r>
    </w:p>
    <w:p w:rsidR="00496E03" w:rsidRPr="0055610F" w:rsidRDefault="00496E03" w:rsidP="004D5825">
      <w:pPr>
        <w:jc w:val="both"/>
        <w:rPr>
          <w:sz w:val="22"/>
          <w:szCs w:val="22"/>
          <w:lang w:val="sr-Latn-ME"/>
        </w:rPr>
      </w:pPr>
    </w:p>
    <w:p w:rsidR="00496E03" w:rsidRPr="0055610F" w:rsidRDefault="00496E03" w:rsidP="004D5825">
      <w:pPr>
        <w:keepNext/>
        <w:keepLines/>
        <w:jc w:val="both"/>
        <w:outlineLvl w:val="0"/>
        <w:rPr>
          <w:sz w:val="22"/>
          <w:szCs w:val="22"/>
          <w:lang w:val="sr-Latn-ME"/>
        </w:rPr>
      </w:pPr>
      <w:r w:rsidRPr="0055610F">
        <w:rPr>
          <w:sz w:val="22"/>
          <w:szCs w:val="22"/>
          <w:lang w:val="sr-Latn-ME"/>
        </w:rPr>
        <w:t>Pokazalo se da MabThera u kombinaciji sa metotreksatom usporava napredovanje oštećenja zglobova, ocijenjeno radiografski te poboljšava fizičku funkciju.</w:t>
      </w:r>
    </w:p>
    <w:p w:rsidR="00496E03" w:rsidRPr="0055610F" w:rsidRDefault="00496E03" w:rsidP="004D5825">
      <w:pPr>
        <w:jc w:val="both"/>
        <w:rPr>
          <w:sz w:val="22"/>
          <w:szCs w:val="22"/>
          <w:lang w:val="sr-Latn-ME"/>
        </w:rPr>
      </w:pPr>
    </w:p>
    <w:p w:rsidR="00496E03" w:rsidRPr="0055610F" w:rsidRDefault="00496E03" w:rsidP="004D5825">
      <w:pPr>
        <w:keepNext/>
        <w:keepLines/>
        <w:jc w:val="both"/>
        <w:outlineLvl w:val="0"/>
        <w:rPr>
          <w:sz w:val="22"/>
          <w:szCs w:val="22"/>
          <w:u w:val="single"/>
          <w:lang w:val="sr-Latn-ME"/>
        </w:rPr>
      </w:pPr>
      <w:r w:rsidRPr="0055610F">
        <w:rPr>
          <w:sz w:val="22"/>
          <w:szCs w:val="22"/>
          <w:u w:val="single"/>
          <w:lang w:val="sr-Latn-ME"/>
        </w:rPr>
        <w:t>Granulomatoza sa poliangitisom i mikroskopski poliangitis</w:t>
      </w:r>
    </w:p>
    <w:p w:rsidR="00496E03" w:rsidRPr="0055610F" w:rsidRDefault="00496E03" w:rsidP="004D5825">
      <w:pPr>
        <w:keepNext/>
        <w:keepLines/>
        <w:jc w:val="both"/>
        <w:outlineLvl w:val="0"/>
        <w:rPr>
          <w:sz w:val="22"/>
          <w:szCs w:val="22"/>
          <w:lang w:val="sr-Latn-ME"/>
        </w:rPr>
      </w:pPr>
    </w:p>
    <w:p w:rsidR="00496E03" w:rsidRPr="0055610F" w:rsidRDefault="00496E03" w:rsidP="004D5825">
      <w:pPr>
        <w:keepNext/>
        <w:keepLines/>
        <w:jc w:val="both"/>
        <w:outlineLvl w:val="0"/>
        <w:rPr>
          <w:sz w:val="22"/>
          <w:szCs w:val="22"/>
          <w:lang w:val="sr-Latn-ME"/>
        </w:rPr>
      </w:pPr>
      <w:r w:rsidRPr="0055610F">
        <w:rPr>
          <w:sz w:val="22"/>
          <w:szCs w:val="22"/>
          <w:lang w:val="sr-Latn-ME"/>
        </w:rPr>
        <w:t>MabThera je u kombinaciji sa glukokortikoidima indikovana za terapiju kod odraslih pacijenata sa teškom aktivnom granulomatozom sa poliangitisom (Wegenerova granulomatoza) (GPA) i mikroskopskim poliangitisom (MPA).</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Lijek MabThera, u kombinaciji sa glukokortikoidima, je indikovana u indukciji remisije kod pedijatrijskih pacijenata (starosti </w:t>
      </w:r>
      <w:r w:rsidR="00B8085A">
        <w:rPr>
          <w:sz w:val="22"/>
          <w:szCs w:val="22"/>
          <w:lang w:val="sr-Latn-ME"/>
        </w:rPr>
        <w:t>od</w:t>
      </w:r>
      <w:r w:rsidRPr="0055610F">
        <w:rPr>
          <w:sz w:val="22"/>
          <w:szCs w:val="22"/>
          <w:lang w:val="sr-Latn-ME"/>
        </w:rPr>
        <w:t xml:space="preserve"> 2 do </w:t>
      </w:r>
      <w:r w:rsidR="00B8085A">
        <w:rPr>
          <w:sz w:val="22"/>
          <w:szCs w:val="22"/>
          <w:lang w:val="sr-Latn-ME"/>
        </w:rPr>
        <w:t>manje od</w:t>
      </w:r>
      <w:r w:rsidRPr="0055610F">
        <w:rPr>
          <w:sz w:val="22"/>
          <w:szCs w:val="22"/>
          <w:lang w:val="sr-Latn-ME"/>
        </w:rPr>
        <w:t xml:space="preserve"> 18 godina) sa ozbiljnim, aktivnim GPA (</w:t>
      </w:r>
      <w:r w:rsidRPr="0055610F">
        <w:rPr>
          <w:i/>
          <w:sz w:val="22"/>
          <w:szCs w:val="22"/>
          <w:lang w:val="sr-Latn-ME"/>
        </w:rPr>
        <w:t>Wegener</w:t>
      </w:r>
      <w:r w:rsidRPr="0055610F">
        <w:rPr>
          <w:sz w:val="22"/>
          <w:szCs w:val="22"/>
          <w:lang w:val="sr-Latn-ME"/>
        </w:rPr>
        <w:t>-ova granulomatoza) i MPA.</w:t>
      </w:r>
    </w:p>
    <w:p w:rsidR="00496E03" w:rsidRPr="0055610F" w:rsidRDefault="00496E03" w:rsidP="004D5825">
      <w:pPr>
        <w:jc w:val="both"/>
        <w:rPr>
          <w:sz w:val="22"/>
          <w:szCs w:val="22"/>
          <w:lang w:val="sr-Latn-ME"/>
        </w:rPr>
      </w:pPr>
    </w:p>
    <w:p w:rsidR="00496E03" w:rsidRPr="0055610F" w:rsidRDefault="00496E03" w:rsidP="004D5825">
      <w:pPr>
        <w:keepNext/>
        <w:keepLines/>
        <w:jc w:val="both"/>
        <w:outlineLvl w:val="0"/>
        <w:rPr>
          <w:sz w:val="22"/>
          <w:szCs w:val="22"/>
          <w:u w:val="single"/>
          <w:lang w:val="sr-Latn-ME"/>
        </w:rPr>
      </w:pPr>
      <w:r w:rsidRPr="0055610F">
        <w:rPr>
          <w:sz w:val="22"/>
          <w:szCs w:val="22"/>
          <w:u w:val="single"/>
          <w:lang w:val="sr-Latn-ME" w:eastAsia="th-TH" w:bidi="th-TH"/>
        </w:rPr>
        <w:t>Obični pemfigus (</w:t>
      </w:r>
      <w:r w:rsidRPr="0055610F">
        <w:rPr>
          <w:i/>
          <w:sz w:val="22"/>
          <w:szCs w:val="22"/>
          <w:u w:val="single"/>
          <w:lang w:val="sr-Latn-ME" w:eastAsia="th-TH" w:bidi="th-TH"/>
        </w:rPr>
        <w:t>pemphigus vulgaris</w:t>
      </w:r>
      <w:r w:rsidRPr="0055610F">
        <w:rPr>
          <w:sz w:val="22"/>
          <w:szCs w:val="22"/>
          <w:u w:val="single"/>
          <w:lang w:val="sr-Latn-ME" w:eastAsia="th-TH" w:bidi="th-TH"/>
        </w:rPr>
        <w:t>, PV)</w:t>
      </w:r>
    </w:p>
    <w:p w:rsidR="00496E03" w:rsidRPr="0055610F" w:rsidRDefault="00496E03" w:rsidP="004D5825">
      <w:pPr>
        <w:keepNext/>
        <w:jc w:val="both"/>
        <w:outlineLvl w:val="0"/>
        <w:rPr>
          <w:sz w:val="22"/>
          <w:szCs w:val="22"/>
          <w:lang w:val="sr-Latn-ME"/>
        </w:rPr>
      </w:pPr>
    </w:p>
    <w:p w:rsidR="00496E03" w:rsidRPr="0055610F" w:rsidRDefault="00496E03" w:rsidP="004D5825">
      <w:pPr>
        <w:tabs>
          <w:tab w:val="left" w:pos="540"/>
          <w:tab w:val="left" w:pos="569"/>
        </w:tabs>
        <w:jc w:val="both"/>
        <w:rPr>
          <w:b/>
          <w:bCs/>
          <w:sz w:val="22"/>
          <w:szCs w:val="22"/>
          <w:lang w:val="sr-Latn-ME"/>
        </w:rPr>
      </w:pPr>
      <w:r w:rsidRPr="0055610F">
        <w:rPr>
          <w:sz w:val="22"/>
          <w:szCs w:val="22"/>
          <w:lang w:val="sr-Latn-ME"/>
        </w:rPr>
        <w:t xml:space="preserve">Lijek MabThera je indikovan za liječenje </w:t>
      </w:r>
      <w:r w:rsidR="00B8085A">
        <w:rPr>
          <w:sz w:val="22"/>
          <w:szCs w:val="22"/>
          <w:lang w:val="sr-Latn-ME"/>
        </w:rPr>
        <w:t xml:space="preserve">odraslih </w:t>
      </w:r>
      <w:r w:rsidRPr="0055610F">
        <w:rPr>
          <w:sz w:val="22"/>
          <w:szCs w:val="22"/>
          <w:lang w:val="sr-Latn-ME"/>
        </w:rPr>
        <w:t>pacijenata sa umjerenim do teškim oblikom običnog pemfigusa (PV).</w:t>
      </w:r>
    </w:p>
    <w:p w:rsidR="00411B4B" w:rsidRPr="0055610F" w:rsidRDefault="00411B4B" w:rsidP="004D5825">
      <w:pPr>
        <w:tabs>
          <w:tab w:val="left" w:pos="540"/>
          <w:tab w:val="left" w:pos="569"/>
        </w:tabs>
        <w:jc w:val="both"/>
        <w:rPr>
          <w:bCs/>
          <w:sz w:val="22"/>
          <w:szCs w:val="22"/>
          <w:lang w:val="sr-Latn-ME"/>
        </w:rPr>
      </w:pPr>
    </w:p>
    <w:p w:rsidR="00411B4B" w:rsidRPr="0055610F" w:rsidRDefault="00411B4B" w:rsidP="004D5825">
      <w:pPr>
        <w:tabs>
          <w:tab w:val="left" w:pos="540"/>
          <w:tab w:val="left" w:pos="569"/>
        </w:tabs>
        <w:jc w:val="both"/>
        <w:rPr>
          <w:b/>
          <w:bCs/>
          <w:sz w:val="22"/>
          <w:szCs w:val="22"/>
          <w:lang w:val="sr-Latn-ME"/>
        </w:rPr>
      </w:pPr>
      <w:r w:rsidRPr="0055610F">
        <w:rPr>
          <w:b/>
          <w:bCs/>
          <w:sz w:val="22"/>
          <w:szCs w:val="22"/>
          <w:lang w:val="sr-Latn-ME"/>
        </w:rPr>
        <w:t xml:space="preserve">4.2. </w:t>
      </w:r>
      <w:r w:rsidR="00480FB1" w:rsidRPr="0055610F">
        <w:rPr>
          <w:b/>
          <w:bCs/>
          <w:sz w:val="22"/>
          <w:szCs w:val="22"/>
          <w:lang w:val="sr-Latn-ME"/>
        </w:rPr>
        <w:tab/>
      </w:r>
      <w:r w:rsidRPr="0055610F">
        <w:rPr>
          <w:b/>
          <w:bCs/>
          <w:sz w:val="22"/>
          <w:szCs w:val="22"/>
          <w:lang w:val="sr-Latn-ME"/>
        </w:rPr>
        <w:t>Doziranje i način primjene</w:t>
      </w:r>
    </w:p>
    <w:p w:rsidR="0072020E" w:rsidRPr="0055610F" w:rsidRDefault="0072020E" w:rsidP="004D5825">
      <w:pPr>
        <w:tabs>
          <w:tab w:val="left" w:pos="540"/>
          <w:tab w:val="left" w:pos="569"/>
        </w:tabs>
        <w:jc w:val="both"/>
        <w:rPr>
          <w:bCs/>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Mab</w:t>
      </w:r>
      <w:r w:rsidRPr="0055610F">
        <w:rPr>
          <w:caps/>
          <w:sz w:val="22"/>
          <w:szCs w:val="22"/>
          <w:lang w:val="sr-Latn-ME"/>
        </w:rPr>
        <w:t>t</w:t>
      </w:r>
      <w:r w:rsidRPr="0055610F">
        <w:rPr>
          <w:sz w:val="22"/>
          <w:szCs w:val="22"/>
          <w:lang w:val="sr-Latn-ME"/>
        </w:rPr>
        <w:t xml:space="preserve">hera se treba davati pod strogim nadzorom iskusnog zdravstvenog radnika i u okruženju gdje su odmah na raspolaganje sve mogućnosti za reanimaciju (vidjeti dio 4.4). </w:t>
      </w:r>
    </w:p>
    <w:p w:rsidR="00496E03" w:rsidRPr="0055610F" w:rsidRDefault="00496E03" w:rsidP="004D5825">
      <w:pPr>
        <w:jc w:val="both"/>
        <w:rPr>
          <w:sz w:val="22"/>
          <w:szCs w:val="22"/>
          <w:lang w:val="sr-Latn-ME"/>
        </w:rPr>
      </w:pPr>
    </w:p>
    <w:p w:rsidR="00496E03" w:rsidRPr="0055610F" w:rsidRDefault="00496E03" w:rsidP="004D5825">
      <w:pPr>
        <w:jc w:val="both"/>
        <w:outlineLvl w:val="0"/>
        <w:rPr>
          <w:sz w:val="22"/>
          <w:szCs w:val="22"/>
          <w:u w:val="single"/>
          <w:lang w:val="sr-Latn-ME"/>
        </w:rPr>
      </w:pPr>
      <w:r w:rsidRPr="0055610F">
        <w:rPr>
          <w:sz w:val="22"/>
          <w:szCs w:val="22"/>
          <w:u w:val="single"/>
          <w:lang w:val="sr-Latn-ME"/>
        </w:rPr>
        <w:t>Premedikacija i profilaksa</w:t>
      </w:r>
    </w:p>
    <w:p w:rsidR="007B7C69" w:rsidRDefault="007B7C69" w:rsidP="004D5825">
      <w:pPr>
        <w:jc w:val="both"/>
        <w:outlineLvl w:val="0"/>
        <w:rPr>
          <w:sz w:val="22"/>
          <w:szCs w:val="22"/>
          <w:lang w:val="sr-Latn-ME"/>
        </w:rPr>
      </w:pPr>
    </w:p>
    <w:p w:rsidR="00B8085A" w:rsidRPr="00DA475E" w:rsidRDefault="00B8085A" w:rsidP="004D5825">
      <w:pPr>
        <w:jc w:val="both"/>
        <w:outlineLvl w:val="0"/>
        <w:rPr>
          <w:i/>
          <w:sz w:val="22"/>
          <w:szCs w:val="22"/>
          <w:lang w:val="sr-Latn-ME"/>
        </w:rPr>
      </w:pPr>
      <w:r>
        <w:rPr>
          <w:i/>
          <w:sz w:val="22"/>
          <w:szCs w:val="22"/>
          <w:lang w:val="sr-Latn-ME"/>
        </w:rPr>
        <w:t>Sve indikacije</w:t>
      </w:r>
    </w:p>
    <w:p w:rsidR="00496E03" w:rsidRPr="0055610F" w:rsidRDefault="00496E03" w:rsidP="004D5825">
      <w:pPr>
        <w:jc w:val="both"/>
        <w:outlineLvl w:val="0"/>
        <w:rPr>
          <w:sz w:val="22"/>
          <w:szCs w:val="22"/>
          <w:lang w:val="sr-Latn-ME"/>
        </w:rPr>
      </w:pPr>
      <w:r w:rsidRPr="0055610F">
        <w:rPr>
          <w:sz w:val="22"/>
          <w:szCs w:val="22"/>
          <w:lang w:val="sr-Latn-ME"/>
        </w:rPr>
        <w:t>Prije svake primjene lijeka MabThera uvijek treba primijeniti premedikaciju koja obuhvata antipiretik i antihistaminik, npr. paracetamol i difenhidramin.</w:t>
      </w:r>
    </w:p>
    <w:p w:rsidR="00496E03" w:rsidRDefault="00496E03" w:rsidP="004D5825">
      <w:pPr>
        <w:jc w:val="both"/>
        <w:outlineLvl w:val="0"/>
        <w:rPr>
          <w:sz w:val="22"/>
          <w:szCs w:val="22"/>
          <w:lang w:val="sr-Latn-ME"/>
        </w:rPr>
      </w:pPr>
    </w:p>
    <w:p w:rsidR="00B8085A" w:rsidRPr="00DA475E" w:rsidRDefault="00B8085A" w:rsidP="004D5825">
      <w:pPr>
        <w:jc w:val="both"/>
        <w:outlineLvl w:val="0"/>
        <w:rPr>
          <w:i/>
          <w:sz w:val="22"/>
          <w:szCs w:val="22"/>
          <w:lang w:val="sr-Latn-ME"/>
        </w:rPr>
      </w:pPr>
      <w:r>
        <w:rPr>
          <w:i/>
          <w:sz w:val="22"/>
          <w:szCs w:val="22"/>
          <w:lang w:val="sr-Latn-ME"/>
        </w:rPr>
        <w:t>Non-Hodgkin-ov limfom i hronična limfocitna leukemija</w:t>
      </w:r>
    </w:p>
    <w:p w:rsidR="00496E03" w:rsidRPr="0055610F" w:rsidRDefault="00496E03" w:rsidP="004D5825">
      <w:pPr>
        <w:jc w:val="both"/>
        <w:outlineLvl w:val="0"/>
        <w:rPr>
          <w:sz w:val="22"/>
          <w:szCs w:val="22"/>
          <w:lang w:val="sr-Latn-ME"/>
        </w:rPr>
      </w:pPr>
      <w:r w:rsidRPr="0055610F">
        <w:rPr>
          <w:sz w:val="22"/>
          <w:szCs w:val="22"/>
          <w:lang w:val="sr-Latn-ME"/>
        </w:rPr>
        <w:t>Kod odraslih pacijenata sa non-Hodgkinovim limfomom i hroničnom limfocitnom leukemijom potrebno je da se razmotri premedikacija glukokortikoidima ako se MabThera ne primjenjuje u kombinaciji sa</w:t>
      </w:r>
      <w:r w:rsidR="003E333A" w:rsidRPr="0055610F">
        <w:rPr>
          <w:sz w:val="22"/>
          <w:szCs w:val="22"/>
          <w:lang w:val="sr-Latn-ME"/>
        </w:rPr>
        <w:t xml:space="preserve"> </w:t>
      </w:r>
      <w:r w:rsidRPr="0055610F">
        <w:rPr>
          <w:sz w:val="22"/>
          <w:szCs w:val="22"/>
          <w:lang w:val="sr-Latn-ME"/>
        </w:rPr>
        <w:t>hemioterapijom koja sadrži glukokortikoide.</w:t>
      </w:r>
    </w:p>
    <w:p w:rsidR="00496E03" w:rsidRDefault="00496E03" w:rsidP="004D5825">
      <w:pPr>
        <w:jc w:val="both"/>
        <w:rPr>
          <w:sz w:val="22"/>
          <w:szCs w:val="22"/>
          <w:lang w:val="sr-Latn-ME"/>
        </w:rPr>
      </w:pPr>
      <w:r w:rsidRPr="0055610F">
        <w:rPr>
          <w:sz w:val="22"/>
          <w:szCs w:val="22"/>
          <w:lang w:val="sr-Latn-ME"/>
        </w:rPr>
        <w:t xml:space="preserve">Kod pedijatrijskih pacijenata sa </w:t>
      </w:r>
      <w:r w:rsidRPr="0055610F">
        <w:rPr>
          <w:i/>
          <w:sz w:val="22"/>
          <w:szCs w:val="22"/>
          <w:lang w:val="sr-Latn-ME"/>
        </w:rPr>
        <w:t>non-Hodgkin</w:t>
      </w:r>
      <w:r w:rsidRPr="0055610F">
        <w:rPr>
          <w:sz w:val="22"/>
          <w:szCs w:val="22"/>
          <w:lang w:val="sr-Latn-ME"/>
        </w:rPr>
        <w:t>-ovim limfomom, premedikaciju sa paracetamolom i H1-antihistaminicima (difenhidramin ili ekvivalent) trebalo bi prim</w:t>
      </w:r>
      <w:r w:rsidR="003E333A" w:rsidRPr="0055610F">
        <w:rPr>
          <w:sz w:val="22"/>
          <w:szCs w:val="22"/>
          <w:lang w:val="sr-Latn-ME"/>
        </w:rPr>
        <w:t>i</w:t>
      </w:r>
      <w:r w:rsidRPr="0055610F">
        <w:rPr>
          <w:sz w:val="22"/>
          <w:szCs w:val="22"/>
          <w:lang w:val="sr-Latn-ME"/>
        </w:rPr>
        <w:t>jeniti 30 do 60 minuta prije početka infuzije lijeka MabThera. Dodatno, prednizon bi trebalo prim</w:t>
      </w:r>
      <w:r w:rsidR="003E333A" w:rsidRPr="0055610F">
        <w:rPr>
          <w:sz w:val="22"/>
          <w:szCs w:val="22"/>
          <w:lang w:val="sr-Latn-ME"/>
        </w:rPr>
        <w:t>i</w:t>
      </w:r>
      <w:r w:rsidRPr="0055610F">
        <w:rPr>
          <w:sz w:val="22"/>
          <w:szCs w:val="22"/>
          <w:lang w:val="sr-Latn-ME"/>
        </w:rPr>
        <w:t>jeniti kako je navedeno u Tabeli 1.</w:t>
      </w:r>
    </w:p>
    <w:p w:rsidR="00B8085A" w:rsidRPr="0055610F" w:rsidRDefault="00B8085A"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lastRenderedPageBreak/>
        <w:t>Kod pacijenata sa dijagnozom hronične limfocitne leukemije, preporučuje se profilaksa adekvatnom hidratacijom i primjenom ljekova koji inhibišu stvaranje mokraćne kiseline i to 48 sati prije početka terapije kako bi se smanjio rizik od nastanka sindroma lize tumora. Kod pacijenata sa dijagnozom hronične limfocitne leukemije čiji je broj limfocita &gt; 25 x 10</w:t>
      </w:r>
      <w:r w:rsidRPr="0055610F">
        <w:rPr>
          <w:sz w:val="22"/>
          <w:szCs w:val="22"/>
          <w:vertAlign w:val="superscript"/>
          <w:lang w:val="sr-Latn-ME"/>
        </w:rPr>
        <w:t>9</w:t>
      </w:r>
      <w:r w:rsidRPr="0055610F">
        <w:rPr>
          <w:sz w:val="22"/>
          <w:szCs w:val="22"/>
          <w:lang w:val="sr-Latn-ME"/>
        </w:rPr>
        <w:t>/L preporučuje se primjena prednizona/prednizolona u dozi od 100 mg intravenski neposredno prije infuzije lijeka MabThera kako bi se smanjila stopa i ozbiljnost akutne reakcije na infuziju i/ili sindroma otpuštanja citokina.</w:t>
      </w:r>
    </w:p>
    <w:p w:rsidR="00496E03" w:rsidRDefault="00496E03" w:rsidP="004D5825">
      <w:pPr>
        <w:jc w:val="both"/>
        <w:outlineLvl w:val="0"/>
        <w:rPr>
          <w:sz w:val="22"/>
          <w:szCs w:val="22"/>
          <w:lang w:val="sr-Latn-ME"/>
        </w:rPr>
      </w:pPr>
    </w:p>
    <w:p w:rsidR="00B8085A" w:rsidRPr="00DA475E" w:rsidRDefault="00B8085A" w:rsidP="00DA475E">
      <w:pPr>
        <w:keepNext/>
        <w:outlineLvl w:val="0"/>
        <w:rPr>
          <w:i/>
          <w:iCs/>
          <w:sz w:val="22"/>
          <w:szCs w:val="22"/>
          <w:lang w:val="hr-HR" w:eastAsia="ja-JP"/>
        </w:rPr>
      </w:pPr>
      <w:r w:rsidRPr="00B8085A">
        <w:rPr>
          <w:i/>
          <w:iCs/>
          <w:sz w:val="22"/>
          <w:szCs w:val="22"/>
          <w:lang w:val="hr-HR" w:eastAsia="ja-JP"/>
        </w:rPr>
        <w:t>Reumatoidni artritis, granulomatoza s</w:t>
      </w:r>
      <w:r>
        <w:rPr>
          <w:i/>
          <w:iCs/>
          <w:sz w:val="22"/>
          <w:szCs w:val="22"/>
          <w:lang w:val="hr-HR" w:eastAsia="ja-JP"/>
        </w:rPr>
        <w:t>a</w:t>
      </w:r>
      <w:r w:rsidRPr="00B8085A">
        <w:rPr>
          <w:i/>
          <w:iCs/>
          <w:sz w:val="22"/>
          <w:szCs w:val="22"/>
          <w:lang w:val="hr-HR" w:eastAsia="ja-JP"/>
        </w:rPr>
        <w:t xml:space="preserve"> poliangitisom (GPA)</w:t>
      </w:r>
      <w:bookmarkStart w:id="0" w:name="_Hlk153958820"/>
      <w:r>
        <w:rPr>
          <w:i/>
          <w:iCs/>
          <w:sz w:val="22"/>
          <w:szCs w:val="22"/>
          <w:lang w:val="hr-HR" w:eastAsia="ja-JP"/>
        </w:rPr>
        <w:t xml:space="preserve">, </w:t>
      </w:r>
      <w:r w:rsidRPr="00B8085A">
        <w:rPr>
          <w:i/>
          <w:iCs/>
          <w:sz w:val="22"/>
          <w:szCs w:val="22"/>
          <w:lang w:val="hr-HR" w:eastAsia="ja-JP"/>
        </w:rPr>
        <w:t>mikroskopski poliangitis (MPA)</w:t>
      </w:r>
      <w:bookmarkEnd w:id="0"/>
      <w:r w:rsidRPr="00B8085A">
        <w:rPr>
          <w:i/>
          <w:iCs/>
          <w:sz w:val="22"/>
          <w:szCs w:val="22"/>
          <w:lang w:val="hr-HR" w:eastAsia="ja-JP"/>
        </w:rPr>
        <w:t xml:space="preserve"> </w:t>
      </w:r>
      <w:r>
        <w:rPr>
          <w:i/>
          <w:iCs/>
          <w:sz w:val="22"/>
          <w:szCs w:val="22"/>
          <w:lang w:val="hr-HR" w:eastAsia="ja-JP"/>
        </w:rPr>
        <w:t>i</w:t>
      </w:r>
      <w:r w:rsidRPr="00B8085A">
        <w:rPr>
          <w:i/>
          <w:iCs/>
          <w:sz w:val="22"/>
          <w:szCs w:val="22"/>
          <w:lang w:val="hr-HR" w:eastAsia="ja-JP"/>
        </w:rPr>
        <w:t xml:space="preserve"> obični pemfigus</w:t>
      </w:r>
    </w:p>
    <w:p w:rsidR="00496E03" w:rsidRPr="0055610F" w:rsidRDefault="00496E03" w:rsidP="004D5825">
      <w:pPr>
        <w:jc w:val="both"/>
        <w:outlineLvl w:val="0"/>
        <w:rPr>
          <w:sz w:val="22"/>
          <w:szCs w:val="22"/>
          <w:lang w:val="sr-Latn-ME"/>
        </w:rPr>
      </w:pPr>
      <w:r w:rsidRPr="0055610F">
        <w:rPr>
          <w:sz w:val="22"/>
          <w:szCs w:val="22"/>
          <w:lang w:val="sr-Latn-ME"/>
        </w:rPr>
        <w:t>Kod pacijenata sa reumatoidnim artritisom, GPA ili MPA u stanju remisije ili običnim pemfigusom, treba primijeniti premedikaciju metilprednizolonom u dozi od 100 mg intravenski radi smanjenja u</w:t>
      </w:r>
      <w:r w:rsidR="003E333A" w:rsidRPr="0055610F">
        <w:rPr>
          <w:sz w:val="22"/>
          <w:szCs w:val="22"/>
          <w:lang w:val="sr-Latn-ME"/>
        </w:rPr>
        <w:t>č</w:t>
      </w:r>
      <w:r w:rsidRPr="0055610F">
        <w:rPr>
          <w:sz w:val="22"/>
          <w:szCs w:val="22"/>
          <w:lang w:val="sr-Latn-ME"/>
        </w:rPr>
        <w:t>estalosti i težine reakcija povezanih sa infuzijom, a primjena mora da se završi 30 minuta prije početka infuzije lijeka MabThera.</w:t>
      </w:r>
    </w:p>
    <w:p w:rsidR="00496E03" w:rsidRPr="0055610F" w:rsidRDefault="00496E03" w:rsidP="004D5825">
      <w:pPr>
        <w:jc w:val="both"/>
        <w:outlineLvl w:val="0"/>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t>Kod odraslih pacijenata sa GPA ili MPA se prije prve infuzije lijeka MabThera preporučuje intravenska primjena metilprednizolona u dozi od 1000 mg na dan tokom 1 do 3 dana (posljednja doza metilprednizolona može da se da istog dana kao i prva infuzija lijeka MabThera). Nakon toga, treba tokom i nakon četiri ned</w:t>
      </w:r>
      <w:r w:rsidR="003E333A" w:rsidRPr="0055610F">
        <w:rPr>
          <w:sz w:val="22"/>
          <w:szCs w:val="22"/>
          <w:lang w:val="sr-Latn-ME"/>
        </w:rPr>
        <w:t>j</w:t>
      </w:r>
      <w:r w:rsidRPr="0055610F">
        <w:rPr>
          <w:sz w:val="22"/>
          <w:szCs w:val="22"/>
          <w:lang w:val="sr-Latn-ME"/>
        </w:rPr>
        <w:t>elje kursa indukcione terapije lijekom MabThera peroralno davati prednizon u dozi od 1 mg/kg na dan (ne više od 80 mg na dan i što brže postupno smanjivati dozu, zavisno od kliničke potrebe).</w:t>
      </w:r>
    </w:p>
    <w:p w:rsidR="00496E03" w:rsidRPr="0055610F" w:rsidRDefault="00496E03" w:rsidP="004D5825">
      <w:pPr>
        <w:jc w:val="both"/>
        <w:outlineLvl w:val="0"/>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t xml:space="preserve">Kod odraslih </w:t>
      </w:r>
      <w:r w:rsidR="00B8085A">
        <w:rPr>
          <w:sz w:val="22"/>
          <w:szCs w:val="22"/>
          <w:lang w:val="sr-Latn-ME"/>
        </w:rPr>
        <w:t xml:space="preserve">i pedijatrijskih </w:t>
      </w:r>
      <w:r w:rsidRPr="0055610F">
        <w:rPr>
          <w:sz w:val="22"/>
          <w:szCs w:val="22"/>
          <w:lang w:val="sr-Latn-ME"/>
        </w:rPr>
        <w:t xml:space="preserve">pacijenata </w:t>
      </w:r>
      <w:r w:rsidR="00B8085A">
        <w:rPr>
          <w:sz w:val="22"/>
          <w:szCs w:val="22"/>
          <w:lang w:val="sr-Latn-ME"/>
        </w:rPr>
        <w:t xml:space="preserve">koji imaju </w:t>
      </w:r>
      <w:r w:rsidRPr="0055610F">
        <w:rPr>
          <w:sz w:val="22"/>
          <w:szCs w:val="22"/>
          <w:lang w:val="sr-Latn-ME"/>
        </w:rPr>
        <w:t xml:space="preserve"> GPA/MPA </w:t>
      </w:r>
      <w:r w:rsidR="00B8085A">
        <w:rPr>
          <w:sz w:val="22"/>
          <w:szCs w:val="22"/>
          <w:lang w:val="sr-Latn-ME"/>
        </w:rPr>
        <w:t>i odraslih pacijenata koji imaju</w:t>
      </w:r>
      <w:r w:rsidRPr="0055610F">
        <w:rPr>
          <w:sz w:val="22"/>
          <w:szCs w:val="22"/>
          <w:lang w:val="sr-Latn-ME"/>
        </w:rPr>
        <w:t xml:space="preserve"> PV, preporučuje se profilaksa pneumonije uzrokovane </w:t>
      </w:r>
      <w:r w:rsidRPr="0055610F">
        <w:rPr>
          <w:i/>
          <w:sz w:val="22"/>
          <w:szCs w:val="22"/>
          <w:lang w:val="sr-Latn-ME"/>
        </w:rPr>
        <w:t xml:space="preserve">Pneumocystic jirovecii </w:t>
      </w:r>
      <w:r w:rsidRPr="0055610F">
        <w:rPr>
          <w:sz w:val="22"/>
          <w:szCs w:val="22"/>
          <w:lang w:val="sr-Latn-ME"/>
        </w:rPr>
        <w:t>(PCP), tokom i poslije terapije lijekom MabThera, prema potrebi i u skladu s lokalnim vodičima za kliničku praksu.</w:t>
      </w:r>
    </w:p>
    <w:p w:rsidR="007B7C69" w:rsidRPr="0055610F" w:rsidRDefault="007B7C69" w:rsidP="004D5825">
      <w:pPr>
        <w:jc w:val="both"/>
        <w:outlineLvl w:val="0"/>
        <w:rPr>
          <w:sz w:val="22"/>
          <w:szCs w:val="22"/>
          <w:lang w:val="sr-Latn-ME"/>
        </w:rPr>
      </w:pPr>
    </w:p>
    <w:p w:rsidR="00496E03" w:rsidRPr="0055610F" w:rsidRDefault="00496E03" w:rsidP="004D5825">
      <w:pPr>
        <w:jc w:val="both"/>
        <w:rPr>
          <w:i/>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Kod pedijatrijske populacije sa dijagnozom GPA ili MPA, preporučuje se premedikacija metilprednizolonom, primjenjena intravenski tokom tri dana u dozi od 30</w:t>
      </w:r>
      <w:r w:rsidR="003E333A" w:rsidRPr="0055610F">
        <w:rPr>
          <w:sz w:val="22"/>
          <w:szCs w:val="22"/>
          <w:lang w:val="sr-Latn-ME"/>
        </w:rPr>
        <w:t xml:space="preserve"> </w:t>
      </w:r>
      <w:r w:rsidRPr="0055610F">
        <w:rPr>
          <w:sz w:val="22"/>
          <w:szCs w:val="22"/>
          <w:lang w:val="sr-Latn-ME"/>
        </w:rPr>
        <w:t>mg/kg dnevno (koje ne prelaze dozu od 1</w:t>
      </w:r>
      <w:r w:rsidR="003E333A" w:rsidRPr="0055610F">
        <w:rPr>
          <w:sz w:val="22"/>
          <w:szCs w:val="22"/>
          <w:lang w:val="sr-Latn-ME"/>
        </w:rPr>
        <w:t xml:space="preserve"> </w:t>
      </w:r>
      <w:r w:rsidRPr="0055610F">
        <w:rPr>
          <w:sz w:val="22"/>
          <w:szCs w:val="22"/>
          <w:lang w:val="sr-Latn-ME"/>
        </w:rPr>
        <w:t>g na dan), u l</w:t>
      </w:r>
      <w:r w:rsidR="003E333A" w:rsidRPr="0055610F">
        <w:rPr>
          <w:sz w:val="22"/>
          <w:szCs w:val="22"/>
          <w:lang w:val="sr-Latn-ME"/>
        </w:rPr>
        <w:t>i</w:t>
      </w:r>
      <w:r w:rsidRPr="0055610F">
        <w:rPr>
          <w:sz w:val="22"/>
          <w:szCs w:val="22"/>
          <w:lang w:val="sr-Latn-ME"/>
        </w:rPr>
        <w:t>ječenju teških simptoma vaskulitisa. Dodatne 3 dnevne doze od 30</w:t>
      </w:r>
      <w:r w:rsidR="003E333A" w:rsidRPr="0055610F">
        <w:rPr>
          <w:sz w:val="22"/>
          <w:szCs w:val="22"/>
          <w:lang w:val="sr-Latn-ME"/>
        </w:rPr>
        <w:t xml:space="preserve"> </w:t>
      </w:r>
      <w:r w:rsidRPr="0055610F">
        <w:rPr>
          <w:sz w:val="22"/>
          <w:szCs w:val="22"/>
          <w:lang w:val="sr-Latn-ME"/>
        </w:rPr>
        <w:t>mg/kg intravenski prim</w:t>
      </w:r>
      <w:r w:rsidR="003E333A" w:rsidRPr="0055610F">
        <w:rPr>
          <w:sz w:val="22"/>
          <w:szCs w:val="22"/>
          <w:lang w:val="sr-Latn-ME"/>
        </w:rPr>
        <w:t>i</w:t>
      </w:r>
      <w:r w:rsidRPr="0055610F">
        <w:rPr>
          <w:sz w:val="22"/>
          <w:szCs w:val="22"/>
          <w:lang w:val="sr-Latn-ME"/>
        </w:rPr>
        <w:t>jenjenog metilprednizolona mogu biti primjenjene prije prve infuzije lijeka Mabthera.</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Nakon intravenske primjene metilprednizolona, </w:t>
      </w:r>
      <w:r w:rsidR="00B8085A">
        <w:rPr>
          <w:sz w:val="22"/>
          <w:szCs w:val="22"/>
          <w:lang w:val="sr-Latn-ME"/>
        </w:rPr>
        <w:t xml:space="preserve">pedijatrijskim pacijentima treba </w:t>
      </w:r>
      <w:r w:rsidRPr="0055610F">
        <w:rPr>
          <w:sz w:val="22"/>
          <w:szCs w:val="22"/>
          <w:lang w:val="sr-Latn-ME"/>
        </w:rPr>
        <w:t>primjeniti oralno prednizon 1</w:t>
      </w:r>
      <w:r w:rsidR="00D527D8" w:rsidRPr="0055610F">
        <w:rPr>
          <w:sz w:val="22"/>
          <w:szCs w:val="22"/>
          <w:lang w:val="sr-Latn-ME"/>
        </w:rPr>
        <w:t xml:space="preserve"> </w:t>
      </w:r>
      <w:r w:rsidRPr="0055610F">
        <w:rPr>
          <w:sz w:val="22"/>
          <w:szCs w:val="22"/>
          <w:lang w:val="sr-Latn-ME"/>
        </w:rPr>
        <w:t>mg/kg dnevno (ne prekoračiti 60</w:t>
      </w:r>
      <w:r w:rsidR="00D527D8" w:rsidRPr="0055610F">
        <w:rPr>
          <w:sz w:val="22"/>
          <w:szCs w:val="22"/>
          <w:lang w:val="sr-Latn-ME"/>
        </w:rPr>
        <w:t xml:space="preserve"> </w:t>
      </w:r>
      <w:r w:rsidRPr="0055610F">
        <w:rPr>
          <w:sz w:val="22"/>
          <w:szCs w:val="22"/>
          <w:lang w:val="sr-Latn-ME"/>
        </w:rPr>
        <w:t xml:space="preserve">mg dnevno) uz modifikovanje doze što je brže moguće prema kliničkim potrebama (vidjeti </w:t>
      </w:r>
      <w:r w:rsidR="00D527D8" w:rsidRPr="0055610F">
        <w:rPr>
          <w:sz w:val="22"/>
          <w:szCs w:val="22"/>
          <w:lang w:val="sr-Latn-ME"/>
        </w:rPr>
        <w:t xml:space="preserve">dio </w:t>
      </w:r>
      <w:r w:rsidRPr="0055610F">
        <w:rPr>
          <w:sz w:val="22"/>
          <w:szCs w:val="22"/>
          <w:lang w:val="sr-Latn-ME"/>
        </w:rPr>
        <w:t>5.1)</w:t>
      </w:r>
    </w:p>
    <w:p w:rsidR="00496E03" w:rsidRPr="0055610F" w:rsidRDefault="00496E03" w:rsidP="004D5825">
      <w:pPr>
        <w:tabs>
          <w:tab w:val="left" w:pos="540"/>
          <w:tab w:val="left" w:pos="569"/>
        </w:tabs>
        <w:jc w:val="both"/>
        <w:rPr>
          <w:bCs/>
          <w:sz w:val="22"/>
          <w:szCs w:val="22"/>
          <w:u w:val="single"/>
          <w:lang w:val="sr-Latn-ME"/>
        </w:rPr>
      </w:pPr>
    </w:p>
    <w:p w:rsidR="00496E03" w:rsidRPr="0055610F" w:rsidRDefault="00496E03" w:rsidP="004D5825">
      <w:pPr>
        <w:tabs>
          <w:tab w:val="left" w:pos="540"/>
          <w:tab w:val="left" w:pos="569"/>
        </w:tabs>
        <w:jc w:val="both"/>
        <w:rPr>
          <w:bCs/>
          <w:sz w:val="22"/>
          <w:szCs w:val="22"/>
          <w:u w:val="single"/>
          <w:lang w:val="sr-Latn-ME"/>
        </w:rPr>
      </w:pPr>
      <w:r w:rsidRPr="0055610F">
        <w:rPr>
          <w:bCs/>
          <w:sz w:val="22"/>
          <w:szCs w:val="22"/>
          <w:u w:val="single"/>
          <w:lang w:val="sr-Latn-ME"/>
        </w:rPr>
        <w:t>Doziranje</w:t>
      </w:r>
    </w:p>
    <w:p w:rsidR="00496E03" w:rsidRPr="0055610F" w:rsidRDefault="00496E03" w:rsidP="004D5825">
      <w:pPr>
        <w:tabs>
          <w:tab w:val="left" w:pos="540"/>
          <w:tab w:val="left" w:pos="569"/>
        </w:tabs>
        <w:jc w:val="both"/>
        <w:rPr>
          <w:bCs/>
          <w:sz w:val="22"/>
          <w:szCs w:val="22"/>
          <w:u w:val="single"/>
          <w:lang w:val="sr-Latn-ME"/>
        </w:rPr>
      </w:pPr>
    </w:p>
    <w:p w:rsidR="00496E03" w:rsidRPr="0055610F" w:rsidRDefault="00496E03" w:rsidP="004D5825">
      <w:pPr>
        <w:jc w:val="both"/>
        <w:outlineLvl w:val="0"/>
        <w:rPr>
          <w:sz w:val="22"/>
          <w:szCs w:val="22"/>
          <w:lang w:val="sr-Latn-ME"/>
        </w:rPr>
      </w:pPr>
      <w:r w:rsidRPr="0055610F">
        <w:rPr>
          <w:sz w:val="22"/>
          <w:szCs w:val="22"/>
          <w:lang w:val="sr-Latn-ME"/>
        </w:rPr>
        <w:t>Važno je da se provjeri tekst na pakovanju lijeka kako bi se osiguralo da pacijent primi odgovarajuću formulaciju lijeka (formulaciju za intravensku ili subkutanu primjenu), u skladu sa onim što je propisano.</w:t>
      </w:r>
    </w:p>
    <w:p w:rsidR="00496E03" w:rsidRDefault="00496E03" w:rsidP="004D5825">
      <w:pPr>
        <w:jc w:val="both"/>
        <w:rPr>
          <w:sz w:val="22"/>
          <w:szCs w:val="22"/>
          <w:lang w:val="sr-Latn-ME"/>
        </w:rPr>
      </w:pPr>
    </w:p>
    <w:p w:rsidR="007C5C12" w:rsidRPr="007C5C12" w:rsidRDefault="007C5C12" w:rsidP="007C5C12">
      <w:pPr>
        <w:keepNext/>
        <w:outlineLvl w:val="0"/>
        <w:rPr>
          <w:i/>
          <w:iCs/>
          <w:sz w:val="22"/>
          <w:szCs w:val="22"/>
          <w:u w:val="single"/>
          <w:lang w:val="hr-HR" w:eastAsia="ja-JP"/>
        </w:rPr>
      </w:pPr>
      <w:r>
        <w:rPr>
          <w:i/>
          <w:iCs/>
          <w:sz w:val="22"/>
          <w:szCs w:val="22"/>
          <w:u w:val="single"/>
          <w:lang w:val="hr-HR" w:eastAsia="ja-JP"/>
        </w:rPr>
        <w:t>Prilagođavanje doze to</w:t>
      </w:r>
      <w:r w:rsidRPr="007C5C12">
        <w:rPr>
          <w:i/>
          <w:iCs/>
          <w:sz w:val="22"/>
          <w:szCs w:val="22"/>
          <w:u w:val="single"/>
          <w:lang w:val="hr-HR" w:eastAsia="ja-JP"/>
        </w:rPr>
        <w:t>kom liječenja</w:t>
      </w:r>
    </w:p>
    <w:p w:rsidR="007C5C12" w:rsidRPr="007C5C12" w:rsidRDefault="007C5C12" w:rsidP="007C5C12">
      <w:pPr>
        <w:jc w:val="both"/>
        <w:rPr>
          <w:sz w:val="22"/>
          <w:szCs w:val="22"/>
          <w:lang w:val="sr-Latn-ME"/>
        </w:rPr>
      </w:pPr>
    </w:p>
    <w:p w:rsidR="007C5C12" w:rsidRDefault="007C5C12" w:rsidP="007C5C12">
      <w:pPr>
        <w:jc w:val="both"/>
        <w:rPr>
          <w:sz w:val="22"/>
          <w:szCs w:val="22"/>
          <w:lang w:val="sr-Latn-ME"/>
        </w:rPr>
      </w:pPr>
      <w:r w:rsidRPr="007C5C12">
        <w:rPr>
          <w:sz w:val="22"/>
          <w:szCs w:val="22"/>
          <w:lang w:val="sr-Latn-ME"/>
        </w:rPr>
        <w:t>Ne preporučuje se smanjivanje doze lijeka MabThera. Kada se MabThera daje u kombinaciji sa hemioterapijom, trebalo bi primijeniti standardno smanjivanje doza hemioterapijskih ljekova.</w:t>
      </w:r>
    </w:p>
    <w:p w:rsidR="007C5C12" w:rsidRPr="0055610F" w:rsidRDefault="007C5C12" w:rsidP="007C5C12">
      <w:pPr>
        <w:jc w:val="both"/>
        <w:rPr>
          <w:sz w:val="22"/>
          <w:szCs w:val="22"/>
          <w:lang w:val="sr-Latn-ME"/>
        </w:rPr>
      </w:pPr>
    </w:p>
    <w:p w:rsidR="00496E03" w:rsidRPr="007C5C12" w:rsidRDefault="00496E03" w:rsidP="004D5825">
      <w:pPr>
        <w:jc w:val="both"/>
        <w:rPr>
          <w:i/>
          <w:sz w:val="22"/>
          <w:szCs w:val="22"/>
          <w:u w:val="single"/>
          <w:lang w:val="sr-Latn-ME"/>
        </w:rPr>
      </w:pPr>
      <w:r w:rsidRPr="007C5C12">
        <w:rPr>
          <w:i/>
          <w:sz w:val="22"/>
          <w:szCs w:val="22"/>
          <w:u w:val="single"/>
          <w:lang w:val="sr-Latn-ME"/>
        </w:rPr>
        <w:t>Non-Hodgkinov limfom</w:t>
      </w:r>
    </w:p>
    <w:p w:rsidR="00496E03" w:rsidRPr="0055610F" w:rsidRDefault="00496E03" w:rsidP="004D5825">
      <w:pPr>
        <w:jc w:val="both"/>
        <w:rPr>
          <w:sz w:val="22"/>
          <w:szCs w:val="22"/>
          <w:lang w:val="sr-Latn-ME"/>
        </w:rPr>
      </w:pPr>
    </w:p>
    <w:p w:rsidR="00496E03" w:rsidRPr="0055610F" w:rsidRDefault="00496E03" w:rsidP="004D5825">
      <w:pPr>
        <w:jc w:val="both"/>
        <w:rPr>
          <w:i/>
          <w:sz w:val="22"/>
          <w:szCs w:val="22"/>
          <w:lang w:val="sr-Latn-ME"/>
        </w:rPr>
      </w:pPr>
      <w:r w:rsidRPr="0055610F">
        <w:rPr>
          <w:i/>
          <w:sz w:val="22"/>
          <w:szCs w:val="22"/>
          <w:lang w:val="sr-Latn-ME"/>
        </w:rPr>
        <w:t>Folikularni non-Hodgkinov limfom (NHL)</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Kombinovana terapija</w:t>
      </w:r>
    </w:p>
    <w:p w:rsidR="00496E03" w:rsidRPr="0055610F" w:rsidRDefault="00496E03" w:rsidP="004D5825">
      <w:pPr>
        <w:jc w:val="both"/>
        <w:rPr>
          <w:sz w:val="22"/>
          <w:szCs w:val="22"/>
          <w:lang w:val="sr-Latn-ME"/>
        </w:rPr>
      </w:pPr>
      <w:r w:rsidRPr="0055610F">
        <w:rPr>
          <w:sz w:val="22"/>
          <w:szCs w:val="22"/>
          <w:lang w:val="sr-Latn-ME"/>
        </w:rPr>
        <w:t>Preporučena doza lijeka MabThera u kombinaciji sa hemioterapijom za početak liječenja prethodno neliječenih pacijenata sa folikularnim NHL, kao i pacijenata sa relapsom ili onih koji ni</w:t>
      </w:r>
      <w:r w:rsidR="00D527D8" w:rsidRPr="0055610F">
        <w:rPr>
          <w:sz w:val="22"/>
          <w:szCs w:val="22"/>
          <w:lang w:val="sr-Latn-ME"/>
        </w:rPr>
        <w:t>je</w:t>
      </w:r>
      <w:r w:rsidRPr="0055610F">
        <w:rPr>
          <w:sz w:val="22"/>
          <w:szCs w:val="22"/>
          <w:lang w:val="sr-Latn-ME"/>
        </w:rPr>
        <w:t>su odgovorili na prethodnu terapiju, iznosi 375 mg/m</w:t>
      </w:r>
      <w:r w:rsidRPr="0055610F">
        <w:rPr>
          <w:sz w:val="22"/>
          <w:szCs w:val="22"/>
          <w:vertAlign w:val="superscript"/>
          <w:lang w:val="sr-Latn-ME"/>
        </w:rPr>
        <w:t>2</w:t>
      </w:r>
      <w:r w:rsidRPr="0055610F">
        <w:rPr>
          <w:sz w:val="22"/>
          <w:szCs w:val="22"/>
          <w:lang w:val="sr-Latn-ME"/>
        </w:rPr>
        <w:t xml:space="preserve"> tjelesne površine po ciklusu, tokom najviše 8 ciklusa.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lastRenderedPageBreak/>
        <w:t>MabThera se treba prim</w:t>
      </w:r>
      <w:r w:rsidR="00D527D8" w:rsidRPr="0055610F">
        <w:rPr>
          <w:sz w:val="22"/>
          <w:szCs w:val="22"/>
          <w:lang w:val="sr-Latn-ME"/>
        </w:rPr>
        <w:t>i</w:t>
      </w:r>
      <w:r w:rsidRPr="0055610F">
        <w:rPr>
          <w:sz w:val="22"/>
          <w:szCs w:val="22"/>
          <w:lang w:val="sr-Latn-ME"/>
        </w:rPr>
        <w:t>jenjivati prvog dana svakog ciklusa hemioterapije, nakon i.v. davanja kortikosteroidne komponente hemioterapije, ako je predviđena.</w:t>
      </w:r>
    </w:p>
    <w:p w:rsidR="00496E03" w:rsidRPr="0055610F" w:rsidRDefault="00496E03" w:rsidP="004D5825">
      <w:pPr>
        <w:jc w:val="both"/>
        <w:rPr>
          <w:sz w:val="22"/>
          <w:szCs w:val="22"/>
          <w:lang w:val="sr-Latn-ME"/>
        </w:rPr>
      </w:pPr>
    </w:p>
    <w:p w:rsidR="00496E03" w:rsidRPr="0055610F" w:rsidRDefault="007B7C69" w:rsidP="004D5825">
      <w:pPr>
        <w:jc w:val="both"/>
        <w:rPr>
          <w:sz w:val="22"/>
          <w:szCs w:val="22"/>
          <w:lang w:val="sr-Latn-ME"/>
        </w:rPr>
      </w:pPr>
      <w:r w:rsidRPr="0055610F">
        <w:rPr>
          <w:sz w:val="22"/>
          <w:szCs w:val="22"/>
          <w:lang w:val="sr-Latn-ME"/>
        </w:rPr>
        <w:t>T</w:t>
      </w:r>
      <w:r w:rsidR="00496E03" w:rsidRPr="0055610F">
        <w:rPr>
          <w:sz w:val="22"/>
          <w:szCs w:val="22"/>
          <w:lang w:val="sr-Latn-ME"/>
        </w:rPr>
        <w:t>erapija održavanja</w:t>
      </w:r>
    </w:p>
    <w:p w:rsidR="00496E03" w:rsidRPr="0055610F" w:rsidRDefault="00496E03" w:rsidP="004D5825">
      <w:pPr>
        <w:numPr>
          <w:ilvl w:val="0"/>
          <w:numId w:val="12"/>
        </w:numPr>
        <w:jc w:val="both"/>
        <w:rPr>
          <w:sz w:val="22"/>
          <w:szCs w:val="22"/>
          <w:lang w:val="sr-Latn-ME"/>
        </w:rPr>
      </w:pPr>
      <w:r w:rsidRPr="0055610F">
        <w:rPr>
          <w:sz w:val="22"/>
          <w:szCs w:val="22"/>
          <w:lang w:val="sr-Latn-ME"/>
        </w:rPr>
        <w:t>Prethodno neliječeni folikularni limfom</w:t>
      </w:r>
    </w:p>
    <w:p w:rsidR="00496E03" w:rsidRPr="0055610F" w:rsidRDefault="00496E03" w:rsidP="004D5825">
      <w:pPr>
        <w:jc w:val="both"/>
        <w:rPr>
          <w:sz w:val="22"/>
          <w:szCs w:val="22"/>
          <w:lang w:val="sr-Latn-ME"/>
        </w:rPr>
      </w:pPr>
      <w:r w:rsidRPr="0055610F">
        <w:rPr>
          <w:sz w:val="22"/>
          <w:szCs w:val="22"/>
          <w:lang w:val="sr-Latn-ME"/>
        </w:rPr>
        <w:t>Preporučena doza lijeka MabThera kada se koristi kao terapija održavanja pacijenata sa prethodno neliječenim folikularnim limfomom koji su odgovorili na indukcionu terapiju iznosi 375 mg/m</w:t>
      </w:r>
      <w:r w:rsidRPr="0055610F">
        <w:rPr>
          <w:sz w:val="22"/>
          <w:szCs w:val="22"/>
          <w:vertAlign w:val="superscript"/>
          <w:lang w:val="sr-Latn-ME"/>
        </w:rPr>
        <w:t>2</w:t>
      </w:r>
      <w:r w:rsidRPr="0055610F">
        <w:rPr>
          <w:sz w:val="22"/>
          <w:szCs w:val="22"/>
          <w:lang w:val="sr-Latn-ME"/>
        </w:rPr>
        <w:t xml:space="preserve"> tjelesne površine,jedanput svaka</w:t>
      </w:r>
      <w:r w:rsidR="00D527D8" w:rsidRPr="0055610F">
        <w:rPr>
          <w:sz w:val="22"/>
          <w:szCs w:val="22"/>
          <w:lang w:val="sr-Latn-ME"/>
        </w:rPr>
        <w:t xml:space="preserve"> </w:t>
      </w:r>
      <w:r w:rsidRPr="0055610F">
        <w:rPr>
          <w:sz w:val="22"/>
          <w:szCs w:val="22"/>
          <w:lang w:val="sr-Latn-ME"/>
        </w:rPr>
        <w:t xml:space="preserve">2 mjeseca (počevši 2 mjeseca nakon zadnje doze indukcione terapije)  do progresije bolesti ili najviše do dvije godine (ukupno 12 infuzija). </w:t>
      </w:r>
    </w:p>
    <w:p w:rsidR="00496E03" w:rsidRPr="0055610F" w:rsidRDefault="00496E03" w:rsidP="004D5825">
      <w:pPr>
        <w:jc w:val="both"/>
        <w:rPr>
          <w:sz w:val="22"/>
          <w:szCs w:val="22"/>
          <w:lang w:val="sr-Latn-ME"/>
        </w:rPr>
      </w:pPr>
    </w:p>
    <w:p w:rsidR="00496E03" w:rsidRPr="0055610F" w:rsidRDefault="00496E03" w:rsidP="004D5825">
      <w:pPr>
        <w:numPr>
          <w:ilvl w:val="0"/>
          <w:numId w:val="12"/>
        </w:numPr>
        <w:jc w:val="both"/>
        <w:rPr>
          <w:sz w:val="22"/>
          <w:szCs w:val="22"/>
          <w:lang w:val="sr-Latn-ME"/>
        </w:rPr>
      </w:pPr>
      <w:r w:rsidRPr="0055610F">
        <w:rPr>
          <w:sz w:val="22"/>
          <w:szCs w:val="22"/>
          <w:lang w:val="sr-Latn-ME"/>
        </w:rPr>
        <w:t>Relapsni/refraktorni folikularni limfom</w:t>
      </w:r>
    </w:p>
    <w:p w:rsidR="00496E03" w:rsidRPr="0055610F" w:rsidRDefault="00496E03" w:rsidP="004D5825">
      <w:pPr>
        <w:jc w:val="both"/>
        <w:rPr>
          <w:sz w:val="22"/>
          <w:szCs w:val="22"/>
          <w:lang w:val="sr-Latn-ME"/>
        </w:rPr>
      </w:pPr>
      <w:r w:rsidRPr="0055610F">
        <w:rPr>
          <w:sz w:val="22"/>
          <w:szCs w:val="22"/>
          <w:lang w:val="sr-Latn-ME"/>
        </w:rPr>
        <w:t>Preporučena doza lijeka MabThera kada se koristi kao terapija održavanja pacijenata sa Relapsni/refraktorni folikularni limfom koji su odgovorili na indukciono liječenje iznosi 375 mg/m</w:t>
      </w:r>
      <w:r w:rsidRPr="0055610F">
        <w:rPr>
          <w:sz w:val="22"/>
          <w:szCs w:val="22"/>
          <w:vertAlign w:val="superscript"/>
          <w:lang w:val="sr-Latn-ME"/>
        </w:rPr>
        <w:t>2</w:t>
      </w:r>
      <w:r w:rsidRPr="0055610F">
        <w:rPr>
          <w:sz w:val="22"/>
          <w:szCs w:val="22"/>
          <w:lang w:val="sr-Latn-ME"/>
        </w:rPr>
        <w:t xml:space="preserve"> tjelesne površine,jedanput svaka</w:t>
      </w:r>
      <w:r w:rsidR="00D527D8" w:rsidRPr="0055610F">
        <w:rPr>
          <w:sz w:val="22"/>
          <w:szCs w:val="22"/>
          <w:lang w:val="sr-Latn-ME"/>
        </w:rPr>
        <w:t xml:space="preserve"> </w:t>
      </w:r>
      <w:r w:rsidRPr="0055610F">
        <w:rPr>
          <w:sz w:val="22"/>
          <w:szCs w:val="22"/>
          <w:lang w:val="sr-Latn-ME"/>
        </w:rPr>
        <w:t xml:space="preserve">3 mjeseca (počevši 3 mjeseca nakon zadnje doze indukcione terapije)  do progresije bolesti ili najviše do dvije godine (ukupno 8 infuzija).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Monoterapija</w:t>
      </w:r>
    </w:p>
    <w:p w:rsidR="00496E03" w:rsidRPr="0055610F" w:rsidRDefault="00496E03" w:rsidP="004D5825">
      <w:pPr>
        <w:numPr>
          <w:ilvl w:val="0"/>
          <w:numId w:val="12"/>
        </w:numPr>
        <w:jc w:val="both"/>
        <w:rPr>
          <w:sz w:val="22"/>
          <w:szCs w:val="22"/>
          <w:lang w:val="sr-Latn-ME"/>
        </w:rPr>
      </w:pPr>
      <w:r w:rsidRPr="0055610F">
        <w:rPr>
          <w:sz w:val="22"/>
          <w:szCs w:val="22"/>
          <w:lang w:val="sr-Latn-ME"/>
        </w:rPr>
        <w:t xml:space="preserve">Relapsni/refraktorni folikularni limfom </w:t>
      </w:r>
    </w:p>
    <w:p w:rsidR="00496E03" w:rsidRPr="0055610F" w:rsidRDefault="00496E03" w:rsidP="004D5825">
      <w:pPr>
        <w:jc w:val="both"/>
        <w:rPr>
          <w:sz w:val="22"/>
          <w:szCs w:val="22"/>
          <w:lang w:val="sr-Latn-ME"/>
        </w:rPr>
      </w:pPr>
      <w:r w:rsidRPr="0055610F">
        <w:rPr>
          <w:sz w:val="22"/>
          <w:szCs w:val="22"/>
          <w:lang w:val="sr-Latn-ME"/>
        </w:rPr>
        <w:t>Preporučena doza lijeka MabThera kada se daje kao monoterapija pri indukcionoj terapiji odraslih pacijenata sa  folikularnim limfomom stadijuma III-IV koji su hemorezistentni ili su u drugom ili kasnijem relapsu nakon hemioterapije je 375 mg/m</w:t>
      </w:r>
      <w:r w:rsidRPr="0055610F">
        <w:rPr>
          <w:sz w:val="22"/>
          <w:szCs w:val="22"/>
          <w:vertAlign w:val="superscript"/>
          <w:lang w:val="sr-Latn-ME"/>
        </w:rPr>
        <w:t>2</w:t>
      </w:r>
      <w:r w:rsidRPr="0055610F">
        <w:rPr>
          <w:sz w:val="22"/>
          <w:szCs w:val="22"/>
          <w:lang w:val="sr-Latn-ME"/>
        </w:rPr>
        <w:t xml:space="preserve"> tjelesne površine, koja se daje u vidu i.v. infuzije jednom ned</w:t>
      </w:r>
      <w:r w:rsidR="00AD4E16" w:rsidRPr="0055610F">
        <w:rPr>
          <w:sz w:val="22"/>
          <w:szCs w:val="22"/>
          <w:lang w:val="sr-Latn-ME"/>
        </w:rPr>
        <w:t>j</w:t>
      </w:r>
      <w:r w:rsidRPr="0055610F">
        <w:rPr>
          <w:sz w:val="22"/>
          <w:szCs w:val="22"/>
          <w:lang w:val="sr-Latn-ME"/>
        </w:rPr>
        <w:t>eljno u toku četiri ned</w:t>
      </w:r>
      <w:r w:rsidR="00AD4E16" w:rsidRPr="0055610F">
        <w:rPr>
          <w:sz w:val="22"/>
          <w:szCs w:val="22"/>
          <w:lang w:val="sr-Latn-ME"/>
        </w:rPr>
        <w:t>j</w:t>
      </w:r>
      <w:r w:rsidRPr="0055610F">
        <w:rPr>
          <w:sz w:val="22"/>
          <w:szCs w:val="22"/>
          <w:lang w:val="sr-Latn-ME"/>
        </w:rPr>
        <w:t xml:space="preserve">elje. </w:t>
      </w:r>
    </w:p>
    <w:p w:rsidR="00496E03" w:rsidRPr="0055610F" w:rsidRDefault="00496E03" w:rsidP="004D5825">
      <w:pPr>
        <w:jc w:val="both"/>
        <w:rPr>
          <w:sz w:val="22"/>
          <w:szCs w:val="22"/>
          <w:lang w:val="sr-Latn-ME"/>
        </w:rPr>
      </w:pPr>
      <w:r w:rsidRPr="0055610F">
        <w:rPr>
          <w:sz w:val="22"/>
          <w:szCs w:val="22"/>
          <w:lang w:val="sr-Latn-ME"/>
        </w:rPr>
        <w:t xml:space="preserve"> </w:t>
      </w:r>
    </w:p>
    <w:p w:rsidR="00496E03" w:rsidRPr="0055610F" w:rsidRDefault="00496E03" w:rsidP="004D5825">
      <w:pPr>
        <w:jc w:val="both"/>
        <w:rPr>
          <w:sz w:val="22"/>
          <w:szCs w:val="22"/>
          <w:lang w:val="sr-Latn-ME"/>
        </w:rPr>
      </w:pPr>
      <w:r w:rsidRPr="0055610F">
        <w:rPr>
          <w:sz w:val="22"/>
          <w:szCs w:val="22"/>
          <w:lang w:val="sr-Latn-ME"/>
        </w:rPr>
        <w:t>Kod ponovne primjene monoterapije lijekom Mabthera kod pacijenata  sa relapsni/refraktorni folikularni limfom koji su odgovorili na prethodno liječenje lijekom Mabthera kao monoterapija, preporučena doza je 375 mg/m</w:t>
      </w:r>
      <w:r w:rsidRPr="0055610F">
        <w:rPr>
          <w:sz w:val="22"/>
          <w:szCs w:val="22"/>
          <w:vertAlign w:val="superscript"/>
          <w:lang w:val="sr-Latn-ME"/>
        </w:rPr>
        <w:t>2</w:t>
      </w:r>
      <w:r w:rsidRPr="0055610F">
        <w:rPr>
          <w:sz w:val="22"/>
          <w:szCs w:val="22"/>
          <w:lang w:val="sr-Latn-ME"/>
        </w:rPr>
        <w:t xml:space="preserve"> tjelesne površine u vidu i.v. infuzije jednom ned</w:t>
      </w:r>
      <w:r w:rsidR="00AD4E16" w:rsidRPr="0055610F">
        <w:rPr>
          <w:sz w:val="22"/>
          <w:szCs w:val="22"/>
          <w:lang w:val="sr-Latn-ME"/>
        </w:rPr>
        <w:t>j</w:t>
      </w:r>
      <w:r w:rsidRPr="0055610F">
        <w:rPr>
          <w:sz w:val="22"/>
          <w:szCs w:val="22"/>
          <w:lang w:val="sr-Latn-ME"/>
        </w:rPr>
        <w:t>eljno u trajanju od četiri ned</w:t>
      </w:r>
      <w:r w:rsidR="00AD4E16" w:rsidRPr="0055610F">
        <w:rPr>
          <w:sz w:val="22"/>
          <w:szCs w:val="22"/>
          <w:lang w:val="sr-Latn-ME"/>
        </w:rPr>
        <w:t>j</w:t>
      </w:r>
      <w:r w:rsidRPr="0055610F">
        <w:rPr>
          <w:sz w:val="22"/>
          <w:szCs w:val="22"/>
          <w:lang w:val="sr-Latn-ME"/>
        </w:rPr>
        <w:t xml:space="preserve">elje (vidjeti </w:t>
      </w:r>
      <w:r w:rsidR="00AD4E16" w:rsidRPr="0055610F">
        <w:rPr>
          <w:sz w:val="22"/>
          <w:szCs w:val="22"/>
          <w:lang w:val="sr-Latn-ME"/>
        </w:rPr>
        <w:t xml:space="preserve">dio </w:t>
      </w:r>
      <w:r w:rsidRPr="0055610F">
        <w:rPr>
          <w:sz w:val="22"/>
          <w:szCs w:val="22"/>
          <w:lang w:val="sr-Latn-ME"/>
        </w:rPr>
        <w:t>5.1.).</w:t>
      </w:r>
    </w:p>
    <w:p w:rsidR="00496E03" w:rsidRPr="0055610F" w:rsidRDefault="00496E03" w:rsidP="004D5825">
      <w:pPr>
        <w:jc w:val="both"/>
        <w:rPr>
          <w:sz w:val="22"/>
          <w:szCs w:val="22"/>
          <w:lang w:val="sr-Latn-ME"/>
        </w:rPr>
      </w:pPr>
    </w:p>
    <w:p w:rsidR="00496E03" w:rsidRPr="0055610F" w:rsidRDefault="00496E03" w:rsidP="004D5825">
      <w:pPr>
        <w:jc w:val="both"/>
        <w:rPr>
          <w:i/>
          <w:sz w:val="22"/>
          <w:szCs w:val="22"/>
          <w:lang w:val="sr-Latn-ME"/>
        </w:rPr>
      </w:pPr>
      <w:r w:rsidRPr="0055610F">
        <w:rPr>
          <w:i/>
          <w:sz w:val="22"/>
          <w:szCs w:val="22"/>
          <w:lang w:val="sr-Latn-ME"/>
        </w:rPr>
        <w:t>Difuzni non-Hodgkinov limfom krupnih B ćelija kod odraslih pacijenata</w:t>
      </w:r>
    </w:p>
    <w:p w:rsidR="007B7C69" w:rsidRPr="0055610F" w:rsidRDefault="007B7C69" w:rsidP="004D5825">
      <w:pPr>
        <w:jc w:val="both"/>
        <w:rPr>
          <w:i/>
          <w:sz w:val="22"/>
          <w:szCs w:val="22"/>
          <w:lang w:val="sr-Latn-ME"/>
        </w:rPr>
      </w:pPr>
    </w:p>
    <w:p w:rsidR="00496E03" w:rsidRPr="0055610F" w:rsidRDefault="00496E03" w:rsidP="004D5825">
      <w:pPr>
        <w:jc w:val="both"/>
        <w:rPr>
          <w:i/>
          <w:sz w:val="22"/>
          <w:szCs w:val="22"/>
          <w:lang w:val="sr-Latn-ME"/>
        </w:rPr>
      </w:pPr>
      <w:r w:rsidRPr="0055610F">
        <w:rPr>
          <w:sz w:val="22"/>
          <w:szCs w:val="22"/>
          <w:lang w:val="sr-Latn-ME"/>
        </w:rPr>
        <w:t>MabThera treba da se koristi u kombinaciji sa CHOP hemioterapijom. Preporučena doza lijeka MabThera iznosi 375 mg/m</w:t>
      </w:r>
      <w:r w:rsidRPr="0055610F">
        <w:rPr>
          <w:sz w:val="22"/>
          <w:szCs w:val="22"/>
          <w:vertAlign w:val="superscript"/>
          <w:lang w:val="sr-Latn-ME"/>
        </w:rPr>
        <w:t>2</w:t>
      </w:r>
      <w:r w:rsidRPr="0055610F">
        <w:rPr>
          <w:sz w:val="22"/>
          <w:szCs w:val="22"/>
          <w:lang w:val="sr-Latn-ME"/>
        </w:rPr>
        <w:t xml:space="preserve"> tjelesne površine i daje se prvog dana svakog od 8 ciklusa hemioterapije nakon i.v. davanja kortikosteroidne komponente CHOP protokola.  Bezbjednost i efikasnost lijeka MabThera ni</w:t>
      </w:r>
      <w:r w:rsidR="00AD4E16" w:rsidRPr="0055610F">
        <w:rPr>
          <w:sz w:val="22"/>
          <w:szCs w:val="22"/>
          <w:lang w:val="sr-Latn-ME"/>
        </w:rPr>
        <w:t>je</w:t>
      </w:r>
      <w:r w:rsidRPr="0055610F">
        <w:rPr>
          <w:sz w:val="22"/>
          <w:szCs w:val="22"/>
          <w:lang w:val="sr-Latn-ME"/>
        </w:rPr>
        <w:t>su utvrđeni u kombinaciji sa drugim hemioterapijskim agensima u liječenju difuznog non</w:t>
      </w:r>
      <w:r w:rsidRPr="0055610F">
        <w:rPr>
          <w:i/>
          <w:sz w:val="22"/>
          <w:szCs w:val="22"/>
          <w:lang w:val="sr-Latn-ME"/>
        </w:rPr>
        <w:t xml:space="preserve">- Hodgkinov limfoma krupnih B ćelija.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p>
    <w:p w:rsidR="00496E03" w:rsidRPr="00DA475E" w:rsidRDefault="00496E03" w:rsidP="004D5825">
      <w:pPr>
        <w:jc w:val="both"/>
        <w:rPr>
          <w:i/>
          <w:sz w:val="22"/>
          <w:szCs w:val="22"/>
          <w:u w:val="single"/>
          <w:lang w:val="sr-Latn-ME"/>
        </w:rPr>
      </w:pPr>
      <w:r w:rsidRPr="00DA475E">
        <w:rPr>
          <w:i/>
          <w:sz w:val="22"/>
          <w:szCs w:val="22"/>
          <w:u w:val="single"/>
          <w:lang w:val="sr-Latn-ME"/>
        </w:rPr>
        <w:t>Hronična limfocitna leukemija</w:t>
      </w:r>
    </w:p>
    <w:p w:rsidR="007B7C69" w:rsidRPr="0055610F" w:rsidRDefault="007B7C69"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Preporučena doza lijeka MabThera u kombinaciji sa hemioterapijom za prethodno neliječene pacijente i pacijente koji ni</w:t>
      </w:r>
      <w:r w:rsidR="00AD4E16" w:rsidRPr="0055610F">
        <w:rPr>
          <w:sz w:val="22"/>
          <w:szCs w:val="22"/>
          <w:lang w:val="sr-Latn-ME"/>
        </w:rPr>
        <w:t>je</w:t>
      </w:r>
      <w:r w:rsidRPr="0055610F">
        <w:rPr>
          <w:sz w:val="22"/>
          <w:szCs w:val="22"/>
          <w:lang w:val="sr-Latn-ME"/>
        </w:rPr>
        <w:t>su odgovorili na liječenje ili su u relapsuiznosi 375 mg/m</w:t>
      </w:r>
      <w:r w:rsidRPr="0055610F">
        <w:rPr>
          <w:sz w:val="22"/>
          <w:szCs w:val="22"/>
          <w:vertAlign w:val="superscript"/>
          <w:lang w:val="sr-Latn-ME"/>
        </w:rPr>
        <w:t>2</w:t>
      </w:r>
      <w:r w:rsidRPr="0055610F">
        <w:rPr>
          <w:sz w:val="22"/>
          <w:szCs w:val="22"/>
          <w:lang w:val="sr-Latn-ME"/>
        </w:rPr>
        <w:t xml:space="preserve"> tjelesne površine nultog dana prvog terapijskog ciklusa, a potom 500 mg/m</w:t>
      </w:r>
      <w:r w:rsidRPr="0055610F">
        <w:rPr>
          <w:sz w:val="22"/>
          <w:szCs w:val="22"/>
          <w:vertAlign w:val="superscript"/>
          <w:lang w:val="sr-Latn-ME"/>
        </w:rPr>
        <w:t xml:space="preserve">2 </w:t>
      </w:r>
      <w:r w:rsidRPr="0055610F">
        <w:rPr>
          <w:sz w:val="22"/>
          <w:szCs w:val="22"/>
          <w:lang w:val="sr-Latn-ME"/>
        </w:rPr>
        <w:t>tjelesne površine prvog dana svakog sl</w:t>
      </w:r>
      <w:r w:rsidR="00AD4E16" w:rsidRPr="0055610F">
        <w:rPr>
          <w:sz w:val="22"/>
          <w:szCs w:val="22"/>
          <w:lang w:val="sr-Latn-ME"/>
        </w:rPr>
        <w:t>j</w:t>
      </w:r>
      <w:r w:rsidRPr="0055610F">
        <w:rPr>
          <w:sz w:val="22"/>
          <w:szCs w:val="22"/>
          <w:lang w:val="sr-Latn-ME"/>
        </w:rPr>
        <w:t>edećeg ciklusa</w:t>
      </w:r>
      <w:r w:rsidR="00AD4E16" w:rsidRPr="0055610F">
        <w:rPr>
          <w:sz w:val="22"/>
          <w:szCs w:val="22"/>
          <w:lang w:val="sr-Latn-ME"/>
        </w:rPr>
        <w:t xml:space="preserve"> </w:t>
      </w:r>
      <w:r w:rsidRPr="0055610F">
        <w:rPr>
          <w:sz w:val="22"/>
          <w:szCs w:val="22"/>
          <w:lang w:val="sr-Latn-ME"/>
        </w:rPr>
        <w:t>od ukupno 6 ciklusa. Hemioterapiju treba dati nakon primjene infuzije lijeka MabThera.</w:t>
      </w:r>
    </w:p>
    <w:p w:rsidR="00496E03" w:rsidRPr="0055610F" w:rsidRDefault="00496E03" w:rsidP="004D5825">
      <w:pPr>
        <w:jc w:val="both"/>
        <w:rPr>
          <w:sz w:val="22"/>
          <w:szCs w:val="22"/>
          <w:lang w:val="sr-Latn-ME"/>
        </w:rPr>
      </w:pPr>
    </w:p>
    <w:p w:rsidR="00496E03" w:rsidRPr="00DA475E" w:rsidRDefault="00496E03" w:rsidP="004D5825">
      <w:pPr>
        <w:jc w:val="both"/>
        <w:rPr>
          <w:i/>
          <w:sz w:val="22"/>
          <w:szCs w:val="22"/>
          <w:u w:val="single"/>
          <w:lang w:val="sr-Latn-ME"/>
        </w:rPr>
      </w:pPr>
      <w:r w:rsidRPr="00DA475E">
        <w:rPr>
          <w:i/>
          <w:sz w:val="22"/>
          <w:szCs w:val="22"/>
          <w:u w:val="single"/>
          <w:lang w:val="sr-Latn-ME"/>
        </w:rPr>
        <w:t>Reumatoidni artritis</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Pacijenti koji se liječe lijekom MabThera moraju kod svake infuzije dobiti karticu sa upozorenjima za pacijente.</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Jedan ciklus davanja lijeka MabThera sastoji se od dvije i.v. infuzije po 1000 mg. Preporučena doza lijeka MabThera iznosi 1000 mg i.v. infuzijom poslije čega slijedi druga infuzija od 1000 mg i.v. dvije ned</w:t>
      </w:r>
      <w:r w:rsidR="00AD4E16" w:rsidRPr="0055610F">
        <w:rPr>
          <w:sz w:val="22"/>
          <w:szCs w:val="22"/>
          <w:lang w:val="sr-Latn-ME"/>
        </w:rPr>
        <w:t>j</w:t>
      </w:r>
      <w:r w:rsidRPr="0055610F">
        <w:rPr>
          <w:sz w:val="22"/>
          <w:szCs w:val="22"/>
          <w:lang w:val="sr-Latn-ME"/>
        </w:rPr>
        <w:t xml:space="preserve">elje kasnije. </w:t>
      </w:r>
    </w:p>
    <w:p w:rsidR="00496E03" w:rsidRPr="0055610F" w:rsidRDefault="00496E03" w:rsidP="004D5825">
      <w:pPr>
        <w:jc w:val="both"/>
        <w:rPr>
          <w:sz w:val="22"/>
          <w:szCs w:val="22"/>
          <w:lang w:val="sr-Latn-ME"/>
        </w:rPr>
      </w:pPr>
    </w:p>
    <w:p w:rsidR="00496E03" w:rsidRPr="0055610F" w:rsidRDefault="00496E03" w:rsidP="004D5825">
      <w:pPr>
        <w:autoSpaceDE w:val="0"/>
        <w:jc w:val="both"/>
        <w:outlineLvl w:val="0"/>
        <w:rPr>
          <w:sz w:val="22"/>
          <w:szCs w:val="22"/>
          <w:lang w:val="sr-Latn-ME"/>
        </w:rPr>
      </w:pPr>
      <w:r w:rsidRPr="0055610F">
        <w:rPr>
          <w:sz w:val="22"/>
          <w:szCs w:val="22"/>
          <w:lang w:val="sr-Latn-ME"/>
        </w:rPr>
        <w:t>Potrebu za daljim ciklusima liječenja potrebno je procijeniti 24 nedjelje nakon prethodnog ciklusa. Liječenje tada treba ponoviti ako je i dalje prisutna aktivna bolest, a u suprotnom ga treba odgoditi dok se bolest ponovno ne aktivira.</w:t>
      </w:r>
    </w:p>
    <w:p w:rsidR="00496E03" w:rsidRPr="0055610F" w:rsidRDefault="00496E03" w:rsidP="004D5825">
      <w:pPr>
        <w:autoSpaceDE w:val="0"/>
        <w:jc w:val="both"/>
        <w:outlineLvl w:val="0"/>
        <w:rPr>
          <w:sz w:val="22"/>
          <w:szCs w:val="22"/>
          <w:lang w:val="sr-Latn-ME"/>
        </w:rPr>
      </w:pPr>
    </w:p>
    <w:p w:rsidR="00496E03" w:rsidRPr="0055610F" w:rsidRDefault="00496E03" w:rsidP="004D5825">
      <w:pPr>
        <w:autoSpaceDE w:val="0"/>
        <w:jc w:val="both"/>
        <w:outlineLvl w:val="0"/>
        <w:rPr>
          <w:sz w:val="22"/>
          <w:szCs w:val="22"/>
          <w:lang w:val="sr-Latn-ME"/>
        </w:rPr>
      </w:pPr>
      <w:r w:rsidRPr="0055610F">
        <w:rPr>
          <w:sz w:val="22"/>
          <w:szCs w:val="22"/>
          <w:lang w:val="sr-Latn-ME"/>
        </w:rPr>
        <w:lastRenderedPageBreak/>
        <w:t>Dostupni podaci upućuju na to da se klinički odgovor obično postiže u roku od 16</w:t>
      </w:r>
      <w:r w:rsidRPr="0055610F">
        <w:rPr>
          <w:sz w:val="22"/>
          <w:szCs w:val="22"/>
          <w:lang w:val="sr-Latn-ME"/>
        </w:rPr>
        <w:noBreakHyphen/>
        <w:t>24 nedjelje od početnog</w:t>
      </w:r>
      <w:r w:rsidR="007C5C12">
        <w:rPr>
          <w:sz w:val="22"/>
          <w:szCs w:val="22"/>
          <w:lang w:val="sr-Latn-ME"/>
        </w:rPr>
        <w:t xml:space="preserve"> ciklusa</w:t>
      </w:r>
      <w:r w:rsidRPr="0055610F">
        <w:rPr>
          <w:sz w:val="22"/>
          <w:szCs w:val="22"/>
          <w:lang w:val="sr-Latn-ME"/>
        </w:rPr>
        <w:t xml:space="preserve"> liječenja. Nastavak terapije treba pažljivo razmotriti kod pacijenata kod kojih u tom razdoblju</w:t>
      </w:r>
      <w:r w:rsidRPr="0055610F" w:rsidDel="006B16E1">
        <w:rPr>
          <w:sz w:val="22"/>
          <w:szCs w:val="22"/>
          <w:lang w:val="sr-Latn-ME"/>
        </w:rPr>
        <w:t xml:space="preserve"> </w:t>
      </w:r>
      <w:r w:rsidRPr="0055610F">
        <w:rPr>
          <w:sz w:val="22"/>
          <w:szCs w:val="22"/>
          <w:lang w:val="sr-Latn-ME"/>
        </w:rPr>
        <w:t>nema vidljivih znakova koristi terapije.</w:t>
      </w:r>
    </w:p>
    <w:p w:rsidR="00496E03" w:rsidRPr="0055610F" w:rsidRDefault="00496E03" w:rsidP="004D5825">
      <w:pPr>
        <w:jc w:val="both"/>
        <w:rPr>
          <w:sz w:val="22"/>
          <w:szCs w:val="22"/>
          <w:lang w:val="sr-Latn-ME"/>
        </w:rPr>
      </w:pPr>
    </w:p>
    <w:p w:rsidR="00496E03" w:rsidRPr="00DA475E" w:rsidRDefault="00496E03" w:rsidP="004D5825">
      <w:pPr>
        <w:autoSpaceDE w:val="0"/>
        <w:jc w:val="both"/>
        <w:outlineLvl w:val="0"/>
        <w:rPr>
          <w:i/>
          <w:sz w:val="22"/>
          <w:szCs w:val="22"/>
          <w:u w:val="single"/>
          <w:lang w:val="sr-Latn-ME"/>
        </w:rPr>
      </w:pPr>
      <w:r w:rsidRPr="00DA475E">
        <w:rPr>
          <w:i/>
          <w:sz w:val="22"/>
          <w:szCs w:val="22"/>
          <w:u w:val="single"/>
          <w:lang w:val="sr-Latn-ME"/>
        </w:rPr>
        <w:t>Granulomatoza sa poliangitisom (GPA) i mikroskopski poliangitis (MPA)</w:t>
      </w:r>
    </w:p>
    <w:p w:rsidR="00496E03" w:rsidRPr="00DA475E" w:rsidRDefault="00496E03" w:rsidP="004D5825">
      <w:pPr>
        <w:autoSpaceDE w:val="0"/>
        <w:jc w:val="both"/>
        <w:outlineLvl w:val="0"/>
        <w:rPr>
          <w:i/>
          <w:sz w:val="22"/>
          <w:szCs w:val="22"/>
          <w:lang w:val="sr-Latn-ME"/>
        </w:rPr>
      </w:pPr>
    </w:p>
    <w:p w:rsidR="00496E03" w:rsidRPr="0055610F" w:rsidRDefault="00496E03" w:rsidP="004D5825">
      <w:pPr>
        <w:autoSpaceDE w:val="0"/>
        <w:jc w:val="both"/>
        <w:outlineLvl w:val="0"/>
        <w:rPr>
          <w:sz w:val="22"/>
          <w:szCs w:val="22"/>
          <w:lang w:val="sr-Latn-ME"/>
        </w:rPr>
      </w:pPr>
      <w:r w:rsidRPr="0055610F">
        <w:rPr>
          <w:sz w:val="22"/>
          <w:szCs w:val="22"/>
          <w:lang w:val="sr-Latn-ME"/>
        </w:rPr>
        <w:t xml:space="preserve">Pacijenti koji se liječe lijekom MabThera moraju kod svake infuzije dobiti karticu sa upozorenjima za pacijente . </w:t>
      </w:r>
    </w:p>
    <w:p w:rsidR="00496E03" w:rsidRPr="0055610F" w:rsidRDefault="00496E03" w:rsidP="004D5825">
      <w:pPr>
        <w:autoSpaceDE w:val="0"/>
        <w:jc w:val="both"/>
        <w:outlineLvl w:val="0"/>
        <w:rPr>
          <w:sz w:val="22"/>
          <w:szCs w:val="22"/>
          <w:lang w:val="sr-Latn-ME"/>
        </w:rPr>
      </w:pPr>
    </w:p>
    <w:p w:rsidR="00496E03" w:rsidRPr="0055610F" w:rsidRDefault="00496E03" w:rsidP="004D5825">
      <w:pPr>
        <w:jc w:val="both"/>
        <w:rPr>
          <w:i/>
          <w:iCs/>
          <w:sz w:val="22"/>
          <w:szCs w:val="22"/>
          <w:lang w:val="sr-Latn-ME"/>
        </w:rPr>
      </w:pPr>
      <w:r w:rsidRPr="0055610F">
        <w:rPr>
          <w:i/>
          <w:iCs/>
          <w:sz w:val="22"/>
          <w:szCs w:val="22"/>
          <w:lang w:val="sr-Latn-ME"/>
        </w:rPr>
        <w:t>Indukcija remisije kod odraslih pacijenata</w:t>
      </w:r>
    </w:p>
    <w:p w:rsidR="00496E03" w:rsidRPr="0055610F" w:rsidRDefault="00496E03" w:rsidP="004D5825">
      <w:pPr>
        <w:autoSpaceDE w:val="0"/>
        <w:jc w:val="both"/>
        <w:outlineLvl w:val="0"/>
        <w:rPr>
          <w:sz w:val="22"/>
          <w:szCs w:val="22"/>
          <w:lang w:val="sr-Latn-ME"/>
        </w:rPr>
      </w:pPr>
      <w:r w:rsidRPr="0055610F">
        <w:rPr>
          <w:sz w:val="22"/>
          <w:szCs w:val="22"/>
          <w:lang w:val="sr-Latn-ME"/>
        </w:rPr>
        <w:t>Preporučena doza lijeka MabThera za podsticanje remisije kod odraslih pacijenata GPA i MPA iznosi 375 mg/m2 tjelesne površine primijenjeno intravenskom infuzijom jedanput nedjeljno tokom 4 nedjelje (ukupno četiri infuzije).</w:t>
      </w:r>
    </w:p>
    <w:p w:rsidR="00496E03" w:rsidRPr="0055610F" w:rsidRDefault="00496E03" w:rsidP="004D5825">
      <w:pPr>
        <w:autoSpaceDE w:val="0"/>
        <w:jc w:val="both"/>
        <w:outlineLvl w:val="0"/>
        <w:rPr>
          <w:sz w:val="22"/>
          <w:szCs w:val="22"/>
          <w:lang w:val="sr-Latn-ME"/>
        </w:rPr>
      </w:pPr>
    </w:p>
    <w:p w:rsidR="00496E03" w:rsidRPr="0055610F" w:rsidRDefault="00496E03" w:rsidP="004D5825">
      <w:pPr>
        <w:autoSpaceDE w:val="0"/>
        <w:jc w:val="both"/>
        <w:outlineLvl w:val="0"/>
        <w:rPr>
          <w:i/>
          <w:sz w:val="22"/>
          <w:szCs w:val="22"/>
          <w:lang w:val="sr-Latn-ME"/>
        </w:rPr>
      </w:pPr>
      <w:r w:rsidRPr="0055610F">
        <w:rPr>
          <w:i/>
          <w:sz w:val="22"/>
          <w:szCs w:val="22"/>
          <w:lang w:val="sr-Latn-ME"/>
        </w:rPr>
        <w:t>Terapija održavanja kod odraslih pacijenata</w:t>
      </w:r>
    </w:p>
    <w:p w:rsidR="00496E03" w:rsidRPr="0055610F" w:rsidRDefault="00496E03" w:rsidP="004D5825">
      <w:pPr>
        <w:autoSpaceDE w:val="0"/>
        <w:jc w:val="both"/>
        <w:outlineLvl w:val="0"/>
        <w:rPr>
          <w:sz w:val="22"/>
          <w:szCs w:val="22"/>
          <w:lang w:val="sr-Latn-ME"/>
        </w:rPr>
      </w:pPr>
      <w:r w:rsidRPr="0055610F">
        <w:rPr>
          <w:sz w:val="22"/>
          <w:szCs w:val="22"/>
          <w:lang w:val="sr-Latn-ME"/>
        </w:rPr>
        <w:t>Nakon indukcije remisije lijekom MabThera, terapiju održavanja kod odraslih pacijenata sa GPA i MPA bi trebalo započeti najranije 16 nedjelja nakon posl</w:t>
      </w:r>
      <w:r w:rsidR="00AD4E16" w:rsidRPr="0055610F">
        <w:rPr>
          <w:sz w:val="22"/>
          <w:szCs w:val="22"/>
          <w:lang w:val="sr-Latn-ME"/>
        </w:rPr>
        <w:t>j</w:t>
      </w:r>
      <w:r w:rsidRPr="0055610F">
        <w:rPr>
          <w:sz w:val="22"/>
          <w:szCs w:val="22"/>
          <w:lang w:val="sr-Latn-ME"/>
        </w:rPr>
        <w:t>ednje infuzije lijeka MabThera.</w:t>
      </w:r>
    </w:p>
    <w:p w:rsidR="00496E03" w:rsidRPr="0055610F" w:rsidRDefault="00496E03" w:rsidP="004D5825">
      <w:pPr>
        <w:autoSpaceDE w:val="0"/>
        <w:jc w:val="both"/>
        <w:outlineLvl w:val="0"/>
        <w:rPr>
          <w:sz w:val="22"/>
          <w:szCs w:val="22"/>
          <w:lang w:val="sr-Latn-ME"/>
        </w:rPr>
      </w:pPr>
    </w:p>
    <w:p w:rsidR="00496E03" w:rsidRPr="0055610F" w:rsidRDefault="00496E03" w:rsidP="004D5825">
      <w:pPr>
        <w:autoSpaceDE w:val="0"/>
        <w:jc w:val="both"/>
        <w:outlineLvl w:val="0"/>
        <w:rPr>
          <w:sz w:val="22"/>
          <w:szCs w:val="22"/>
          <w:lang w:val="sr-Latn-ME"/>
        </w:rPr>
      </w:pPr>
      <w:r w:rsidRPr="0055610F">
        <w:rPr>
          <w:sz w:val="22"/>
          <w:szCs w:val="22"/>
          <w:lang w:val="sr-Latn-ME"/>
        </w:rPr>
        <w:t>Nakon indukcije remisije sa drugim standardima liječenja kao što su imunosupresivni ljekovi, terapija održavanja lijekom MabThera bi trebala da započne tokom perioda od četiri ned</w:t>
      </w:r>
      <w:r w:rsidR="00AD4E16" w:rsidRPr="0055610F">
        <w:rPr>
          <w:sz w:val="22"/>
          <w:szCs w:val="22"/>
          <w:lang w:val="sr-Latn-ME"/>
        </w:rPr>
        <w:t>j</w:t>
      </w:r>
      <w:r w:rsidRPr="0055610F">
        <w:rPr>
          <w:sz w:val="22"/>
          <w:szCs w:val="22"/>
          <w:lang w:val="sr-Latn-ME"/>
        </w:rPr>
        <w:t>elje nakon remisije bolesti.</w:t>
      </w:r>
    </w:p>
    <w:p w:rsidR="00496E03" w:rsidRPr="0055610F" w:rsidRDefault="00496E03" w:rsidP="004D5825">
      <w:pPr>
        <w:autoSpaceDE w:val="0"/>
        <w:jc w:val="both"/>
        <w:outlineLvl w:val="0"/>
        <w:rPr>
          <w:sz w:val="22"/>
          <w:szCs w:val="22"/>
          <w:lang w:val="sr-Latn-ME"/>
        </w:rPr>
      </w:pPr>
    </w:p>
    <w:p w:rsidR="00496E03" w:rsidRPr="0055610F" w:rsidRDefault="00496E03" w:rsidP="004D5825">
      <w:pPr>
        <w:autoSpaceDE w:val="0"/>
        <w:jc w:val="both"/>
        <w:outlineLvl w:val="0"/>
        <w:rPr>
          <w:sz w:val="22"/>
          <w:szCs w:val="22"/>
          <w:lang w:val="sr-Latn-ME"/>
        </w:rPr>
      </w:pPr>
      <w:r w:rsidRPr="0055610F">
        <w:rPr>
          <w:sz w:val="22"/>
          <w:szCs w:val="22"/>
          <w:lang w:val="sr-Latn-ME"/>
        </w:rPr>
        <w:t>Lijek MabThera bi trebalo primijeniti kao dvije intravenske infuzije u dozi od 500</w:t>
      </w:r>
      <w:r w:rsidR="00AD4E16" w:rsidRPr="0055610F">
        <w:rPr>
          <w:sz w:val="22"/>
          <w:szCs w:val="22"/>
          <w:lang w:val="sr-Latn-ME"/>
        </w:rPr>
        <w:t xml:space="preserve"> </w:t>
      </w:r>
      <w:r w:rsidRPr="0055610F">
        <w:rPr>
          <w:sz w:val="22"/>
          <w:szCs w:val="22"/>
          <w:lang w:val="sr-Latn-ME"/>
        </w:rPr>
        <w:t>mg odvojene periodom od dvije ned</w:t>
      </w:r>
      <w:r w:rsidR="00AD4E16" w:rsidRPr="0055610F">
        <w:rPr>
          <w:sz w:val="22"/>
          <w:szCs w:val="22"/>
          <w:lang w:val="sr-Latn-ME"/>
        </w:rPr>
        <w:t>j</w:t>
      </w:r>
      <w:r w:rsidRPr="0055610F">
        <w:rPr>
          <w:sz w:val="22"/>
          <w:szCs w:val="22"/>
          <w:lang w:val="sr-Latn-ME"/>
        </w:rPr>
        <w:t>elje, a nakon toga ponavljati infuziju u dozi od 500</w:t>
      </w:r>
      <w:r w:rsidR="00AD4E16" w:rsidRPr="0055610F">
        <w:rPr>
          <w:sz w:val="22"/>
          <w:szCs w:val="22"/>
          <w:lang w:val="sr-Latn-ME"/>
        </w:rPr>
        <w:t xml:space="preserve"> </w:t>
      </w:r>
      <w:r w:rsidRPr="0055610F">
        <w:rPr>
          <w:sz w:val="22"/>
          <w:szCs w:val="22"/>
          <w:lang w:val="sr-Latn-ME"/>
        </w:rPr>
        <w:t>mg na svakih šest mjeseci. Pacijenti bi trebali da primaju lijek MabThera najmanje 24 mjeseca nakon postizanja remisije (odsustvo kliničkih znaka i simptoma). Za pacijente koji su u visokom riziku od relapsa, ljekari bi trebali da razmotre i dužu terapiju održavanja lijekom MabThera, do pet godina.</w:t>
      </w:r>
    </w:p>
    <w:p w:rsidR="00496E03" w:rsidRPr="0055610F" w:rsidRDefault="00496E03" w:rsidP="004D5825">
      <w:pPr>
        <w:autoSpaceDE w:val="0"/>
        <w:jc w:val="both"/>
        <w:outlineLvl w:val="0"/>
        <w:rPr>
          <w:sz w:val="22"/>
          <w:szCs w:val="22"/>
          <w:lang w:val="sr-Latn-ME"/>
        </w:rPr>
      </w:pPr>
    </w:p>
    <w:p w:rsidR="00496E03" w:rsidRPr="00DA475E" w:rsidRDefault="00496E03" w:rsidP="004D5825">
      <w:pPr>
        <w:keepNext/>
        <w:jc w:val="both"/>
        <w:outlineLvl w:val="0"/>
        <w:rPr>
          <w:i/>
          <w:sz w:val="22"/>
          <w:szCs w:val="22"/>
          <w:u w:val="single"/>
          <w:lang w:val="sr-Latn-ME"/>
        </w:rPr>
      </w:pPr>
      <w:r w:rsidRPr="00DA475E">
        <w:rPr>
          <w:i/>
          <w:sz w:val="22"/>
          <w:szCs w:val="22"/>
          <w:u w:val="single"/>
          <w:lang w:val="sr-Latn-ME"/>
        </w:rPr>
        <w:t>Obični pemfigus</w:t>
      </w:r>
    </w:p>
    <w:p w:rsidR="00496E03" w:rsidRPr="0055610F" w:rsidRDefault="00496E03" w:rsidP="004D5825">
      <w:pPr>
        <w:keepNext/>
        <w:jc w:val="both"/>
        <w:outlineLvl w:val="0"/>
        <w:rPr>
          <w:sz w:val="22"/>
          <w:szCs w:val="22"/>
          <w:u w:val="single"/>
          <w:lang w:val="sr-Latn-ME"/>
        </w:rPr>
      </w:pPr>
    </w:p>
    <w:p w:rsidR="00496E03" w:rsidRPr="0055610F" w:rsidRDefault="00496E03" w:rsidP="004D5825">
      <w:pPr>
        <w:keepNext/>
        <w:jc w:val="both"/>
        <w:outlineLvl w:val="0"/>
        <w:rPr>
          <w:sz w:val="22"/>
          <w:szCs w:val="22"/>
          <w:lang w:val="sr-Latn-ME"/>
        </w:rPr>
      </w:pPr>
      <w:r w:rsidRPr="0055610F">
        <w:rPr>
          <w:sz w:val="22"/>
          <w:szCs w:val="22"/>
          <w:lang w:val="sr-Latn-ME"/>
        </w:rPr>
        <w:t xml:space="preserve">Pacijenti liječeni lijekom MabThera </w:t>
      </w:r>
      <w:r w:rsidRPr="0055610F">
        <w:rPr>
          <w:iCs/>
          <w:sz w:val="22"/>
          <w:szCs w:val="22"/>
          <w:lang w:val="sr-Latn-ME"/>
        </w:rPr>
        <w:t>uz svaku infuziju</w:t>
      </w:r>
      <w:r w:rsidRPr="0055610F">
        <w:rPr>
          <w:sz w:val="22"/>
          <w:szCs w:val="22"/>
          <w:lang w:val="sr-Latn-ME"/>
        </w:rPr>
        <w:t xml:space="preserve"> </w:t>
      </w:r>
      <w:r w:rsidRPr="0055610F">
        <w:rPr>
          <w:iCs/>
          <w:sz w:val="22"/>
          <w:szCs w:val="22"/>
          <w:lang w:val="sr-Latn-ME"/>
        </w:rPr>
        <w:t>moraju dobiti</w:t>
      </w:r>
      <w:r w:rsidR="00AD4E16" w:rsidRPr="0055610F">
        <w:rPr>
          <w:iCs/>
          <w:sz w:val="22"/>
          <w:szCs w:val="22"/>
          <w:lang w:val="sr-Latn-ME"/>
        </w:rPr>
        <w:t xml:space="preserve"> </w:t>
      </w:r>
      <w:r w:rsidRPr="0055610F">
        <w:rPr>
          <w:iCs/>
          <w:sz w:val="22"/>
          <w:szCs w:val="22"/>
          <w:lang w:val="sr-Latn-ME"/>
        </w:rPr>
        <w:t>karticu sa upozorenjima za pacijenta.</w:t>
      </w:r>
    </w:p>
    <w:p w:rsidR="00496E03" w:rsidRPr="0055610F" w:rsidRDefault="00496E03" w:rsidP="004D5825">
      <w:pPr>
        <w:jc w:val="both"/>
        <w:outlineLvl w:val="0"/>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t>Preporučena doza lijeka MabThera za liječenje običnog pemfigusa je 1000 mg primjenjeno i.v. infuzijom, a potom se nakon dvije nedjelje primjenjuje druga doza od 1000 mg i.v. infuzijom u kombinaciji sa glukokortikoidima čija se doza postepeno smanjuje.</w:t>
      </w:r>
    </w:p>
    <w:p w:rsidR="00496E03" w:rsidRPr="0055610F" w:rsidRDefault="00496E03" w:rsidP="004D5825">
      <w:pPr>
        <w:jc w:val="both"/>
        <w:outlineLvl w:val="0"/>
        <w:rPr>
          <w:sz w:val="22"/>
          <w:szCs w:val="22"/>
          <w:u w:val="single"/>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t>Terapija održavanja</w:t>
      </w:r>
    </w:p>
    <w:p w:rsidR="00496E03" w:rsidRPr="0055610F" w:rsidRDefault="00496E03" w:rsidP="004D5825">
      <w:pPr>
        <w:jc w:val="both"/>
        <w:outlineLvl w:val="0"/>
        <w:rPr>
          <w:sz w:val="22"/>
          <w:szCs w:val="22"/>
          <w:lang w:val="sr-Latn-ME"/>
        </w:rPr>
      </w:pPr>
      <w:r w:rsidRPr="0055610F">
        <w:rPr>
          <w:sz w:val="22"/>
          <w:szCs w:val="22"/>
          <w:lang w:val="sr-Latn-ME"/>
        </w:rPr>
        <w:t>Za terapiju održavanja treba primjeniti dozu od 500 mg i.v. infuzijom 12-og i 18-og mjeseca, a zatim na svakih 6 mjeseci, ukoliko je potrebno, u zavisnosti od kliničke procjene.</w:t>
      </w:r>
    </w:p>
    <w:p w:rsidR="00496E03" w:rsidRPr="0055610F" w:rsidRDefault="00496E03" w:rsidP="004D5825">
      <w:pPr>
        <w:keepNext/>
        <w:jc w:val="both"/>
        <w:outlineLvl w:val="0"/>
        <w:rPr>
          <w:sz w:val="22"/>
          <w:szCs w:val="22"/>
          <w:u w:val="single"/>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t>Li</w:t>
      </w:r>
      <w:r w:rsidRPr="0055610F">
        <w:rPr>
          <w:i/>
          <w:sz w:val="22"/>
          <w:szCs w:val="22"/>
          <w:u w:val="single"/>
          <w:lang w:val="sr-Latn-ME"/>
        </w:rPr>
        <w:t>j</w:t>
      </w:r>
      <w:r w:rsidRPr="0055610F">
        <w:rPr>
          <w:i/>
          <w:sz w:val="22"/>
          <w:szCs w:val="22"/>
          <w:lang w:val="sr-Latn-ME"/>
        </w:rPr>
        <w:t>ečenje relapsa</w:t>
      </w:r>
    </w:p>
    <w:p w:rsidR="00496E03" w:rsidRPr="0055610F" w:rsidRDefault="00496E03" w:rsidP="004D5825">
      <w:pPr>
        <w:jc w:val="both"/>
        <w:outlineLvl w:val="0"/>
        <w:rPr>
          <w:sz w:val="22"/>
          <w:szCs w:val="22"/>
          <w:lang w:val="sr-Latn-ME"/>
        </w:rPr>
      </w:pPr>
      <w:r w:rsidRPr="0055610F">
        <w:rPr>
          <w:sz w:val="22"/>
          <w:szCs w:val="22"/>
          <w:lang w:val="sr-Latn-ME"/>
        </w:rPr>
        <w:t>U slučaju relapsa pacijenti mogu primiti i.v. dozu od 1000 mg. Zdravstveni radnik treba da razmotri i nastavak primjene ili povećanje doze glukokortikoida u zavisnosti od kliničke proc</w:t>
      </w:r>
      <w:r w:rsidR="00AD4E16" w:rsidRPr="0055610F">
        <w:rPr>
          <w:sz w:val="22"/>
          <w:szCs w:val="22"/>
          <w:lang w:val="sr-Latn-ME"/>
        </w:rPr>
        <w:t>j</w:t>
      </w:r>
      <w:r w:rsidRPr="0055610F">
        <w:rPr>
          <w:sz w:val="22"/>
          <w:szCs w:val="22"/>
          <w:lang w:val="sr-Latn-ME"/>
        </w:rPr>
        <w:t>ene.</w:t>
      </w:r>
    </w:p>
    <w:p w:rsidR="00496E03" w:rsidRPr="0055610F" w:rsidRDefault="00496E03" w:rsidP="004D5825">
      <w:pPr>
        <w:jc w:val="both"/>
        <w:outlineLvl w:val="0"/>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t>Naredna infuzija se može prim</w:t>
      </w:r>
      <w:r w:rsidR="00AD4E16" w:rsidRPr="0055610F">
        <w:rPr>
          <w:sz w:val="22"/>
          <w:szCs w:val="22"/>
          <w:lang w:val="sr-Latn-ME"/>
        </w:rPr>
        <w:t>i</w:t>
      </w:r>
      <w:r w:rsidRPr="0055610F">
        <w:rPr>
          <w:sz w:val="22"/>
          <w:szCs w:val="22"/>
          <w:lang w:val="sr-Latn-ME"/>
        </w:rPr>
        <w:t xml:space="preserve">jeniti najranije 16 nedjelja nakon prethodne infuzije.  </w:t>
      </w:r>
    </w:p>
    <w:p w:rsidR="00496E03" w:rsidRPr="0055610F" w:rsidRDefault="00496E03" w:rsidP="004D5825">
      <w:pPr>
        <w:jc w:val="both"/>
        <w:rPr>
          <w:sz w:val="22"/>
          <w:szCs w:val="22"/>
          <w:lang w:val="sr-Latn-ME"/>
        </w:rPr>
      </w:pPr>
    </w:p>
    <w:p w:rsidR="00496E03" w:rsidRPr="00DA475E" w:rsidRDefault="00496E03" w:rsidP="004D5825">
      <w:pPr>
        <w:jc w:val="both"/>
        <w:rPr>
          <w:i/>
          <w:sz w:val="22"/>
          <w:szCs w:val="22"/>
          <w:u w:val="single"/>
          <w:lang w:val="sr-Latn-ME"/>
        </w:rPr>
      </w:pPr>
      <w:r w:rsidRPr="00DA475E">
        <w:rPr>
          <w:i/>
          <w:sz w:val="22"/>
          <w:szCs w:val="22"/>
          <w:u w:val="single"/>
          <w:lang w:val="sr-Latn-ME"/>
        </w:rPr>
        <w:t>Posebne grupe pacijenata</w:t>
      </w:r>
    </w:p>
    <w:p w:rsidR="00496E03" w:rsidRPr="0055610F" w:rsidRDefault="00496E03" w:rsidP="004D5825">
      <w:pPr>
        <w:jc w:val="both"/>
        <w:rPr>
          <w:sz w:val="22"/>
          <w:szCs w:val="22"/>
          <w:lang w:val="sr-Latn-ME"/>
        </w:rPr>
      </w:pPr>
    </w:p>
    <w:p w:rsidR="00496E03" w:rsidRPr="00DA475E" w:rsidRDefault="00496E03" w:rsidP="004D5825">
      <w:pPr>
        <w:jc w:val="both"/>
        <w:rPr>
          <w:i/>
          <w:sz w:val="22"/>
          <w:szCs w:val="22"/>
          <w:u w:val="single"/>
          <w:lang w:val="sr-Latn-ME"/>
        </w:rPr>
      </w:pPr>
      <w:r w:rsidRPr="00DA475E">
        <w:rPr>
          <w:i/>
          <w:sz w:val="22"/>
          <w:szCs w:val="22"/>
          <w:u w:val="single"/>
          <w:lang w:val="sr-Latn-ME"/>
        </w:rPr>
        <w:t>Pedijatrijska populacija</w:t>
      </w:r>
    </w:p>
    <w:p w:rsidR="007B7C69" w:rsidRPr="0055610F" w:rsidRDefault="007B7C69" w:rsidP="004D5825">
      <w:pPr>
        <w:jc w:val="both"/>
        <w:rPr>
          <w:i/>
          <w:sz w:val="22"/>
          <w:szCs w:val="22"/>
          <w:lang w:val="sr-Latn-ME"/>
        </w:rPr>
      </w:pPr>
    </w:p>
    <w:p w:rsidR="00496E03" w:rsidRPr="00DA475E" w:rsidRDefault="00496E03" w:rsidP="004D5825">
      <w:pPr>
        <w:tabs>
          <w:tab w:val="left" w:pos="284"/>
        </w:tabs>
        <w:jc w:val="both"/>
        <w:rPr>
          <w:i/>
          <w:sz w:val="22"/>
          <w:szCs w:val="22"/>
          <w:lang w:val="sr-Latn-ME"/>
        </w:rPr>
      </w:pPr>
      <w:r w:rsidRPr="00DA475E">
        <w:rPr>
          <w:i/>
          <w:sz w:val="22"/>
          <w:szCs w:val="22"/>
          <w:lang w:val="sr-Latn-ME"/>
        </w:rPr>
        <w:t>Non-Hodgkin-ov limfom</w:t>
      </w:r>
    </w:p>
    <w:p w:rsidR="00496E03" w:rsidRPr="0055610F" w:rsidRDefault="00496E03" w:rsidP="004D5825">
      <w:pPr>
        <w:tabs>
          <w:tab w:val="left" w:pos="284"/>
        </w:tabs>
        <w:jc w:val="both"/>
        <w:rPr>
          <w:sz w:val="22"/>
          <w:szCs w:val="22"/>
          <w:lang w:val="sr-Latn-ME"/>
        </w:rPr>
      </w:pPr>
    </w:p>
    <w:p w:rsidR="00496E03" w:rsidRPr="0055610F" w:rsidRDefault="00496E03" w:rsidP="004D5825">
      <w:pPr>
        <w:tabs>
          <w:tab w:val="left" w:pos="284"/>
        </w:tabs>
        <w:jc w:val="both"/>
        <w:rPr>
          <w:sz w:val="22"/>
          <w:szCs w:val="22"/>
          <w:lang w:val="sr-Latn-ME"/>
        </w:rPr>
      </w:pPr>
      <w:r w:rsidRPr="0055610F">
        <w:rPr>
          <w:sz w:val="22"/>
          <w:szCs w:val="22"/>
          <w:lang w:val="sr-Latn-ME"/>
        </w:rPr>
        <w:t>Kod pedijatrijskih pacijenata starosti od</w:t>
      </w:r>
      <w:r w:rsidR="00AD4E16" w:rsidRPr="0055610F">
        <w:rPr>
          <w:sz w:val="22"/>
          <w:szCs w:val="22"/>
          <w:lang w:val="sr-Latn-ME"/>
        </w:rPr>
        <w:t xml:space="preserve"> </w:t>
      </w:r>
      <w:r w:rsidRPr="0055610F">
        <w:rPr>
          <w:sz w:val="22"/>
          <w:szCs w:val="22"/>
          <w:lang w:val="sr-Latn-ME"/>
        </w:rPr>
        <w:t xml:space="preserve">6 mjeseci do </w:t>
      </w:r>
      <w:r w:rsidR="007C5C12">
        <w:rPr>
          <w:sz w:val="22"/>
          <w:szCs w:val="22"/>
          <w:lang w:val="sr-Latn-ME"/>
        </w:rPr>
        <w:t>manje od</w:t>
      </w:r>
      <w:r w:rsidR="00AD4E16" w:rsidRPr="0055610F">
        <w:rPr>
          <w:sz w:val="22"/>
          <w:szCs w:val="22"/>
          <w:lang w:val="sr-Latn-ME"/>
        </w:rPr>
        <w:t xml:space="preserve"> </w:t>
      </w:r>
      <w:r w:rsidRPr="0055610F">
        <w:rPr>
          <w:sz w:val="22"/>
          <w:szCs w:val="22"/>
          <w:lang w:val="sr-Latn-ME"/>
        </w:rPr>
        <w:t>18 godina sa prethodno nel</w:t>
      </w:r>
      <w:r w:rsidR="00AD4E16" w:rsidRPr="0055610F">
        <w:rPr>
          <w:sz w:val="22"/>
          <w:szCs w:val="22"/>
          <w:lang w:val="sr-Latn-ME"/>
        </w:rPr>
        <w:t>i</w:t>
      </w:r>
      <w:r w:rsidRPr="0055610F">
        <w:rPr>
          <w:sz w:val="22"/>
          <w:szCs w:val="22"/>
          <w:lang w:val="sr-Latn-ME"/>
        </w:rPr>
        <w:t>ječenim, uznapredovalim CD20 pozitivnim difuznim limfomom B ćelija DLBCL/BL/BAL/BLL, lijek MabThera treba prim</w:t>
      </w:r>
      <w:r w:rsidR="00AD4E16" w:rsidRPr="0055610F">
        <w:rPr>
          <w:sz w:val="22"/>
          <w:szCs w:val="22"/>
          <w:lang w:val="sr-Latn-ME"/>
        </w:rPr>
        <w:t>j</w:t>
      </w:r>
      <w:r w:rsidRPr="0055610F">
        <w:rPr>
          <w:sz w:val="22"/>
          <w:szCs w:val="22"/>
          <w:lang w:val="sr-Latn-ME"/>
        </w:rPr>
        <w:t>enjivati u kombinaciji sa sistemskom Limfom Malin B (LMB) hemioterapijom (vidjeti Tabele 1 i 2). Preporučena doza lijeka MabThera iznosi 375mg/m</w:t>
      </w:r>
      <w:r w:rsidRPr="0055610F">
        <w:rPr>
          <w:sz w:val="22"/>
          <w:szCs w:val="22"/>
          <w:vertAlign w:val="superscript"/>
          <w:lang w:val="sr-Latn-ME"/>
        </w:rPr>
        <w:t>2</w:t>
      </w:r>
      <w:r w:rsidRPr="0055610F">
        <w:rPr>
          <w:sz w:val="22"/>
          <w:szCs w:val="22"/>
          <w:lang w:val="sr-Latn-ME"/>
        </w:rPr>
        <w:t xml:space="preserve"> tjelesne površine, </w:t>
      </w:r>
      <w:r w:rsidRPr="0055610F">
        <w:rPr>
          <w:sz w:val="22"/>
          <w:szCs w:val="22"/>
          <w:lang w:val="sr-Latn-ME"/>
        </w:rPr>
        <w:lastRenderedPageBreak/>
        <w:t>prim</w:t>
      </w:r>
      <w:r w:rsidR="00AD4E16" w:rsidRPr="0055610F">
        <w:rPr>
          <w:sz w:val="22"/>
          <w:szCs w:val="22"/>
          <w:lang w:val="sr-Latn-ME"/>
        </w:rPr>
        <w:t>i</w:t>
      </w:r>
      <w:r w:rsidRPr="0055610F">
        <w:rPr>
          <w:sz w:val="22"/>
          <w:szCs w:val="22"/>
          <w:lang w:val="sr-Latn-ME"/>
        </w:rPr>
        <w:t>jenjeno u vidu intravenske infuzije. Nije neophodno prilagođavanje doze, sem na osnovu tjelesne površine pacijenta.</w:t>
      </w:r>
    </w:p>
    <w:p w:rsidR="00496E03" w:rsidRPr="0055610F" w:rsidRDefault="00496E03" w:rsidP="004D5825">
      <w:pPr>
        <w:tabs>
          <w:tab w:val="left" w:pos="284"/>
        </w:tabs>
        <w:jc w:val="both"/>
        <w:rPr>
          <w:sz w:val="22"/>
          <w:szCs w:val="22"/>
          <w:lang w:val="sr-Latn-ME"/>
        </w:rPr>
      </w:pPr>
    </w:p>
    <w:p w:rsidR="00496E03" w:rsidRPr="0055610F" w:rsidRDefault="00496E03" w:rsidP="004D5825">
      <w:pPr>
        <w:tabs>
          <w:tab w:val="left" w:pos="284"/>
        </w:tabs>
        <w:jc w:val="both"/>
        <w:rPr>
          <w:sz w:val="22"/>
          <w:szCs w:val="22"/>
          <w:lang w:val="sr-Latn-ME"/>
        </w:rPr>
      </w:pPr>
      <w:r w:rsidRPr="0055610F">
        <w:rPr>
          <w:sz w:val="22"/>
          <w:szCs w:val="22"/>
          <w:lang w:val="sr-Latn-ME"/>
        </w:rPr>
        <w:t xml:space="preserve">Bezbjednost i efikasnost lijeka MabThera kod pedijatrijskih pacijenata </w:t>
      </w:r>
      <w:r w:rsidR="007C5C12">
        <w:rPr>
          <w:sz w:val="22"/>
          <w:szCs w:val="22"/>
          <w:lang w:val="sr-Latn-ME"/>
        </w:rPr>
        <w:t>od</w:t>
      </w:r>
      <w:r w:rsidR="00AD4E16" w:rsidRPr="0055610F">
        <w:rPr>
          <w:sz w:val="22"/>
          <w:szCs w:val="22"/>
          <w:lang w:val="sr-Latn-ME"/>
        </w:rPr>
        <w:t xml:space="preserve"> </w:t>
      </w:r>
      <w:r w:rsidRPr="0055610F">
        <w:rPr>
          <w:sz w:val="22"/>
          <w:szCs w:val="22"/>
          <w:lang w:val="sr-Latn-ME"/>
        </w:rPr>
        <w:t xml:space="preserve">6 mjeseci do </w:t>
      </w:r>
      <w:r w:rsidR="007C5C12">
        <w:rPr>
          <w:sz w:val="22"/>
          <w:szCs w:val="22"/>
          <w:lang w:val="sr-Latn-ME"/>
        </w:rPr>
        <w:t>manje od</w:t>
      </w:r>
      <w:r w:rsidR="00AD4E16" w:rsidRPr="0055610F">
        <w:rPr>
          <w:sz w:val="22"/>
          <w:szCs w:val="22"/>
          <w:lang w:val="sr-Latn-ME"/>
        </w:rPr>
        <w:t xml:space="preserve"> </w:t>
      </w:r>
      <w:r w:rsidRPr="0055610F">
        <w:rPr>
          <w:sz w:val="22"/>
          <w:szCs w:val="22"/>
          <w:lang w:val="sr-Latn-ME"/>
        </w:rPr>
        <w:t xml:space="preserve">18 godina starosti nije procjenjivana u drugim indikacijama sem prethodno neliječenog uznapredovalog CD20 pozitivnog DLBCL/BL/BAL/BLL. Dostupni su ograničeni podaci za pacijente ispod 3 godine starosti. Vidjeti dio 5.1. za dodatne informacije. </w:t>
      </w:r>
    </w:p>
    <w:p w:rsidR="00496E03" w:rsidRPr="0055610F" w:rsidRDefault="00496E03" w:rsidP="004D5825">
      <w:pPr>
        <w:tabs>
          <w:tab w:val="left" w:pos="284"/>
        </w:tabs>
        <w:jc w:val="both"/>
        <w:rPr>
          <w:sz w:val="22"/>
          <w:szCs w:val="22"/>
          <w:lang w:val="sr-Latn-ME"/>
        </w:rPr>
      </w:pPr>
      <w:r w:rsidRPr="0055610F">
        <w:rPr>
          <w:sz w:val="22"/>
          <w:szCs w:val="22"/>
          <w:lang w:val="sr-Latn-ME"/>
        </w:rPr>
        <w:br/>
        <w:t xml:space="preserve">Lijek MabThera </w:t>
      </w:r>
      <w:r w:rsidR="00016DB8" w:rsidRPr="0055610F">
        <w:rPr>
          <w:sz w:val="22"/>
          <w:szCs w:val="22"/>
          <w:lang w:val="sr-Latn-ME"/>
        </w:rPr>
        <w:t xml:space="preserve">ne </w:t>
      </w:r>
      <w:r w:rsidRPr="0055610F">
        <w:rPr>
          <w:sz w:val="22"/>
          <w:szCs w:val="22"/>
          <w:lang w:val="sr-Latn-ME"/>
        </w:rPr>
        <w:t>bi trebalo prim</w:t>
      </w:r>
      <w:r w:rsidR="00AD4E16" w:rsidRPr="0055610F">
        <w:rPr>
          <w:sz w:val="22"/>
          <w:szCs w:val="22"/>
          <w:lang w:val="sr-Latn-ME"/>
        </w:rPr>
        <w:t>i</w:t>
      </w:r>
      <w:r w:rsidRPr="0055610F">
        <w:rPr>
          <w:sz w:val="22"/>
          <w:szCs w:val="22"/>
          <w:lang w:val="sr-Latn-ME"/>
        </w:rPr>
        <w:t>jeniti kod pedijatrijskih pacijenata od rođenja do &lt;</w:t>
      </w:r>
      <w:r w:rsidR="00AD4E16" w:rsidRPr="0055610F">
        <w:rPr>
          <w:sz w:val="22"/>
          <w:szCs w:val="22"/>
          <w:lang w:val="sr-Latn-ME"/>
        </w:rPr>
        <w:t xml:space="preserve"> </w:t>
      </w:r>
      <w:r w:rsidRPr="0055610F">
        <w:rPr>
          <w:sz w:val="22"/>
          <w:szCs w:val="22"/>
          <w:lang w:val="sr-Latn-ME"/>
        </w:rPr>
        <w:t>6 godina starosti sa CD20 pozitivnim difuznim limfomom krupnih B ćelija (vidjeti dio 5.1)</w:t>
      </w:r>
    </w:p>
    <w:p w:rsidR="00496E03" w:rsidRPr="0055610F" w:rsidRDefault="00496E03" w:rsidP="004D5825">
      <w:pPr>
        <w:tabs>
          <w:tab w:val="left" w:pos="284"/>
        </w:tabs>
        <w:jc w:val="both"/>
        <w:rPr>
          <w:sz w:val="22"/>
          <w:szCs w:val="22"/>
          <w:lang w:val="sr-Latn-ME"/>
        </w:rPr>
      </w:pPr>
    </w:p>
    <w:p w:rsidR="00496E03" w:rsidRPr="0055610F" w:rsidRDefault="00496E03" w:rsidP="004D5825">
      <w:pPr>
        <w:tabs>
          <w:tab w:val="left" w:pos="284"/>
        </w:tabs>
        <w:jc w:val="both"/>
        <w:rPr>
          <w:b/>
          <w:sz w:val="22"/>
          <w:szCs w:val="22"/>
          <w:lang w:val="sr-Latn-ME"/>
        </w:rPr>
      </w:pPr>
      <w:r w:rsidRPr="0055610F">
        <w:rPr>
          <w:b/>
          <w:sz w:val="22"/>
          <w:szCs w:val="22"/>
          <w:lang w:val="sr-Latn-ME"/>
        </w:rPr>
        <w:t xml:space="preserve">Tabela 1 Doziranje lijeka MabThera kod pedijatrijskih pacijenata sa </w:t>
      </w:r>
      <w:r w:rsidRPr="0055610F">
        <w:rPr>
          <w:b/>
          <w:i/>
          <w:sz w:val="22"/>
          <w:szCs w:val="22"/>
          <w:lang w:val="sr-Latn-ME"/>
        </w:rPr>
        <w:t>non-Hodgkin</w:t>
      </w:r>
      <w:r w:rsidRPr="0055610F">
        <w:rPr>
          <w:b/>
          <w:sz w:val="22"/>
          <w:szCs w:val="22"/>
          <w:lang w:val="sr-Latn-ME"/>
        </w:rPr>
        <w:t>-ovi</w:t>
      </w:r>
      <w:r w:rsidR="007B7C69" w:rsidRPr="0055610F">
        <w:rPr>
          <w:b/>
          <w:sz w:val="22"/>
          <w:szCs w:val="22"/>
          <w:lang w:val="sr-Latn-ME"/>
        </w:rPr>
        <w:t xml:space="preserve">m </w:t>
      </w:r>
      <w:r w:rsidRPr="0055610F">
        <w:rPr>
          <w:b/>
          <w:sz w:val="22"/>
          <w:szCs w:val="22"/>
          <w:lang w:val="sr-Latn-ME"/>
        </w:rPr>
        <w:t>limfomom</w:t>
      </w:r>
    </w:p>
    <w:p w:rsidR="007B7C69" w:rsidRPr="0055610F" w:rsidRDefault="007B7C69" w:rsidP="004D5825">
      <w:pPr>
        <w:tabs>
          <w:tab w:val="left" w:pos="284"/>
        </w:tabs>
        <w:jc w:val="both"/>
        <w:rPr>
          <w:b/>
          <w:sz w:val="22"/>
          <w:szCs w:val="22"/>
          <w:lang w:val="sr-Latn-ME"/>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9"/>
        <w:gridCol w:w="2476"/>
        <w:gridCol w:w="4656"/>
      </w:tblGrid>
      <w:tr w:rsidR="00496E03" w:rsidRPr="007642DC" w:rsidTr="007B7C69">
        <w:trPr>
          <w:trHeight w:val="471"/>
        </w:trPr>
        <w:tc>
          <w:tcPr>
            <w:tcW w:w="1929"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jc w:val="both"/>
              <w:rPr>
                <w:b/>
                <w:sz w:val="22"/>
                <w:szCs w:val="22"/>
                <w:lang w:val="sr-Latn-ME"/>
              </w:rPr>
            </w:pPr>
            <w:r w:rsidRPr="0055610F">
              <w:rPr>
                <w:b/>
                <w:sz w:val="22"/>
                <w:szCs w:val="22"/>
                <w:lang w:val="sr-Latn-ME"/>
              </w:rPr>
              <w:t>Ciklus</w:t>
            </w:r>
          </w:p>
        </w:tc>
        <w:tc>
          <w:tcPr>
            <w:tcW w:w="2476"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jc w:val="both"/>
              <w:rPr>
                <w:b/>
                <w:sz w:val="22"/>
                <w:szCs w:val="22"/>
                <w:lang w:val="sr-Latn-ME"/>
              </w:rPr>
            </w:pPr>
            <w:r w:rsidRPr="0055610F">
              <w:rPr>
                <w:b/>
                <w:sz w:val="22"/>
                <w:szCs w:val="22"/>
                <w:lang w:val="sr-Latn-ME"/>
              </w:rPr>
              <w:t>Dan terapije</w:t>
            </w:r>
          </w:p>
        </w:tc>
        <w:tc>
          <w:tcPr>
            <w:tcW w:w="4656"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jc w:val="both"/>
              <w:rPr>
                <w:b/>
                <w:sz w:val="22"/>
                <w:szCs w:val="22"/>
                <w:lang w:val="sr-Latn-ME"/>
              </w:rPr>
            </w:pPr>
            <w:r w:rsidRPr="0055610F">
              <w:rPr>
                <w:b/>
                <w:sz w:val="22"/>
                <w:szCs w:val="22"/>
                <w:lang w:val="sr-Latn-ME"/>
              </w:rPr>
              <w:t>Detalji vezani za primjenu</w:t>
            </w:r>
          </w:p>
        </w:tc>
      </w:tr>
      <w:tr w:rsidR="00496E03" w:rsidRPr="007642DC" w:rsidTr="007B7C69">
        <w:trPr>
          <w:trHeight w:val="471"/>
        </w:trPr>
        <w:tc>
          <w:tcPr>
            <w:tcW w:w="1929"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Predfaza (COP)</w:t>
            </w:r>
          </w:p>
        </w:tc>
        <w:tc>
          <w:tcPr>
            <w:tcW w:w="2476"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Bez primjene lijeka MabThera</w:t>
            </w:r>
          </w:p>
        </w:tc>
        <w:tc>
          <w:tcPr>
            <w:tcW w:w="4656"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w:t>
            </w:r>
          </w:p>
        </w:tc>
      </w:tr>
      <w:tr w:rsidR="00496E03" w:rsidRPr="00FB34CE" w:rsidTr="007B7C69">
        <w:trPr>
          <w:trHeight w:val="471"/>
        </w:trPr>
        <w:tc>
          <w:tcPr>
            <w:tcW w:w="1929" w:type="dxa"/>
            <w:vMerge w:val="restart"/>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1. ciklus indukcione terapije</w:t>
            </w:r>
          </w:p>
          <w:p w:rsidR="00496E03" w:rsidRPr="0055610F" w:rsidRDefault="00496E03" w:rsidP="004D5825">
            <w:pPr>
              <w:tabs>
                <w:tab w:val="left" w:pos="284"/>
              </w:tabs>
              <w:rPr>
                <w:sz w:val="22"/>
                <w:szCs w:val="22"/>
                <w:lang w:val="sr-Latn-ME"/>
              </w:rPr>
            </w:pPr>
            <w:r w:rsidRPr="0055610F">
              <w:rPr>
                <w:sz w:val="22"/>
                <w:szCs w:val="22"/>
                <w:lang w:val="sr-Latn-ME"/>
              </w:rPr>
              <w:t>(COPDAM1)</w:t>
            </w:r>
          </w:p>
        </w:tc>
        <w:tc>
          <w:tcPr>
            <w:tcW w:w="2476"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2. dan</w:t>
            </w:r>
          </w:p>
          <w:p w:rsidR="00496E03" w:rsidRPr="0055610F" w:rsidRDefault="00496E03" w:rsidP="004D5825">
            <w:pPr>
              <w:tabs>
                <w:tab w:val="left" w:pos="284"/>
              </w:tabs>
              <w:rPr>
                <w:sz w:val="22"/>
                <w:szCs w:val="22"/>
                <w:lang w:val="sr-Latn-ME"/>
              </w:rPr>
            </w:pPr>
            <w:r w:rsidRPr="0055610F">
              <w:rPr>
                <w:sz w:val="22"/>
                <w:szCs w:val="22"/>
                <w:lang w:val="sr-Latn-ME"/>
              </w:rPr>
              <w:t>(odgovara 6. danu predfaze)</w:t>
            </w:r>
          </w:p>
          <w:p w:rsidR="00496E03" w:rsidRPr="0055610F" w:rsidRDefault="00496E03" w:rsidP="004D5825">
            <w:pPr>
              <w:tabs>
                <w:tab w:val="left" w:pos="284"/>
              </w:tabs>
              <w:rPr>
                <w:sz w:val="22"/>
                <w:szCs w:val="22"/>
                <w:lang w:val="sr-Latn-ME"/>
              </w:rPr>
            </w:pPr>
            <w:r w:rsidRPr="0055610F">
              <w:rPr>
                <w:sz w:val="22"/>
                <w:szCs w:val="22"/>
                <w:lang w:val="sr-Latn-ME"/>
              </w:rPr>
              <w:t xml:space="preserve">1. infuzija lijeka MabThera </w:t>
            </w:r>
          </w:p>
        </w:tc>
        <w:tc>
          <w:tcPr>
            <w:tcW w:w="4656" w:type="dxa"/>
            <w:tcBorders>
              <w:top w:val="single" w:sz="4" w:space="0" w:color="000000"/>
              <w:left w:val="single" w:sz="4" w:space="0" w:color="000000"/>
              <w:bottom w:val="single" w:sz="4" w:space="0" w:color="000000"/>
              <w:right w:val="single" w:sz="4" w:space="0" w:color="000000"/>
            </w:tcBorders>
          </w:tcPr>
          <w:p w:rsidR="00496E03" w:rsidRPr="0055610F" w:rsidRDefault="00496E03" w:rsidP="004D5825">
            <w:pPr>
              <w:tabs>
                <w:tab w:val="left" w:pos="284"/>
              </w:tabs>
              <w:rPr>
                <w:sz w:val="22"/>
                <w:szCs w:val="22"/>
                <w:lang w:val="sr-Latn-ME"/>
              </w:rPr>
            </w:pPr>
            <w:r w:rsidRPr="0055610F">
              <w:rPr>
                <w:sz w:val="22"/>
                <w:szCs w:val="22"/>
                <w:lang w:val="sr-Latn-ME"/>
              </w:rPr>
              <w:t>Tokom 1. ciklusa indukcione terapije, prednizon se daje kao dio ciklusa hemioterapije, i treba ga prim</w:t>
            </w:r>
            <w:r w:rsidR="00AD4E16" w:rsidRPr="0055610F">
              <w:rPr>
                <w:sz w:val="22"/>
                <w:szCs w:val="22"/>
                <w:lang w:val="sr-Latn-ME"/>
              </w:rPr>
              <w:t>i</w:t>
            </w:r>
            <w:r w:rsidRPr="0055610F">
              <w:rPr>
                <w:sz w:val="22"/>
                <w:szCs w:val="22"/>
                <w:lang w:val="sr-Latn-ME"/>
              </w:rPr>
              <w:t>jeniti pr</w:t>
            </w:r>
            <w:r w:rsidR="00AD4E16" w:rsidRPr="0055610F">
              <w:rPr>
                <w:sz w:val="22"/>
                <w:szCs w:val="22"/>
                <w:lang w:val="sr-Latn-ME"/>
              </w:rPr>
              <w:t>ij</w:t>
            </w:r>
            <w:r w:rsidRPr="0055610F">
              <w:rPr>
                <w:sz w:val="22"/>
                <w:szCs w:val="22"/>
                <w:lang w:val="sr-Latn-ME"/>
              </w:rPr>
              <w:t xml:space="preserve">e primjene lijeka MabThera </w:t>
            </w:r>
          </w:p>
        </w:tc>
      </w:tr>
      <w:tr w:rsidR="00496E03" w:rsidRPr="00FB34CE" w:rsidTr="007B7C69">
        <w:trPr>
          <w:trHeight w:val="471"/>
        </w:trPr>
        <w:tc>
          <w:tcPr>
            <w:tcW w:w="9061" w:type="dxa"/>
            <w:vMerge/>
            <w:tcBorders>
              <w:top w:val="single" w:sz="4" w:space="0" w:color="000000"/>
              <w:left w:val="single" w:sz="4" w:space="0" w:color="000000"/>
              <w:bottom w:val="single" w:sz="4" w:space="0" w:color="000000"/>
              <w:right w:val="single" w:sz="4" w:space="0" w:color="000000"/>
            </w:tcBorders>
            <w:vAlign w:val="center"/>
            <w:hideMark/>
          </w:tcPr>
          <w:p w:rsidR="00496E03" w:rsidRPr="0055610F" w:rsidRDefault="00496E03" w:rsidP="004D5825">
            <w:pPr>
              <w:tabs>
                <w:tab w:val="left" w:pos="284"/>
              </w:tabs>
              <w:rPr>
                <w:sz w:val="22"/>
                <w:szCs w:val="22"/>
                <w:lang w:val="sr-Latn-ME"/>
              </w:rPr>
            </w:pPr>
          </w:p>
        </w:tc>
        <w:tc>
          <w:tcPr>
            <w:tcW w:w="2476"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1. dan</w:t>
            </w:r>
          </w:p>
          <w:p w:rsidR="00496E03" w:rsidRPr="0055610F" w:rsidRDefault="00496E03" w:rsidP="004D5825">
            <w:pPr>
              <w:tabs>
                <w:tab w:val="left" w:pos="284"/>
              </w:tabs>
              <w:rPr>
                <w:sz w:val="22"/>
                <w:szCs w:val="22"/>
                <w:lang w:val="sr-Latn-ME"/>
              </w:rPr>
            </w:pPr>
            <w:r w:rsidRPr="0055610F">
              <w:rPr>
                <w:sz w:val="22"/>
                <w:szCs w:val="22"/>
                <w:lang w:val="sr-Latn-ME"/>
              </w:rPr>
              <w:t>2</w:t>
            </w:r>
            <w:r w:rsidRPr="0055610F">
              <w:rPr>
                <w:sz w:val="22"/>
                <w:szCs w:val="22"/>
                <w:vertAlign w:val="superscript"/>
                <w:lang w:val="sr-Latn-ME"/>
              </w:rPr>
              <w:t xml:space="preserve">. </w:t>
            </w:r>
            <w:r w:rsidRPr="0055610F">
              <w:rPr>
                <w:sz w:val="22"/>
                <w:szCs w:val="22"/>
                <w:lang w:val="sr-Latn-ME"/>
              </w:rPr>
              <w:t>infuzija lijeka Mabthera</w:t>
            </w:r>
          </w:p>
        </w:tc>
        <w:tc>
          <w:tcPr>
            <w:tcW w:w="4656" w:type="dxa"/>
            <w:tcBorders>
              <w:top w:val="single" w:sz="4" w:space="0" w:color="000000"/>
              <w:left w:val="single" w:sz="4" w:space="0" w:color="000000"/>
              <w:bottom w:val="single" w:sz="4" w:space="0" w:color="000000"/>
              <w:right w:val="single" w:sz="4" w:space="0" w:color="000000"/>
            </w:tcBorders>
          </w:tcPr>
          <w:p w:rsidR="00496E03" w:rsidRPr="0055610F" w:rsidRDefault="00496E03" w:rsidP="004D5825">
            <w:pPr>
              <w:tabs>
                <w:tab w:val="left" w:pos="284"/>
              </w:tabs>
              <w:rPr>
                <w:sz w:val="22"/>
                <w:szCs w:val="22"/>
                <w:lang w:val="sr-Latn-ME"/>
              </w:rPr>
            </w:pPr>
            <w:r w:rsidRPr="0055610F">
              <w:rPr>
                <w:sz w:val="22"/>
                <w:szCs w:val="22"/>
                <w:lang w:val="sr-Latn-ME"/>
              </w:rPr>
              <w:t>Lijek MabThera treba prim</w:t>
            </w:r>
            <w:r w:rsidR="00AD4E16" w:rsidRPr="0055610F">
              <w:rPr>
                <w:sz w:val="22"/>
                <w:szCs w:val="22"/>
                <w:lang w:val="sr-Latn-ME"/>
              </w:rPr>
              <w:t>i</w:t>
            </w:r>
            <w:r w:rsidRPr="0055610F">
              <w:rPr>
                <w:sz w:val="22"/>
                <w:szCs w:val="22"/>
                <w:lang w:val="sr-Latn-ME"/>
              </w:rPr>
              <w:t>jeniti u roku od 48h od primjene prve infuzije lijeka MabThera</w:t>
            </w:r>
          </w:p>
          <w:p w:rsidR="00496E03" w:rsidRPr="0055610F" w:rsidRDefault="00496E03" w:rsidP="004D5825">
            <w:pPr>
              <w:tabs>
                <w:tab w:val="left" w:pos="284"/>
              </w:tabs>
              <w:rPr>
                <w:sz w:val="22"/>
                <w:szCs w:val="22"/>
                <w:lang w:val="sr-Latn-ME"/>
              </w:rPr>
            </w:pPr>
          </w:p>
        </w:tc>
      </w:tr>
      <w:tr w:rsidR="00496E03" w:rsidRPr="00FB34CE" w:rsidTr="007B7C69">
        <w:trPr>
          <w:trHeight w:val="471"/>
        </w:trPr>
        <w:tc>
          <w:tcPr>
            <w:tcW w:w="1929" w:type="dxa"/>
            <w:vMerge w:val="restart"/>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2. ciklus indukcione terapije</w:t>
            </w:r>
          </w:p>
          <w:p w:rsidR="00496E03" w:rsidRPr="0055610F" w:rsidRDefault="00496E03" w:rsidP="004D5825">
            <w:pPr>
              <w:tabs>
                <w:tab w:val="left" w:pos="284"/>
              </w:tabs>
              <w:rPr>
                <w:sz w:val="22"/>
                <w:szCs w:val="22"/>
                <w:lang w:val="sr-Latn-ME"/>
              </w:rPr>
            </w:pPr>
            <w:r w:rsidRPr="0055610F">
              <w:rPr>
                <w:sz w:val="22"/>
                <w:szCs w:val="22"/>
                <w:lang w:val="sr-Latn-ME"/>
              </w:rPr>
              <w:t>(COPDAM2)</w:t>
            </w:r>
          </w:p>
        </w:tc>
        <w:tc>
          <w:tcPr>
            <w:tcW w:w="2476"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 xml:space="preserve">2. dan </w:t>
            </w:r>
          </w:p>
          <w:p w:rsidR="00496E03" w:rsidRPr="0055610F" w:rsidRDefault="00496E03" w:rsidP="004D5825">
            <w:pPr>
              <w:tabs>
                <w:tab w:val="left" w:pos="284"/>
              </w:tabs>
              <w:rPr>
                <w:sz w:val="22"/>
                <w:szCs w:val="22"/>
                <w:lang w:val="sr-Latn-ME"/>
              </w:rPr>
            </w:pPr>
            <w:r w:rsidRPr="0055610F">
              <w:rPr>
                <w:sz w:val="22"/>
                <w:szCs w:val="22"/>
                <w:lang w:val="sr-Latn-ME"/>
              </w:rPr>
              <w:t>3. infuzija lijeka MabThera</w:t>
            </w:r>
          </w:p>
        </w:tc>
        <w:tc>
          <w:tcPr>
            <w:tcW w:w="4656" w:type="dxa"/>
            <w:tcBorders>
              <w:top w:val="single" w:sz="4" w:space="0" w:color="000000"/>
              <w:left w:val="single" w:sz="4" w:space="0" w:color="000000"/>
              <w:bottom w:val="single" w:sz="4" w:space="0" w:color="000000"/>
              <w:right w:val="single" w:sz="4" w:space="0" w:color="000000"/>
            </w:tcBorders>
          </w:tcPr>
          <w:p w:rsidR="00496E03" w:rsidRPr="0055610F" w:rsidRDefault="00496E03" w:rsidP="004D5825">
            <w:pPr>
              <w:tabs>
                <w:tab w:val="left" w:pos="284"/>
              </w:tabs>
              <w:rPr>
                <w:sz w:val="22"/>
                <w:szCs w:val="22"/>
                <w:lang w:val="sr-Latn-ME"/>
              </w:rPr>
            </w:pPr>
            <w:r w:rsidRPr="0055610F">
              <w:rPr>
                <w:sz w:val="22"/>
                <w:szCs w:val="22"/>
                <w:lang w:val="sr-Latn-ME"/>
              </w:rPr>
              <w:t>U 2. ciklusu indukcione terapije prednizon se ne daje u vrijeme primjene lijeka MabThera</w:t>
            </w:r>
          </w:p>
        </w:tc>
      </w:tr>
      <w:tr w:rsidR="00496E03" w:rsidRPr="00FB34CE" w:rsidTr="007B7C69">
        <w:trPr>
          <w:trHeight w:val="471"/>
        </w:trPr>
        <w:tc>
          <w:tcPr>
            <w:tcW w:w="9061" w:type="dxa"/>
            <w:vMerge/>
            <w:tcBorders>
              <w:top w:val="single" w:sz="4" w:space="0" w:color="000000"/>
              <w:left w:val="single" w:sz="4" w:space="0" w:color="000000"/>
              <w:bottom w:val="single" w:sz="4" w:space="0" w:color="000000"/>
              <w:right w:val="single" w:sz="4" w:space="0" w:color="000000"/>
            </w:tcBorders>
            <w:vAlign w:val="center"/>
            <w:hideMark/>
          </w:tcPr>
          <w:p w:rsidR="00496E03" w:rsidRPr="0055610F" w:rsidRDefault="00496E03" w:rsidP="004D5825">
            <w:pPr>
              <w:tabs>
                <w:tab w:val="left" w:pos="284"/>
              </w:tabs>
              <w:rPr>
                <w:sz w:val="22"/>
                <w:szCs w:val="22"/>
                <w:lang w:val="sr-Latn-ME"/>
              </w:rPr>
            </w:pPr>
          </w:p>
        </w:tc>
        <w:tc>
          <w:tcPr>
            <w:tcW w:w="2476"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1. dan</w:t>
            </w:r>
          </w:p>
          <w:p w:rsidR="00496E03" w:rsidRPr="0055610F" w:rsidRDefault="00496E03" w:rsidP="004D5825">
            <w:pPr>
              <w:tabs>
                <w:tab w:val="left" w:pos="284"/>
              </w:tabs>
              <w:rPr>
                <w:sz w:val="22"/>
                <w:szCs w:val="22"/>
                <w:lang w:val="sr-Latn-ME"/>
              </w:rPr>
            </w:pPr>
            <w:r w:rsidRPr="0055610F">
              <w:rPr>
                <w:sz w:val="22"/>
                <w:szCs w:val="22"/>
                <w:lang w:val="sr-Latn-ME"/>
              </w:rPr>
              <w:t>4. infuzija lijeka MabThera</w:t>
            </w:r>
          </w:p>
        </w:tc>
        <w:tc>
          <w:tcPr>
            <w:tcW w:w="4656" w:type="dxa"/>
            <w:tcBorders>
              <w:top w:val="single" w:sz="4" w:space="0" w:color="000000"/>
              <w:left w:val="single" w:sz="4" w:space="0" w:color="000000"/>
              <w:bottom w:val="single" w:sz="4" w:space="0" w:color="000000"/>
              <w:right w:val="single" w:sz="4" w:space="0" w:color="000000"/>
            </w:tcBorders>
          </w:tcPr>
          <w:p w:rsidR="00496E03" w:rsidRPr="0055610F" w:rsidRDefault="00496E03" w:rsidP="004D5825">
            <w:pPr>
              <w:tabs>
                <w:tab w:val="left" w:pos="284"/>
              </w:tabs>
              <w:rPr>
                <w:sz w:val="22"/>
                <w:szCs w:val="22"/>
                <w:lang w:val="sr-Latn-ME"/>
              </w:rPr>
            </w:pPr>
            <w:r w:rsidRPr="0055610F">
              <w:rPr>
                <w:sz w:val="22"/>
                <w:szCs w:val="22"/>
                <w:lang w:val="sr-Latn-ME"/>
              </w:rPr>
              <w:t>Lijek MabThera se primjenjuje 48 sati nakon treće infuzije lijeka MabThera</w:t>
            </w:r>
          </w:p>
          <w:p w:rsidR="00496E03" w:rsidRPr="0055610F" w:rsidRDefault="00496E03" w:rsidP="004D5825">
            <w:pPr>
              <w:tabs>
                <w:tab w:val="left" w:pos="284"/>
              </w:tabs>
              <w:rPr>
                <w:sz w:val="22"/>
                <w:szCs w:val="22"/>
                <w:lang w:val="sr-Latn-ME"/>
              </w:rPr>
            </w:pPr>
          </w:p>
        </w:tc>
      </w:tr>
      <w:tr w:rsidR="00496E03" w:rsidRPr="00FB34CE" w:rsidTr="007B7C69">
        <w:trPr>
          <w:trHeight w:val="471"/>
        </w:trPr>
        <w:tc>
          <w:tcPr>
            <w:tcW w:w="1929"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1. ciklus terapije konsolidacije</w:t>
            </w:r>
          </w:p>
          <w:p w:rsidR="00496E03" w:rsidRPr="0055610F" w:rsidRDefault="00496E03" w:rsidP="004D5825">
            <w:pPr>
              <w:tabs>
                <w:tab w:val="left" w:pos="284"/>
              </w:tabs>
              <w:rPr>
                <w:sz w:val="22"/>
                <w:szCs w:val="22"/>
                <w:lang w:val="sr-Latn-ME"/>
              </w:rPr>
            </w:pPr>
            <w:r w:rsidRPr="0055610F">
              <w:rPr>
                <w:sz w:val="22"/>
                <w:szCs w:val="22"/>
                <w:lang w:val="sr-Latn-ME"/>
              </w:rPr>
              <w:t>(CYM/CYVE)</w:t>
            </w:r>
          </w:p>
        </w:tc>
        <w:tc>
          <w:tcPr>
            <w:tcW w:w="2476"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1. dan</w:t>
            </w:r>
          </w:p>
          <w:p w:rsidR="00496E03" w:rsidRPr="0055610F" w:rsidRDefault="00496E03" w:rsidP="004D5825">
            <w:pPr>
              <w:tabs>
                <w:tab w:val="left" w:pos="284"/>
              </w:tabs>
              <w:rPr>
                <w:sz w:val="22"/>
                <w:szCs w:val="22"/>
                <w:lang w:val="sr-Latn-ME"/>
              </w:rPr>
            </w:pPr>
            <w:r w:rsidRPr="0055610F">
              <w:rPr>
                <w:sz w:val="22"/>
                <w:szCs w:val="22"/>
                <w:lang w:val="sr-Latn-ME"/>
              </w:rPr>
              <w:t>5. infuzija lijeka MabThera</w:t>
            </w:r>
          </w:p>
        </w:tc>
        <w:tc>
          <w:tcPr>
            <w:tcW w:w="4656" w:type="dxa"/>
            <w:tcBorders>
              <w:top w:val="single" w:sz="4" w:space="0" w:color="000000"/>
              <w:left w:val="single" w:sz="4" w:space="0" w:color="000000"/>
              <w:bottom w:val="single" w:sz="4" w:space="0" w:color="000000"/>
              <w:right w:val="single" w:sz="4" w:space="0" w:color="000000"/>
            </w:tcBorders>
          </w:tcPr>
          <w:p w:rsidR="00496E03" w:rsidRPr="0055610F" w:rsidRDefault="00496E03" w:rsidP="004D5825">
            <w:pPr>
              <w:tabs>
                <w:tab w:val="left" w:pos="284"/>
              </w:tabs>
              <w:rPr>
                <w:sz w:val="22"/>
                <w:szCs w:val="22"/>
                <w:lang w:val="sr-Latn-ME"/>
              </w:rPr>
            </w:pPr>
            <w:r w:rsidRPr="0055610F">
              <w:rPr>
                <w:sz w:val="22"/>
                <w:szCs w:val="22"/>
                <w:lang w:val="sr-Latn-ME"/>
              </w:rPr>
              <w:t>Prednizon se ne daje u trenutku primjene lijeka MabThera</w:t>
            </w:r>
          </w:p>
        </w:tc>
      </w:tr>
      <w:tr w:rsidR="00496E03" w:rsidRPr="00FB34CE" w:rsidTr="007B7C69">
        <w:trPr>
          <w:trHeight w:val="471"/>
        </w:trPr>
        <w:tc>
          <w:tcPr>
            <w:tcW w:w="1929"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2. ciklus terapije konsolidacije</w:t>
            </w:r>
          </w:p>
          <w:p w:rsidR="00496E03" w:rsidRPr="0055610F" w:rsidRDefault="00496E03" w:rsidP="004D5825">
            <w:pPr>
              <w:tabs>
                <w:tab w:val="left" w:pos="284"/>
              </w:tabs>
              <w:rPr>
                <w:sz w:val="22"/>
                <w:szCs w:val="22"/>
                <w:lang w:val="sr-Latn-ME"/>
              </w:rPr>
            </w:pPr>
            <w:r w:rsidRPr="0055610F">
              <w:rPr>
                <w:sz w:val="22"/>
                <w:szCs w:val="22"/>
                <w:lang w:val="sr-Latn-ME"/>
              </w:rPr>
              <w:t>(CYM/CYVE)</w:t>
            </w:r>
          </w:p>
        </w:tc>
        <w:tc>
          <w:tcPr>
            <w:tcW w:w="2476"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1. dan</w:t>
            </w:r>
          </w:p>
          <w:p w:rsidR="00496E03" w:rsidRPr="0055610F" w:rsidRDefault="00496E03" w:rsidP="004D5825">
            <w:pPr>
              <w:tabs>
                <w:tab w:val="left" w:pos="284"/>
              </w:tabs>
              <w:rPr>
                <w:sz w:val="22"/>
                <w:szCs w:val="22"/>
                <w:lang w:val="sr-Latn-ME"/>
              </w:rPr>
            </w:pPr>
            <w:r w:rsidRPr="0055610F">
              <w:rPr>
                <w:sz w:val="22"/>
                <w:szCs w:val="22"/>
                <w:lang w:val="sr-Latn-ME"/>
              </w:rPr>
              <w:t>6. infuzija lijeka MabThera</w:t>
            </w:r>
          </w:p>
        </w:tc>
        <w:tc>
          <w:tcPr>
            <w:tcW w:w="4656" w:type="dxa"/>
            <w:tcBorders>
              <w:top w:val="single" w:sz="4" w:space="0" w:color="000000"/>
              <w:left w:val="single" w:sz="4" w:space="0" w:color="000000"/>
              <w:bottom w:val="single" w:sz="4" w:space="0" w:color="000000"/>
              <w:right w:val="single" w:sz="4" w:space="0" w:color="000000"/>
            </w:tcBorders>
          </w:tcPr>
          <w:p w:rsidR="00496E03" w:rsidRPr="0055610F" w:rsidRDefault="00496E03" w:rsidP="004D5825">
            <w:pPr>
              <w:tabs>
                <w:tab w:val="left" w:pos="284"/>
              </w:tabs>
              <w:rPr>
                <w:sz w:val="22"/>
                <w:szCs w:val="22"/>
                <w:lang w:val="sr-Latn-ME"/>
              </w:rPr>
            </w:pPr>
            <w:r w:rsidRPr="0055610F">
              <w:rPr>
                <w:sz w:val="22"/>
                <w:szCs w:val="22"/>
                <w:lang w:val="sr-Latn-ME"/>
              </w:rPr>
              <w:t>Prednizon se ne daje u trenutku primjene lijeka MabThera</w:t>
            </w:r>
          </w:p>
        </w:tc>
      </w:tr>
      <w:tr w:rsidR="00496E03" w:rsidRPr="00FB34CE" w:rsidTr="007B7C69">
        <w:trPr>
          <w:trHeight w:val="471"/>
        </w:trPr>
        <w:tc>
          <w:tcPr>
            <w:tcW w:w="1929"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1. ciklus terapije održavanja (M1)</w:t>
            </w:r>
          </w:p>
        </w:tc>
        <w:tc>
          <w:tcPr>
            <w:tcW w:w="2476"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od 25. do 28. dana 2. ciklusa terapije konsolidacije (CYVE)</w:t>
            </w:r>
          </w:p>
          <w:p w:rsidR="00496E03" w:rsidRPr="0055610F" w:rsidRDefault="00496E03" w:rsidP="004D5825">
            <w:pPr>
              <w:tabs>
                <w:tab w:val="left" w:pos="284"/>
              </w:tabs>
              <w:rPr>
                <w:sz w:val="22"/>
                <w:szCs w:val="22"/>
                <w:lang w:val="sr-Latn-ME"/>
              </w:rPr>
            </w:pPr>
            <w:r w:rsidRPr="0055610F">
              <w:rPr>
                <w:sz w:val="22"/>
                <w:szCs w:val="22"/>
                <w:lang w:val="sr-Latn-ME"/>
              </w:rPr>
              <w:t>Lijek MabThera se ne primjenjuje</w:t>
            </w:r>
          </w:p>
        </w:tc>
        <w:tc>
          <w:tcPr>
            <w:tcW w:w="4656" w:type="dxa"/>
            <w:tcBorders>
              <w:top w:val="single" w:sz="4" w:space="0" w:color="000000"/>
              <w:left w:val="single" w:sz="4" w:space="0" w:color="000000"/>
              <w:bottom w:val="single" w:sz="4" w:space="0" w:color="000000"/>
              <w:right w:val="single" w:sz="4" w:space="0" w:color="000000"/>
            </w:tcBorders>
          </w:tcPr>
          <w:p w:rsidR="00496E03" w:rsidRPr="0055610F" w:rsidRDefault="00496E03" w:rsidP="004D5825">
            <w:pPr>
              <w:tabs>
                <w:tab w:val="left" w:pos="284"/>
              </w:tabs>
              <w:rPr>
                <w:sz w:val="22"/>
                <w:szCs w:val="22"/>
                <w:lang w:val="sr-Latn-ME"/>
              </w:rPr>
            </w:pPr>
            <w:r w:rsidRPr="0055610F">
              <w:rPr>
                <w:sz w:val="22"/>
                <w:szCs w:val="22"/>
                <w:lang w:val="sr-Latn-ME"/>
              </w:rPr>
              <w:t>Počinje  kada se obnovi broj ćelija u perifernoj krvi nakon 2. ciklusa terapije konsolidacije (CYVE), uz ABN &gt; 1.0 x 10</w:t>
            </w:r>
            <w:r w:rsidRPr="0055610F">
              <w:rPr>
                <w:sz w:val="22"/>
                <w:szCs w:val="22"/>
                <w:vertAlign w:val="superscript"/>
                <w:lang w:val="sr-Latn-ME"/>
              </w:rPr>
              <w:t>9</w:t>
            </w:r>
            <w:r w:rsidRPr="0055610F">
              <w:rPr>
                <w:sz w:val="22"/>
                <w:szCs w:val="22"/>
                <w:lang w:val="sr-Latn-ME"/>
              </w:rPr>
              <w:t>/L i broj trombocita &gt; 100 x 10</w:t>
            </w:r>
            <w:r w:rsidRPr="0055610F">
              <w:rPr>
                <w:sz w:val="22"/>
                <w:szCs w:val="22"/>
                <w:vertAlign w:val="superscript"/>
                <w:lang w:val="sr-Latn-ME"/>
              </w:rPr>
              <w:t>9</w:t>
            </w:r>
            <w:r w:rsidRPr="0055610F">
              <w:rPr>
                <w:sz w:val="22"/>
                <w:szCs w:val="22"/>
                <w:lang w:val="sr-Latn-ME"/>
              </w:rPr>
              <w:t xml:space="preserve">/L </w:t>
            </w:r>
          </w:p>
        </w:tc>
      </w:tr>
      <w:tr w:rsidR="00496E03" w:rsidRPr="007642DC" w:rsidTr="007B7C69">
        <w:trPr>
          <w:trHeight w:val="471"/>
        </w:trPr>
        <w:tc>
          <w:tcPr>
            <w:tcW w:w="1929"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2. ciklus terapije održavanja (M2)</w:t>
            </w:r>
          </w:p>
        </w:tc>
        <w:tc>
          <w:tcPr>
            <w:tcW w:w="2476"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28. dan 1. ciklusa terapije održavanja (M1)</w:t>
            </w:r>
          </w:p>
          <w:p w:rsidR="00496E03" w:rsidRPr="0055610F" w:rsidRDefault="00496E03" w:rsidP="004D5825">
            <w:pPr>
              <w:tabs>
                <w:tab w:val="left" w:pos="284"/>
              </w:tabs>
              <w:rPr>
                <w:sz w:val="22"/>
                <w:szCs w:val="22"/>
                <w:lang w:val="sr-Latn-ME"/>
              </w:rPr>
            </w:pPr>
            <w:r w:rsidRPr="0055610F">
              <w:rPr>
                <w:sz w:val="22"/>
                <w:szCs w:val="22"/>
                <w:lang w:val="sr-Latn-ME"/>
              </w:rPr>
              <w:t>Lijek MabThera se ne primenjuje</w:t>
            </w:r>
          </w:p>
        </w:tc>
        <w:tc>
          <w:tcPr>
            <w:tcW w:w="4656"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jc w:val="both"/>
              <w:rPr>
                <w:sz w:val="22"/>
                <w:szCs w:val="22"/>
                <w:lang w:val="sr-Latn-ME"/>
              </w:rPr>
            </w:pPr>
            <w:r w:rsidRPr="0055610F">
              <w:rPr>
                <w:sz w:val="22"/>
                <w:szCs w:val="22"/>
                <w:lang w:val="sr-Latn-ME"/>
              </w:rPr>
              <w:t>-</w:t>
            </w:r>
          </w:p>
        </w:tc>
      </w:tr>
      <w:tr w:rsidR="00496E03" w:rsidRPr="007642DC" w:rsidTr="007B7C69">
        <w:trPr>
          <w:trHeight w:val="471"/>
        </w:trPr>
        <w:tc>
          <w:tcPr>
            <w:tcW w:w="9061" w:type="dxa"/>
            <w:gridSpan w:val="3"/>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spacing w:after="160" w:line="256" w:lineRule="auto"/>
              <w:jc w:val="both"/>
              <w:rPr>
                <w:sz w:val="22"/>
                <w:szCs w:val="22"/>
                <w:lang w:val="sr-Latn-ME"/>
              </w:rPr>
            </w:pPr>
            <w:r w:rsidRPr="0055610F">
              <w:rPr>
                <w:sz w:val="22"/>
                <w:szCs w:val="22"/>
                <w:lang w:val="sr-Latn-ME"/>
              </w:rPr>
              <w:t xml:space="preserve">ABN = apsolutni broj neutrofila; COP = ciklofosfamid, vinkristin, prednizon; COPDAM = ciklofosfamid, vinkristin, prednizon, doksorubicin, metotreksat; CYM = citarabin (Aracytine, Ara-C), metotreksat; CYVE = citarabin (Aracytine, Ara-C), Vepesid (VP16) </w:t>
            </w:r>
          </w:p>
        </w:tc>
      </w:tr>
    </w:tbl>
    <w:p w:rsidR="00496E03" w:rsidRPr="0055610F" w:rsidRDefault="00496E03" w:rsidP="004D5825">
      <w:pPr>
        <w:tabs>
          <w:tab w:val="left" w:pos="284"/>
        </w:tabs>
        <w:jc w:val="both"/>
        <w:rPr>
          <w:sz w:val="22"/>
          <w:szCs w:val="22"/>
          <w:lang w:val="sr-Latn-ME"/>
        </w:rPr>
      </w:pPr>
    </w:p>
    <w:p w:rsidR="008313EA" w:rsidRDefault="008313EA" w:rsidP="004D5825">
      <w:pPr>
        <w:tabs>
          <w:tab w:val="left" w:pos="284"/>
        </w:tabs>
        <w:jc w:val="both"/>
        <w:rPr>
          <w:b/>
          <w:sz w:val="22"/>
          <w:szCs w:val="22"/>
          <w:lang w:val="sr-Latn-ME"/>
        </w:rPr>
      </w:pPr>
    </w:p>
    <w:p w:rsidR="008313EA" w:rsidRDefault="008313EA" w:rsidP="004D5825">
      <w:pPr>
        <w:tabs>
          <w:tab w:val="left" w:pos="284"/>
        </w:tabs>
        <w:jc w:val="both"/>
        <w:rPr>
          <w:b/>
          <w:sz w:val="22"/>
          <w:szCs w:val="22"/>
          <w:lang w:val="sr-Latn-ME"/>
        </w:rPr>
      </w:pPr>
    </w:p>
    <w:p w:rsidR="008313EA" w:rsidRDefault="008313EA" w:rsidP="004D5825">
      <w:pPr>
        <w:tabs>
          <w:tab w:val="left" w:pos="284"/>
        </w:tabs>
        <w:jc w:val="both"/>
        <w:rPr>
          <w:b/>
          <w:sz w:val="22"/>
          <w:szCs w:val="22"/>
          <w:lang w:val="sr-Latn-ME"/>
        </w:rPr>
      </w:pPr>
    </w:p>
    <w:p w:rsidR="008313EA" w:rsidRDefault="008313EA" w:rsidP="004D5825">
      <w:pPr>
        <w:tabs>
          <w:tab w:val="left" w:pos="284"/>
        </w:tabs>
        <w:jc w:val="both"/>
        <w:rPr>
          <w:b/>
          <w:sz w:val="22"/>
          <w:szCs w:val="22"/>
          <w:lang w:val="sr-Latn-ME"/>
        </w:rPr>
      </w:pPr>
    </w:p>
    <w:p w:rsidR="00496E03" w:rsidRDefault="00496E03" w:rsidP="004D5825">
      <w:pPr>
        <w:tabs>
          <w:tab w:val="left" w:pos="284"/>
        </w:tabs>
        <w:jc w:val="both"/>
        <w:rPr>
          <w:b/>
          <w:sz w:val="22"/>
          <w:szCs w:val="22"/>
          <w:lang w:val="sr-Latn-ME"/>
        </w:rPr>
      </w:pPr>
      <w:r w:rsidRPr="0055610F">
        <w:rPr>
          <w:b/>
          <w:sz w:val="22"/>
          <w:szCs w:val="22"/>
          <w:lang w:val="sr-Latn-ME"/>
        </w:rPr>
        <w:lastRenderedPageBreak/>
        <w:t xml:space="preserve">Tabela 2 Terapijski plan za pedijatrijske pacijente sa </w:t>
      </w:r>
      <w:r w:rsidRPr="0055610F">
        <w:rPr>
          <w:b/>
          <w:i/>
          <w:sz w:val="22"/>
          <w:szCs w:val="22"/>
          <w:lang w:val="sr-Latn-ME"/>
        </w:rPr>
        <w:t>non-Hodgkin</w:t>
      </w:r>
      <w:r w:rsidRPr="0055610F">
        <w:rPr>
          <w:b/>
          <w:sz w:val="22"/>
          <w:szCs w:val="22"/>
          <w:lang w:val="sr-Latn-ME"/>
        </w:rPr>
        <w:t>-ovim limfomom: konkomitantna primjena lijeka MabThera sa hemioterapijom</w:t>
      </w:r>
    </w:p>
    <w:p w:rsidR="0055610F" w:rsidRPr="0055610F" w:rsidRDefault="0055610F" w:rsidP="004D5825">
      <w:pPr>
        <w:tabs>
          <w:tab w:val="left" w:pos="284"/>
        </w:tabs>
        <w:jc w:val="both"/>
        <w:rPr>
          <w:b/>
          <w:sz w:val="22"/>
          <w:szCs w:val="22"/>
          <w:lang w:val="sr-Latn-ME"/>
        </w:rPr>
      </w:pPr>
    </w:p>
    <w:p w:rsidR="007B7C69" w:rsidRPr="0055610F" w:rsidRDefault="007B7C69" w:rsidP="004D5825">
      <w:pPr>
        <w:tabs>
          <w:tab w:val="left" w:pos="284"/>
        </w:tabs>
        <w:jc w:val="both"/>
        <w:rPr>
          <w:sz w:val="22"/>
          <w:szCs w:val="22"/>
          <w:lang w:val="sr-Latn-ME"/>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0"/>
        <w:gridCol w:w="3702"/>
        <w:gridCol w:w="4119"/>
      </w:tblGrid>
      <w:tr w:rsidR="00496E03" w:rsidRPr="007642DC" w:rsidTr="00496E03">
        <w:trPr>
          <w:trHeight w:val="471"/>
        </w:trPr>
        <w:tc>
          <w:tcPr>
            <w:tcW w:w="1240"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jc w:val="both"/>
              <w:rPr>
                <w:b/>
                <w:sz w:val="22"/>
                <w:szCs w:val="22"/>
                <w:lang w:val="sr-Latn-ME"/>
              </w:rPr>
            </w:pPr>
            <w:r w:rsidRPr="0055610F">
              <w:rPr>
                <w:b/>
                <w:sz w:val="22"/>
                <w:szCs w:val="22"/>
                <w:lang w:val="sr-Latn-ME"/>
              </w:rPr>
              <w:t>Terapijski plan</w:t>
            </w:r>
          </w:p>
        </w:tc>
        <w:tc>
          <w:tcPr>
            <w:tcW w:w="3702"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b/>
                <w:sz w:val="22"/>
                <w:szCs w:val="22"/>
                <w:lang w:val="sr-Latn-ME"/>
              </w:rPr>
            </w:pPr>
            <w:r w:rsidRPr="0055610F">
              <w:rPr>
                <w:b/>
                <w:sz w:val="22"/>
                <w:szCs w:val="22"/>
                <w:lang w:val="sr-Latn-ME"/>
              </w:rPr>
              <w:t>Stadijum bolesti</w:t>
            </w:r>
          </w:p>
        </w:tc>
        <w:tc>
          <w:tcPr>
            <w:tcW w:w="4119"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b/>
                <w:sz w:val="22"/>
                <w:szCs w:val="22"/>
                <w:lang w:val="sr-Latn-ME"/>
              </w:rPr>
            </w:pPr>
            <w:r w:rsidRPr="0055610F">
              <w:rPr>
                <w:b/>
                <w:sz w:val="22"/>
                <w:szCs w:val="22"/>
                <w:lang w:val="sr-Latn-ME"/>
              </w:rPr>
              <w:t>Detalji vezani za prim</w:t>
            </w:r>
            <w:r w:rsidR="004B21C8" w:rsidRPr="0055610F">
              <w:rPr>
                <w:b/>
                <w:sz w:val="22"/>
                <w:szCs w:val="22"/>
                <w:lang w:val="sr-Latn-ME"/>
              </w:rPr>
              <w:t>j</w:t>
            </w:r>
            <w:r w:rsidRPr="0055610F">
              <w:rPr>
                <w:b/>
                <w:sz w:val="22"/>
                <w:szCs w:val="22"/>
                <w:lang w:val="sr-Latn-ME"/>
              </w:rPr>
              <w:t>enu</w:t>
            </w:r>
          </w:p>
        </w:tc>
      </w:tr>
      <w:tr w:rsidR="00496E03" w:rsidRPr="00FB34CE" w:rsidTr="00496E03">
        <w:trPr>
          <w:trHeight w:val="471"/>
        </w:trPr>
        <w:tc>
          <w:tcPr>
            <w:tcW w:w="1240"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Grupa B</w:t>
            </w:r>
          </w:p>
        </w:tc>
        <w:tc>
          <w:tcPr>
            <w:tcW w:w="3702"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Bolest stadijuma III I visok nivo LDH (&gt;</w:t>
            </w:r>
            <w:r w:rsidR="004B21C8" w:rsidRPr="0055610F">
              <w:rPr>
                <w:sz w:val="22"/>
                <w:szCs w:val="22"/>
                <w:lang w:val="sr-Latn-ME"/>
              </w:rPr>
              <w:t xml:space="preserve"> </w:t>
            </w:r>
            <w:r w:rsidRPr="0055610F">
              <w:rPr>
                <w:sz w:val="22"/>
                <w:szCs w:val="22"/>
                <w:lang w:val="sr-Latn-ME"/>
              </w:rPr>
              <w:t>2 x iznad normale), bolest stadijuma IV koja ne zahvata SŽS</w:t>
            </w:r>
          </w:p>
        </w:tc>
        <w:tc>
          <w:tcPr>
            <w:tcW w:w="4119"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Predfaza i zatim 4 ciklusa: 2 ciklusa indukcione terapije (COPADM) uz visoku dozu metotreksata 3g/m</w:t>
            </w:r>
            <w:r w:rsidRPr="0055610F">
              <w:rPr>
                <w:sz w:val="22"/>
                <w:szCs w:val="22"/>
                <w:vertAlign w:val="superscript"/>
                <w:lang w:val="sr-Latn-ME"/>
              </w:rPr>
              <w:t xml:space="preserve">2 </w:t>
            </w:r>
            <w:r w:rsidRPr="0055610F">
              <w:rPr>
                <w:sz w:val="22"/>
                <w:szCs w:val="22"/>
                <w:lang w:val="sr-Latn-ME"/>
              </w:rPr>
              <w:t xml:space="preserve">i 2 ciklusa terapije konsolidacije (CYM) </w:t>
            </w:r>
          </w:p>
        </w:tc>
      </w:tr>
      <w:tr w:rsidR="00496E03" w:rsidRPr="00FB34CE" w:rsidTr="00496E03">
        <w:trPr>
          <w:trHeight w:val="471"/>
        </w:trPr>
        <w:tc>
          <w:tcPr>
            <w:tcW w:w="1240" w:type="dxa"/>
            <w:vMerge w:val="restart"/>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Grupa C</w:t>
            </w:r>
          </w:p>
        </w:tc>
        <w:tc>
          <w:tcPr>
            <w:tcW w:w="3702"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Grupa C1:</w:t>
            </w:r>
          </w:p>
          <w:p w:rsidR="00496E03" w:rsidRPr="0055610F" w:rsidRDefault="00496E03" w:rsidP="004D5825">
            <w:pPr>
              <w:tabs>
                <w:tab w:val="left" w:pos="284"/>
              </w:tabs>
              <w:rPr>
                <w:sz w:val="22"/>
                <w:szCs w:val="22"/>
                <w:lang w:val="sr-Latn-ME"/>
              </w:rPr>
            </w:pPr>
            <w:r w:rsidRPr="0055610F">
              <w:rPr>
                <w:sz w:val="22"/>
                <w:szCs w:val="22"/>
                <w:lang w:val="sr-Latn-ME"/>
              </w:rPr>
              <w:t>B-AL koji ne zahvata CNS te bolest stadijuma IV I B-AL koji ne zahvataju CNS, ali ne i cerebrospinalnu tečnost</w:t>
            </w:r>
          </w:p>
        </w:tc>
        <w:tc>
          <w:tcPr>
            <w:tcW w:w="4119" w:type="dxa"/>
            <w:vMerge w:val="restart"/>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 xml:space="preserve">Predfaza i zatim 6 ciklusa: 2 ciklusa indukcione terapije (COPADM) uz visoku dozu metotreksata 8g/m², 2 ciklusa terapije konsolidacije (CYVE) i 2 ciklusa terapije održavanja  (M1 and M2) </w:t>
            </w:r>
          </w:p>
        </w:tc>
      </w:tr>
      <w:tr w:rsidR="00496E03" w:rsidRPr="00FB34CE" w:rsidTr="00496E03">
        <w:trPr>
          <w:trHeight w:val="471"/>
        </w:trPr>
        <w:tc>
          <w:tcPr>
            <w:tcW w:w="9061" w:type="dxa"/>
            <w:vMerge/>
            <w:tcBorders>
              <w:top w:val="single" w:sz="4" w:space="0" w:color="000000"/>
              <w:left w:val="single" w:sz="4" w:space="0" w:color="000000"/>
              <w:bottom w:val="single" w:sz="4" w:space="0" w:color="000000"/>
              <w:right w:val="single" w:sz="4" w:space="0" w:color="000000"/>
            </w:tcBorders>
            <w:vAlign w:val="center"/>
            <w:hideMark/>
          </w:tcPr>
          <w:p w:rsidR="00496E03" w:rsidRPr="0055610F" w:rsidRDefault="00496E03" w:rsidP="004D5825">
            <w:pPr>
              <w:tabs>
                <w:tab w:val="left" w:pos="284"/>
              </w:tabs>
              <w:rPr>
                <w:sz w:val="22"/>
                <w:szCs w:val="22"/>
                <w:lang w:val="sr-Latn-ME"/>
              </w:rPr>
            </w:pPr>
          </w:p>
        </w:tc>
        <w:tc>
          <w:tcPr>
            <w:tcW w:w="3702" w:type="dxa"/>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rPr>
                <w:sz w:val="22"/>
                <w:szCs w:val="22"/>
                <w:lang w:val="sr-Latn-ME"/>
              </w:rPr>
            </w:pPr>
            <w:r w:rsidRPr="0055610F">
              <w:rPr>
                <w:sz w:val="22"/>
                <w:szCs w:val="22"/>
                <w:lang w:val="sr-Latn-ME"/>
              </w:rPr>
              <w:t>Grupa C3:</w:t>
            </w:r>
          </w:p>
          <w:p w:rsidR="00496E03" w:rsidRPr="0055610F" w:rsidRDefault="00496E03" w:rsidP="004D5825">
            <w:pPr>
              <w:tabs>
                <w:tab w:val="left" w:pos="284"/>
              </w:tabs>
              <w:rPr>
                <w:sz w:val="22"/>
                <w:szCs w:val="22"/>
                <w:lang w:val="sr-Latn-ME"/>
              </w:rPr>
            </w:pPr>
            <w:r w:rsidRPr="0055610F">
              <w:rPr>
                <w:sz w:val="22"/>
                <w:szCs w:val="22"/>
                <w:lang w:val="sr-Latn-ME"/>
              </w:rPr>
              <w:t>B-AL koji zahvata cerebrospinalnu tečnost, bolest stadijuma IV koja zahvata cerebrospinalnu tečnost</w:t>
            </w:r>
          </w:p>
        </w:tc>
        <w:tc>
          <w:tcPr>
            <w:tcW w:w="4119" w:type="dxa"/>
            <w:vMerge/>
            <w:tcBorders>
              <w:top w:val="single" w:sz="4" w:space="0" w:color="000000"/>
              <w:left w:val="single" w:sz="4" w:space="0" w:color="000000"/>
              <w:bottom w:val="single" w:sz="4" w:space="0" w:color="000000"/>
              <w:right w:val="single" w:sz="4" w:space="0" w:color="000000"/>
            </w:tcBorders>
            <w:vAlign w:val="center"/>
            <w:hideMark/>
          </w:tcPr>
          <w:p w:rsidR="00496E03" w:rsidRPr="0055610F" w:rsidRDefault="00496E03" w:rsidP="004D5825">
            <w:pPr>
              <w:tabs>
                <w:tab w:val="left" w:pos="284"/>
              </w:tabs>
              <w:jc w:val="both"/>
              <w:rPr>
                <w:sz w:val="22"/>
                <w:szCs w:val="22"/>
                <w:lang w:val="sr-Latn-ME"/>
              </w:rPr>
            </w:pPr>
          </w:p>
        </w:tc>
      </w:tr>
      <w:tr w:rsidR="00496E03" w:rsidRPr="00FB34CE" w:rsidTr="00496E03">
        <w:trPr>
          <w:trHeight w:val="471"/>
        </w:trPr>
        <w:tc>
          <w:tcPr>
            <w:tcW w:w="9061" w:type="dxa"/>
            <w:gridSpan w:val="3"/>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jc w:val="both"/>
              <w:rPr>
                <w:sz w:val="22"/>
                <w:szCs w:val="22"/>
                <w:lang w:val="sr-Latn-ME"/>
              </w:rPr>
            </w:pPr>
            <w:r w:rsidRPr="0055610F">
              <w:rPr>
                <w:sz w:val="22"/>
                <w:szCs w:val="22"/>
                <w:lang w:val="sr-Latn-ME"/>
              </w:rPr>
              <w:t>Cikluse treba primjeniti jedan za drugim čim se krvna slika oporavi, a pacijentovo stanje to dopusti, osim ciklusa terapije održavanja, koji se prim</w:t>
            </w:r>
            <w:r w:rsidR="004B21C8" w:rsidRPr="0055610F">
              <w:rPr>
                <w:sz w:val="22"/>
                <w:szCs w:val="22"/>
                <w:lang w:val="sr-Latn-ME"/>
              </w:rPr>
              <w:t>ij</w:t>
            </w:r>
            <w:r w:rsidRPr="0055610F">
              <w:rPr>
                <w:sz w:val="22"/>
                <w:szCs w:val="22"/>
                <w:lang w:val="sr-Latn-ME"/>
              </w:rPr>
              <w:t>enjuje u intervalima od 28 dana</w:t>
            </w:r>
          </w:p>
        </w:tc>
      </w:tr>
      <w:tr w:rsidR="00496E03" w:rsidRPr="00FB34CE" w:rsidTr="00496E03">
        <w:trPr>
          <w:trHeight w:val="471"/>
        </w:trPr>
        <w:tc>
          <w:tcPr>
            <w:tcW w:w="9061" w:type="dxa"/>
            <w:gridSpan w:val="3"/>
            <w:tcBorders>
              <w:top w:val="single" w:sz="4" w:space="0" w:color="000000"/>
              <w:left w:val="single" w:sz="4" w:space="0" w:color="000000"/>
              <w:bottom w:val="single" w:sz="4" w:space="0" w:color="000000"/>
              <w:right w:val="single" w:sz="4" w:space="0" w:color="000000"/>
            </w:tcBorders>
            <w:hideMark/>
          </w:tcPr>
          <w:p w:rsidR="00496E03" w:rsidRPr="0055610F" w:rsidRDefault="00496E03" w:rsidP="004D5825">
            <w:pPr>
              <w:tabs>
                <w:tab w:val="left" w:pos="284"/>
              </w:tabs>
              <w:spacing w:after="160" w:line="256" w:lineRule="auto"/>
              <w:jc w:val="both"/>
              <w:rPr>
                <w:sz w:val="22"/>
                <w:szCs w:val="22"/>
                <w:lang w:val="sr-Latn-ME"/>
              </w:rPr>
            </w:pPr>
            <w:r w:rsidRPr="0055610F">
              <w:rPr>
                <w:sz w:val="22"/>
                <w:szCs w:val="22"/>
                <w:lang w:val="sr-Latn-ME"/>
              </w:rPr>
              <w:t>B-AL = Burkitova leukemija (akutna leukemija zrelih B-limfocita); CST= cerebrospinalna tečnost; CNS = centralni nervni system; LDH = laktat-dehidrogenaza</w:t>
            </w:r>
          </w:p>
        </w:tc>
      </w:tr>
    </w:tbl>
    <w:p w:rsidR="00496E03" w:rsidRPr="0055610F" w:rsidRDefault="00496E03" w:rsidP="004D5825">
      <w:pPr>
        <w:jc w:val="both"/>
        <w:rPr>
          <w:sz w:val="22"/>
          <w:szCs w:val="22"/>
          <w:lang w:val="sr-Latn-ME"/>
        </w:rPr>
      </w:pPr>
    </w:p>
    <w:p w:rsidR="00496E03" w:rsidRPr="00DA475E" w:rsidRDefault="00496E03" w:rsidP="004D5825">
      <w:pPr>
        <w:jc w:val="both"/>
        <w:rPr>
          <w:i/>
          <w:sz w:val="22"/>
          <w:szCs w:val="22"/>
          <w:lang w:val="sr-Latn-ME"/>
        </w:rPr>
      </w:pPr>
      <w:r w:rsidRPr="00DA475E">
        <w:rPr>
          <w:i/>
          <w:sz w:val="22"/>
          <w:szCs w:val="22"/>
          <w:lang w:val="sr-Latn-ME"/>
        </w:rPr>
        <w:t>Granulomatoza sa poliangiitisom (GPA) i mikroskopski poliangitis (MPA)</w:t>
      </w:r>
    </w:p>
    <w:p w:rsidR="00496E03" w:rsidRPr="0055610F" w:rsidRDefault="00496E03" w:rsidP="004D5825">
      <w:pPr>
        <w:jc w:val="both"/>
        <w:rPr>
          <w:sz w:val="22"/>
          <w:szCs w:val="22"/>
          <w:lang w:val="sr-Latn-ME"/>
        </w:rPr>
      </w:pPr>
    </w:p>
    <w:p w:rsidR="00496E03" w:rsidRPr="00DA475E" w:rsidRDefault="00496E03" w:rsidP="004D5825">
      <w:pPr>
        <w:jc w:val="both"/>
        <w:rPr>
          <w:sz w:val="22"/>
          <w:szCs w:val="22"/>
          <w:lang w:val="sr-Latn-ME"/>
        </w:rPr>
      </w:pPr>
      <w:r w:rsidRPr="00DA475E">
        <w:rPr>
          <w:sz w:val="22"/>
          <w:szCs w:val="22"/>
          <w:lang w:val="sr-Latn-ME"/>
        </w:rPr>
        <w:t>Indukcija remisije</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Preporučeno doziranje lijeka MabThera za indukciju remisije kod pedijatrijskih pacijenata sa ozbiljnim, aktivnim GPA ili MPA je 375 mg/m</w:t>
      </w:r>
      <w:r w:rsidRPr="0055610F">
        <w:rPr>
          <w:sz w:val="22"/>
          <w:szCs w:val="22"/>
          <w:vertAlign w:val="superscript"/>
          <w:lang w:val="sr-Latn-ME"/>
        </w:rPr>
        <w:t xml:space="preserve">2 </w:t>
      </w:r>
      <w:r w:rsidRPr="0055610F">
        <w:rPr>
          <w:sz w:val="22"/>
          <w:szCs w:val="22"/>
          <w:lang w:val="sr-Latn-ME"/>
        </w:rPr>
        <w:t>tjelesne površine, prim</w:t>
      </w:r>
      <w:r w:rsidR="004B21C8" w:rsidRPr="0055610F">
        <w:rPr>
          <w:sz w:val="22"/>
          <w:szCs w:val="22"/>
          <w:lang w:val="sr-Latn-ME"/>
        </w:rPr>
        <w:t>i</w:t>
      </w:r>
      <w:r w:rsidRPr="0055610F">
        <w:rPr>
          <w:sz w:val="22"/>
          <w:szCs w:val="22"/>
          <w:lang w:val="sr-Latn-ME"/>
        </w:rPr>
        <w:t>jenjeno u vidu intravenske infuzije, ned</w:t>
      </w:r>
      <w:r w:rsidR="004B21C8" w:rsidRPr="0055610F">
        <w:rPr>
          <w:sz w:val="22"/>
          <w:szCs w:val="22"/>
          <w:lang w:val="sr-Latn-ME"/>
        </w:rPr>
        <w:t>j</w:t>
      </w:r>
      <w:r w:rsidRPr="0055610F">
        <w:rPr>
          <w:sz w:val="22"/>
          <w:szCs w:val="22"/>
          <w:lang w:val="sr-Latn-ME"/>
        </w:rPr>
        <w:t>eljno, tokom četiri ned</w:t>
      </w:r>
      <w:r w:rsidR="004B21C8" w:rsidRPr="0055610F">
        <w:rPr>
          <w:sz w:val="22"/>
          <w:szCs w:val="22"/>
          <w:lang w:val="sr-Latn-ME"/>
        </w:rPr>
        <w:t>j</w:t>
      </w:r>
      <w:r w:rsidRPr="0055610F">
        <w:rPr>
          <w:sz w:val="22"/>
          <w:szCs w:val="22"/>
          <w:lang w:val="sr-Latn-ME"/>
        </w:rPr>
        <w:t>elje.</w:t>
      </w:r>
    </w:p>
    <w:p w:rsidR="00496E03" w:rsidRPr="0055610F" w:rsidRDefault="00496E03" w:rsidP="004D5825">
      <w:pPr>
        <w:jc w:val="both"/>
        <w:rPr>
          <w:i/>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Bezbjednost i efikasnost lijeka MabThera kod pedijatrijskih pacijenata </w:t>
      </w:r>
      <w:r w:rsidR="009F7E58">
        <w:rPr>
          <w:sz w:val="22"/>
          <w:szCs w:val="22"/>
          <w:lang w:val="sr-Latn-ME"/>
        </w:rPr>
        <w:t>(</w:t>
      </w:r>
      <w:r w:rsidRPr="0055610F">
        <w:rPr>
          <w:sz w:val="22"/>
          <w:szCs w:val="22"/>
          <w:lang w:val="sr-Latn-ME"/>
        </w:rPr>
        <w:t xml:space="preserve">starosti </w:t>
      </w:r>
      <w:r w:rsidR="007C5C12">
        <w:rPr>
          <w:sz w:val="22"/>
          <w:szCs w:val="22"/>
          <w:lang w:val="sr-Latn-ME"/>
        </w:rPr>
        <w:t>od</w:t>
      </w:r>
      <w:r w:rsidRPr="0055610F">
        <w:rPr>
          <w:sz w:val="22"/>
          <w:szCs w:val="22"/>
          <w:lang w:val="sr-Latn-ME"/>
        </w:rPr>
        <w:t xml:space="preserve"> 2 do </w:t>
      </w:r>
      <w:r w:rsidR="007C5C12">
        <w:rPr>
          <w:sz w:val="22"/>
          <w:szCs w:val="22"/>
          <w:lang w:val="sr-Latn-ME"/>
        </w:rPr>
        <w:t>manje od</w:t>
      </w:r>
      <w:r w:rsidR="009F7E58">
        <w:rPr>
          <w:sz w:val="22"/>
          <w:szCs w:val="22"/>
          <w:lang w:val="sr-Latn-ME"/>
        </w:rPr>
        <w:t xml:space="preserve"> 18 godina) </w:t>
      </w:r>
      <w:r w:rsidRPr="0055610F">
        <w:rPr>
          <w:sz w:val="22"/>
          <w:szCs w:val="22"/>
          <w:lang w:val="sr-Latn-ME"/>
        </w:rPr>
        <w:t>ni</w:t>
      </w:r>
      <w:r w:rsidR="004B21C8" w:rsidRPr="0055610F">
        <w:rPr>
          <w:sz w:val="22"/>
          <w:szCs w:val="22"/>
          <w:lang w:val="sr-Latn-ME"/>
        </w:rPr>
        <w:t>je</w:t>
      </w:r>
      <w:r w:rsidR="009F7E58">
        <w:rPr>
          <w:sz w:val="22"/>
          <w:szCs w:val="22"/>
          <w:lang w:val="sr-Latn-ME"/>
        </w:rPr>
        <w:t>su utvrđene</w:t>
      </w:r>
      <w:r w:rsidRPr="0055610F">
        <w:rPr>
          <w:sz w:val="22"/>
          <w:szCs w:val="22"/>
          <w:lang w:val="sr-Latn-ME"/>
        </w:rPr>
        <w:t xml:space="preserve"> u drugim indikacijama sem ozbiljnog, aktivnog GPA ili MPA.</w:t>
      </w:r>
    </w:p>
    <w:p w:rsidR="00F16139" w:rsidRPr="0055610F" w:rsidRDefault="00F16139"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Lijek MabThera ne treba koristiti kod pedijatrijskih pacijenata </w:t>
      </w:r>
      <w:r w:rsidR="007642DC">
        <w:rPr>
          <w:sz w:val="22"/>
          <w:szCs w:val="22"/>
          <w:lang w:val="sr-Latn-ME"/>
        </w:rPr>
        <w:t>ml</w:t>
      </w:r>
      <w:r w:rsidRPr="0055610F">
        <w:rPr>
          <w:sz w:val="22"/>
          <w:szCs w:val="22"/>
          <w:lang w:val="sr-Latn-ME"/>
        </w:rPr>
        <w:t>ađih od 2 godine sa ozbiljnim, aktivnim GPA ili MPA jer postoji mogućnost neodgovarajućeg imunskog odgovora prilikom dečije vakcinacije protiv uobičajenih, dečijih bolesti koje se preveniraju vakcinom (npr. male boginje, mumps, rubeola i poliomijelitis) (vidjeti dio 5.1)</w:t>
      </w:r>
    </w:p>
    <w:p w:rsidR="00496E03" w:rsidRPr="0055610F" w:rsidRDefault="00496E03" w:rsidP="004D5825">
      <w:pPr>
        <w:jc w:val="both"/>
        <w:rPr>
          <w:sz w:val="22"/>
          <w:szCs w:val="22"/>
          <w:lang w:val="sr-Latn-ME"/>
        </w:rPr>
      </w:pPr>
    </w:p>
    <w:p w:rsidR="00496E03" w:rsidRPr="00DA475E" w:rsidRDefault="00496E03" w:rsidP="004D5825">
      <w:pPr>
        <w:jc w:val="both"/>
        <w:rPr>
          <w:i/>
          <w:sz w:val="22"/>
          <w:szCs w:val="22"/>
          <w:u w:val="single"/>
          <w:lang w:val="sr-Latn-ME"/>
        </w:rPr>
      </w:pPr>
      <w:r w:rsidRPr="00DA475E">
        <w:rPr>
          <w:i/>
          <w:sz w:val="22"/>
          <w:szCs w:val="22"/>
          <w:u w:val="single"/>
          <w:lang w:val="sr-Latn-ME"/>
        </w:rPr>
        <w:t>Gerijatrijska populacija</w:t>
      </w:r>
    </w:p>
    <w:p w:rsidR="00496E03" w:rsidRPr="0055610F" w:rsidRDefault="00496E03" w:rsidP="004D5825">
      <w:pPr>
        <w:jc w:val="both"/>
        <w:rPr>
          <w:sz w:val="22"/>
          <w:szCs w:val="22"/>
          <w:lang w:val="sr-Latn-ME"/>
        </w:rPr>
      </w:pPr>
      <w:r w:rsidRPr="0055610F">
        <w:rPr>
          <w:sz w:val="22"/>
          <w:szCs w:val="22"/>
          <w:lang w:val="sr-Latn-ME"/>
        </w:rPr>
        <w:t xml:space="preserve">Kod pacijenata životnog doba </w:t>
      </w:r>
      <w:r w:rsidR="007C5C12">
        <w:rPr>
          <w:sz w:val="22"/>
          <w:szCs w:val="22"/>
          <w:lang w:val="sr-Latn-ME"/>
        </w:rPr>
        <w:t xml:space="preserve">od </w:t>
      </w:r>
      <w:r w:rsidRPr="0055610F">
        <w:rPr>
          <w:sz w:val="22"/>
          <w:szCs w:val="22"/>
          <w:lang w:val="sr-Latn-ME"/>
        </w:rPr>
        <w:t xml:space="preserve">65 </w:t>
      </w:r>
      <w:r w:rsidR="007C5C12">
        <w:rPr>
          <w:sz w:val="22"/>
          <w:szCs w:val="22"/>
          <w:lang w:val="sr-Latn-ME"/>
        </w:rPr>
        <w:t xml:space="preserve">i više </w:t>
      </w:r>
      <w:r w:rsidRPr="0055610F">
        <w:rPr>
          <w:sz w:val="22"/>
          <w:szCs w:val="22"/>
          <w:lang w:val="sr-Latn-ME"/>
        </w:rPr>
        <w:t xml:space="preserve">godina nije potrebno podešavanje doze. </w:t>
      </w:r>
    </w:p>
    <w:p w:rsidR="00496E03" w:rsidRPr="0055610F" w:rsidRDefault="00496E03" w:rsidP="004D5825">
      <w:pPr>
        <w:jc w:val="both"/>
        <w:rPr>
          <w:sz w:val="22"/>
          <w:szCs w:val="22"/>
          <w:lang w:val="sr-Latn-ME"/>
        </w:rPr>
      </w:pPr>
    </w:p>
    <w:p w:rsidR="00496E03" w:rsidRPr="0055610F" w:rsidRDefault="00496E03" w:rsidP="004D5825">
      <w:pPr>
        <w:tabs>
          <w:tab w:val="left" w:pos="540"/>
          <w:tab w:val="left" w:pos="569"/>
        </w:tabs>
        <w:jc w:val="both"/>
        <w:rPr>
          <w:bCs/>
          <w:sz w:val="22"/>
          <w:szCs w:val="22"/>
          <w:u w:val="single"/>
          <w:lang w:val="sr-Latn-ME"/>
        </w:rPr>
      </w:pPr>
      <w:r w:rsidRPr="0055610F">
        <w:rPr>
          <w:bCs/>
          <w:sz w:val="22"/>
          <w:szCs w:val="22"/>
          <w:u w:val="single"/>
          <w:lang w:val="sr-Latn-ME"/>
        </w:rPr>
        <w:t>Način primjene</w:t>
      </w:r>
    </w:p>
    <w:p w:rsidR="007C5C12" w:rsidRDefault="007C5C12" w:rsidP="004D5825">
      <w:pPr>
        <w:jc w:val="both"/>
        <w:rPr>
          <w:sz w:val="22"/>
          <w:szCs w:val="22"/>
          <w:lang w:val="sr-Latn-ME"/>
        </w:rPr>
      </w:pPr>
    </w:p>
    <w:p w:rsidR="007C5C12" w:rsidRDefault="007C5C12" w:rsidP="004D5825">
      <w:pPr>
        <w:jc w:val="both"/>
        <w:rPr>
          <w:i/>
          <w:sz w:val="22"/>
          <w:szCs w:val="22"/>
          <w:u w:val="single"/>
          <w:lang w:val="sr-Latn-ME"/>
        </w:rPr>
      </w:pPr>
      <w:r>
        <w:rPr>
          <w:i/>
          <w:sz w:val="22"/>
          <w:szCs w:val="22"/>
          <w:u w:val="single"/>
          <w:lang w:val="sr-Latn-ME"/>
        </w:rPr>
        <w:t xml:space="preserve">Sve indikacije </w:t>
      </w:r>
    </w:p>
    <w:p w:rsidR="007C5C12" w:rsidRPr="00DA475E" w:rsidRDefault="007C5C12" w:rsidP="004D5825">
      <w:pPr>
        <w:jc w:val="both"/>
        <w:rPr>
          <w:i/>
          <w:sz w:val="22"/>
          <w:szCs w:val="22"/>
          <w:u w:val="single"/>
          <w:lang w:val="sr-Latn-ME"/>
        </w:rPr>
      </w:pPr>
    </w:p>
    <w:p w:rsidR="00496E03" w:rsidRPr="0055610F" w:rsidRDefault="00496E03" w:rsidP="004D5825">
      <w:pPr>
        <w:jc w:val="both"/>
        <w:rPr>
          <w:sz w:val="22"/>
          <w:szCs w:val="22"/>
          <w:lang w:val="sr-Latn-ME"/>
        </w:rPr>
      </w:pPr>
      <w:r w:rsidRPr="0055610F">
        <w:rPr>
          <w:sz w:val="22"/>
          <w:szCs w:val="22"/>
          <w:lang w:val="sr-Latn-ME"/>
        </w:rPr>
        <w:t>Pripre</w:t>
      </w:r>
      <w:r w:rsidR="007642DC">
        <w:rPr>
          <w:sz w:val="22"/>
          <w:szCs w:val="22"/>
          <w:lang w:val="sr-Latn-ME"/>
        </w:rPr>
        <w:t>ml</w:t>
      </w:r>
      <w:r w:rsidRPr="0055610F">
        <w:rPr>
          <w:sz w:val="22"/>
          <w:szCs w:val="22"/>
          <w:lang w:val="sr-Latn-ME"/>
        </w:rPr>
        <w:t>jeni rastvor lijeka Mab</w:t>
      </w:r>
      <w:r w:rsidRPr="0055610F">
        <w:rPr>
          <w:caps/>
          <w:sz w:val="22"/>
          <w:szCs w:val="22"/>
          <w:lang w:val="sr-Latn-ME"/>
        </w:rPr>
        <w:t>t</w:t>
      </w:r>
      <w:r w:rsidRPr="0055610F">
        <w:rPr>
          <w:sz w:val="22"/>
          <w:szCs w:val="22"/>
          <w:lang w:val="sr-Latn-ME"/>
        </w:rPr>
        <w:t>hera treba davati kao i.v. infuziju kroz za to određenu liniju. Ne smije se davati u vidu brze i.v. injekcije, niti bolusa.</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Pacijente treba strogo nadgledati da se uoči pojava sindroma oslobađanja citokina (vidjeti </w:t>
      </w:r>
      <w:r w:rsidR="004B21C8" w:rsidRPr="0055610F">
        <w:rPr>
          <w:sz w:val="22"/>
          <w:szCs w:val="22"/>
          <w:lang w:val="sr-Latn-ME"/>
        </w:rPr>
        <w:t xml:space="preserve">dio </w:t>
      </w:r>
      <w:r w:rsidRPr="0055610F">
        <w:rPr>
          <w:sz w:val="22"/>
          <w:szCs w:val="22"/>
          <w:lang w:val="sr-Latn-ME"/>
        </w:rPr>
        <w:t xml:space="preserve">4.4.). Pacijente koji razviju simptome teške reakcije, posebno teške dispneje, bronhospazma ili hipoksije treba odmah skinuti sa infuzije. Pacijente sa non-Hodgkinovim limfomom tada treba pregledati da se identifikuju simptomi sindroma liziranja tumora, podvrgnuti potrebnim laboratorijskim ispitivanjima, i utvrditi eventualnu plućnu infiltraciju koristeći rendgenski snimak pluća. Ni kod jednog pacijenta infuzija se ne smije ponovo započinjati dok se svi simptomi potpuno ne povuku, dok ne dođe do normalizacije laboratorijskih parametara i rendgenskih nalaza grudnog koša. U ovom trenutku, infuzija </w:t>
      </w:r>
      <w:r w:rsidRPr="0055610F">
        <w:rPr>
          <w:sz w:val="22"/>
          <w:szCs w:val="22"/>
          <w:lang w:val="sr-Latn-ME"/>
        </w:rPr>
        <w:lastRenderedPageBreak/>
        <w:t xml:space="preserve">inicijalno može biti ponovo započeta najviše na pola pređašnje brzine. Ako se i drugi put pojave iste teške reakcije, odluku o potpunom prekidu ove terapije treba donijeti poslije brižljivog razmatranja okolnosti svakog pojedinog slučaja. </w:t>
      </w:r>
    </w:p>
    <w:p w:rsidR="00496E03" w:rsidRPr="0055610F" w:rsidRDefault="00496E03" w:rsidP="004D5825">
      <w:pPr>
        <w:jc w:val="both"/>
        <w:rPr>
          <w:sz w:val="22"/>
          <w:szCs w:val="22"/>
          <w:lang w:val="sr-Latn-ME"/>
        </w:rPr>
      </w:pPr>
      <w:r w:rsidRPr="0055610F">
        <w:rPr>
          <w:sz w:val="22"/>
          <w:szCs w:val="22"/>
          <w:lang w:val="sr-Latn-ME"/>
        </w:rPr>
        <w:t xml:space="preserve">Blage do umjerene reakcije povezane sa infuzijom (vidjeti </w:t>
      </w:r>
      <w:r w:rsidR="004B21C8" w:rsidRPr="0055610F">
        <w:rPr>
          <w:sz w:val="22"/>
          <w:szCs w:val="22"/>
          <w:lang w:val="sr-Latn-ME"/>
        </w:rPr>
        <w:t xml:space="preserve">dio </w:t>
      </w:r>
      <w:r w:rsidRPr="0055610F">
        <w:rPr>
          <w:sz w:val="22"/>
          <w:szCs w:val="22"/>
          <w:lang w:val="sr-Latn-ME"/>
        </w:rPr>
        <w:t xml:space="preserve">4.8.) obično reaguju na smanjenje brzine infuzije. Brzina infuzije može da se poveća po ublažavanju simptoma. </w:t>
      </w:r>
    </w:p>
    <w:p w:rsidR="00496E03" w:rsidRDefault="00496E03" w:rsidP="004D5825">
      <w:pPr>
        <w:jc w:val="both"/>
        <w:rPr>
          <w:sz w:val="22"/>
          <w:szCs w:val="22"/>
          <w:lang w:val="sr-Latn-ME"/>
        </w:rPr>
      </w:pPr>
    </w:p>
    <w:p w:rsidR="007C5C12" w:rsidRPr="007C5C12" w:rsidRDefault="007C5C12" w:rsidP="007C5C12">
      <w:pPr>
        <w:keepNext/>
        <w:outlineLvl w:val="0"/>
        <w:rPr>
          <w:i/>
          <w:iCs/>
          <w:sz w:val="22"/>
          <w:szCs w:val="22"/>
          <w:u w:val="single"/>
          <w:lang w:val="hr-HR" w:eastAsia="ja-JP"/>
        </w:rPr>
      </w:pPr>
      <w:r w:rsidRPr="007C5C12">
        <w:rPr>
          <w:i/>
          <w:iCs/>
          <w:sz w:val="22"/>
          <w:szCs w:val="22"/>
          <w:u w:val="single"/>
          <w:lang w:val="hr-HR" w:eastAsia="ja-JP"/>
        </w:rPr>
        <w:t>N</w:t>
      </w:r>
      <w:r>
        <w:rPr>
          <w:i/>
          <w:iCs/>
          <w:sz w:val="22"/>
          <w:szCs w:val="22"/>
          <w:u w:val="single"/>
          <w:lang w:val="hr-HR" w:eastAsia="ja-JP"/>
        </w:rPr>
        <w:t>on</w:t>
      </w:r>
      <w:r w:rsidRPr="007C5C12">
        <w:rPr>
          <w:i/>
          <w:iCs/>
          <w:sz w:val="22"/>
          <w:szCs w:val="22"/>
          <w:u w:val="single"/>
          <w:lang w:val="hr-HR" w:eastAsia="ja-JP"/>
        </w:rPr>
        <w:noBreakHyphen/>
        <w:t>Hodgkin</w:t>
      </w:r>
      <w:r>
        <w:rPr>
          <w:i/>
          <w:iCs/>
          <w:sz w:val="22"/>
          <w:szCs w:val="22"/>
          <w:u w:val="single"/>
          <w:lang w:val="hr-HR" w:eastAsia="ja-JP"/>
        </w:rPr>
        <w:t>-</w:t>
      </w:r>
      <w:r w:rsidRPr="007C5C12">
        <w:rPr>
          <w:i/>
          <w:iCs/>
          <w:sz w:val="22"/>
          <w:szCs w:val="22"/>
          <w:u w:val="single"/>
          <w:lang w:val="hr-HR" w:eastAsia="ja-JP"/>
        </w:rPr>
        <w:t xml:space="preserve">ov limfom, </w:t>
      </w:r>
      <w:r>
        <w:rPr>
          <w:i/>
          <w:iCs/>
          <w:sz w:val="22"/>
          <w:szCs w:val="22"/>
          <w:u w:val="single"/>
          <w:lang w:val="hr-HR" w:eastAsia="ja-JP"/>
        </w:rPr>
        <w:t>h</w:t>
      </w:r>
      <w:r w:rsidRPr="007C5C12">
        <w:rPr>
          <w:i/>
          <w:iCs/>
          <w:sz w:val="22"/>
          <w:szCs w:val="22"/>
          <w:u w:val="single"/>
          <w:lang w:val="hr-HR" w:eastAsia="ja-JP"/>
        </w:rPr>
        <w:t>ronična limfocitna leukemija, reumatoidni artritis i obični pemfigus</w:t>
      </w:r>
      <w:r>
        <w:rPr>
          <w:i/>
          <w:iCs/>
          <w:sz w:val="22"/>
          <w:szCs w:val="22"/>
          <w:u w:val="single"/>
          <w:lang w:val="hr-HR" w:eastAsia="ja-JP"/>
        </w:rPr>
        <w:t xml:space="preserve"> kod odraslih pacijenata i</w:t>
      </w:r>
      <w:r w:rsidRPr="007C5C12">
        <w:rPr>
          <w:i/>
          <w:iCs/>
          <w:sz w:val="22"/>
          <w:szCs w:val="22"/>
          <w:u w:val="single"/>
          <w:lang w:val="hr-HR" w:eastAsia="ja-JP"/>
        </w:rPr>
        <w:t xml:space="preserve"> granulomatoza s</w:t>
      </w:r>
      <w:r>
        <w:rPr>
          <w:i/>
          <w:iCs/>
          <w:sz w:val="22"/>
          <w:szCs w:val="22"/>
          <w:u w:val="single"/>
          <w:lang w:val="hr-HR" w:eastAsia="ja-JP"/>
        </w:rPr>
        <w:t>a</w:t>
      </w:r>
      <w:r w:rsidRPr="007C5C12">
        <w:rPr>
          <w:i/>
          <w:iCs/>
          <w:sz w:val="22"/>
          <w:szCs w:val="22"/>
          <w:u w:val="single"/>
          <w:lang w:val="hr-HR" w:eastAsia="ja-JP"/>
        </w:rPr>
        <w:t xml:space="preserve"> poliangitisom (GPA) i mikroskopski poliangitis (MPA)</w:t>
      </w:r>
      <w:r>
        <w:rPr>
          <w:i/>
          <w:iCs/>
          <w:sz w:val="22"/>
          <w:szCs w:val="22"/>
          <w:u w:val="single"/>
          <w:lang w:val="hr-HR" w:eastAsia="ja-JP"/>
        </w:rPr>
        <w:t xml:space="preserve"> kod</w:t>
      </w:r>
      <w:r w:rsidRPr="007C5C12">
        <w:rPr>
          <w:i/>
          <w:iCs/>
          <w:sz w:val="22"/>
          <w:szCs w:val="22"/>
          <w:u w:val="single"/>
          <w:lang w:val="hr-HR" w:eastAsia="ja-JP"/>
        </w:rPr>
        <w:t xml:space="preserve"> odr</w:t>
      </w:r>
      <w:r>
        <w:rPr>
          <w:i/>
          <w:iCs/>
          <w:sz w:val="22"/>
          <w:szCs w:val="22"/>
          <w:u w:val="single"/>
          <w:lang w:val="hr-HR" w:eastAsia="ja-JP"/>
        </w:rPr>
        <w:t>aslih i pedijatrijskih pacijenata</w:t>
      </w:r>
    </w:p>
    <w:p w:rsidR="007C5C12" w:rsidRPr="0055610F" w:rsidRDefault="007C5C12" w:rsidP="004D5825">
      <w:pPr>
        <w:jc w:val="both"/>
        <w:rPr>
          <w:sz w:val="22"/>
          <w:szCs w:val="22"/>
          <w:lang w:val="sr-Latn-ME"/>
        </w:rPr>
      </w:pPr>
    </w:p>
    <w:p w:rsidR="00496E03" w:rsidRPr="00DA475E" w:rsidRDefault="00496E03" w:rsidP="004D5825">
      <w:pPr>
        <w:jc w:val="both"/>
        <w:rPr>
          <w:i/>
          <w:sz w:val="22"/>
          <w:szCs w:val="22"/>
          <w:lang w:val="sr-Latn-ME"/>
        </w:rPr>
      </w:pPr>
      <w:r w:rsidRPr="00DA475E">
        <w:rPr>
          <w:i/>
          <w:sz w:val="22"/>
          <w:szCs w:val="22"/>
          <w:lang w:val="sr-Latn-ME"/>
        </w:rPr>
        <w:t xml:space="preserve">Prva infuzija </w:t>
      </w:r>
    </w:p>
    <w:p w:rsidR="00F16139" w:rsidRPr="0055610F" w:rsidRDefault="00F16139" w:rsidP="004D5825">
      <w:pPr>
        <w:jc w:val="both"/>
        <w:rPr>
          <w:sz w:val="22"/>
          <w:szCs w:val="22"/>
          <w:u w:val="single"/>
          <w:lang w:val="sr-Latn-ME"/>
        </w:rPr>
      </w:pPr>
    </w:p>
    <w:p w:rsidR="00496E03" w:rsidRPr="0055610F" w:rsidRDefault="00496E03" w:rsidP="004D5825">
      <w:pPr>
        <w:jc w:val="both"/>
        <w:rPr>
          <w:i/>
          <w:sz w:val="22"/>
          <w:szCs w:val="22"/>
          <w:lang w:val="sr-Latn-ME"/>
        </w:rPr>
      </w:pPr>
      <w:r w:rsidRPr="0055610F">
        <w:rPr>
          <w:sz w:val="22"/>
          <w:szCs w:val="22"/>
          <w:lang w:val="sr-Latn-ME"/>
        </w:rPr>
        <w:t>Preporučena inicijalna brzina infuzije je 50 mg na čas; nakon prvih 30 minuta, može se povećavati za po 50 mg/h na svakih 30 minuta, do maksimalne brzine od 400 mg/h.</w:t>
      </w:r>
    </w:p>
    <w:p w:rsidR="00496E03" w:rsidRPr="0055610F" w:rsidRDefault="00496E03" w:rsidP="004D5825">
      <w:pPr>
        <w:jc w:val="both"/>
        <w:rPr>
          <w:sz w:val="22"/>
          <w:szCs w:val="22"/>
          <w:lang w:val="sr-Latn-ME"/>
        </w:rPr>
      </w:pPr>
    </w:p>
    <w:p w:rsidR="00F16139" w:rsidRDefault="00496E03" w:rsidP="004D5825">
      <w:pPr>
        <w:jc w:val="both"/>
        <w:rPr>
          <w:i/>
          <w:sz w:val="22"/>
          <w:szCs w:val="22"/>
          <w:lang w:val="sr-Latn-ME"/>
        </w:rPr>
      </w:pPr>
      <w:r w:rsidRPr="00DA475E">
        <w:rPr>
          <w:i/>
          <w:sz w:val="22"/>
          <w:szCs w:val="22"/>
          <w:lang w:val="sr-Latn-ME"/>
        </w:rPr>
        <w:t>Naredne infuzije</w:t>
      </w:r>
    </w:p>
    <w:p w:rsidR="009F7E58" w:rsidRPr="0055610F" w:rsidRDefault="009F7E58" w:rsidP="004D5825">
      <w:pPr>
        <w:jc w:val="both"/>
        <w:rPr>
          <w:i/>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Naredne doze lijeka MabThera mogu se davati infuzijom čija je početna brzina 100 mg/h, a potom se povećava za po 100 mg/h svakih 30 minuta, do maksimalne brzine od 400 mg/h.</w:t>
      </w:r>
    </w:p>
    <w:p w:rsidR="00496E03" w:rsidRPr="0055610F" w:rsidRDefault="00496E03" w:rsidP="004D5825">
      <w:pPr>
        <w:jc w:val="both"/>
        <w:rPr>
          <w:sz w:val="22"/>
          <w:szCs w:val="22"/>
          <w:lang w:val="sr-Latn-ME"/>
        </w:rPr>
      </w:pPr>
    </w:p>
    <w:p w:rsidR="00496E03" w:rsidRPr="0055610F" w:rsidRDefault="007C5C12" w:rsidP="004D5825">
      <w:pPr>
        <w:tabs>
          <w:tab w:val="left" w:pos="284"/>
        </w:tabs>
        <w:jc w:val="both"/>
        <w:rPr>
          <w:i/>
          <w:sz w:val="22"/>
          <w:szCs w:val="22"/>
          <w:lang w:val="sr-Latn-ME"/>
        </w:rPr>
      </w:pPr>
      <w:r>
        <w:rPr>
          <w:i/>
          <w:sz w:val="22"/>
          <w:szCs w:val="22"/>
          <w:lang w:val="sr-Latn-ME"/>
        </w:rPr>
        <w:t>N</w:t>
      </w:r>
      <w:r w:rsidR="00496E03" w:rsidRPr="0055610F">
        <w:rPr>
          <w:i/>
          <w:sz w:val="22"/>
          <w:szCs w:val="22"/>
          <w:lang w:val="sr-Latn-ME"/>
        </w:rPr>
        <w:t>on-Hodgkin-ov limfom</w:t>
      </w:r>
      <w:r>
        <w:rPr>
          <w:i/>
          <w:sz w:val="22"/>
          <w:szCs w:val="22"/>
          <w:lang w:val="sr-Latn-ME"/>
        </w:rPr>
        <w:t>-pedijatrijski pacijenti</w:t>
      </w:r>
    </w:p>
    <w:p w:rsidR="00496E03" w:rsidRPr="0055610F" w:rsidRDefault="00496E03" w:rsidP="004D5825">
      <w:pPr>
        <w:tabs>
          <w:tab w:val="left" w:pos="284"/>
        </w:tabs>
        <w:jc w:val="both"/>
        <w:rPr>
          <w:i/>
          <w:sz w:val="22"/>
          <w:szCs w:val="22"/>
          <w:lang w:val="sr-Latn-ME"/>
        </w:rPr>
      </w:pPr>
    </w:p>
    <w:p w:rsidR="00496E03" w:rsidRPr="00DA475E" w:rsidRDefault="00496E03" w:rsidP="004D5825">
      <w:pPr>
        <w:tabs>
          <w:tab w:val="left" w:pos="284"/>
        </w:tabs>
        <w:jc w:val="both"/>
        <w:rPr>
          <w:i/>
          <w:sz w:val="22"/>
          <w:szCs w:val="22"/>
          <w:lang w:val="sr-Latn-ME"/>
        </w:rPr>
      </w:pPr>
      <w:r w:rsidRPr="00DA475E">
        <w:rPr>
          <w:i/>
          <w:sz w:val="22"/>
          <w:szCs w:val="22"/>
          <w:lang w:val="sr-Latn-ME"/>
        </w:rPr>
        <w:t>Prva infuzija</w:t>
      </w:r>
    </w:p>
    <w:p w:rsidR="00F16139" w:rsidRPr="0055610F" w:rsidRDefault="00F16139" w:rsidP="004D5825">
      <w:pPr>
        <w:tabs>
          <w:tab w:val="left" w:pos="284"/>
        </w:tabs>
        <w:jc w:val="both"/>
        <w:rPr>
          <w:sz w:val="22"/>
          <w:szCs w:val="22"/>
          <w:lang w:val="sr-Latn-ME"/>
        </w:rPr>
      </w:pPr>
    </w:p>
    <w:p w:rsidR="00496E03" w:rsidRPr="0055610F" w:rsidRDefault="00496E03" w:rsidP="004D5825">
      <w:pPr>
        <w:tabs>
          <w:tab w:val="left" w:pos="284"/>
        </w:tabs>
        <w:jc w:val="both"/>
        <w:rPr>
          <w:sz w:val="22"/>
          <w:szCs w:val="22"/>
          <w:lang w:val="sr-Latn-ME"/>
        </w:rPr>
      </w:pPr>
      <w:r w:rsidRPr="0055610F">
        <w:rPr>
          <w:sz w:val="22"/>
          <w:szCs w:val="22"/>
          <w:lang w:val="sr-Latn-ME"/>
        </w:rPr>
        <w:t>Preporučena inicijalna brzina infuzije je 0,5</w:t>
      </w:r>
      <w:r w:rsidR="00664856">
        <w:rPr>
          <w:sz w:val="22"/>
          <w:szCs w:val="22"/>
          <w:lang w:val="sr-Latn-ME"/>
        </w:rPr>
        <w:t xml:space="preserve"> </w:t>
      </w:r>
      <w:r w:rsidRPr="0055610F">
        <w:rPr>
          <w:sz w:val="22"/>
          <w:szCs w:val="22"/>
          <w:lang w:val="sr-Latn-ME"/>
        </w:rPr>
        <w:t>mg/kg/čas (maksimalno 50</w:t>
      </w:r>
      <w:r w:rsidR="004B21C8" w:rsidRPr="0055610F">
        <w:rPr>
          <w:sz w:val="22"/>
          <w:szCs w:val="22"/>
          <w:lang w:val="sr-Latn-ME"/>
        </w:rPr>
        <w:t xml:space="preserve"> </w:t>
      </w:r>
      <w:r w:rsidRPr="0055610F">
        <w:rPr>
          <w:sz w:val="22"/>
          <w:szCs w:val="22"/>
          <w:lang w:val="sr-Latn-ME"/>
        </w:rPr>
        <w:t>mg/h); može se povećati za po 0,5mg/kg/čas na svakih 30 minuta, do maksimalne brzine od 400</w:t>
      </w:r>
      <w:r w:rsidR="004B21C8" w:rsidRPr="0055610F">
        <w:rPr>
          <w:sz w:val="22"/>
          <w:szCs w:val="22"/>
          <w:lang w:val="sr-Latn-ME"/>
        </w:rPr>
        <w:t xml:space="preserve"> </w:t>
      </w:r>
      <w:r w:rsidRPr="0055610F">
        <w:rPr>
          <w:sz w:val="22"/>
          <w:szCs w:val="22"/>
          <w:lang w:val="sr-Latn-ME"/>
        </w:rPr>
        <w:t>mg/čas, ukoliko ne postoje reakcije hipersenzitivnosti ili reakcije povezane sa infuzijom.</w:t>
      </w:r>
    </w:p>
    <w:p w:rsidR="00496E03" w:rsidRPr="0055610F" w:rsidRDefault="00496E03" w:rsidP="004D5825">
      <w:pPr>
        <w:tabs>
          <w:tab w:val="left" w:pos="284"/>
        </w:tabs>
        <w:jc w:val="both"/>
        <w:rPr>
          <w:sz w:val="22"/>
          <w:szCs w:val="22"/>
          <w:lang w:val="sr-Latn-ME"/>
        </w:rPr>
      </w:pPr>
    </w:p>
    <w:p w:rsidR="00496E03" w:rsidRPr="00DA475E" w:rsidRDefault="00496E03" w:rsidP="004D5825">
      <w:pPr>
        <w:tabs>
          <w:tab w:val="left" w:pos="284"/>
        </w:tabs>
        <w:jc w:val="both"/>
        <w:rPr>
          <w:i/>
          <w:sz w:val="22"/>
          <w:szCs w:val="22"/>
          <w:lang w:val="sr-Latn-ME"/>
        </w:rPr>
      </w:pPr>
      <w:r w:rsidRPr="00DA475E">
        <w:rPr>
          <w:i/>
          <w:sz w:val="22"/>
          <w:szCs w:val="22"/>
          <w:lang w:val="sr-Latn-ME"/>
        </w:rPr>
        <w:t>Naredne infuzije</w:t>
      </w:r>
    </w:p>
    <w:p w:rsidR="00496E03" w:rsidRPr="0055610F" w:rsidRDefault="00496E03" w:rsidP="004D5825">
      <w:pPr>
        <w:tabs>
          <w:tab w:val="left" w:pos="284"/>
        </w:tabs>
        <w:jc w:val="both"/>
        <w:rPr>
          <w:sz w:val="22"/>
          <w:szCs w:val="22"/>
          <w:lang w:val="sr-Latn-ME"/>
        </w:rPr>
      </w:pPr>
    </w:p>
    <w:p w:rsidR="00496E03" w:rsidRPr="0055610F" w:rsidRDefault="00496E03" w:rsidP="004D5825">
      <w:pPr>
        <w:tabs>
          <w:tab w:val="left" w:pos="284"/>
        </w:tabs>
        <w:jc w:val="both"/>
        <w:rPr>
          <w:sz w:val="22"/>
          <w:szCs w:val="22"/>
          <w:lang w:val="sr-Latn-ME"/>
        </w:rPr>
      </w:pPr>
      <w:r w:rsidRPr="0055610F">
        <w:rPr>
          <w:sz w:val="22"/>
          <w:szCs w:val="22"/>
          <w:lang w:val="sr-Latn-ME"/>
        </w:rPr>
        <w:t>Naredne doze lijeka MabThera mogu se prim</w:t>
      </w:r>
      <w:r w:rsidR="004B21C8" w:rsidRPr="0055610F">
        <w:rPr>
          <w:sz w:val="22"/>
          <w:szCs w:val="22"/>
          <w:lang w:val="sr-Latn-ME"/>
        </w:rPr>
        <w:t>i</w:t>
      </w:r>
      <w:r w:rsidRPr="0055610F">
        <w:rPr>
          <w:sz w:val="22"/>
          <w:szCs w:val="22"/>
          <w:lang w:val="sr-Latn-ME"/>
        </w:rPr>
        <w:t>jeniti infuzijom čija je početna brzina 1 mg/kg/čas (maksimalno 50</w:t>
      </w:r>
      <w:r w:rsidR="004B21C8" w:rsidRPr="0055610F">
        <w:rPr>
          <w:sz w:val="22"/>
          <w:szCs w:val="22"/>
          <w:lang w:val="sr-Latn-ME"/>
        </w:rPr>
        <w:t xml:space="preserve"> </w:t>
      </w:r>
      <w:r w:rsidRPr="0055610F">
        <w:rPr>
          <w:sz w:val="22"/>
          <w:szCs w:val="22"/>
          <w:lang w:val="sr-Latn-ME"/>
        </w:rPr>
        <w:t>mg/čas) može se povećati za 1</w:t>
      </w:r>
      <w:r w:rsidR="00777814" w:rsidRPr="0055610F">
        <w:rPr>
          <w:sz w:val="22"/>
          <w:szCs w:val="22"/>
          <w:lang w:val="sr-Latn-ME"/>
        </w:rPr>
        <w:t xml:space="preserve"> </w:t>
      </w:r>
      <w:r w:rsidRPr="0055610F">
        <w:rPr>
          <w:sz w:val="22"/>
          <w:szCs w:val="22"/>
          <w:lang w:val="sr-Latn-ME"/>
        </w:rPr>
        <w:t>mg/kg/čas svakih 30 minuta, do maksimalne brzine od 400</w:t>
      </w:r>
      <w:r w:rsidR="004B21C8" w:rsidRPr="0055610F">
        <w:rPr>
          <w:sz w:val="22"/>
          <w:szCs w:val="22"/>
          <w:lang w:val="sr-Latn-ME"/>
        </w:rPr>
        <w:t xml:space="preserve"> </w:t>
      </w:r>
      <w:r w:rsidRPr="0055610F">
        <w:rPr>
          <w:sz w:val="22"/>
          <w:szCs w:val="22"/>
          <w:lang w:val="sr-Latn-ME"/>
        </w:rPr>
        <w:t>mg/čas.</w:t>
      </w:r>
    </w:p>
    <w:p w:rsidR="00496E03" w:rsidRPr="0055610F" w:rsidRDefault="00496E03" w:rsidP="004D5825">
      <w:pPr>
        <w:jc w:val="both"/>
        <w:rPr>
          <w:sz w:val="22"/>
          <w:szCs w:val="22"/>
          <w:lang w:val="sr-Latn-ME"/>
        </w:rPr>
      </w:pPr>
    </w:p>
    <w:p w:rsidR="00496E03" w:rsidRPr="0055610F" w:rsidRDefault="007C5C12" w:rsidP="004D5825">
      <w:pPr>
        <w:jc w:val="both"/>
        <w:rPr>
          <w:i/>
          <w:sz w:val="22"/>
          <w:szCs w:val="22"/>
          <w:lang w:val="sr-Latn-ME"/>
        </w:rPr>
      </w:pPr>
      <w:r w:rsidRPr="00DA475E">
        <w:rPr>
          <w:i/>
          <w:sz w:val="22"/>
          <w:szCs w:val="22"/>
          <w:u w:val="single"/>
          <w:lang w:val="sr-Latn-ME"/>
        </w:rPr>
        <w:t>R</w:t>
      </w:r>
      <w:r w:rsidR="00496E03" w:rsidRPr="00DA475E">
        <w:rPr>
          <w:i/>
          <w:sz w:val="22"/>
          <w:szCs w:val="22"/>
          <w:u w:val="single"/>
          <w:lang w:val="sr-Latn-ME"/>
        </w:rPr>
        <w:t>eumatoidni artritis</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Alternativni raspored primjene narednih infuzija većom brzinom</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Ako pacijenti nijesu razvili ozbiljnu reakciju na infuziju tokom prve ili neke od sljedećih infuzija doze od 1000 mg lijeka MabThera primijenjene prema standardnom rasporedu primjene, druga ili naredne infuzije mogu da se daju većom brzinom, uz istu koncentraciju kao i u prethodnim infuzijama (4 mg/</w:t>
      </w:r>
      <w:r w:rsidR="007642DC">
        <w:rPr>
          <w:sz w:val="22"/>
          <w:szCs w:val="22"/>
          <w:lang w:val="sr-Latn-ME"/>
        </w:rPr>
        <w:t>ml</w:t>
      </w:r>
      <w:r w:rsidRPr="0055610F">
        <w:rPr>
          <w:sz w:val="22"/>
          <w:szCs w:val="22"/>
          <w:lang w:val="sr-Latn-ME"/>
        </w:rPr>
        <w:t xml:space="preserve"> u zapremini od 250 </w:t>
      </w:r>
      <w:r w:rsidR="007642DC">
        <w:rPr>
          <w:sz w:val="22"/>
          <w:szCs w:val="22"/>
          <w:lang w:val="sr-Latn-ME"/>
        </w:rPr>
        <w:t>ml</w:t>
      </w:r>
      <w:r w:rsidRPr="0055610F">
        <w:rPr>
          <w:sz w:val="22"/>
          <w:szCs w:val="22"/>
          <w:lang w:val="sr-Latn-ME"/>
        </w:rPr>
        <w:t>). Infuzija se započinje brzinom od 250 mg/sat tokom prvih 30 minuta, a nastavlja brzinom od 600 mg/sat tokom narednih 90 minuta. Ako pacijent dobro podnosi bržu infuziju, opisani se raspored može primijeniti i u narednim infuzijama.</w:t>
      </w:r>
    </w:p>
    <w:p w:rsidR="00496E03" w:rsidRPr="0055610F" w:rsidRDefault="00496E03" w:rsidP="004D5825">
      <w:pPr>
        <w:jc w:val="both"/>
        <w:rPr>
          <w:sz w:val="22"/>
          <w:szCs w:val="22"/>
          <w:lang w:val="sr-Latn-ME"/>
        </w:rPr>
      </w:pPr>
    </w:p>
    <w:p w:rsidR="00452E9D" w:rsidRPr="0055610F" w:rsidRDefault="00496E03" w:rsidP="004D5825">
      <w:pPr>
        <w:tabs>
          <w:tab w:val="left" w:pos="540"/>
          <w:tab w:val="left" w:pos="569"/>
        </w:tabs>
        <w:jc w:val="both"/>
        <w:rPr>
          <w:bCs/>
          <w:sz w:val="22"/>
          <w:szCs w:val="22"/>
          <w:u w:val="single"/>
          <w:lang w:val="sr-Latn-ME"/>
        </w:rPr>
      </w:pPr>
      <w:r w:rsidRPr="0055610F">
        <w:rPr>
          <w:sz w:val="22"/>
          <w:szCs w:val="22"/>
          <w:lang w:val="sr-Latn-ME"/>
        </w:rPr>
        <w:t>Pacijentima koji boluju od klinički značajne kardiovaskularne bolesti, uključujući aritmije, ili su ranije imali ozbiljnu infuzijsku reakciju na bilo koju prethodnu biološku terapiju ili na rituksimab, ne smije se primijeniti brža infuzija.</w:t>
      </w:r>
    </w:p>
    <w:p w:rsidR="00452E9D" w:rsidRPr="0055610F" w:rsidRDefault="00452E9D" w:rsidP="004D5825">
      <w:pPr>
        <w:tabs>
          <w:tab w:val="left" w:pos="540"/>
          <w:tab w:val="left" w:pos="569"/>
        </w:tabs>
        <w:jc w:val="both"/>
        <w:rPr>
          <w:bCs/>
          <w:sz w:val="22"/>
          <w:szCs w:val="22"/>
          <w:lang w:val="sr-Latn-ME"/>
        </w:rPr>
      </w:pPr>
    </w:p>
    <w:p w:rsidR="00411B4B" w:rsidRPr="0055610F" w:rsidRDefault="00411B4B" w:rsidP="004D5825">
      <w:pPr>
        <w:tabs>
          <w:tab w:val="left" w:pos="540"/>
          <w:tab w:val="left" w:pos="569"/>
        </w:tabs>
        <w:jc w:val="both"/>
        <w:rPr>
          <w:b/>
          <w:bCs/>
          <w:sz w:val="22"/>
          <w:szCs w:val="22"/>
          <w:lang w:val="sr-Latn-ME"/>
        </w:rPr>
      </w:pPr>
      <w:r w:rsidRPr="0055610F">
        <w:rPr>
          <w:b/>
          <w:bCs/>
          <w:sz w:val="22"/>
          <w:szCs w:val="22"/>
          <w:lang w:val="sr-Latn-ME"/>
        </w:rPr>
        <w:t xml:space="preserve">4.3. </w:t>
      </w:r>
      <w:r w:rsidR="00480FB1" w:rsidRPr="0055610F">
        <w:rPr>
          <w:b/>
          <w:bCs/>
          <w:sz w:val="22"/>
          <w:szCs w:val="22"/>
          <w:lang w:val="sr-Latn-ME"/>
        </w:rPr>
        <w:tab/>
      </w:r>
      <w:r w:rsidRPr="0055610F">
        <w:rPr>
          <w:b/>
          <w:bCs/>
          <w:sz w:val="22"/>
          <w:szCs w:val="22"/>
          <w:lang w:val="sr-Latn-ME"/>
        </w:rPr>
        <w:t>Kontraindikacije</w:t>
      </w:r>
    </w:p>
    <w:p w:rsidR="00F16139" w:rsidRPr="0055610F" w:rsidRDefault="00F16139"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Preosjetljivost na aktivnu supstancu, mišje proteine ili bilo koju od pomoćnih materija navedenih u dijelu 6.1.</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Aktivne, teške infekcije (vidjeti dio 4.4)</w:t>
      </w:r>
      <w:r w:rsidR="00CE2741">
        <w:rPr>
          <w:sz w:val="22"/>
          <w:szCs w:val="22"/>
          <w:lang w:val="sr-Latn-ME"/>
        </w:rPr>
        <w:t>.</w:t>
      </w:r>
    </w:p>
    <w:p w:rsidR="00496E03" w:rsidRPr="0055610F" w:rsidRDefault="00496E03" w:rsidP="004D5825">
      <w:pPr>
        <w:jc w:val="both"/>
        <w:rPr>
          <w:sz w:val="22"/>
          <w:szCs w:val="22"/>
          <w:lang w:val="sr-Latn-ME"/>
        </w:rPr>
      </w:pPr>
      <w:r w:rsidRPr="0055610F">
        <w:rPr>
          <w:sz w:val="22"/>
          <w:szCs w:val="22"/>
          <w:lang w:val="sr-Latn-ME"/>
        </w:rPr>
        <w:t>Teški imunokompromitovani pacijenti.</w:t>
      </w:r>
    </w:p>
    <w:p w:rsidR="00F16139" w:rsidRPr="0055610F" w:rsidRDefault="00F16139" w:rsidP="004D5825">
      <w:pPr>
        <w:jc w:val="both"/>
        <w:rPr>
          <w:sz w:val="22"/>
          <w:szCs w:val="22"/>
          <w:lang w:val="sr-Latn-ME"/>
        </w:rPr>
      </w:pPr>
    </w:p>
    <w:p w:rsidR="00496E03" w:rsidRPr="0055610F" w:rsidRDefault="00496E03" w:rsidP="004D5825">
      <w:pPr>
        <w:tabs>
          <w:tab w:val="left" w:pos="540"/>
          <w:tab w:val="left" w:pos="569"/>
        </w:tabs>
        <w:jc w:val="both"/>
        <w:rPr>
          <w:sz w:val="22"/>
          <w:szCs w:val="22"/>
          <w:lang w:val="sr-Latn-ME"/>
        </w:rPr>
      </w:pPr>
      <w:r w:rsidRPr="0055610F">
        <w:rPr>
          <w:sz w:val="22"/>
          <w:szCs w:val="22"/>
          <w:lang w:val="sr-Latn-ME"/>
        </w:rPr>
        <w:lastRenderedPageBreak/>
        <w:t xml:space="preserve">Teška srčana insuficijencija (klasa IV po klasifikaciji New York Heart Association) ili teška, nekontrolisana bolest srca </w:t>
      </w:r>
      <w:r w:rsidR="007C5C12" w:rsidRPr="007C5C12">
        <w:rPr>
          <w:sz w:val="22"/>
          <w:szCs w:val="22"/>
          <w:lang w:val="hr-HR" w:eastAsia="ja-JP"/>
        </w:rPr>
        <w:t>samo kod primjene za liječenje reumatoidnog artritisa, granulomatoze s</w:t>
      </w:r>
      <w:r w:rsidR="007C5C12">
        <w:rPr>
          <w:sz w:val="22"/>
          <w:szCs w:val="22"/>
          <w:lang w:val="hr-HR" w:eastAsia="ja-JP"/>
        </w:rPr>
        <w:t>a</w:t>
      </w:r>
      <w:r w:rsidR="007C5C12" w:rsidRPr="007C5C12">
        <w:rPr>
          <w:sz w:val="22"/>
          <w:szCs w:val="20"/>
          <w:lang w:val="hr-HR" w:eastAsia="ja-JP"/>
        </w:rPr>
        <w:t xml:space="preserve"> </w:t>
      </w:r>
      <w:r w:rsidR="007C5C12" w:rsidRPr="007C5C12">
        <w:rPr>
          <w:sz w:val="22"/>
          <w:szCs w:val="22"/>
          <w:lang w:val="hr-HR" w:eastAsia="ja-JP"/>
        </w:rPr>
        <w:t xml:space="preserve">poliangitisom, mikroskopskog poliangitisa i običnog pemfigusa </w:t>
      </w:r>
      <w:r w:rsidRPr="0055610F">
        <w:rPr>
          <w:sz w:val="22"/>
          <w:szCs w:val="22"/>
          <w:lang w:val="sr-Latn-ME"/>
        </w:rPr>
        <w:t>(vidjeti dio 4.4. za druge kardiovaskulane bolesti).</w:t>
      </w:r>
    </w:p>
    <w:p w:rsidR="00496E03" w:rsidRPr="0055610F" w:rsidRDefault="00496E03" w:rsidP="004D5825">
      <w:pPr>
        <w:tabs>
          <w:tab w:val="left" w:pos="540"/>
          <w:tab w:val="left" w:pos="569"/>
        </w:tabs>
        <w:jc w:val="both"/>
        <w:rPr>
          <w:bCs/>
          <w:sz w:val="22"/>
          <w:szCs w:val="22"/>
          <w:lang w:val="sr-Latn-ME"/>
        </w:rPr>
      </w:pPr>
    </w:p>
    <w:p w:rsidR="00411B4B" w:rsidRPr="0055610F" w:rsidRDefault="00411B4B" w:rsidP="004D5825">
      <w:pPr>
        <w:tabs>
          <w:tab w:val="left" w:pos="540"/>
          <w:tab w:val="left" w:pos="569"/>
        </w:tabs>
        <w:jc w:val="both"/>
        <w:rPr>
          <w:b/>
          <w:bCs/>
          <w:sz w:val="22"/>
          <w:szCs w:val="22"/>
          <w:lang w:val="sr-Latn-ME"/>
        </w:rPr>
      </w:pPr>
      <w:r w:rsidRPr="0055610F">
        <w:rPr>
          <w:b/>
          <w:bCs/>
          <w:sz w:val="22"/>
          <w:szCs w:val="22"/>
          <w:lang w:val="sr-Latn-ME"/>
        </w:rPr>
        <w:t xml:space="preserve">4.4. </w:t>
      </w:r>
      <w:r w:rsidR="00480FB1" w:rsidRPr="0055610F">
        <w:rPr>
          <w:b/>
          <w:bCs/>
          <w:sz w:val="22"/>
          <w:szCs w:val="22"/>
          <w:lang w:val="sr-Latn-ME"/>
        </w:rPr>
        <w:tab/>
      </w:r>
      <w:r w:rsidRPr="0055610F">
        <w:rPr>
          <w:b/>
          <w:bCs/>
          <w:sz w:val="22"/>
          <w:szCs w:val="22"/>
          <w:lang w:val="sr-Latn-ME"/>
        </w:rPr>
        <w:t>Posebna upozorenja i mjere opreza pri upotrebi lijeka</w:t>
      </w:r>
    </w:p>
    <w:p w:rsidR="0072020E" w:rsidRPr="0055610F" w:rsidRDefault="0072020E" w:rsidP="004D5825">
      <w:pPr>
        <w:tabs>
          <w:tab w:val="left" w:pos="540"/>
          <w:tab w:val="left" w:pos="569"/>
        </w:tabs>
        <w:jc w:val="both"/>
        <w:rPr>
          <w:bCs/>
          <w:sz w:val="22"/>
          <w:szCs w:val="22"/>
          <w:lang w:val="sr-Latn-ME"/>
        </w:rPr>
      </w:pPr>
    </w:p>
    <w:p w:rsidR="00496E03" w:rsidRPr="0055610F" w:rsidRDefault="00496E03" w:rsidP="004D5825">
      <w:pPr>
        <w:tabs>
          <w:tab w:val="left" w:pos="284"/>
          <w:tab w:val="center" w:pos="4320"/>
          <w:tab w:val="right" w:pos="8640"/>
        </w:tabs>
        <w:spacing w:before="80" w:after="80"/>
        <w:jc w:val="both"/>
        <w:rPr>
          <w:bCs/>
          <w:sz w:val="22"/>
          <w:szCs w:val="22"/>
          <w:u w:val="single"/>
          <w:lang w:val="sr-Latn-ME"/>
        </w:rPr>
      </w:pPr>
      <w:r w:rsidRPr="0055610F">
        <w:rPr>
          <w:bCs/>
          <w:sz w:val="22"/>
          <w:szCs w:val="22"/>
          <w:u w:val="single"/>
          <w:lang w:val="sr-Latn-ME"/>
        </w:rPr>
        <w:t>Sl</w:t>
      </w:r>
      <w:r w:rsidR="00930450" w:rsidRPr="0055610F">
        <w:rPr>
          <w:bCs/>
          <w:sz w:val="22"/>
          <w:szCs w:val="22"/>
          <w:u w:val="single"/>
          <w:lang w:val="sr-Latn-ME"/>
        </w:rPr>
        <w:t>j</w:t>
      </w:r>
      <w:r w:rsidRPr="0055610F">
        <w:rPr>
          <w:bCs/>
          <w:sz w:val="22"/>
          <w:szCs w:val="22"/>
          <w:u w:val="single"/>
          <w:lang w:val="sr-Latn-ME"/>
        </w:rPr>
        <w:t>edljivost</w:t>
      </w:r>
    </w:p>
    <w:p w:rsidR="00496E03" w:rsidRPr="0055610F" w:rsidRDefault="00496E03" w:rsidP="004D5825">
      <w:pPr>
        <w:jc w:val="both"/>
        <w:rPr>
          <w:sz w:val="22"/>
          <w:szCs w:val="22"/>
          <w:lang w:val="sr-Latn-ME"/>
        </w:rPr>
      </w:pPr>
      <w:r w:rsidRPr="0055610F">
        <w:rPr>
          <w:sz w:val="22"/>
          <w:szCs w:val="22"/>
          <w:lang w:val="sr-Latn-ME"/>
        </w:rPr>
        <w:t>Kako bi se poboljšala sl</w:t>
      </w:r>
      <w:r w:rsidR="00930450" w:rsidRPr="0055610F">
        <w:rPr>
          <w:sz w:val="22"/>
          <w:szCs w:val="22"/>
          <w:lang w:val="sr-Latn-ME"/>
        </w:rPr>
        <w:t>j</w:t>
      </w:r>
      <w:r w:rsidRPr="0055610F">
        <w:rPr>
          <w:sz w:val="22"/>
          <w:szCs w:val="22"/>
          <w:lang w:val="sr-Latn-ME"/>
        </w:rPr>
        <w:t>edljivost biološkog lijeka, naziv primijenjenog gotovog lijeka i broj serije lijeka koji je pacijent primio treba jasno zabilježiti (navesti) u pacijentovom kartonu.</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u w:val="single"/>
          <w:lang w:val="sr-Latn-ME"/>
        </w:rPr>
      </w:pPr>
      <w:r w:rsidRPr="0055610F">
        <w:rPr>
          <w:sz w:val="22"/>
          <w:szCs w:val="22"/>
          <w:u w:val="single"/>
          <w:lang w:val="sr-Latn-ME"/>
        </w:rPr>
        <w:t>Progresivna multifokalna leukoencefalopatija</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Svim pacijentima sa reumatoidnim artritisom, GPA, MPA ili običnim pemfigusom koji se liječe lijekom MabThera potrebno je uz svaku infuziju dati karticu sa upozorenjima za pacijenta. Kartica sadrži važne informacije o bezbjednosti za pacijente, vezane uz potencijalno povećani rizik od infekcija, uključujući progresivnu multifokalnu leukoencefalopatiju (P</w:t>
      </w:r>
      <w:r w:rsidR="007642DC">
        <w:rPr>
          <w:sz w:val="22"/>
          <w:szCs w:val="22"/>
          <w:lang w:val="sr-Latn-ME"/>
        </w:rPr>
        <w:t>ML</w:t>
      </w:r>
      <w:r w:rsidRPr="0055610F">
        <w:rPr>
          <w:sz w:val="22"/>
          <w:szCs w:val="22"/>
          <w:lang w:val="sr-Latn-ME"/>
        </w:rPr>
        <w:t xml:space="preserve">). </w:t>
      </w:r>
    </w:p>
    <w:p w:rsidR="00496E03" w:rsidRPr="0055610F" w:rsidRDefault="00496E03" w:rsidP="004D5825">
      <w:pPr>
        <w:jc w:val="both"/>
        <w:rPr>
          <w:sz w:val="22"/>
          <w:szCs w:val="22"/>
          <w:lang w:val="sr-Latn-ME"/>
        </w:rPr>
      </w:pPr>
    </w:p>
    <w:p w:rsidR="00496E03" w:rsidRPr="0055610F" w:rsidRDefault="007C5C12" w:rsidP="004D5825">
      <w:pPr>
        <w:jc w:val="both"/>
        <w:rPr>
          <w:sz w:val="22"/>
          <w:szCs w:val="22"/>
          <w:lang w:val="sr-Latn-ME"/>
        </w:rPr>
      </w:pPr>
      <w:r>
        <w:rPr>
          <w:sz w:val="22"/>
          <w:szCs w:val="22"/>
          <w:lang w:val="sr-Latn-ME"/>
        </w:rPr>
        <w:t>Prijavljeni su veoma</w:t>
      </w:r>
      <w:r w:rsidRPr="007C5C12">
        <w:rPr>
          <w:sz w:val="22"/>
          <w:szCs w:val="22"/>
          <w:lang w:val="sr-Latn-ME"/>
        </w:rPr>
        <w:t xml:space="preserve"> rijetki slučajevi PML a sa smrtnim ishodom </w:t>
      </w:r>
      <w:r>
        <w:rPr>
          <w:sz w:val="22"/>
          <w:szCs w:val="22"/>
          <w:lang w:val="sr-Latn-ME"/>
        </w:rPr>
        <w:t>n</w:t>
      </w:r>
      <w:r w:rsidR="00496E03" w:rsidRPr="0055610F">
        <w:rPr>
          <w:sz w:val="22"/>
          <w:szCs w:val="22"/>
          <w:lang w:val="sr-Latn-ME"/>
        </w:rPr>
        <w:t>akon primjene lijeka MabThera</w:t>
      </w:r>
      <w:r w:rsidRPr="007C5C12">
        <w:rPr>
          <w:sz w:val="22"/>
          <w:szCs w:val="22"/>
          <w:lang w:val="sr-Latn-ME"/>
        </w:rPr>
        <w:t xml:space="preserve"> za liječenje reumatoidnog artritisa i autoimunih bolesti (uključujući sistemski eritemski lupus [engl. </w:t>
      </w:r>
      <w:r w:rsidRPr="00DA475E">
        <w:rPr>
          <w:i/>
          <w:sz w:val="22"/>
          <w:szCs w:val="22"/>
          <w:lang w:val="sr-Latn-ME"/>
        </w:rPr>
        <w:t>systemic lupus erythematosus</w:t>
      </w:r>
      <w:r>
        <w:rPr>
          <w:sz w:val="22"/>
          <w:szCs w:val="22"/>
          <w:lang w:val="sr-Latn-ME"/>
        </w:rPr>
        <w:t>, SLE] i vaskulitis) i to</w:t>
      </w:r>
      <w:r w:rsidRPr="007C5C12">
        <w:rPr>
          <w:sz w:val="22"/>
          <w:szCs w:val="22"/>
          <w:lang w:val="sr-Latn-ME"/>
        </w:rPr>
        <w:t>kom primjene lijeka</w:t>
      </w:r>
      <w:r>
        <w:rPr>
          <w:sz w:val="22"/>
          <w:szCs w:val="22"/>
          <w:lang w:val="sr-Latn-ME"/>
        </w:rPr>
        <w:t xml:space="preserve"> MabThera za liječenje NHL a i </w:t>
      </w:r>
      <w:r w:rsidR="00011D28">
        <w:rPr>
          <w:sz w:val="22"/>
          <w:szCs w:val="22"/>
          <w:lang w:val="sr-Latn-ME"/>
        </w:rPr>
        <w:t>C</w:t>
      </w:r>
      <w:r>
        <w:rPr>
          <w:sz w:val="22"/>
          <w:szCs w:val="22"/>
          <w:lang w:val="sr-Latn-ME"/>
        </w:rPr>
        <w:t>LL a nakon</w:t>
      </w:r>
      <w:r w:rsidRPr="007C5C12">
        <w:rPr>
          <w:sz w:val="22"/>
          <w:szCs w:val="22"/>
          <w:lang w:val="sr-Latn-ME"/>
        </w:rPr>
        <w:t xml:space="preserve"> stavljanja</w:t>
      </w:r>
      <w:r>
        <w:rPr>
          <w:sz w:val="22"/>
          <w:szCs w:val="22"/>
          <w:lang w:val="sr-Latn-ME"/>
        </w:rPr>
        <w:t xml:space="preserve"> lijeka</w:t>
      </w:r>
      <w:r w:rsidRPr="007C5C12">
        <w:rPr>
          <w:sz w:val="22"/>
          <w:szCs w:val="22"/>
          <w:lang w:val="sr-Latn-ME"/>
        </w:rPr>
        <w:t xml:space="preserve"> u prom</w:t>
      </w:r>
      <w:r>
        <w:rPr>
          <w:sz w:val="22"/>
          <w:szCs w:val="22"/>
          <w:lang w:val="sr-Latn-ME"/>
        </w:rPr>
        <w:t>et (pri čemu je većina pacijenata</w:t>
      </w:r>
      <w:r w:rsidRPr="007C5C12">
        <w:rPr>
          <w:sz w:val="22"/>
          <w:szCs w:val="22"/>
          <w:lang w:val="sr-Latn-ME"/>
        </w:rPr>
        <w:t xml:space="preserve"> primala lijek MabThera u kombinaciji s</w:t>
      </w:r>
      <w:r>
        <w:rPr>
          <w:sz w:val="22"/>
          <w:szCs w:val="22"/>
          <w:lang w:val="sr-Latn-ME"/>
        </w:rPr>
        <w:t>a hemio</w:t>
      </w:r>
      <w:r w:rsidRPr="007C5C12">
        <w:rPr>
          <w:sz w:val="22"/>
          <w:szCs w:val="22"/>
          <w:lang w:val="sr-Latn-ME"/>
        </w:rPr>
        <w:t>ter</w:t>
      </w:r>
      <w:r>
        <w:rPr>
          <w:sz w:val="22"/>
          <w:szCs w:val="22"/>
          <w:lang w:val="sr-Latn-ME"/>
        </w:rPr>
        <w:t xml:space="preserve">apijom ili u sklopu transplantacije </w:t>
      </w:r>
      <w:r w:rsidRPr="007C5C12">
        <w:rPr>
          <w:sz w:val="22"/>
          <w:szCs w:val="22"/>
          <w:lang w:val="sr-Latn-ME"/>
        </w:rPr>
        <w:t>matični</w:t>
      </w:r>
      <w:r>
        <w:rPr>
          <w:sz w:val="22"/>
          <w:szCs w:val="22"/>
          <w:lang w:val="sr-Latn-ME"/>
        </w:rPr>
        <w:t>h ćelija hematopoeze</w:t>
      </w:r>
      <w:r w:rsidRPr="007C5C12">
        <w:rPr>
          <w:sz w:val="22"/>
          <w:szCs w:val="22"/>
          <w:lang w:val="sr-Latn-ME"/>
        </w:rPr>
        <w:t>)</w:t>
      </w:r>
      <w:r>
        <w:rPr>
          <w:sz w:val="22"/>
          <w:szCs w:val="22"/>
          <w:lang w:val="sr-Latn-ME"/>
        </w:rPr>
        <w:t xml:space="preserve">. </w:t>
      </w:r>
      <w:r w:rsidR="00496E03" w:rsidRPr="0055610F">
        <w:rPr>
          <w:sz w:val="22"/>
          <w:szCs w:val="22"/>
          <w:lang w:val="sr-Latn-ME"/>
        </w:rPr>
        <w:t xml:space="preserve"> Pacijenti se moraju redovno nadgledati zbog moguće pojave novih ili pogoršanja već postojećih neuroloških simptoma ili znakova koji mogu ukazivati na P</w:t>
      </w:r>
      <w:r w:rsidR="007642DC">
        <w:rPr>
          <w:sz w:val="22"/>
          <w:szCs w:val="22"/>
          <w:lang w:val="sr-Latn-ME"/>
        </w:rPr>
        <w:t>ML</w:t>
      </w:r>
      <w:r w:rsidR="00496E03" w:rsidRPr="0055610F">
        <w:rPr>
          <w:sz w:val="22"/>
          <w:szCs w:val="22"/>
          <w:lang w:val="sr-Latn-ME"/>
        </w:rPr>
        <w:t>. Ako se sumnja na P</w:t>
      </w:r>
      <w:r w:rsidR="007642DC">
        <w:rPr>
          <w:sz w:val="22"/>
          <w:szCs w:val="22"/>
          <w:lang w:val="sr-Latn-ME"/>
        </w:rPr>
        <w:t>ML</w:t>
      </w:r>
      <w:r w:rsidR="00496E03" w:rsidRPr="0055610F">
        <w:rPr>
          <w:sz w:val="22"/>
          <w:szCs w:val="22"/>
          <w:lang w:val="sr-Latn-ME"/>
        </w:rPr>
        <w:t>, dalju primjenu treba prekinuti dok se P</w:t>
      </w:r>
      <w:r w:rsidR="007642DC">
        <w:rPr>
          <w:sz w:val="22"/>
          <w:szCs w:val="22"/>
          <w:lang w:val="sr-Latn-ME"/>
        </w:rPr>
        <w:t>ML</w:t>
      </w:r>
      <w:r w:rsidR="00496E03" w:rsidRPr="0055610F">
        <w:rPr>
          <w:sz w:val="22"/>
          <w:szCs w:val="22"/>
          <w:lang w:val="sr-Latn-ME"/>
        </w:rPr>
        <w:t xml:space="preserve"> ne isključi. Ljekar treba pregledati pacijenta kako bi utvrdio ukazuju li simptomi na neurološki poremećaj, i ako je tako, upućuju li možda na P</w:t>
      </w:r>
      <w:r w:rsidR="007642DC">
        <w:rPr>
          <w:sz w:val="22"/>
          <w:szCs w:val="22"/>
          <w:lang w:val="sr-Latn-ME"/>
        </w:rPr>
        <w:t>ML</w:t>
      </w:r>
      <w:r w:rsidR="00496E03" w:rsidRPr="0055610F">
        <w:rPr>
          <w:sz w:val="22"/>
          <w:szCs w:val="22"/>
          <w:lang w:val="sr-Latn-ME"/>
        </w:rPr>
        <w:t xml:space="preserve">. Ako je klinički indikovano, potrebno je razmotriti konsultaciju sa neurologom.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Postoji li dvou</w:t>
      </w:r>
      <w:r w:rsidR="007642DC">
        <w:rPr>
          <w:sz w:val="22"/>
          <w:szCs w:val="22"/>
          <w:lang w:val="sr-Latn-ME"/>
        </w:rPr>
        <w:t>ml</w:t>
      </w:r>
      <w:r w:rsidRPr="0055610F">
        <w:rPr>
          <w:sz w:val="22"/>
          <w:szCs w:val="22"/>
          <w:lang w:val="sr-Latn-ME"/>
        </w:rPr>
        <w:t>jenje, treba razmotriti sprovođenje daljih analiza, uključujući MR oslikavanje, po mogućnosti sa kontrastnim sredstvom, ispitivanje cerebrospinale tečnosti na DNK JC virusa i ponavljanje neuroloških analiza.</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Ljekar treba naročitu pažnju  pokloniti simptomima koji ukazuju na P</w:t>
      </w:r>
      <w:r w:rsidR="007642DC">
        <w:rPr>
          <w:sz w:val="22"/>
          <w:szCs w:val="22"/>
          <w:lang w:val="sr-Latn-ME"/>
        </w:rPr>
        <w:t>ML</w:t>
      </w:r>
      <w:r w:rsidRPr="0055610F">
        <w:rPr>
          <w:sz w:val="22"/>
          <w:szCs w:val="22"/>
          <w:lang w:val="sr-Latn-ME"/>
        </w:rPr>
        <w:t>, a koje pacijent ne mora zamijetiti (npr. kognitivne, neurološke ili psihijatrijske simptome). Pacijentima takođe treba savjetovati da obavijeste partnera ili staratelje o svojoj terapiji, jer oni mogu prim</w:t>
      </w:r>
      <w:r w:rsidR="00930450" w:rsidRPr="0055610F">
        <w:rPr>
          <w:sz w:val="22"/>
          <w:szCs w:val="22"/>
          <w:lang w:val="sr-Latn-ME"/>
        </w:rPr>
        <w:t>i</w:t>
      </w:r>
      <w:r w:rsidRPr="0055610F">
        <w:rPr>
          <w:sz w:val="22"/>
          <w:szCs w:val="22"/>
          <w:lang w:val="sr-Latn-ME"/>
        </w:rPr>
        <w:t>jetiti simptome kojih pacijent nije svjestan.</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Ako se kod pacijenata razvije P</w:t>
      </w:r>
      <w:r w:rsidR="007642DC">
        <w:rPr>
          <w:sz w:val="22"/>
          <w:szCs w:val="22"/>
          <w:lang w:val="sr-Latn-ME"/>
        </w:rPr>
        <w:t>ML</w:t>
      </w:r>
      <w:r w:rsidRPr="0055610F">
        <w:rPr>
          <w:sz w:val="22"/>
          <w:szCs w:val="22"/>
          <w:lang w:val="sr-Latn-ME"/>
        </w:rPr>
        <w:t>, primjena lijeka MabThera mora se trajno obustaviti.</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Zapažena je stabilizacija ili poboljšanje ishoda nakon ponovne uspostave funkcije imunološkog sistema kod imunokompromitovanih pacijenata sa P</w:t>
      </w:r>
      <w:r w:rsidR="007642DC">
        <w:rPr>
          <w:sz w:val="22"/>
          <w:szCs w:val="22"/>
          <w:lang w:val="sr-Latn-ME"/>
        </w:rPr>
        <w:t>ML</w:t>
      </w:r>
      <w:r w:rsidRPr="0055610F">
        <w:rPr>
          <w:sz w:val="22"/>
          <w:szCs w:val="22"/>
          <w:lang w:val="sr-Latn-ME"/>
        </w:rPr>
        <w:noBreakHyphen/>
        <w:t>om. Ostaje nepoznato mogu li rano otkrivanje P</w:t>
      </w:r>
      <w:r w:rsidR="007642DC">
        <w:rPr>
          <w:sz w:val="22"/>
          <w:szCs w:val="22"/>
          <w:lang w:val="sr-Latn-ME"/>
        </w:rPr>
        <w:t>ML</w:t>
      </w:r>
      <w:r w:rsidRPr="0055610F">
        <w:rPr>
          <w:sz w:val="22"/>
          <w:szCs w:val="22"/>
          <w:lang w:val="sr-Latn-ME"/>
        </w:rPr>
        <w:noBreakHyphen/>
        <w:t>a i prekid liječenja lijekom MabThera dovesti do slične stabilizacije ili poboljšanog ishoda.</w:t>
      </w:r>
    </w:p>
    <w:p w:rsidR="00496E03" w:rsidRPr="0055610F" w:rsidRDefault="00496E03" w:rsidP="004D5825">
      <w:pPr>
        <w:tabs>
          <w:tab w:val="left" w:pos="540"/>
          <w:tab w:val="left" w:pos="569"/>
        </w:tabs>
        <w:jc w:val="both"/>
        <w:rPr>
          <w:bCs/>
          <w:sz w:val="22"/>
          <w:szCs w:val="22"/>
          <w:lang w:val="sr-Latn-ME"/>
        </w:rPr>
      </w:pPr>
    </w:p>
    <w:p w:rsidR="007C5C12" w:rsidRPr="0055610F" w:rsidRDefault="007C5C12" w:rsidP="007C5C12">
      <w:pPr>
        <w:jc w:val="both"/>
        <w:rPr>
          <w:i/>
          <w:sz w:val="22"/>
          <w:szCs w:val="22"/>
          <w:lang w:val="sr-Latn-ME"/>
        </w:rPr>
      </w:pPr>
      <w:r w:rsidRPr="0055610F">
        <w:rPr>
          <w:i/>
          <w:sz w:val="22"/>
          <w:szCs w:val="22"/>
          <w:lang w:val="sr-Latn-ME"/>
        </w:rPr>
        <w:t>Srčani poremećaji</w:t>
      </w:r>
    </w:p>
    <w:p w:rsidR="007C5C12" w:rsidRPr="0055610F" w:rsidRDefault="007C5C12" w:rsidP="007C5C12">
      <w:pPr>
        <w:jc w:val="both"/>
        <w:rPr>
          <w:sz w:val="22"/>
          <w:szCs w:val="22"/>
          <w:lang w:val="sr-Latn-ME"/>
        </w:rPr>
      </w:pPr>
      <w:r w:rsidRPr="0055610F">
        <w:rPr>
          <w:sz w:val="22"/>
          <w:szCs w:val="22"/>
          <w:lang w:val="sr-Latn-ME"/>
        </w:rPr>
        <w:t>Angina pektoris ili srčane aritmije kao što su atrijalni flater i fibrilacija, srčana insuficijencija ili infarkt miokarda zabilježeni su kod pacijenata koji su primali MabTheru. Prema tome, pacijenti koji su patili od srčanih oboljenja i/ili su primali kardiotoksičnu terapiju moraju se držati pod strogim nadzorom</w:t>
      </w:r>
      <w:r>
        <w:rPr>
          <w:sz w:val="22"/>
          <w:szCs w:val="22"/>
          <w:lang w:val="sr-Latn-ME"/>
        </w:rPr>
        <w:t xml:space="preserve"> </w:t>
      </w:r>
      <w:r w:rsidRPr="007C5C12">
        <w:rPr>
          <w:sz w:val="22"/>
          <w:szCs w:val="22"/>
          <w:lang w:val="sr-Latn-ME"/>
        </w:rPr>
        <w:t>(vidjeti reakcije na infuziju u nastavku)</w:t>
      </w:r>
      <w:r w:rsidRPr="0055610F">
        <w:rPr>
          <w:sz w:val="22"/>
          <w:szCs w:val="22"/>
          <w:lang w:val="sr-Latn-ME"/>
        </w:rPr>
        <w:t xml:space="preserve">. </w:t>
      </w:r>
    </w:p>
    <w:p w:rsidR="007C5C12" w:rsidRDefault="007C5C12" w:rsidP="004D5825">
      <w:pPr>
        <w:jc w:val="both"/>
        <w:rPr>
          <w:sz w:val="22"/>
          <w:szCs w:val="22"/>
          <w:u w:val="single"/>
          <w:lang w:val="sr-Latn-ME"/>
        </w:rPr>
      </w:pPr>
    </w:p>
    <w:p w:rsidR="007C5C12" w:rsidRDefault="007C5C12" w:rsidP="007C5C12">
      <w:pPr>
        <w:keepNext/>
        <w:jc w:val="both"/>
        <w:outlineLvl w:val="0"/>
        <w:rPr>
          <w:i/>
          <w:sz w:val="22"/>
          <w:szCs w:val="22"/>
          <w:lang w:val="sr-Latn-ME"/>
        </w:rPr>
      </w:pPr>
      <w:r w:rsidRPr="0055610F">
        <w:rPr>
          <w:i/>
          <w:sz w:val="22"/>
          <w:szCs w:val="22"/>
          <w:lang w:val="sr-Latn-ME"/>
        </w:rPr>
        <w:t>Infekcije</w:t>
      </w:r>
    </w:p>
    <w:p w:rsidR="007C5C12" w:rsidRPr="0055610F" w:rsidRDefault="00011D28" w:rsidP="00B04709">
      <w:pPr>
        <w:keepNext/>
        <w:jc w:val="both"/>
        <w:outlineLvl w:val="0"/>
        <w:rPr>
          <w:sz w:val="22"/>
          <w:szCs w:val="22"/>
          <w:lang w:val="sr-Latn-ME"/>
        </w:rPr>
      </w:pPr>
      <w:r w:rsidRPr="00011D28">
        <w:rPr>
          <w:sz w:val="22"/>
          <w:szCs w:val="22"/>
          <w:lang w:val="sr-Latn-ME"/>
        </w:rPr>
        <w:t>S obzirom na mehanizam djelovanja lijeka M</w:t>
      </w:r>
      <w:r>
        <w:rPr>
          <w:sz w:val="22"/>
          <w:szCs w:val="22"/>
          <w:lang w:val="sr-Latn-ME"/>
        </w:rPr>
        <w:t>abThera i činjenicu da B ćelije</w:t>
      </w:r>
      <w:r w:rsidRPr="00011D28">
        <w:rPr>
          <w:sz w:val="22"/>
          <w:szCs w:val="22"/>
          <w:lang w:val="sr-Latn-ME"/>
        </w:rPr>
        <w:t xml:space="preserve"> igraju važnu ulog</w:t>
      </w:r>
      <w:r>
        <w:rPr>
          <w:sz w:val="22"/>
          <w:szCs w:val="22"/>
          <w:lang w:val="sr-Latn-ME"/>
        </w:rPr>
        <w:t>u u održavanju normalnog imunog odgovora, pacijenti</w:t>
      </w:r>
      <w:r w:rsidRPr="00011D28">
        <w:rPr>
          <w:sz w:val="22"/>
          <w:szCs w:val="22"/>
          <w:lang w:val="sr-Latn-ME"/>
        </w:rPr>
        <w:t xml:space="preserve"> su izloženi povećanom riziku od infekcije nakon liječenja lijekom MabThera (vidjeti dio 5.1).</w:t>
      </w:r>
      <w:r>
        <w:rPr>
          <w:sz w:val="22"/>
          <w:szCs w:val="22"/>
          <w:lang w:val="sr-Latn-ME"/>
        </w:rPr>
        <w:t xml:space="preserve"> </w:t>
      </w:r>
      <w:r w:rsidR="007C5C12" w:rsidRPr="0055610F">
        <w:rPr>
          <w:sz w:val="22"/>
          <w:szCs w:val="22"/>
          <w:lang w:val="sr-Latn-ME"/>
        </w:rPr>
        <w:t xml:space="preserve">Ozbiljne infekcije, uključujući one sa fatalnim ishodom, mogu se pojaviti tokom terapije lijekom MabThera (vidjeti dio 4.8). MabThera se ne smije dati pacijentima sa aktivnom teškom infekcijom (npr. tuberkulozom, sepsom i oportunističkim </w:t>
      </w:r>
      <w:r w:rsidR="007C5C12" w:rsidRPr="0055610F">
        <w:rPr>
          <w:sz w:val="22"/>
          <w:szCs w:val="22"/>
          <w:lang w:val="sr-Latn-ME"/>
        </w:rPr>
        <w:lastRenderedPageBreak/>
        <w:t>infekcijama, vidjeti dio 4.3)</w:t>
      </w:r>
      <w:r>
        <w:rPr>
          <w:sz w:val="22"/>
          <w:szCs w:val="22"/>
          <w:lang w:val="sr-Latn-ME"/>
        </w:rPr>
        <w:t xml:space="preserve"> ili </w:t>
      </w:r>
      <w:r w:rsidRPr="00011D28">
        <w:rPr>
          <w:sz w:val="22"/>
          <w:szCs w:val="22"/>
          <w:lang w:val="sr-Latn-ME"/>
        </w:rPr>
        <w:t>teško imunokompromi</w:t>
      </w:r>
      <w:r>
        <w:rPr>
          <w:sz w:val="22"/>
          <w:szCs w:val="22"/>
          <w:lang w:val="sr-Latn-ME"/>
        </w:rPr>
        <w:t>tovanim pacijentima (npr. kada su nivoi CD4 ili CD8 ćelija veoma</w:t>
      </w:r>
      <w:r w:rsidRPr="00011D28">
        <w:rPr>
          <w:sz w:val="22"/>
          <w:szCs w:val="22"/>
          <w:lang w:val="sr-Latn-ME"/>
        </w:rPr>
        <w:t xml:space="preserve"> nisk</w:t>
      </w:r>
      <w:r>
        <w:rPr>
          <w:sz w:val="22"/>
          <w:szCs w:val="22"/>
          <w:lang w:val="sr-Latn-ME"/>
        </w:rPr>
        <w:t>i</w:t>
      </w:r>
      <w:r w:rsidRPr="00011D28">
        <w:rPr>
          <w:sz w:val="22"/>
          <w:szCs w:val="22"/>
          <w:lang w:val="sr-Latn-ME"/>
        </w:rPr>
        <w:t>).</w:t>
      </w:r>
      <w:r>
        <w:rPr>
          <w:sz w:val="22"/>
          <w:szCs w:val="22"/>
          <w:lang w:val="sr-Latn-ME"/>
        </w:rPr>
        <w:t xml:space="preserve"> </w:t>
      </w:r>
      <w:r w:rsidR="007C5C12" w:rsidRPr="0055610F">
        <w:rPr>
          <w:sz w:val="22"/>
          <w:szCs w:val="22"/>
          <w:lang w:val="sr-Latn-ME"/>
        </w:rPr>
        <w:t>Ljekari trebaju biti oprezni ako razmatraju primjenu lijeka MabThera kod pacijenata sa anamnezom rekurentnih ili hroničnih infekcija ili postojećim stanjima koje ih mogu dodatno predisponirati za ozbiljne infekcije (vidjeti dio 4.8)</w:t>
      </w:r>
      <w:r>
        <w:t>, npr.</w:t>
      </w:r>
      <w:r w:rsidRPr="00011D28">
        <w:rPr>
          <w:sz w:val="22"/>
          <w:szCs w:val="22"/>
          <w:lang w:val="sr-Latn-ME"/>
        </w:rPr>
        <w:t xml:space="preserve"> hipogamaglobulinemijom (vidjeti dio 4.8). Preporučuje se prije početka liječenja </w:t>
      </w:r>
      <w:r>
        <w:rPr>
          <w:sz w:val="22"/>
          <w:szCs w:val="22"/>
          <w:lang w:val="sr-Latn-ME"/>
        </w:rPr>
        <w:t>lijekom MabThera odrediti nivoe</w:t>
      </w:r>
      <w:r w:rsidRPr="00011D28">
        <w:rPr>
          <w:sz w:val="22"/>
          <w:szCs w:val="22"/>
          <w:lang w:val="sr-Latn-ME"/>
        </w:rPr>
        <w:t xml:space="preserve"> imunoglobulina</w:t>
      </w:r>
      <w:r>
        <w:rPr>
          <w:sz w:val="22"/>
          <w:szCs w:val="22"/>
          <w:lang w:val="sr-Latn-ME"/>
        </w:rPr>
        <w:t>.</w:t>
      </w:r>
    </w:p>
    <w:p w:rsidR="007C5C12" w:rsidRDefault="007C5C12" w:rsidP="00B04709">
      <w:pPr>
        <w:jc w:val="both"/>
        <w:rPr>
          <w:sz w:val="22"/>
          <w:szCs w:val="22"/>
          <w:lang w:val="sr-Latn-ME"/>
        </w:rPr>
      </w:pPr>
    </w:p>
    <w:p w:rsidR="00011D28" w:rsidRPr="00011D28" w:rsidRDefault="00011D28" w:rsidP="00C510AB">
      <w:pPr>
        <w:jc w:val="both"/>
        <w:outlineLvl w:val="0"/>
        <w:rPr>
          <w:sz w:val="22"/>
          <w:szCs w:val="22"/>
          <w:lang w:val="hr-HR" w:eastAsia="ja-JP"/>
        </w:rPr>
      </w:pPr>
      <w:r>
        <w:rPr>
          <w:sz w:val="22"/>
          <w:szCs w:val="22"/>
          <w:lang w:val="hr-HR" w:eastAsia="ja-JP"/>
        </w:rPr>
        <w:t>Pacijente kod kojih se pojave znac</w:t>
      </w:r>
      <w:r w:rsidRPr="00011D28">
        <w:rPr>
          <w:sz w:val="22"/>
          <w:szCs w:val="22"/>
          <w:lang w:val="hr-HR" w:eastAsia="ja-JP"/>
        </w:rPr>
        <w:t>i i simptomi infekcije nakon terapije lijekom MabThera treba o</w:t>
      </w:r>
      <w:r>
        <w:rPr>
          <w:sz w:val="22"/>
          <w:szCs w:val="22"/>
          <w:lang w:val="hr-HR" w:eastAsia="ja-JP"/>
        </w:rPr>
        <w:t>dmah pregledati i liječiti na odgovarajući način</w:t>
      </w:r>
      <w:r w:rsidRPr="00011D28">
        <w:rPr>
          <w:sz w:val="22"/>
          <w:szCs w:val="22"/>
          <w:lang w:val="hr-HR" w:eastAsia="ja-JP"/>
        </w:rPr>
        <w:t>. Prije primjene sljedećeg cikl</w:t>
      </w:r>
      <w:r>
        <w:rPr>
          <w:sz w:val="22"/>
          <w:szCs w:val="22"/>
          <w:lang w:val="hr-HR" w:eastAsia="ja-JP"/>
        </w:rPr>
        <w:t>usa lijeka MabThera treba ponovo procijeniti stanje pacijenta</w:t>
      </w:r>
      <w:r w:rsidRPr="00011D28">
        <w:rPr>
          <w:sz w:val="22"/>
          <w:szCs w:val="22"/>
          <w:lang w:val="hr-HR" w:eastAsia="ja-JP"/>
        </w:rPr>
        <w:t xml:space="preserve"> kako bi se utvrdio potencijalni rizik od infekcija.</w:t>
      </w:r>
    </w:p>
    <w:p w:rsidR="00011D28" w:rsidRPr="00011D28" w:rsidRDefault="00011D28" w:rsidP="00011D28">
      <w:pPr>
        <w:outlineLvl w:val="0"/>
        <w:rPr>
          <w:sz w:val="22"/>
          <w:szCs w:val="22"/>
          <w:lang w:val="hr-HR" w:eastAsia="ja-JP"/>
        </w:rPr>
      </w:pPr>
    </w:p>
    <w:p w:rsidR="00011D28" w:rsidRPr="00011D28" w:rsidRDefault="00011D28" w:rsidP="00C510AB">
      <w:pPr>
        <w:jc w:val="both"/>
        <w:outlineLvl w:val="0"/>
        <w:rPr>
          <w:sz w:val="22"/>
          <w:szCs w:val="22"/>
          <w:lang w:val="hr-HR" w:eastAsia="ja-JP"/>
        </w:rPr>
      </w:pPr>
      <w:r w:rsidRPr="00011D28">
        <w:rPr>
          <w:sz w:val="22"/>
          <w:szCs w:val="22"/>
          <w:lang w:val="hr-HR" w:eastAsia="ja-JP"/>
        </w:rPr>
        <w:t xml:space="preserve">Za informacije o progresivnoj multifokalnoj leukoencefalopatiji (PML) vidjeti prethodni </w:t>
      </w:r>
      <w:r>
        <w:rPr>
          <w:sz w:val="22"/>
          <w:szCs w:val="22"/>
          <w:lang w:val="hr-HR" w:eastAsia="ja-JP"/>
        </w:rPr>
        <w:t>odjeljak</w:t>
      </w:r>
      <w:r w:rsidRPr="00011D28">
        <w:rPr>
          <w:sz w:val="22"/>
          <w:szCs w:val="22"/>
          <w:lang w:val="hr-HR" w:eastAsia="ja-JP"/>
        </w:rPr>
        <w:t xml:space="preserve"> o PML</w:t>
      </w:r>
      <w:r w:rsidRPr="00011D28">
        <w:rPr>
          <w:sz w:val="22"/>
          <w:szCs w:val="22"/>
          <w:lang w:val="hr-HR" w:eastAsia="ja-JP"/>
        </w:rPr>
        <w:noBreakHyphen/>
        <w:t>u.</w:t>
      </w:r>
    </w:p>
    <w:p w:rsidR="00011D28" w:rsidRDefault="00011D28" w:rsidP="007C5C12">
      <w:pPr>
        <w:jc w:val="both"/>
        <w:rPr>
          <w:sz w:val="22"/>
          <w:szCs w:val="22"/>
          <w:lang w:val="sr-Latn-ME"/>
        </w:rPr>
      </w:pPr>
    </w:p>
    <w:p w:rsidR="00011D28" w:rsidRPr="00A34DF2" w:rsidRDefault="00011D28" w:rsidP="00011D28">
      <w:pPr>
        <w:jc w:val="both"/>
        <w:rPr>
          <w:sz w:val="22"/>
          <w:szCs w:val="22"/>
          <w:lang w:val="sr-Latn-ME"/>
        </w:rPr>
      </w:pPr>
      <w:r w:rsidRPr="00A34DF2">
        <w:rPr>
          <w:sz w:val="22"/>
          <w:szCs w:val="22"/>
          <w:lang w:val="sr-Latn-ME"/>
        </w:rPr>
        <w:t>Nakon prim</w:t>
      </w:r>
      <w:r>
        <w:rPr>
          <w:sz w:val="22"/>
          <w:szCs w:val="22"/>
          <w:lang w:val="sr-Latn-ME"/>
        </w:rPr>
        <w:t>j</w:t>
      </w:r>
      <w:r w:rsidRPr="00A34DF2">
        <w:rPr>
          <w:sz w:val="22"/>
          <w:szCs w:val="22"/>
          <w:lang w:val="sr-Latn-ME"/>
        </w:rPr>
        <w:t xml:space="preserve">ene rituksimaba prijavljeni su slučajevi enterovirusnog meningoencefalitisa, uključujući slučajeve sa smrtnim ishodom. </w:t>
      </w:r>
    </w:p>
    <w:p w:rsidR="00011D28" w:rsidRDefault="00011D28" w:rsidP="007C5C12">
      <w:pPr>
        <w:jc w:val="both"/>
        <w:rPr>
          <w:sz w:val="22"/>
          <w:szCs w:val="22"/>
          <w:lang w:val="sr-Latn-ME"/>
        </w:rPr>
      </w:pPr>
    </w:p>
    <w:p w:rsidR="00011D28" w:rsidRPr="00DA475E" w:rsidRDefault="00011D28" w:rsidP="00DA475E">
      <w:pPr>
        <w:keepNext/>
        <w:keepLines/>
        <w:outlineLvl w:val="0"/>
        <w:rPr>
          <w:rFonts w:eastAsia="MS Mincho"/>
          <w:iCs/>
          <w:sz w:val="22"/>
          <w:szCs w:val="22"/>
          <w:u w:val="single"/>
          <w:lang w:val="hr-HR" w:eastAsia="ja-JP"/>
        </w:rPr>
      </w:pPr>
      <w:r w:rsidRPr="00011D28">
        <w:rPr>
          <w:rFonts w:eastAsia="MS Mincho"/>
          <w:iCs/>
          <w:sz w:val="22"/>
          <w:szCs w:val="22"/>
          <w:u w:val="single"/>
          <w:lang w:val="hr-HR" w:eastAsia="ja-JP"/>
        </w:rPr>
        <w:t xml:space="preserve">Infekcije virusom hepatitisa B </w:t>
      </w:r>
    </w:p>
    <w:p w:rsidR="0000153E" w:rsidRDefault="007C5C12" w:rsidP="007C5C12">
      <w:pPr>
        <w:jc w:val="both"/>
        <w:outlineLvl w:val="0"/>
        <w:rPr>
          <w:sz w:val="22"/>
          <w:szCs w:val="22"/>
          <w:lang w:val="sr-Latn-ME"/>
        </w:rPr>
      </w:pPr>
      <w:r w:rsidRPr="0055610F">
        <w:rPr>
          <w:sz w:val="22"/>
          <w:szCs w:val="22"/>
          <w:lang w:val="sr-Latn-ME"/>
        </w:rPr>
        <w:t xml:space="preserve">Kod osoba koji su primali lijek Mabthera zabilježeni su slučajevi reaktivacije hepatitisa B, uključujući </w:t>
      </w:r>
      <w:r w:rsidR="00011D28">
        <w:rPr>
          <w:sz w:val="22"/>
          <w:szCs w:val="22"/>
          <w:lang w:val="sr-Latn-ME"/>
        </w:rPr>
        <w:t>one</w:t>
      </w:r>
      <w:r w:rsidRPr="0055610F">
        <w:rPr>
          <w:sz w:val="22"/>
          <w:szCs w:val="22"/>
          <w:lang w:val="sr-Latn-ME"/>
        </w:rPr>
        <w:t xml:space="preserve"> sa fatalnim ishodom. Većina ovih osoba bila je izložena i citotoksičnoj hemioterapiji. Ograničeni podaci iz jednog ispitivanja kod pacijenata sa relapsirajućim/refraktornim CLL</w:t>
      </w:r>
      <w:r w:rsidRPr="0055610F">
        <w:rPr>
          <w:sz w:val="22"/>
          <w:szCs w:val="22"/>
          <w:lang w:val="sr-Latn-ME"/>
        </w:rPr>
        <w:noBreakHyphen/>
        <w:t xml:space="preserve">om ukazuju da liječenje lijekom MabThera može takođe pogoršati ishod primarne infekcije hepatitisom B. </w:t>
      </w:r>
    </w:p>
    <w:p w:rsidR="0000153E" w:rsidRDefault="0000153E" w:rsidP="007C5C12">
      <w:pPr>
        <w:jc w:val="both"/>
        <w:outlineLvl w:val="0"/>
        <w:rPr>
          <w:sz w:val="22"/>
          <w:szCs w:val="22"/>
          <w:lang w:val="sr-Latn-ME"/>
        </w:rPr>
      </w:pPr>
    </w:p>
    <w:p w:rsidR="007C5C12" w:rsidRDefault="007C5C12" w:rsidP="007C5C12">
      <w:pPr>
        <w:jc w:val="both"/>
        <w:outlineLvl w:val="0"/>
        <w:rPr>
          <w:sz w:val="22"/>
          <w:szCs w:val="22"/>
          <w:lang w:val="sr-Latn-ME"/>
        </w:rPr>
      </w:pPr>
      <w:r w:rsidRPr="0055610F">
        <w:rPr>
          <w:sz w:val="22"/>
          <w:szCs w:val="22"/>
          <w:lang w:val="sr-Latn-ME"/>
        </w:rPr>
        <w:t xml:space="preserve">Svi pacijenti prije početka liječenja lijekom MabThera moraju se testirati na virus hepatitisa B (HBV). Potrebno je najmanje odrediti status HBsAg i HBcAb, a testiranje se može dopuniti i određivanjem drugih odgovarajućih markera, u skladu sa lokalnim smjernicama. Pacijenti sa aktivnim hepatitisom B ne smiju se liječiti lijekom MabThera. Pacijenti sa pozitivnim serološkim nalazima na hepatitis B (bilo HBsAg ili HBcAb) trebaju prije početka liječenja konsultovati stručnjake za bolesti jetre te ih treba nadgledati i liječiti u skladu sa lokalnim standardima sa ciljem prevencije reaktivacije hepatitisa B. </w:t>
      </w:r>
    </w:p>
    <w:p w:rsidR="009F7E58" w:rsidRPr="0055610F" w:rsidRDefault="009F7E58" w:rsidP="007C5C12">
      <w:pPr>
        <w:jc w:val="both"/>
        <w:outlineLvl w:val="0"/>
        <w:rPr>
          <w:sz w:val="22"/>
          <w:szCs w:val="22"/>
          <w:lang w:val="sr-Latn-ME"/>
        </w:rPr>
      </w:pPr>
    </w:p>
    <w:p w:rsidR="007C5C12" w:rsidRPr="00A34DF2" w:rsidRDefault="007C5C12" w:rsidP="007C5C12">
      <w:pPr>
        <w:jc w:val="both"/>
        <w:rPr>
          <w:sz w:val="22"/>
          <w:szCs w:val="22"/>
          <w:lang w:val="sr-Latn-ME"/>
        </w:rPr>
      </w:pPr>
      <w:r w:rsidRPr="00A34DF2">
        <w:rPr>
          <w:sz w:val="22"/>
          <w:szCs w:val="22"/>
          <w:lang w:val="sr-Latn-ME"/>
        </w:rPr>
        <w:t xml:space="preserve">Lažno negativni rezultati seroloških testova na infekcije </w:t>
      </w:r>
    </w:p>
    <w:p w:rsidR="007C5C12" w:rsidRPr="0055610F" w:rsidRDefault="007C5C12" w:rsidP="007C5C12">
      <w:pPr>
        <w:jc w:val="both"/>
        <w:rPr>
          <w:sz w:val="22"/>
          <w:szCs w:val="22"/>
          <w:lang w:val="sr-Latn-ME"/>
        </w:rPr>
      </w:pPr>
      <w:r w:rsidRPr="00A34DF2">
        <w:rPr>
          <w:sz w:val="22"/>
          <w:szCs w:val="22"/>
          <w:lang w:val="sr-Latn-ME"/>
        </w:rPr>
        <w:t>Zbog rizika od lažno negativnih rezultata seroloških testova na infekcije, potrebno je uzeti u obzir druge dijagnostičke metode kod pacijenata sa simptomima koji ukazuju na r</w:t>
      </w:r>
      <w:r>
        <w:rPr>
          <w:sz w:val="22"/>
          <w:szCs w:val="22"/>
          <w:lang w:val="sr-Latn-ME"/>
        </w:rPr>
        <w:t>ij</w:t>
      </w:r>
      <w:r w:rsidRPr="00A34DF2">
        <w:rPr>
          <w:sz w:val="22"/>
          <w:szCs w:val="22"/>
          <w:lang w:val="sr-Latn-ME"/>
        </w:rPr>
        <w:t>etku zaraznu bolest, npr. infekciju virusom Zapadnog Nila i neuroboreliozu.</w:t>
      </w:r>
    </w:p>
    <w:p w:rsidR="00BD3210" w:rsidRDefault="00BD3210" w:rsidP="004D5825">
      <w:pPr>
        <w:jc w:val="both"/>
        <w:rPr>
          <w:sz w:val="22"/>
          <w:szCs w:val="22"/>
          <w:u w:val="single"/>
          <w:lang w:val="sr-Latn-ME"/>
        </w:rPr>
      </w:pPr>
    </w:p>
    <w:p w:rsidR="0000153E" w:rsidRPr="00DA475E" w:rsidRDefault="0000153E" w:rsidP="0000153E">
      <w:pPr>
        <w:tabs>
          <w:tab w:val="left" w:pos="540"/>
          <w:tab w:val="left" w:pos="569"/>
        </w:tabs>
        <w:jc w:val="both"/>
        <w:rPr>
          <w:i/>
          <w:sz w:val="22"/>
          <w:szCs w:val="22"/>
          <w:u w:val="single"/>
          <w:lang w:val="sr-Latn-ME"/>
        </w:rPr>
      </w:pPr>
      <w:r w:rsidRPr="00DA475E">
        <w:rPr>
          <w:i/>
          <w:sz w:val="22"/>
          <w:szCs w:val="22"/>
          <w:u w:val="single"/>
          <w:lang w:val="sr-Latn-ME"/>
        </w:rPr>
        <w:t>Kožne reakcije</w:t>
      </w:r>
    </w:p>
    <w:p w:rsidR="00BD3210" w:rsidRDefault="0000153E" w:rsidP="00DA475E">
      <w:pPr>
        <w:jc w:val="both"/>
        <w:outlineLvl w:val="0"/>
        <w:rPr>
          <w:sz w:val="22"/>
          <w:szCs w:val="22"/>
          <w:u w:val="single"/>
          <w:lang w:val="sr-Latn-ME"/>
        </w:rPr>
      </w:pPr>
      <w:r w:rsidRPr="0055610F">
        <w:rPr>
          <w:sz w:val="22"/>
          <w:szCs w:val="22"/>
          <w:lang w:val="sr-Latn-ME"/>
        </w:rPr>
        <w:t>Prijavljene su teške kožne reakcije poput toksične epidermalne nekrolize (Lyellov sindrom) i Stevens-Johnsonova sindroma, neke od njih sa fatalnim ishodom (vidjeti dio 4.8). U slučaju takvog događaja, uz sumnju na povezanost sa lijekom MabThera, liječenje se mora trajno prekinuti.</w:t>
      </w:r>
    </w:p>
    <w:p w:rsidR="00BD3210" w:rsidRDefault="00BD3210" w:rsidP="004D5825">
      <w:pPr>
        <w:jc w:val="both"/>
        <w:rPr>
          <w:sz w:val="22"/>
          <w:szCs w:val="22"/>
          <w:u w:val="single"/>
          <w:lang w:val="sr-Latn-ME"/>
        </w:rPr>
      </w:pPr>
    </w:p>
    <w:p w:rsidR="00496E03" w:rsidRPr="0055610F" w:rsidRDefault="00496E03" w:rsidP="004D5825">
      <w:pPr>
        <w:jc w:val="both"/>
        <w:rPr>
          <w:sz w:val="22"/>
          <w:szCs w:val="22"/>
          <w:u w:val="single"/>
          <w:lang w:val="sr-Latn-ME"/>
        </w:rPr>
      </w:pPr>
      <w:r w:rsidRPr="0055610F">
        <w:rPr>
          <w:sz w:val="22"/>
          <w:szCs w:val="22"/>
          <w:u w:val="single"/>
          <w:lang w:val="sr-Latn-ME"/>
        </w:rPr>
        <w:t>Non-Hodgkinov limfom</w:t>
      </w:r>
      <w:r w:rsidRPr="0055610F">
        <w:rPr>
          <w:i/>
          <w:sz w:val="22"/>
          <w:szCs w:val="22"/>
          <w:u w:val="single"/>
          <w:lang w:val="sr-Latn-ME"/>
        </w:rPr>
        <w:t xml:space="preserve"> </w:t>
      </w:r>
      <w:r w:rsidRPr="0055610F">
        <w:rPr>
          <w:sz w:val="22"/>
          <w:szCs w:val="22"/>
          <w:u w:val="single"/>
          <w:lang w:val="sr-Latn-ME"/>
        </w:rPr>
        <w:t>i hronična limfocitna leukemija</w:t>
      </w:r>
    </w:p>
    <w:p w:rsidR="00496E03" w:rsidRPr="0055610F" w:rsidRDefault="00496E03" w:rsidP="004D5825">
      <w:pPr>
        <w:jc w:val="both"/>
        <w:rPr>
          <w:sz w:val="22"/>
          <w:szCs w:val="22"/>
          <w:u w:val="single"/>
          <w:lang w:val="sr-Latn-ME"/>
        </w:rPr>
      </w:pPr>
    </w:p>
    <w:p w:rsidR="00496E03" w:rsidRPr="0055610F" w:rsidRDefault="00496E03" w:rsidP="004D5825">
      <w:pPr>
        <w:jc w:val="both"/>
        <w:rPr>
          <w:i/>
          <w:sz w:val="22"/>
          <w:szCs w:val="22"/>
          <w:lang w:val="sr-Latn-ME"/>
        </w:rPr>
      </w:pPr>
      <w:r w:rsidRPr="0055610F">
        <w:rPr>
          <w:i/>
          <w:sz w:val="22"/>
          <w:szCs w:val="22"/>
          <w:lang w:val="sr-Latn-ME"/>
        </w:rPr>
        <w:t>Reakcije na infuziju</w:t>
      </w:r>
    </w:p>
    <w:p w:rsidR="00496E03" w:rsidRPr="0055610F" w:rsidRDefault="00496E03" w:rsidP="004D5825">
      <w:pPr>
        <w:keepNext/>
        <w:jc w:val="both"/>
        <w:outlineLvl w:val="0"/>
        <w:rPr>
          <w:sz w:val="22"/>
          <w:szCs w:val="22"/>
          <w:lang w:val="sr-Latn-ME"/>
        </w:rPr>
      </w:pPr>
      <w:r w:rsidRPr="0055610F">
        <w:rPr>
          <w:sz w:val="22"/>
          <w:szCs w:val="22"/>
          <w:lang w:val="sr-Latn-ME"/>
        </w:rPr>
        <w:t>Primjena lijeka MabThera povezuje se sa reakcijama na infuziju, koje mogu biti povezane sa otpuštanjem citokina i/ili drugih hemijskih medijatora. Sindrom otpuštanja citokina možda klinički se neće moći da razlikuje od akutnih reakcija preosjetljivosti.</w:t>
      </w:r>
    </w:p>
    <w:p w:rsidR="00496E03" w:rsidRPr="0055610F" w:rsidRDefault="00496E03" w:rsidP="004D5825">
      <w:pPr>
        <w:keepNext/>
        <w:jc w:val="both"/>
        <w:outlineLvl w:val="0"/>
        <w:rPr>
          <w:sz w:val="22"/>
          <w:szCs w:val="22"/>
          <w:lang w:val="sr-Latn-ME"/>
        </w:rPr>
      </w:pPr>
    </w:p>
    <w:p w:rsidR="00496E03" w:rsidRDefault="00496E03" w:rsidP="004D5825">
      <w:pPr>
        <w:keepNext/>
        <w:jc w:val="both"/>
        <w:outlineLvl w:val="0"/>
        <w:rPr>
          <w:sz w:val="22"/>
          <w:szCs w:val="22"/>
          <w:lang w:val="sr-Latn-ME"/>
        </w:rPr>
      </w:pPr>
      <w:r w:rsidRPr="0055610F">
        <w:rPr>
          <w:sz w:val="22"/>
          <w:szCs w:val="22"/>
          <w:lang w:val="sr-Latn-ME"/>
        </w:rPr>
        <w:t xml:space="preserve">Ovaj skup reakcija, koje uključuju sindrom otpuštanja citokina, sindrom lize tumora te anafilaktičke reakcije i reakcije preosjetljivosti, opisuje se u nastavku. </w:t>
      </w:r>
    </w:p>
    <w:p w:rsidR="009F7E58" w:rsidRPr="0055610F" w:rsidRDefault="009F7E58" w:rsidP="004D5825">
      <w:pPr>
        <w:keepNext/>
        <w:jc w:val="both"/>
        <w:outlineLvl w:val="0"/>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Pri primjeni lijeka MabThera u formulaciji za intravensku primjenu nakon njenog stavljanja u promet prijavljene su teške reakcije na infuziju sa smrtnim ishodom, koje su nastupile 30 minuta do 2 sata nakon početka prve intravenske infuzije lijeka MabThera. Kod tih reakcija bili su karakteristični plućni događaji, a u nekim slučajevima uključivale su brzu lizu tumora i obilježja sindroma lize tumora, uz povišenu temperaturu, drhtavicu, hipotenziju, urtikariju, angioedem i druge simptome (vidjeti dio 4.8).</w:t>
      </w:r>
    </w:p>
    <w:p w:rsidR="00496E03" w:rsidRPr="0055610F" w:rsidRDefault="00496E03" w:rsidP="004D5825">
      <w:pPr>
        <w:jc w:val="both"/>
        <w:rPr>
          <w:sz w:val="22"/>
          <w:szCs w:val="22"/>
          <w:lang w:val="sr-Latn-ME"/>
        </w:rPr>
      </w:pPr>
    </w:p>
    <w:p w:rsidR="0000153E" w:rsidRDefault="00496E03" w:rsidP="004D5825">
      <w:pPr>
        <w:jc w:val="both"/>
        <w:rPr>
          <w:sz w:val="22"/>
          <w:szCs w:val="22"/>
          <w:lang w:val="sr-Latn-ME"/>
        </w:rPr>
      </w:pPr>
      <w:r w:rsidRPr="0055610F">
        <w:rPr>
          <w:sz w:val="22"/>
          <w:szCs w:val="22"/>
          <w:lang w:val="sr-Latn-ME"/>
        </w:rPr>
        <w:t xml:space="preserve">Teški sindrom oslobađanja citokina se odlikuje teškom dispnejom, često praćenom bronhospazmom i hipoksijom, uz povišenu temperaturu, drhtavicu, ukočenost, urtikariju i angioedem. Ovaj sindrom </w:t>
      </w:r>
      <w:r w:rsidRPr="0055610F">
        <w:rPr>
          <w:sz w:val="22"/>
          <w:szCs w:val="22"/>
          <w:lang w:val="sr-Latn-ME"/>
        </w:rPr>
        <w:lastRenderedPageBreak/>
        <w:t>može da bude povezan sa nekim osobinama sindroma liziranja tumora kao što su hiperurikemija, hiperkalemija, hipokalcijemija, hiperfosfatemija, akutna bubrežna insuficijencija, povišeni LDH, a može biti povezan i sa akutnom respiratornom insuficijencijom i smrću. Akutna respiratorna insuficijencija može biti praćena događajima kao što su plućna intersticijalna infiltracija ili edem koji je vidljiv na rendgenskom snimku grudnog ko</w:t>
      </w:r>
      <w:r w:rsidRPr="007642DC">
        <w:rPr>
          <w:sz w:val="22"/>
          <w:szCs w:val="22"/>
          <w:lang w:val="sr-Latn-ME"/>
        </w:rPr>
        <w:t>ša</w:t>
      </w:r>
      <w:r w:rsidRPr="0055610F">
        <w:rPr>
          <w:sz w:val="22"/>
          <w:szCs w:val="22"/>
          <w:lang w:val="sr-Latn-ME"/>
        </w:rPr>
        <w:t xml:space="preserve">. Ovaj sindrom se često manifestuje u roku od jedan do dva sata po započinjanju prve infuzije. Pacijenti koji su već patili od plućne insuficijencije ili su imali infiltraciju tumora u pluća mogu biti izloženi većem riziku od lošeg ishoda i treba ih tretirati s posebnom pažnjom. </w:t>
      </w:r>
    </w:p>
    <w:p w:rsidR="0000153E" w:rsidRDefault="0000153E"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Pacijente koji razviju teški sindrom oslobađanja citokina treba odmah skinuti s infuzije (vidjeti </w:t>
      </w:r>
      <w:r w:rsidR="00930450" w:rsidRPr="0055610F">
        <w:rPr>
          <w:sz w:val="22"/>
          <w:szCs w:val="22"/>
          <w:lang w:val="sr-Latn-ME"/>
        </w:rPr>
        <w:t xml:space="preserve">dio </w:t>
      </w:r>
      <w:r w:rsidRPr="0055610F">
        <w:rPr>
          <w:sz w:val="22"/>
          <w:szCs w:val="22"/>
          <w:lang w:val="sr-Latn-ME"/>
        </w:rPr>
        <w:t xml:space="preserve">4.2.) i treba im dati agresivnu simptomatsku terapiju. Budući da inicijalno ublažavanje kliničkih simptoma može biti praćeno pogoršanjem, ove pacijente treba brižljivo pratiti sve dok se sindrom liziranja tumora i plućna infiltracija ne razriješe ili povuku. Dalje liječenje pacijenata po kompletnom povlačenju znaka i simptoma rijetko dovodi do ponavljanja težeg sindroma oslobađanja citokina.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Pacijente sa velikim tumorskim opterećenjem ili velikim brojem (</w:t>
      </w:r>
      <w:r w:rsidRPr="0055610F">
        <w:rPr>
          <w:sz w:val="22"/>
          <w:szCs w:val="22"/>
          <w:lang w:val="sr-Latn-ME"/>
        </w:rPr>
        <w:sym w:font="Symbol" w:char="F0B3"/>
      </w:r>
      <w:r w:rsidRPr="0055610F">
        <w:rPr>
          <w:sz w:val="22"/>
          <w:szCs w:val="22"/>
          <w:lang w:val="sr-Latn-ME"/>
        </w:rPr>
        <w:t>25 x 10</w:t>
      </w:r>
      <w:r w:rsidRPr="0055610F">
        <w:rPr>
          <w:sz w:val="22"/>
          <w:szCs w:val="22"/>
          <w:vertAlign w:val="superscript"/>
          <w:lang w:val="sr-Latn-ME"/>
        </w:rPr>
        <w:t>9</w:t>
      </w:r>
      <w:r w:rsidRPr="0055610F">
        <w:rPr>
          <w:sz w:val="22"/>
          <w:szCs w:val="22"/>
          <w:lang w:val="sr-Latn-ME"/>
        </w:rPr>
        <w:t xml:space="preserve">/l) malignih ćelija u cirkulaciji, kao što su pacijenti sa CLL, koji mogu biti izloženi visokom riziku od posebno teškog sindroma oslobađanja citokina treba tretirati sa izuzetnim oprezom i samo kada su iscrpljene sve druge terapijske alternative. Ove pacijente treba vrlo brižljivo pratiti tokom prve infuzije. Treba razmisliti i o mogućnosti još sporije prve infuzije kod ovih </w:t>
      </w:r>
      <w:r w:rsidR="00B16626" w:rsidRPr="0055610F">
        <w:rPr>
          <w:sz w:val="22"/>
          <w:szCs w:val="22"/>
          <w:lang w:val="sr-Latn-ME"/>
        </w:rPr>
        <w:t>pacijenata</w:t>
      </w:r>
      <w:r w:rsidRPr="0055610F">
        <w:rPr>
          <w:sz w:val="22"/>
          <w:szCs w:val="22"/>
          <w:lang w:val="sr-Latn-ME"/>
        </w:rPr>
        <w:t>, ili o podjeli doze u dva dana</w:t>
      </w:r>
      <w:r w:rsidRPr="0055610F">
        <w:rPr>
          <w:sz w:val="22"/>
          <w:szCs w:val="22"/>
          <w:lang w:val="sr-Latn-ME" w:eastAsia="ja-JP"/>
        </w:rPr>
        <w:t xml:space="preserve"> </w:t>
      </w:r>
      <w:r w:rsidRPr="0055610F">
        <w:rPr>
          <w:sz w:val="22"/>
          <w:szCs w:val="22"/>
          <w:lang w:val="sr-Latn-ME"/>
        </w:rPr>
        <w:t>tokom prvog ciklusa I svakog narednog ciklusa ako je broj leukocita I dalje &gt;25 x 10</w:t>
      </w:r>
      <w:r w:rsidRPr="0055610F">
        <w:rPr>
          <w:sz w:val="22"/>
          <w:szCs w:val="22"/>
          <w:vertAlign w:val="superscript"/>
          <w:lang w:val="sr-Latn-ME"/>
        </w:rPr>
        <w:t>9</w:t>
      </w:r>
      <w:r w:rsidRPr="0055610F">
        <w:rPr>
          <w:sz w:val="22"/>
          <w:szCs w:val="22"/>
          <w:lang w:val="sr-Latn-ME"/>
        </w:rPr>
        <w:t>/l.</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Kod 77% pacijenata liječenih lijekom MabThera primijećene su neželjene reakcije povezane uz primjenu infuzije (uključujući sindrom oslobađanja citokina praćen hipotenzijom i bronhospazmom kod 10% pacijenata), vidjeti dio 4.8. Ovi simptomi su obično reverzibilni s prekidom infuzije MabThere i davanjem analgetika, antihistaminika, i povremeno kiseonika, i.v.  fiziološkog rastvora ili bronhodilatatora, i kortikosteroida po potrebi.  Molimo da u vezi sa teškim reakcijama pročitate gore dio o sindromu oslobađanja citokina.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Anafilaktičke i druge reakcije preos</w:t>
      </w:r>
      <w:r w:rsidR="00501371" w:rsidRPr="0055610F">
        <w:rPr>
          <w:sz w:val="22"/>
          <w:szCs w:val="22"/>
          <w:lang w:val="sr-Latn-ME"/>
        </w:rPr>
        <w:t>j</w:t>
      </w:r>
      <w:r w:rsidRPr="0055610F">
        <w:rPr>
          <w:sz w:val="22"/>
          <w:szCs w:val="22"/>
          <w:lang w:val="sr-Latn-ME"/>
        </w:rPr>
        <w:t xml:space="preserve">etljivosti su zabilježene po i.v. davanju proteina </w:t>
      </w:r>
      <w:r w:rsidR="00B16626" w:rsidRPr="0055610F">
        <w:rPr>
          <w:sz w:val="22"/>
          <w:szCs w:val="22"/>
          <w:lang w:val="sr-Latn-ME"/>
        </w:rPr>
        <w:t>pacijentima</w:t>
      </w:r>
      <w:r w:rsidRPr="0055610F">
        <w:rPr>
          <w:sz w:val="22"/>
          <w:szCs w:val="22"/>
          <w:lang w:val="sr-Latn-ME"/>
        </w:rPr>
        <w:t xml:space="preserve">. Za razliku od sindroma oslobađanja citokina, prave reakcije preosjetljivosti tipično nastaju u roku od nekoliko minuta po započinjanju infuzije. Ljekovi za terapiju reakcija preosjetljivosti, npr. epinefrin (adrenalin), antihistaminici i kortikosteroidi, treba da budu pri ruci da se mogu odmah primijeniti u slučaju razvoja alergijske reakcije tokom davanja MabThere. Kliničke manifestacije anafilakse se mogu učiniti sličnim kliničkim manifestacijama sindroma oslobađanja citokina (opisanim gore). Reakcije koje se pripisuju preosjetljivosti su zabilježene ređe od onih koje se pripisuju oslobađanju citokina. </w:t>
      </w:r>
    </w:p>
    <w:p w:rsidR="00496E03" w:rsidRPr="0055610F" w:rsidRDefault="00496E03" w:rsidP="004D5825">
      <w:pPr>
        <w:jc w:val="both"/>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t>Dodatne reakcije prijavljene kod nekih slučajeva obuhvatile su infarkt miokarda, fibrilaciju atrija, plućni edem i akutnu reverzibilnu trombocitopeniju.</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Budući da tokom primjene lijeka MabThera može doći do hipotenzije, treba razmisliti o uzdržavanju od antihipertenzivne terapije 12 časova prije infuzije MabThere.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p>
    <w:p w:rsidR="00496E03" w:rsidRPr="0055610F" w:rsidRDefault="00496E03" w:rsidP="004D5825">
      <w:pPr>
        <w:jc w:val="both"/>
        <w:rPr>
          <w:i/>
          <w:sz w:val="22"/>
          <w:szCs w:val="22"/>
          <w:lang w:val="sr-Latn-ME"/>
        </w:rPr>
      </w:pPr>
      <w:r w:rsidRPr="0055610F">
        <w:rPr>
          <w:i/>
          <w:sz w:val="22"/>
          <w:szCs w:val="22"/>
          <w:lang w:val="sr-Latn-ME"/>
        </w:rPr>
        <w:t>Hematološke toksičnosti</w:t>
      </w:r>
    </w:p>
    <w:p w:rsidR="00496E03" w:rsidRPr="0055610F" w:rsidRDefault="00496E03" w:rsidP="004D5825">
      <w:pPr>
        <w:jc w:val="both"/>
        <w:rPr>
          <w:sz w:val="22"/>
          <w:szCs w:val="22"/>
          <w:lang w:val="sr-Latn-ME"/>
        </w:rPr>
      </w:pPr>
      <w:r w:rsidRPr="0055610F">
        <w:rPr>
          <w:sz w:val="22"/>
          <w:szCs w:val="22"/>
          <w:lang w:val="sr-Latn-ME"/>
        </w:rPr>
        <w:t xml:space="preserve">Iako MabThera nije mijelosupresivna kada se daje kao monoterapija, treba biti oprezan kada se razmišlja o liječenju </w:t>
      </w:r>
      <w:r w:rsidR="00B16626" w:rsidRPr="0055610F">
        <w:rPr>
          <w:sz w:val="22"/>
          <w:szCs w:val="22"/>
          <w:lang w:val="sr-Latn-ME"/>
        </w:rPr>
        <w:t>pacijenata</w:t>
      </w:r>
      <w:r w:rsidRPr="0055610F">
        <w:rPr>
          <w:sz w:val="22"/>
          <w:szCs w:val="22"/>
          <w:lang w:val="sr-Latn-ME"/>
        </w:rPr>
        <w:t xml:space="preserve"> koji imaju  &lt;</w:t>
      </w:r>
      <w:r w:rsidR="00501371" w:rsidRPr="0055610F">
        <w:rPr>
          <w:sz w:val="22"/>
          <w:szCs w:val="22"/>
          <w:lang w:val="sr-Latn-ME"/>
        </w:rPr>
        <w:t xml:space="preserve"> </w:t>
      </w:r>
      <w:r w:rsidRPr="0055610F">
        <w:rPr>
          <w:sz w:val="22"/>
          <w:szCs w:val="22"/>
          <w:lang w:val="sr-Latn-ME"/>
        </w:rPr>
        <w:t>1,5 x10</w:t>
      </w:r>
      <w:r w:rsidRPr="0055610F">
        <w:rPr>
          <w:sz w:val="22"/>
          <w:szCs w:val="22"/>
          <w:vertAlign w:val="superscript"/>
          <w:lang w:val="sr-Latn-ME"/>
        </w:rPr>
        <w:t>9</w:t>
      </w:r>
      <w:r w:rsidRPr="0055610F">
        <w:rPr>
          <w:sz w:val="22"/>
          <w:szCs w:val="22"/>
          <w:lang w:val="sr-Latn-ME"/>
        </w:rPr>
        <w:t>/l neutrofila i/ili broj trombocita &lt;</w:t>
      </w:r>
      <w:r w:rsidR="00501371" w:rsidRPr="0055610F">
        <w:rPr>
          <w:sz w:val="22"/>
          <w:szCs w:val="22"/>
          <w:lang w:val="sr-Latn-ME"/>
        </w:rPr>
        <w:t xml:space="preserve"> </w:t>
      </w:r>
      <w:r w:rsidRPr="0055610F">
        <w:rPr>
          <w:sz w:val="22"/>
          <w:szCs w:val="22"/>
          <w:lang w:val="sr-Latn-ME"/>
        </w:rPr>
        <w:t>75x10</w:t>
      </w:r>
      <w:r w:rsidRPr="0055610F">
        <w:rPr>
          <w:sz w:val="22"/>
          <w:szCs w:val="22"/>
          <w:vertAlign w:val="superscript"/>
          <w:lang w:val="sr-Latn-ME"/>
        </w:rPr>
        <w:t>9</w:t>
      </w:r>
      <w:r w:rsidRPr="0055610F">
        <w:rPr>
          <w:sz w:val="22"/>
          <w:szCs w:val="22"/>
          <w:lang w:val="sr-Latn-ME"/>
        </w:rPr>
        <w:t>/l, jer je kliničko iskustvo u ovoj populaciji još uv</w:t>
      </w:r>
      <w:r w:rsidR="00501371" w:rsidRPr="0055610F">
        <w:rPr>
          <w:sz w:val="22"/>
          <w:szCs w:val="22"/>
          <w:lang w:val="sr-Latn-ME"/>
        </w:rPr>
        <w:t>ij</w:t>
      </w:r>
      <w:r w:rsidRPr="0055610F">
        <w:rPr>
          <w:sz w:val="22"/>
          <w:szCs w:val="22"/>
          <w:lang w:val="sr-Latn-ME"/>
        </w:rPr>
        <w:t>ek ograničeno. MabThera je prim</w:t>
      </w:r>
      <w:r w:rsidR="00501371" w:rsidRPr="0055610F">
        <w:rPr>
          <w:sz w:val="22"/>
          <w:szCs w:val="22"/>
          <w:lang w:val="sr-Latn-ME"/>
        </w:rPr>
        <w:t>i</w:t>
      </w:r>
      <w:r w:rsidRPr="0055610F">
        <w:rPr>
          <w:sz w:val="22"/>
          <w:szCs w:val="22"/>
          <w:lang w:val="sr-Latn-ME"/>
        </w:rPr>
        <w:t xml:space="preserve">jenjivana kod 21 pacijenta koji su podvrgnuti autolognoj transplantaciji koštane srži i drugim rizičnim grupama kod kojih je pretpostavljena oslabljena funkcija koštane srži, bez izazivanja mijelotoksičnosti. </w:t>
      </w:r>
    </w:p>
    <w:p w:rsidR="00496E03" w:rsidRPr="0055610F" w:rsidRDefault="00496E03" w:rsidP="004D5825">
      <w:pPr>
        <w:jc w:val="both"/>
        <w:rPr>
          <w:sz w:val="22"/>
          <w:szCs w:val="22"/>
          <w:lang w:val="sr-Latn-ME"/>
        </w:rPr>
      </w:pPr>
    </w:p>
    <w:p w:rsidR="00F16139" w:rsidRPr="0055610F" w:rsidRDefault="00496E03" w:rsidP="004D5825">
      <w:pPr>
        <w:keepNext/>
        <w:jc w:val="both"/>
        <w:outlineLvl w:val="0"/>
        <w:rPr>
          <w:sz w:val="22"/>
          <w:szCs w:val="22"/>
          <w:lang w:val="sr-Latn-ME"/>
        </w:rPr>
      </w:pPr>
      <w:r w:rsidRPr="0055610F">
        <w:rPr>
          <w:sz w:val="22"/>
          <w:szCs w:val="22"/>
          <w:lang w:val="sr-Latn-ME"/>
        </w:rPr>
        <w:t xml:space="preserve">Tokom terapije lijekom MabThera potrebno je redovno kontrolisati cjelokupnu krvnu sliku, uključujući broj neutrofila i trombocita. </w:t>
      </w:r>
    </w:p>
    <w:p w:rsidR="00F16139" w:rsidRPr="0055610F" w:rsidRDefault="00F16139" w:rsidP="004D5825">
      <w:pPr>
        <w:keepNext/>
        <w:jc w:val="both"/>
        <w:outlineLvl w:val="0"/>
        <w:rPr>
          <w:sz w:val="22"/>
          <w:szCs w:val="22"/>
          <w:lang w:val="sr-Latn-ME"/>
        </w:rPr>
      </w:pPr>
    </w:p>
    <w:p w:rsidR="00F16139" w:rsidRPr="0055610F" w:rsidRDefault="00F16139" w:rsidP="004D5825">
      <w:pPr>
        <w:jc w:val="both"/>
        <w:rPr>
          <w:sz w:val="22"/>
          <w:szCs w:val="22"/>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lastRenderedPageBreak/>
        <w:t>Imunizacija</w:t>
      </w:r>
    </w:p>
    <w:p w:rsidR="00496E03" w:rsidRPr="0055610F" w:rsidRDefault="00496E03" w:rsidP="004D5825">
      <w:pPr>
        <w:jc w:val="both"/>
        <w:outlineLvl w:val="0"/>
        <w:rPr>
          <w:sz w:val="22"/>
          <w:szCs w:val="22"/>
          <w:lang w:val="sr-Latn-ME"/>
        </w:rPr>
      </w:pPr>
      <w:r w:rsidRPr="0055610F">
        <w:rPr>
          <w:sz w:val="22"/>
          <w:szCs w:val="22"/>
          <w:lang w:val="sr-Latn-ME"/>
        </w:rPr>
        <w:t>Sigurnost imunizacije živim virusnim vakcinama  nakon liječenja lijekom MabThera nije ispitivana kod pacijenata sa NHL</w:t>
      </w:r>
      <w:r w:rsidRPr="0055610F">
        <w:rPr>
          <w:sz w:val="22"/>
          <w:szCs w:val="22"/>
          <w:lang w:val="sr-Latn-ME"/>
        </w:rPr>
        <w:noBreakHyphen/>
        <w:t>om i CLL</w:t>
      </w:r>
      <w:r w:rsidRPr="0055610F">
        <w:rPr>
          <w:sz w:val="22"/>
          <w:szCs w:val="22"/>
          <w:lang w:val="sr-Latn-ME"/>
        </w:rPr>
        <w:noBreakHyphen/>
        <w:t>om pa se vakcinacija živim virusnim vakcinama ne preporučuje. Pacijenti liječeni lijekom MabThera mogu primiti nežive vakcine. Međutim, stope odgovora na neživu vakcinu mogu biti smanjene. U nerandomizovanom ispitivanju, pacijenti u relapsu NHL</w:t>
      </w:r>
      <w:r w:rsidRPr="0055610F">
        <w:rPr>
          <w:sz w:val="22"/>
          <w:szCs w:val="22"/>
          <w:lang w:val="sr-Latn-ME"/>
        </w:rPr>
        <w:noBreakHyphen/>
        <w:t>a niskog stepena malignosti koji su primali monoterapiju lijekom MabThera su u poređenju sa zdravim neliječenim kontrolisanim ispitanicima imali nižu stopu odgovora na vakcinisanje antigenom tetanusa (16% u odnosu na 81%) i Keyhole Limpet Haemocyanin (KLH) neoantigenom (4% u odnosu na 76% kada se mjerilo više nego dvostruko povećanje titra antitijela). S obzirom na sličnost među bolestima, može se pretpostaviti da bi rezultati za pacijente sa CLL</w:t>
      </w:r>
      <w:r w:rsidRPr="0055610F">
        <w:rPr>
          <w:sz w:val="22"/>
          <w:szCs w:val="22"/>
          <w:lang w:val="sr-Latn-ME"/>
        </w:rPr>
        <w:noBreakHyphen/>
        <w:t>om bili slični, ali to nije ispitivano u kliničkim ispitivanjima.</w:t>
      </w:r>
    </w:p>
    <w:p w:rsidR="00496E03" w:rsidRPr="0055610F" w:rsidRDefault="00496E03" w:rsidP="004D5825">
      <w:pPr>
        <w:jc w:val="both"/>
        <w:outlineLvl w:val="0"/>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t>Srednja vrijednost titara antitijela na niz antigena (Streptococcus pneumoniae, influenca tipa A, zauške, rubela, varičela) prije terapije održala se najmanje 6 mjeseci nakon liječenja lijekom MabThera.</w:t>
      </w:r>
    </w:p>
    <w:p w:rsidR="00496E03" w:rsidRPr="0055610F" w:rsidRDefault="00496E03" w:rsidP="004D5825">
      <w:pPr>
        <w:jc w:val="both"/>
        <w:outlineLvl w:val="0"/>
        <w:rPr>
          <w:sz w:val="22"/>
          <w:szCs w:val="22"/>
          <w:lang w:val="sr-Latn-ME"/>
        </w:rPr>
      </w:pPr>
    </w:p>
    <w:p w:rsidR="00496E03" w:rsidRPr="0000153E" w:rsidRDefault="00496E03" w:rsidP="004D5825">
      <w:pPr>
        <w:jc w:val="both"/>
        <w:rPr>
          <w:sz w:val="22"/>
          <w:szCs w:val="22"/>
          <w:lang w:val="sr-Latn-RS"/>
        </w:rPr>
      </w:pPr>
    </w:p>
    <w:p w:rsidR="00496E03" w:rsidRPr="007D383C" w:rsidRDefault="00496E03" w:rsidP="004D5825">
      <w:pPr>
        <w:tabs>
          <w:tab w:val="left" w:pos="284"/>
        </w:tabs>
        <w:jc w:val="both"/>
        <w:rPr>
          <w:sz w:val="22"/>
          <w:szCs w:val="22"/>
          <w:u w:val="single"/>
          <w:lang w:val="sr-Latn-ME"/>
        </w:rPr>
      </w:pPr>
      <w:r w:rsidRPr="007D383C">
        <w:rPr>
          <w:sz w:val="22"/>
          <w:szCs w:val="22"/>
          <w:u w:val="single"/>
          <w:lang w:val="sr-Latn-ME"/>
        </w:rPr>
        <w:t>Pedijatrijska populacija</w:t>
      </w:r>
    </w:p>
    <w:p w:rsidR="00496E03" w:rsidRPr="0055610F" w:rsidRDefault="00496E03" w:rsidP="004D5825">
      <w:pPr>
        <w:tabs>
          <w:tab w:val="left" w:pos="284"/>
        </w:tabs>
        <w:jc w:val="both"/>
        <w:rPr>
          <w:sz w:val="22"/>
          <w:szCs w:val="22"/>
          <w:lang w:val="sr-Latn-ME"/>
        </w:rPr>
      </w:pPr>
      <w:r w:rsidRPr="0055610F">
        <w:rPr>
          <w:sz w:val="22"/>
          <w:szCs w:val="22"/>
          <w:lang w:val="sr-Latn-ME"/>
        </w:rPr>
        <w:t xml:space="preserve">Dostupni su samo ograničeni podaci za pacijente </w:t>
      </w:r>
      <w:r w:rsidR="007642DC">
        <w:rPr>
          <w:sz w:val="22"/>
          <w:szCs w:val="22"/>
          <w:lang w:val="sr-Latn-ME"/>
        </w:rPr>
        <w:t>ml</w:t>
      </w:r>
      <w:r w:rsidRPr="0055610F">
        <w:rPr>
          <w:sz w:val="22"/>
          <w:szCs w:val="22"/>
          <w:lang w:val="sr-Latn-ME"/>
        </w:rPr>
        <w:t>ađe od 3 godine. Za dodatne informacije, vidjeti dio 5.1</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u w:val="single"/>
          <w:lang w:val="sr-Latn-ME"/>
        </w:rPr>
      </w:pPr>
      <w:r w:rsidRPr="0055610F">
        <w:rPr>
          <w:sz w:val="22"/>
          <w:szCs w:val="22"/>
          <w:u w:val="single"/>
          <w:lang w:val="sr-Latn-ME"/>
        </w:rPr>
        <w:t>Reumatoidni artritis, granulomatoza sa poliangitisom (GPA) i mikroskopski poliangitis (MPA) i obični pemfigus</w:t>
      </w:r>
    </w:p>
    <w:p w:rsidR="00496E03" w:rsidRPr="0055610F" w:rsidRDefault="00496E03" w:rsidP="004D5825">
      <w:pPr>
        <w:jc w:val="both"/>
        <w:rPr>
          <w:sz w:val="22"/>
          <w:szCs w:val="22"/>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t>Pacijenti sa reumatoidnim artritisom koji prethodno ni</w:t>
      </w:r>
      <w:r w:rsidR="00334D52" w:rsidRPr="0055610F">
        <w:rPr>
          <w:i/>
          <w:sz w:val="22"/>
          <w:szCs w:val="22"/>
          <w:lang w:val="sr-Latn-ME"/>
        </w:rPr>
        <w:t>je</w:t>
      </w:r>
      <w:r w:rsidRPr="0055610F">
        <w:rPr>
          <w:i/>
          <w:sz w:val="22"/>
          <w:szCs w:val="22"/>
          <w:lang w:val="sr-Latn-ME"/>
        </w:rPr>
        <w:t>su liječeni metotreksatom</w:t>
      </w:r>
    </w:p>
    <w:p w:rsidR="00496E03" w:rsidRPr="0055610F" w:rsidRDefault="00496E03" w:rsidP="004D5825">
      <w:pPr>
        <w:jc w:val="both"/>
        <w:outlineLvl w:val="0"/>
        <w:rPr>
          <w:sz w:val="22"/>
          <w:szCs w:val="22"/>
          <w:lang w:val="sr-Latn-ME"/>
        </w:rPr>
      </w:pPr>
      <w:r w:rsidRPr="0055610F">
        <w:rPr>
          <w:sz w:val="22"/>
          <w:szCs w:val="22"/>
          <w:lang w:val="sr-Latn-ME"/>
        </w:rPr>
        <w:t>Primjena lijeka MabThera ne preporučuje se kod pacijenata koji prethodno ni</w:t>
      </w:r>
      <w:r w:rsidR="00334D52" w:rsidRPr="0055610F">
        <w:rPr>
          <w:sz w:val="22"/>
          <w:szCs w:val="22"/>
          <w:lang w:val="sr-Latn-ME"/>
        </w:rPr>
        <w:t>je</w:t>
      </w:r>
      <w:r w:rsidRPr="0055610F">
        <w:rPr>
          <w:sz w:val="22"/>
          <w:szCs w:val="22"/>
          <w:lang w:val="sr-Latn-ME"/>
        </w:rPr>
        <w:t>su bili liječeni metotreksatom jer nije utvrđen povoljan odnos koristi i rizika.</w:t>
      </w:r>
    </w:p>
    <w:p w:rsidR="00496E03" w:rsidRPr="0055610F" w:rsidRDefault="00496E03" w:rsidP="004D5825">
      <w:pPr>
        <w:jc w:val="both"/>
        <w:outlineLvl w:val="0"/>
        <w:rPr>
          <w:sz w:val="22"/>
          <w:szCs w:val="22"/>
          <w:lang w:val="sr-Latn-ME"/>
        </w:rPr>
      </w:pPr>
    </w:p>
    <w:p w:rsidR="00496E03" w:rsidRPr="0055610F" w:rsidRDefault="00496E03" w:rsidP="004D5825">
      <w:pPr>
        <w:jc w:val="both"/>
        <w:rPr>
          <w:i/>
          <w:sz w:val="22"/>
          <w:szCs w:val="22"/>
          <w:lang w:val="sr-Latn-ME"/>
        </w:rPr>
      </w:pPr>
      <w:r w:rsidRPr="0055610F">
        <w:rPr>
          <w:i/>
          <w:sz w:val="22"/>
          <w:szCs w:val="22"/>
          <w:lang w:val="sr-Latn-ME"/>
        </w:rPr>
        <w:t>Reakcije povezane sa infuzijom</w:t>
      </w:r>
    </w:p>
    <w:p w:rsidR="00496E03" w:rsidRPr="0055610F" w:rsidRDefault="00496E03" w:rsidP="004D5825">
      <w:pPr>
        <w:widowControl w:val="0"/>
        <w:jc w:val="both"/>
        <w:outlineLvl w:val="0"/>
        <w:rPr>
          <w:sz w:val="22"/>
          <w:szCs w:val="22"/>
          <w:lang w:val="sr-Latn-ME"/>
        </w:rPr>
      </w:pPr>
      <w:r w:rsidRPr="0055610F">
        <w:rPr>
          <w:sz w:val="22"/>
          <w:szCs w:val="22"/>
          <w:lang w:val="sr-Latn-ME"/>
        </w:rPr>
        <w:t xml:space="preserve">Primjena lijeka MabThera praćena je reakcijama na infuziju koje mogu biti povezane sa oslobađanjem citokina i/ili drugih hemijskih medijatora.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Nakon stavljanja lijeka u promet prijavljeni su slučajevi teških infuzionih reakcija sa fatalnim ishodom kod pacijenata sa reumatoidnim artritisom.</w:t>
      </w:r>
    </w:p>
    <w:p w:rsidR="00496E03" w:rsidRPr="0055610F" w:rsidRDefault="00496E03" w:rsidP="004D5825">
      <w:pPr>
        <w:jc w:val="both"/>
        <w:rPr>
          <w:sz w:val="22"/>
          <w:szCs w:val="22"/>
          <w:lang w:val="sr-Latn-ME"/>
        </w:rPr>
      </w:pPr>
      <w:r w:rsidRPr="0055610F">
        <w:rPr>
          <w:sz w:val="22"/>
          <w:szCs w:val="22"/>
          <w:lang w:val="sr-Latn-ME"/>
        </w:rPr>
        <w:t xml:space="preserve">Kod reumatoidnog artritisa je većina infuzionih reakcija prijavljenih u kliničkim ispitivanjima bila  blage do umjerene težine. Najčešći simptomi bile su alergijske reakcije, kao što su glavobolja, svrab, iritacija grla, crvenilo praćeno osjećajem vrućine, osip, urtikarija, hipertenzija i povišena temperatura. Uopšte je udio pacijenata koji su imali neku reakciju povezanu sa infuzijom bio veći nakon prve infuzije nego nakon druge infuzije u bilo kom ciklusu liječenja. Učestalost reakcija povezanih sa infuzijom smanjivala se u daljnjim ciklusima (vidjeti dio 4.8). Zabilježene reakcije su obično bile reverzibilne sa smanjenjem brzine, ili sa obustavljanjem infuzije lijeka MabThera i davanjem antipiretika, antihistaminika i, povremeno, kiseonika, i.v.  fiziološkog rastvora ili bronhodilatatora, i glukokortikoida, po potrebi. Pacijente sa postojećim srčanim tegobama i one koji su ranije imali neželjene reakcije na srcu i plućima treba strogo nadgledati. Zavisno o težini infuzijske reakcije i potrebnim intervencijama valja privremeno ili trajno prekinuti primjenu lijeka MabThera.U većini slučajeva, ova infuzija se može ponovo započeti sa 50% smanjenjem brzine (npr. sa 100 mg/h na 50 mg/h) kada se simptomi potpuno povuku.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Kada se daje MabThera, za slučaj da dođe do alergijske reakcije, treba imati na raspolaganju za hitnu primjenu sve lijekove za terapiju reakcija preos</w:t>
      </w:r>
      <w:r w:rsidR="00334D52" w:rsidRPr="0055610F">
        <w:rPr>
          <w:sz w:val="22"/>
          <w:szCs w:val="22"/>
          <w:lang w:val="sr-Latn-ME"/>
        </w:rPr>
        <w:t>j</w:t>
      </w:r>
      <w:r w:rsidRPr="0055610F">
        <w:rPr>
          <w:sz w:val="22"/>
          <w:szCs w:val="22"/>
          <w:lang w:val="sr-Latn-ME"/>
        </w:rPr>
        <w:t xml:space="preserve">etljivosti, npr. epinefrin (adrenalin), antihistaminike i glukokortikoide.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Nema podataka o bezbjednosti davanja lijeka MabThere pacijentima sa umjerenom srčanom insuficijencijom (klasa III po klasifikaciji NYHA) ili teškom, nekontrolisanom kardiovaskularnom bolešću. Kod pacijenata liječenih MabTherom zabilježena je pojava simptomatske manifestacije prethodno postojećeg ishemičnog stanja srca, kao što je angina pektoris, kao i atrijalna fibrilacija i flater. Prema tome, kod </w:t>
      </w:r>
      <w:r w:rsidR="00B16626" w:rsidRPr="0055610F">
        <w:rPr>
          <w:sz w:val="22"/>
          <w:szCs w:val="22"/>
          <w:lang w:val="sr-Latn-ME"/>
        </w:rPr>
        <w:t>pacijenata</w:t>
      </w:r>
      <w:r w:rsidRPr="0055610F">
        <w:rPr>
          <w:sz w:val="22"/>
          <w:szCs w:val="22"/>
          <w:lang w:val="sr-Latn-ME"/>
        </w:rPr>
        <w:t xml:space="preserve"> za koje znamo da imaju kardiološku anamnezu, i onih koji su ranije </w:t>
      </w:r>
      <w:r w:rsidRPr="0055610F">
        <w:rPr>
          <w:sz w:val="22"/>
          <w:szCs w:val="22"/>
          <w:lang w:val="sr-Latn-ME"/>
        </w:rPr>
        <w:lastRenderedPageBreak/>
        <w:t xml:space="preserve">imeli neželjene reakcije na srcu i plućima prije liječenja lijekom MabThera treba razmotriti rizik od kardiovaskularnih komplikacija koje mogu da nastanu zbog reakcija na infuziju i te pacijente treba pažljivo pratiti tokom davanja lijeka. Budući da tokom infuzije MabThere može doći do hipotenzije,  treba razmisliti o obustavljanju svih antihipertenzivnih lijekova 12 časova prije davanja infuzije MabThere. </w:t>
      </w:r>
    </w:p>
    <w:p w:rsidR="00496E03" w:rsidRPr="0055610F" w:rsidRDefault="00496E03" w:rsidP="004D5825">
      <w:pPr>
        <w:jc w:val="both"/>
        <w:rPr>
          <w:sz w:val="22"/>
          <w:szCs w:val="22"/>
          <w:lang w:val="sr-Latn-ME"/>
        </w:rPr>
      </w:pPr>
    </w:p>
    <w:p w:rsidR="00073369" w:rsidRPr="00A34DF2" w:rsidRDefault="00496E03" w:rsidP="009F7E58">
      <w:pPr>
        <w:widowControl w:val="0"/>
        <w:jc w:val="both"/>
        <w:outlineLvl w:val="0"/>
        <w:rPr>
          <w:sz w:val="22"/>
          <w:szCs w:val="22"/>
          <w:lang w:val="sr-Latn-ME"/>
        </w:rPr>
      </w:pPr>
      <w:r w:rsidRPr="0055610F">
        <w:rPr>
          <w:sz w:val="22"/>
          <w:szCs w:val="22"/>
          <w:lang w:val="sr-Latn-ME"/>
        </w:rPr>
        <w:t>Reakcije povezane sa infuzijom kod pacijenata sa GPA,MPA i običnim pemfigusom bile su konzistentne sa onima prim</w:t>
      </w:r>
      <w:r w:rsidR="00C0552F">
        <w:rPr>
          <w:sz w:val="22"/>
          <w:szCs w:val="22"/>
          <w:lang w:val="sr-Latn-ME"/>
        </w:rPr>
        <w:t>i</w:t>
      </w:r>
      <w:r w:rsidRPr="0055610F">
        <w:rPr>
          <w:sz w:val="22"/>
          <w:szCs w:val="22"/>
          <w:lang w:val="sr-Latn-ME"/>
        </w:rPr>
        <w:t>jećenim kod pacijenata sa reumatoidnim artritisom u kliničkim ispitivanjima i tokom postmarketinškog praćenja (vidjeti dio 4.8).</w:t>
      </w:r>
    </w:p>
    <w:p w:rsidR="00496E03" w:rsidRPr="0055610F" w:rsidRDefault="00496E03" w:rsidP="004D5825">
      <w:pPr>
        <w:keepNext/>
        <w:keepLines/>
        <w:widowControl w:val="0"/>
        <w:jc w:val="both"/>
        <w:outlineLvl w:val="0"/>
        <w:rPr>
          <w:sz w:val="22"/>
          <w:szCs w:val="22"/>
          <w:lang w:val="sr-Latn-ME"/>
        </w:rPr>
      </w:pPr>
    </w:p>
    <w:p w:rsidR="00496E03" w:rsidRPr="0055610F" w:rsidRDefault="00496E03" w:rsidP="004D5825">
      <w:pPr>
        <w:keepNext/>
        <w:keepLines/>
        <w:widowControl w:val="0"/>
        <w:jc w:val="both"/>
        <w:outlineLvl w:val="0"/>
        <w:rPr>
          <w:i/>
          <w:sz w:val="22"/>
          <w:szCs w:val="22"/>
          <w:lang w:val="sr-Latn-ME"/>
        </w:rPr>
      </w:pPr>
      <w:r w:rsidRPr="0055610F">
        <w:rPr>
          <w:i/>
          <w:sz w:val="22"/>
          <w:szCs w:val="22"/>
          <w:lang w:val="sr-Latn-ME"/>
        </w:rPr>
        <w:t>Odgođena neutropenija</w:t>
      </w:r>
    </w:p>
    <w:p w:rsidR="00496E03" w:rsidRPr="0055610F" w:rsidRDefault="00496E03" w:rsidP="004D5825">
      <w:pPr>
        <w:keepNext/>
        <w:keepLines/>
        <w:widowControl w:val="0"/>
        <w:jc w:val="both"/>
        <w:outlineLvl w:val="0"/>
        <w:rPr>
          <w:sz w:val="22"/>
          <w:szCs w:val="22"/>
          <w:lang w:val="sr-Latn-ME"/>
        </w:rPr>
      </w:pPr>
      <w:r w:rsidRPr="0055610F">
        <w:rPr>
          <w:sz w:val="22"/>
          <w:szCs w:val="22"/>
          <w:lang w:val="sr-Latn-ME"/>
        </w:rPr>
        <w:t xml:space="preserve">Treba određivati neutrofile u krvi prije svakog ciklusa lijeka MabThera, redovno tokom najduže </w:t>
      </w:r>
    </w:p>
    <w:p w:rsidR="00496E03" w:rsidRPr="0055610F" w:rsidRDefault="00496E03" w:rsidP="004D5825">
      <w:pPr>
        <w:keepNext/>
        <w:keepLines/>
        <w:widowControl w:val="0"/>
        <w:jc w:val="both"/>
        <w:outlineLvl w:val="0"/>
        <w:rPr>
          <w:sz w:val="22"/>
          <w:szCs w:val="22"/>
          <w:lang w:val="sr-Latn-ME"/>
        </w:rPr>
      </w:pPr>
      <w:r w:rsidRPr="0055610F">
        <w:rPr>
          <w:sz w:val="22"/>
          <w:szCs w:val="22"/>
          <w:lang w:val="sr-Latn-ME"/>
        </w:rPr>
        <w:t>6 mjeseci nakon prestanka liječenja te po pojavi znakova ili simptoma infekcije (vidjeti dio 4.8).</w:t>
      </w:r>
    </w:p>
    <w:p w:rsidR="00496E03" w:rsidRPr="0055610F" w:rsidRDefault="00496E03" w:rsidP="004D5825">
      <w:pPr>
        <w:keepNext/>
        <w:keepLines/>
        <w:widowControl w:val="0"/>
        <w:jc w:val="both"/>
        <w:outlineLvl w:val="0"/>
        <w:rPr>
          <w:sz w:val="22"/>
          <w:szCs w:val="22"/>
          <w:lang w:val="sr-Latn-ME"/>
        </w:rPr>
      </w:pPr>
    </w:p>
    <w:p w:rsidR="00496E03" w:rsidRPr="0055610F" w:rsidRDefault="00496E03" w:rsidP="004D5825">
      <w:pPr>
        <w:jc w:val="both"/>
        <w:rPr>
          <w:i/>
          <w:sz w:val="22"/>
          <w:szCs w:val="22"/>
          <w:lang w:val="sr-Latn-ME"/>
        </w:rPr>
      </w:pPr>
      <w:r w:rsidRPr="0055610F">
        <w:rPr>
          <w:i/>
          <w:sz w:val="22"/>
          <w:szCs w:val="22"/>
          <w:lang w:val="sr-Latn-ME"/>
        </w:rPr>
        <w:t>Vakcinacija</w:t>
      </w:r>
    </w:p>
    <w:p w:rsidR="00496E03" w:rsidRPr="0055610F" w:rsidRDefault="00496E03" w:rsidP="004D5825">
      <w:pPr>
        <w:jc w:val="both"/>
        <w:rPr>
          <w:sz w:val="22"/>
          <w:szCs w:val="22"/>
          <w:lang w:val="sr-Latn-ME"/>
        </w:rPr>
      </w:pPr>
      <w:r w:rsidRPr="0055610F">
        <w:rPr>
          <w:sz w:val="22"/>
          <w:szCs w:val="22"/>
          <w:lang w:val="sr-Latn-ME"/>
        </w:rPr>
        <w:t>Ljekari treba da preispitaju vakcinacioni status pacijenti bi trebalo, ako je moguće,  doneti odluku o vakcinaciji u skladu sa kod kojih se planira upotreba MabThere i prate lokalne/nacionalne smjernice za vakcinaciju prije terapije lijekom MabThera. Vakcinaciju treba završiti najmanje četiri ned</w:t>
      </w:r>
      <w:r w:rsidR="00334D52" w:rsidRPr="0055610F">
        <w:rPr>
          <w:sz w:val="22"/>
          <w:szCs w:val="22"/>
          <w:lang w:val="sr-Latn-ME"/>
        </w:rPr>
        <w:t>j</w:t>
      </w:r>
      <w:r w:rsidRPr="0055610F">
        <w:rPr>
          <w:sz w:val="22"/>
          <w:szCs w:val="22"/>
          <w:lang w:val="sr-Latn-ME"/>
        </w:rPr>
        <w:t xml:space="preserve">elje prije prvog davanja lijeka MabThera. </w:t>
      </w:r>
    </w:p>
    <w:p w:rsidR="00F16139" w:rsidRPr="0055610F" w:rsidRDefault="00F16139" w:rsidP="004D5825">
      <w:pPr>
        <w:jc w:val="both"/>
        <w:rPr>
          <w:sz w:val="22"/>
          <w:szCs w:val="22"/>
          <w:lang w:val="sr-Latn-ME"/>
        </w:rPr>
      </w:pPr>
    </w:p>
    <w:p w:rsidR="00496E03" w:rsidRDefault="00496E03" w:rsidP="004D5825">
      <w:pPr>
        <w:jc w:val="both"/>
        <w:rPr>
          <w:sz w:val="22"/>
          <w:szCs w:val="22"/>
          <w:lang w:val="sr-Latn-ME"/>
        </w:rPr>
      </w:pPr>
      <w:r w:rsidRPr="0055610F">
        <w:rPr>
          <w:sz w:val="22"/>
          <w:szCs w:val="22"/>
          <w:lang w:val="sr-Latn-ME"/>
        </w:rPr>
        <w:t>Bezbjednost vakcinacije živim virusnim vakcinama nakon terapije lijekom MabThera nije ispitivana. Zbog toga se ne preporučuje vakcinacija živim virusnim vakcinama za vrijeme primjene lijeka MabThera odnosno dok je prisutna deplecija B</w:t>
      </w:r>
      <w:r w:rsidRPr="0055610F">
        <w:rPr>
          <w:sz w:val="22"/>
          <w:szCs w:val="22"/>
          <w:lang w:val="sr-Latn-ME"/>
        </w:rPr>
        <w:noBreakHyphen/>
        <w:t>ćelija u perifernoj krvi.</w:t>
      </w:r>
    </w:p>
    <w:p w:rsidR="0000153E" w:rsidRPr="0055610F" w:rsidRDefault="0000153E"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Pacijenti liječeni lijekom MabThera mogu primiti nežive vakcine. Međutim, stope odgovora na neživu vakcinu mogu biti smanjene. U randomizovanom ispitivanju pacijenti sa reumatoidnim artritisom koji su liječeni lijekom MabThera i metotreksatom imali su, u poređenju sa pacijentima koji su primali samo metotreksat, usporedive stope odgovora na antigen tetanusa (39% u odnosu na 42%), a umanjene stope odgovora na pneumokokno polisaharidnu vakcinu (43% u odnosu na 82% za najmanje dva serotipa pneumokoknih antitijela) i KLH neoantigen (47% u odnosu na 93%), koji su primijenjeni 6 mjeseci nakon lijeka MabThera. Ako je potrebno vakcinisanje neživom vakcinom tokom primjene lijeka MabThera, ono se mora dovršiti najmanje 4 nedjelje prije početka sljedećeg ciklusa lijeka MabThera.</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Sveukupno iskustvo sa ponavljanim ciklusima lijeka MabThera tokom godine dana u liječenju reumatoidnog artritisa pokazalo je da su učešća pacijenata sa pozitivnim titrom antitijela protiv </w:t>
      </w:r>
      <w:r w:rsidRPr="00DA475E">
        <w:rPr>
          <w:i/>
          <w:sz w:val="22"/>
          <w:szCs w:val="22"/>
          <w:lang w:val="sr-Latn-ME"/>
        </w:rPr>
        <w:t>S. pneumoniae</w:t>
      </w:r>
      <w:r w:rsidRPr="0055610F">
        <w:rPr>
          <w:sz w:val="22"/>
          <w:szCs w:val="22"/>
          <w:lang w:val="sr-Latn-ME"/>
        </w:rPr>
        <w:t>, influence, zauški, rubele, varičele i toksoida tetanusa uopšte bili slični učešćima na početku liječenja.</w:t>
      </w:r>
    </w:p>
    <w:p w:rsidR="00496E03" w:rsidRPr="0055610F" w:rsidRDefault="00496E03" w:rsidP="004D5825">
      <w:pPr>
        <w:jc w:val="both"/>
        <w:rPr>
          <w:sz w:val="22"/>
          <w:szCs w:val="22"/>
          <w:lang w:val="sr-Latn-ME"/>
        </w:rPr>
      </w:pPr>
    </w:p>
    <w:p w:rsidR="00496E03" w:rsidRPr="0055610F" w:rsidRDefault="00496E03" w:rsidP="004D5825">
      <w:pPr>
        <w:jc w:val="both"/>
        <w:rPr>
          <w:i/>
          <w:sz w:val="22"/>
          <w:szCs w:val="22"/>
          <w:lang w:val="sr-Latn-ME"/>
        </w:rPr>
      </w:pPr>
      <w:r w:rsidRPr="0055610F">
        <w:rPr>
          <w:i/>
          <w:sz w:val="22"/>
          <w:szCs w:val="22"/>
          <w:lang w:val="sr-Latn-ME"/>
        </w:rPr>
        <w:t>Istovremeno/sekvencijalno davanje drugih antireumatskih ljekova koji mijenjaju tok bolesti (DMARD)</w:t>
      </w:r>
    </w:p>
    <w:p w:rsidR="00496E03" w:rsidRPr="0055610F" w:rsidRDefault="00496E03" w:rsidP="004D5825">
      <w:pPr>
        <w:jc w:val="both"/>
        <w:rPr>
          <w:sz w:val="22"/>
          <w:szCs w:val="22"/>
          <w:lang w:val="sr-Latn-ME"/>
        </w:rPr>
      </w:pPr>
      <w:r w:rsidRPr="0055610F">
        <w:rPr>
          <w:sz w:val="22"/>
          <w:szCs w:val="22"/>
          <w:lang w:val="sr-Latn-ME"/>
        </w:rPr>
        <w:t xml:space="preserve">Ne preporučuje se istovremena primjena lijeka MabThera i drugih antireumatskih lijekova osim onih koji su navedeni pod indikacijama i doziranjem za reumatoidni artritis. </w:t>
      </w:r>
    </w:p>
    <w:p w:rsidR="00496E03" w:rsidRPr="0055610F" w:rsidRDefault="00496E03" w:rsidP="004D5825">
      <w:pPr>
        <w:jc w:val="both"/>
        <w:rPr>
          <w:sz w:val="22"/>
          <w:szCs w:val="22"/>
          <w:lang w:val="sr-Latn-ME"/>
        </w:rPr>
      </w:pPr>
    </w:p>
    <w:p w:rsidR="00496E03" w:rsidRPr="0055610F" w:rsidRDefault="0000153E" w:rsidP="004D5825">
      <w:pPr>
        <w:jc w:val="both"/>
        <w:rPr>
          <w:sz w:val="22"/>
          <w:szCs w:val="22"/>
          <w:lang w:val="sr-Latn-ME"/>
        </w:rPr>
      </w:pPr>
      <w:r>
        <w:rPr>
          <w:sz w:val="22"/>
          <w:szCs w:val="22"/>
          <w:lang w:val="sr-Latn-ME"/>
        </w:rPr>
        <w:t>Ograničeni su</w:t>
      </w:r>
      <w:r w:rsidR="009F7E58">
        <w:rPr>
          <w:sz w:val="22"/>
          <w:szCs w:val="22"/>
          <w:lang w:val="sr-Latn-ME"/>
        </w:rPr>
        <w:t xml:space="preserve"> poda</w:t>
      </w:r>
      <w:r>
        <w:rPr>
          <w:sz w:val="22"/>
          <w:szCs w:val="22"/>
          <w:lang w:val="sr-Latn-ME"/>
        </w:rPr>
        <w:t>ci</w:t>
      </w:r>
      <w:r w:rsidR="00496E03" w:rsidRPr="0055610F">
        <w:rPr>
          <w:sz w:val="22"/>
          <w:szCs w:val="22"/>
          <w:lang w:val="sr-Latn-ME"/>
        </w:rPr>
        <w:t xml:space="preserve"> iz kliničkih studija</w:t>
      </w:r>
      <w:r>
        <w:rPr>
          <w:sz w:val="22"/>
          <w:szCs w:val="22"/>
          <w:lang w:val="sr-Latn-ME"/>
        </w:rPr>
        <w:t>, pa</w:t>
      </w:r>
      <w:r w:rsidR="00496E03" w:rsidRPr="0055610F">
        <w:rPr>
          <w:sz w:val="22"/>
          <w:szCs w:val="22"/>
          <w:lang w:val="sr-Latn-ME"/>
        </w:rPr>
        <w:t xml:space="preserve"> se </w:t>
      </w:r>
      <w:r>
        <w:rPr>
          <w:sz w:val="22"/>
          <w:szCs w:val="22"/>
          <w:lang w:val="sr-Latn-ME"/>
        </w:rPr>
        <w:t xml:space="preserve">ne može </w:t>
      </w:r>
      <w:r w:rsidR="00496E03" w:rsidRPr="0055610F">
        <w:rPr>
          <w:sz w:val="22"/>
          <w:szCs w:val="22"/>
          <w:lang w:val="sr-Latn-ME"/>
        </w:rPr>
        <w:t>u potpunosti procijeni</w:t>
      </w:r>
      <w:r>
        <w:rPr>
          <w:sz w:val="22"/>
          <w:szCs w:val="22"/>
          <w:lang w:val="sr-Latn-ME"/>
        </w:rPr>
        <w:t>ti</w:t>
      </w:r>
      <w:r w:rsidR="00496E03" w:rsidRPr="0055610F">
        <w:rPr>
          <w:sz w:val="22"/>
          <w:szCs w:val="22"/>
          <w:lang w:val="sr-Latn-ME"/>
        </w:rPr>
        <w:t xml:space="preserve"> bezbjednost sekvencijalne upotrebe drugih DMARD (uključujući i inhibitore TNF i ostale biološke ljekove) po terapiji lijekom MabThera (vidjeti </w:t>
      </w:r>
      <w:r w:rsidR="00334D52" w:rsidRPr="0055610F">
        <w:rPr>
          <w:sz w:val="22"/>
          <w:szCs w:val="22"/>
          <w:lang w:val="sr-Latn-ME"/>
        </w:rPr>
        <w:t>dio</w:t>
      </w:r>
      <w:r w:rsidR="00496E03" w:rsidRPr="0055610F">
        <w:rPr>
          <w:sz w:val="22"/>
          <w:szCs w:val="22"/>
          <w:lang w:val="sr-Latn-ME"/>
        </w:rPr>
        <w:t xml:space="preserve"> 4.5). Dostupni podaci pokazuju da je stopa klinički značajnih infekcija nepromijenjena kada se ti ljekovi primjenjuju kod pacijenata koji su prethodno liječeni lijekom MabThera. Ipak, pacijente treba pažljivo posmatrati da se prepoznaju znaci infekcije ako se po terapiji lijekom MabThera koriste biološki ljekovi i/ili DMARD. </w:t>
      </w:r>
    </w:p>
    <w:p w:rsidR="00496E03" w:rsidRPr="0055610F" w:rsidRDefault="00496E03" w:rsidP="004D5825">
      <w:pPr>
        <w:jc w:val="both"/>
        <w:rPr>
          <w:sz w:val="22"/>
          <w:szCs w:val="22"/>
          <w:lang w:val="sr-Latn-ME"/>
        </w:rPr>
      </w:pPr>
    </w:p>
    <w:p w:rsidR="00496E03" w:rsidRPr="0055610F" w:rsidRDefault="00496E03" w:rsidP="004D5825">
      <w:pPr>
        <w:jc w:val="both"/>
        <w:rPr>
          <w:i/>
          <w:sz w:val="22"/>
          <w:szCs w:val="22"/>
          <w:lang w:val="sr-Latn-ME"/>
        </w:rPr>
      </w:pPr>
      <w:r w:rsidRPr="0055610F">
        <w:rPr>
          <w:i/>
          <w:sz w:val="22"/>
          <w:szCs w:val="22"/>
          <w:lang w:val="sr-Latn-ME"/>
        </w:rPr>
        <w:t>Maligniteti</w:t>
      </w:r>
    </w:p>
    <w:p w:rsidR="00496E03" w:rsidRDefault="00496E03" w:rsidP="004D5825">
      <w:pPr>
        <w:tabs>
          <w:tab w:val="left" w:pos="540"/>
          <w:tab w:val="left" w:pos="569"/>
        </w:tabs>
        <w:jc w:val="both"/>
        <w:rPr>
          <w:sz w:val="22"/>
          <w:szCs w:val="22"/>
          <w:lang w:val="sr-Latn-CS"/>
        </w:rPr>
      </w:pPr>
      <w:r w:rsidRPr="0055610F">
        <w:rPr>
          <w:sz w:val="22"/>
          <w:szCs w:val="22"/>
          <w:lang w:val="sr-Latn-ME"/>
        </w:rPr>
        <w:t>Imunomodulatorni ljekovi mogu da povećaju rizik od maligniteta.</w:t>
      </w:r>
      <w:r w:rsidR="00BD3210">
        <w:rPr>
          <w:sz w:val="22"/>
          <w:szCs w:val="22"/>
          <w:lang w:val="sr-Latn-ME"/>
        </w:rPr>
        <w:t xml:space="preserve"> </w:t>
      </w:r>
      <w:r w:rsidR="008313EA" w:rsidRPr="00F56C8C">
        <w:rPr>
          <w:sz w:val="22"/>
          <w:szCs w:val="22"/>
          <w:lang w:val="sr-Latn-CS"/>
        </w:rPr>
        <w:t xml:space="preserve">Međutim, raspoloživi podaci ne ukazuju na povećani rizik od pojave maligniteta kod </w:t>
      </w:r>
      <w:r w:rsidR="008313EA" w:rsidRPr="008C6D52">
        <w:rPr>
          <w:sz w:val="22"/>
          <w:szCs w:val="22"/>
          <w:lang w:val="sr-Latn-CS"/>
        </w:rPr>
        <w:t>primjene</w:t>
      </w:r>
      <w:r w:rsidR="008313EA" w:rsidRPr="00F56C8C">
        <w:rPr>
          <w:sz w:val="22"/>
          <w:szCs w:val="22"/>
          <w:lang w:val="sr-Latn-CS"/>
        </w:rPr>
        <w:t xml:space="preserve"> rituksimaba u indikacijama za l</w:t>
      </w:r>
      <w:r w:rsidR="008313EA">
        <w:rPr>
          <w:sz w:val="22"/>
          <w:szCs w:val="22"/>
          <w:lang w:val="sr-Latn-CS"/>
        </w:rPr>
        <w:t>ij</w:t>
      </w:r>
      <w:r w:rsidR="008313EA" w:rsidRPr="00F56C8C">
        <w:rPr>
          <w:sz w:val="22"/>
          <w:szCs w:val="22"/>
          <w:lang w:val="sr-Latn-CS"/>
        </w:rPr>
        <w:t>ečenje autoimunih bolesti, osim rizika od maligniteta koji su već povezani sa postojećim autoimunim stanjem.</w:t>
      </w:r>
    </w:p>
    <w:p w:rsidR="0000153E" w:rsidRPr="0055610F" w:rsidRDefault="0000153E" w:rsidP="004D5825">
      <w:pPr>
        <w:tabs>
          <w:tab w:val="left" w:pos="540"/>
          <w:tab w:val="left" w:pos="569"/>
        </w:tabs>
        <w:jc w:val="both"/>
        <w:rPr>
          <w:sz w:val="22"/>
          <w:szCs w:val="22"/>
          <w:lang w:val="sr-Latn-ME"/>
        </w:rPr>
      </w:pPr>
    </w:p>
    <w:p w:rsidR="00496E03" w:rsidRPr="0055610F" w:rsidRDefault="00496E03" w:rsidP="004D5825">
      <w:pPr>
        <w:jc w:val="both"/>
        <w:rPr>
          <w:sz w:val="22"/>
          <w:szCs w:val="22"/>
          <w:u w:val="single"/>
          <w:lang w:val="sr-Latn-ME"/>
        </w:rPr>
      </w:pPr>
      <w:r w:rsidRPr="0055610F">
        <w:rPr>
          <w:sz w:val="22"/>
          <w:szCs w:val="22"/>
          <w:u w:val="single"/>
          <w:lang w:val="sr-Latn-ME"/>
        </w:rPr>
        <w:t>Pomoćne supstance</w:t>
      </w:r>
    </w:p>
    <w:p w:rsidR="00496E03" w:rsidRPr="0055610F" w:rsidRDefault="00496E03" w:rsidP="004D5825">
      <w:pPr>
        <w:tabs>
          <w:tab w:val="left" w:pos="284"/>
          <w:tab w:val="center" w:pos="4320"/>
          <w:tab w:val="right" w:pos="8640"/>
        </w:tabs>
        <w:spacing w:before="80" w:after="80"/>
        <w:jc w:val="both"/>
        <w:rPr>
          <w:sz w:val="22"/>
          <w:szCs w:val="22"/>
          <w:lang w:val="sr-Latn-ME"/>
        </w:rPr>
      </w:pPr>
      <w:r w:rsidRPr="0055610F">
        <w:rPr>
          <w:sz w:val="22"/>
          <w:szCs w:val="22"/>
          <w:lang w:val="sr-Latn-ME"/>
        </w:rPr>
        <w:lastRenderedPageBreak/>
        <w:t xml:space="preserve">Ovaj lijek sadrži 2,3 mmol (ili 52,6 mg) natrijuma u bočici od 10 </w:t>
      </w:r>
      <w:r w:rsidR="007642DC">
        <w:rPr>
          <w:sz w:val="22"/>
          <w:szCs w:val="22"/>
          <w:lang w:val="sr-Latn-ME"/>
        </w:rPr>
        <w:t>ml</w:t>
      </w:r>
      <w:r w:rsidRPr="0055610F">
        <w:rPr>
          <w:sz w:val="22"/>
          <w:szCs w:val="22"/>
          <w:lang w:val="sr-Latn-ME"/>
        </w:rPr>
        <w:t xml:space="preserve"> i 11,5 mmol (ili 263,2 mg) natrijuma u bočici od 50 </w:t>
      </w:r>
      <w:r w:rsidR="007642DC">
        <w:rPr>
          <w:sz w:val="22"/>
          <w:szCs w:val="22"/>
          <w:lang w:val="sr-Latn-ME"/>
        </w:rPr>
        <w:t>ml</w:t>
      </w:r>
      <w:r w:rsidRPr="0055610F">
        <w:rPr>
          <w:sz w:val="22"/>
          <w:szCs w:val="22"/>
          <w:lang w:val="sr-Latn-ME"/>
        </w:rPr>
        <w:t xml:space="preserve">, što je ekvivalentno 2,6% (za bočicu od 10 </w:t>
      </w:r>
      <w:r w:rsidR="007642DC">
        <w:rPr>
          <w:sz w:val="22"/>
          <w:szCs w:val="22"/>
          <w:lang w:val="sr-Latn-ME"/>
        </w:rPr>
        <w:t>ml</w:t>
      </w:r>
      <w:r w:rsidRPr="0055610F">
        <w:rPr>
          <w:sz w:val="22"/>
          <w:szCs w:val="22"/>
          <w:lang w:val="sr-Latn-ME"/>
        </w:rPr>
        <w:t xml:space="preserve">) i 13,2% (za bočicu od 50 </w:t>
      </w:r>
      <w:r w:rsidR="007642DC">
        <w:rPr>
          <w:sz w:val="22"/>
          <w:szCs w:val="22"/>
          <w:lang w:val="sr-Latn-ME"/>
        </w:rPr>
        <w:t>ml</w:t>
      </w:r>
      <w:r w:rsidRPr="0055610F">
        <w:rPr>
          <w:sz w:val="22"/>
          <w:szCs w:val="22"/>
          <w:lang w:val="sr-Latn-ME"/>
        </w:rPr>
        <w:t>) preporučenog dnevnog unosa prema SZO koji predstavlja 2 g natrijuma za odrasle osobe</w:t>
      </w:r>
      <w:r w:rsidR="00334D52" w:rsidRPr="0055610F">
        <w:rPr>
          <w:sz w:val="22"/>
          <w:szCs w:val="22"/>
          <w:lang w:val="sr-Latn-ME"/>
        </w:rPr>
        <w:t>.</w:t>
      </w:r>
    </w:p>
    <w:p w:rsidR="00057E35" w:rsidRPr="0055610F" w:rsidRDefault="00057E35" w:rsidP="004D5825">
      <w:pPr>
        <w:tabs>
          <w:tab w:val="left" w:pos="540"/>
          <w:tab w:val="left" w:pos="569"/>
        </w:tabs>
        <w:jc w:val="both"/>
        <w:rPr>
          <w:bCs/>
          <w:sz w:val="22"/>
          <w:szCs w:val="22"/>
          <w:lang w:val="sr-Latn-ME"/>
        </w:rPr>
      </w:pPr>
    </w:p>
    <w:p w:rsidR="00411B4B" w:rsidRPr="0055610F" w:rsidRDefault="00411B4B" w:rsidP="004D5825">
      <w:pPr>
        <w:tabs>
          <w:tab w:val="left" w:pos="540"/>
          <w:tab w:val="left" w:pos="569"/>
        </w:tabs>
        <w:jc w:val="both"/>
        <w:rPr>
          <w:b/>
          <w:bCs/>
          <w:sz w:val="22"/>
          <w:szCs w:val="22"/>
          <w:lang w:val="sr-Latn-ME"/>
        </w:rPr>
      </w:pPr>
      <w:r w:rsidRPr="0055610F">
        <w:rPr>
          <w:b/>
          <w:bCs/>
          <w:sz w:val="22"/>
          <w:szCs w:val="22"/>
          <w:lang w:val="sr-Latn-ME"/>
        </w:rPr>
        <w:t>4.5.</w:t>
      </w:r>
      <w:r w:rsidR="000D60CC" w:rsidRPr="0055610F">
        <w:rPr>
          <w:b/>
          <w:bCs/>
          <w:sz w:val="22"/>
          <w:szCs w:val="22"/>
          <w:lang w:val="sr-Latn-ME"/>
        </w:rPr>
        <w:tab/>
      </w:r>
      <w:r w:rsidRPr="0055610F">
        <w:rPr>
          <w:b/>
          <w:bCs/>
          <w:sz w:val="22"/>
          <w:szCs w:val="22"/>
          <w:lang w:val="sr-Latn-ME"/>
        </w:rPr>
        <w:t>Interakcije sa drugim ljekovima i druge vrste interakcija</w:t>
      </w:r>
    </w:p>
    <w:p w:rsidR="0072020E" w:rsidRPr="0055610F" w:rsidRDefault="0072020E" w:rsidP="004D5825">
      <w:pPr>
        <w:tabs>
          <w:tab w:val="left" w:pos="540"/>
          <w:tab w:val="left" w:pos="569"/>
        </w:tabs>
        <w:jc w:val="both"/>
        <w:rPr>
          <w:bCs/>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U ovom trenutku, podaci o eventualnim interakcijama drugih lijekova sa MabTherom su ograničeni. </w:t>
      </w:r>
    </w:p>
    <w:p w:rsidR="00496E03" w:rsidRPr="0055610F" w:rsidRDefault="00496E03" w:rsidP="004D5825">
      <w:pPr>
        <w:jc w:val="both"/>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t>Kod pacijenata sa CLL</w:t>
      </w:r>
      <w:r w:rsidRPr="0055610F">
        <w:rPr>
          <w:sz w:val="22"/>
          <w:szCs w:val="22"/>
          <w:lang w:val="sr-Latn-ME"/>
        </w:rPr>
        <w:noBreakHyphen/>
        <w:t>om čini se da istovremena primjena lijeka MabThera nije uticala na farmakokinetiku fludarabina niti ciklofosfamida. Isto tako, nije uočeno da fludarabin i ciklofosfamid utiču na farmakokinetiku lijeka MabThera.</w:t>
      </w:r>
    </w:p>
    <w:p w:rsidR="00496E03" w:rsidRPr="0055610F" w:rsidRDefault="00496E03" w:rsidP="004D5825">
      <w:pPr>
        <w:jc w:val="both"/>
        <w:outlineLvl w:val="0"/>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Istovremeno davanje sa metotreksatom nije imalo dejstva na farmakokinetiku lijeka MabThera kod pacijenata oboljelih od reumatoidnog artritisa.</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 xml:space="preserve">Pacijenti sa titrima humanih anti-mišjih antitijela (engl. </w:t>
      </w:r>
      <w:r w:rsidRPr="0055610F">
        <w:rPr>
          <w:i/>
          <w:sz w:val="22"/>
          <w:szCs w:val="22"/>
          <w:lang w:val="sr-Latn-ME"/>
        </w:rPr>
        <w:t>Human Anti-Mouse Antibody/Human Anti-Chimeric Antibody,</w:t>
      </w:r>
      <w:r w:rsidRPr="0055610F">
        <w:rPr>
          <w:sz w:val="22"/>
          <w:szCs w:val="22"/>
          <w:lang w:val="sr-Latn-ME"/>
        </w:rPr>
        <w:t xml:space="preserve"> HAMA/) ili antitijela na lijek (</w:t>
      </w:r>
      <w:r w:rsidRPr="0055610F">
        <w:rPr>
          <w:i/>
          <w:sz w:val="22"/>
          <w:szCs w:val="22"/>
          <w:lang w:val="sr-Latn-ME"/>
        </w:rPr>
        <w:t>anti-drug antibody</w:t>
      </w:r>
      <w:r w:rsidRPr="0055610F">
        <w:rPr>
          <w:sz w:val="22"/>
          <w:szCs w:val="22"/>
          <w:lang w:val="sr-Latn-ME"/>
        </w:rPr>
        <w:t xml:space="preserve">, ADA) mogu imati alergijske reakcije ili reakcije preosjetljivosti kada se tretiraju drugim dijagnostičkim ili terapijskim monoklonskim antitijelima.  </w:t>
      </w:r>
    </w:p>
    <w:p w:rsidR="00496E03" w:rsidRPr="0055610F" w:rsidRDefault="00496E03" w:rsidP="004D5825">
      <w:pPr>
        <w:jc w:val="both"/>
        <w:rPr>
          <w:sz w:val="22"/>
          <w:szCs w:val="22"/>
          <w:lang w:val="sr-Latn-ME"/>
        </w:rPr>
      </w:pPr>
    </w:p>
    <w:p w:rsidR="00496E03" w:rsidRPr="0055610F" w:rsidRDefault="00496E03" w:rsidP="004D5825">
      <w:pPr>
        <w:tabs>
          <w:tab w:val="left" w:pos="540"/>
          <w:tab w:val="left" w:pos="569"/>
        </w:tabs>
        <w:jc w:val="both"/>
        <w:rPr>
          <w:sz w:val="22"/>
          <w:szCs w:val="22"/>
          <w:lang w:val="sr-Latn-ME"/>
        </w:rPr>
      </w:pPr>
      <w:r w:rsidRPr="0055610F">
        <w:rPr>
          <w:sz w:val="22"/>
          <w:szCs w:val="22"/>
          <w:lang w:val="sr-Latn-ME"/>
        </w:rPr>
        <w:t>Nakon primjene lijeka MabThera 283 pacijenta sa reumatoidnim artritisom nastavila su terapiju nekim biološkim DMARD</w:t>
      </w:r>
      <w:r w:rsidRPr="0055610F">
        <w:rPr>
          <w:sz w:val="22"/>
          <w:szCs w:val="22"/>
          <w:lang w:val="sr-Latn-ME"/>
        </w:rPr>
        <w:noBreakHyphen/>
        <w:t>om. Kod tih je pacijenata stopa klinički značajnih infekcija za vrijeme primjene lijeka MabThera iznosila 6,01 na 100 pacijent</w:t>
      </w:r>
      <w:r w:rsidRPr="0055610F">
        <w:rPr>
          <w:sz w:val="22"/>
          <w:szCs w:val="22"/>
          <w:lang w:val="sr-Latn-ME"/>
        </w:rPr>
        <w:noBreakHyphen/>
        <w:t>godina, u poređenju sa 4,97 na 100 pacijent</w:t>
      </w:r>
      <w:r w:rsidRPr="0055610F">
        <w:rPr>
          <w:sz w:val="22"/>
          <w:szCs w:val="22"/>
          <w:lang w:val="sr-Latn-ME"/>
        </w:rPr>
        <w:noBreakHyphen/>
        <w:t>godina nakon primjene biološkog DMARD</w:t>
      </w:r>
      <w:r w:rsidRPr="0055610F">
        <w:rPr>
          <w:sz w:val="22"/>
          <w:szCs w:val="22"/>
          <w:lang w:val="sr-Latn-ME"/>
        </w:rPr>
        <w:noBreakHyphen/>
        <w:t>a.</w:t>
      </w:r>
    </w:p>
    <w:p w:rsidR="00496E03" w:rsidRPr="0055610F" w:rsidRDefault="00496E03" w:rsidP="004D5825">
      <w:pPr>
        <w:tabs>
          <w:tab w:val="left" w:pos="540"/>
          <w:tab w:val="left" w:pos="569"/>
        </w:tabs>
        <w:jc w:val="both"/>
        <w:rPr>
          <w:bCs/>
          <w:sz w:val="22"/>
          <w:szCs w:val="22"/>
          <w:lang w:val="sr-Latn-ME"/>
        </w:rPr>
      </w:pPr>
    </w:p>
    <w:p w:rsidR="0072020E" w:rsidRPr="0055610F" w:rsidRDefault="0072020E" w:rsidP="004D5825">
      <w:pPr>
        <w:tabs>
          <w:tab w:val="left" w:pos="540"/>
          <w:tab w:val="left" w:pos="569"/>
        </w:tabs>
        <w:jc w:val="both"/>
        <w:rPr>
          <w:b/>
          <w:sz w:val="22"/>
          <w:szCs w:val="22"/>
          <w:lang w:val="sr-Latn-ME"/>
        </w:rPr>
      </w:pPr>
      <w:r w:rsidRPr="0055610F">
        <w:rPr>
          <w:b/>
          <w:bCs/>
          <w:sz w:val="22"/>
          <w:szCs w:val="22"/>
          <w:lang w:val="sr-Latn-ME"/>
        </w:rPr>
        <w:t xml:space="preserve">4.6. </w:t>
      </w:r>
      <w:r w:rsidR="00480FB1" w:rsidRPr="0055610F">
        <w:rPr>
          <w:b/>
          <w:bCs/>
          <w:sz w:val="22"/>
          <w:szCs w:val="22"/>
          <w:lang w:val="sr-Latn-ME"/>
        </w:rPr>
        <w:tab/>
      </w:r>
      <w:r w:rsidR="006D20A5" w:rsidRPr="0055610F">
        <w:rPr>
          <w:b/>
          <w:sz w:val="22"/>
          <w:szCs w:val="22"/>
          <w:lang w:val="sr-Latn-ME"/>
        </w:rPr>
        <w:t>Plodnost, trudnoća i dojenje</w:t>
      </w:r>
    </w:p>
    <w:p w:rsidR="002031B3" w:rsidRPr="0055610F" w:rsidRDefault="002031B3" w:rsidP="004D5825">
      <w:pPr>
        <w:tabs>
          <w:tab w:val="left" w:pos="540"/>
          <w:tab w:val="left" w:pos="569"/>
        </w:tabs>
        <w:jc w:val="both"/>
        <w:rPr>
          <w:sz w:val="22"/>
          <w:szCs w:val="22"/>
          <w:u w:val="single"/>
          <w:lang w:val="sr-Latn-ME"/>
        </w:rPr>
      </w:pPr>
    </w:p>
    <w:p w:rsidR="00B21971" w:rsidRPr="0055610F" w:rsidRDefault="00B21971" w:rsidP="004D5825">
      <w:pPr>
        <w:keepNext/>
        <w:jc w:val="both"/>
        <w:outlineLvl w:val="0"/>
        <w:rPr>
          <w:sz w:val="22"/>
          <w:szCs w:val="22"/>
          <w:u w:val="single"/>
          <w:lang w:val="sr-Latn-ME"/>
        </w:rPr>
      </w:pPr>
      <w:r w:rsidRPr="0055610F">
        <w:rPr>
          <w:sz w:val="22"/>
          <w:szCs w:val="22"/>
          <w:u w:val="single"/>
          <w:lang w:val="sr-Latn-ME"/>
        </w:rPr>
        <w:t>Kontracepcija kod muškaraca i žena</w:t>
      </w:r>
    </w:p>
    <w:p w:rsidR="00B21971" w:rsidRPr="0055610F" w:rsidRDefault="00B21971" w:rsidP="004D5825">
      <w:pPr>
        <w:keepNext/>
        <w:jc w:val="both"/>
        <w:outlineLvl w:val="0"/>
        <w:rPr>
          <w:sz w:val="22"/>
          <w:szCs w:val="22"/>
          <w:u w:val="single"/>
          <w:lang w:val="sr-Latn-ME"/>
        </w:rPr>
      </w:pPr>
    </w:p>
    <w:p w:rsidR="00B21971" w:rsidRDefault="00B21971" w:rsidP="004D5825">
      <w:pPr>
        <w:jc w:val="both"/>
        <w:rPr>
          <w:sz w:val="22"/>
          <w:szCs w:val="22"/>
          <w:lang w:val="sr-Latn-ME"/>
        </w:rPr>
      </w:pPr>
      <w:r w:rsidRPr="0055610F">
        <w:rPr>
          <w:sz w:val="22"/>
          <w:szCs w:val="22"/>
          <w:lang w:val="sr-Latn-ME"/>
        </w:rPr>
        <w:t>Zbog dugog vremena zadržavanja rituksimaba kod pacijenata sa deplecijom B ćelija,  žene u reproduktivnom dobu moraju koristiti odgovarajuće mjere kontracepcije tokom terapije i još najmanje 12 mjeseci po posl</w:t>
      </w:r>
      <w:r w:rsidR="00FD3056" w:rsidRPr="0055610F">
        <w:rPr>
          <w:sz w:val="22"/>
          <w:szCs w:val="22"/>
          <w:lang w:val="sr-Latn-ME"/>
        </w:rPr>
        <w:t>j</w:t>
      </w:r>
      <w:r w:rsidRPr="0055610F">
        <w:rPr>
          <w:sz w:val="22"/>
          <w:szCs w:val="22"/>
          <w:lang w:val="sr-Latn-ME"/>
        </w:rPr>
        <w:t xml:space="preserve">ednjoj dozi MabThere. </w:t>
      </w:r>
    </w:p>
    <w:p w:rsidR="007D383C" w:rsidRPr="0055610F" w:rsidRDefault="007D383C" w:rsidP="004D5825">
      <w:pPr>
        <w:jc w:val="both"/>
        <w:rPr>
          <w:sz w:val="22"/>
          <w:szCs w:val="22"/>
          <w:lang w:val="sr-Latn-ME"/>
        </w:rPr>
      </w:pPr>
    </w:p>
    <w:p w:rsidR="007D383C" w:rsidRPr="0055610F" w:rsidRDefault="007D383C" w:rsidP="007D383C">
      <w:pPr>
        <w:tabs>
          <w:tab w:val="left" w:pos="540"/>
          <w:tab w:val="left" w:pos="569"/>
        </w:tabs>
        <w:jc w:val="both"/>
        <w:rPr>
          <w:sz w:val="22"/>
          <w:szCs w:val="22"/>
          <w:u w:val="single"/>
          <w:lang w:val="sr-Latn-ME"/>
        </w:rPr>
      </w:pPr>
      <w:r w:rsidRPr="0055610F">
        <w:rPr>
          <w:sz w:val="22"/>
          <w:szCs w:val="22"/>
          <w:u w:val="single"/>
          <w:lang w:val="sr-Latn-ME"/>
        </w:rPr>
        <w:t>Plodnost</w:t>
      </w:r>
    </w:p>
    <w:p w:rsidR="007D383C" w:rsidRPr="0055610F" w:rsidRDefault="007D383C" w:rsidP="007D383C">
      <w:pPr>
        <w:tabs>
          <w:tab w:val="left" w:pos="540"/>
          <w:tab w:val="left" w:pos="569"/>
        </w:tabs>
        <w:jc w:val="both"/>
        <w:rPr>
          <w:sz w:val="22"/>
          <w:szCs w:val="22"/>
          <w:u w:val="single"/>
          <w:lang w:val="sr-Latn-ME"/>
        </w:rPr>
      </w:pPr>
    </w:p>
    <w:p w:rsidR="007D383C" w:rsidRPr="0055610F" w:rsidRDefault="007D383C" w:rsidP="007D383C">
      <w:pPr>
        <w:tabs>
          <w:tab w:val="left" w:pos="540"/>
          <w:tab w:val="left" w:pos="569"/>
        </w:tabs>
        <w:jc w:val="both"/>
        <w:rPr>
          <w:sz w:val="22"/>
          <w:szCs w:val="22"/>
          <w:u w:val="single"/>
          <w:lang w:val="sr-Latn-ME"/>
        </w:rPr>
      </w:pPr>
      <w:r w:rsidRPr="0055610F">
        <w:rPr>
          <w:sz w:val="22"/>
          <w:szCs w:val="22"/>
          <w:lang w:val="sr-Latn-ME"/>
        </w:rPr>
        <w:t>Studije na životinjama nijesu ukazal</w:t>
      </w:r>
      <w:r w:rsidR="00B4139E">
        <w:rPr>
          <w:sz w:val="22"/>
          <w:szCs w:val="22"/>
          <w:lang w:val="sr-Latn-ME"/>
        </w:rPr>
        <w:t>e</w:t>
      </w:r>
      <w:r w:rsidRPr="0055610F">
        <w:rPr>
          <w:sz w:val="22"/>
          <w:szCs w:val="22"/>
          <w:lang w:val="sr-Latn-ME"/>
        </w:rPr>
        <w:t xml:space="preserve"> na štetne efekte rituksimaba na reproduktivne organe.</w:t>
      </w:r>
    </w:p>
    <w:p w:rsidR="0055610F" w:rsidRDefault="0055610F" w:rsidP="004D5825">
      <w:pPr>
        <w:tabs>
          <w:tab w:val="left" w:pos="540"/>
          <w:tab w:val="left" w:pos="569"/>
        </w:tabs>
        <w:jc w:val="both"/>
        <w:rPr>
          <w:sz w:val="22"/>
          <w:szCs w:val="22"/>
          <w:u w:val="single"/>
          <w:lang w:val="sr-Latn-ME"/>
        </w:rPr>
      </w:pPr>
    </w:p>
    <w:p w:rsidR="00B21971" w:rsidRPr="0055610F" w:rsidRDefault="00B21971" w:rsidP="004D5825">
      <w:pPr>
        <w:tabs>
          <w:tab w:val="left" w:pos="540"/>
          <w:tab w:val="left" w:pos="569"/>
        </w:tabs>
        <w:jc w:val="both"/>
        <w:rPr>
          <w:sz w:val="22"/>
          <w:szCs w:val="22"/>
          <w:u w:val="single"/>
          <w:lang w:val="sr-Latn-ME"/>
        </w:rPr>
      </w:pPr>
      <w:r w:rsidRPr="0055610F">
        <w:rPr>
          <w:sz w:val="22"/>
          <w:szCs w:val="22"/>
          <w:u w:val="single"/>
          <w:lang w:val="sr-Latn-ME"/>
        </w:rPr>
        <w:t>Trudnoća</w:t>
      </w:r>
    </w:p>
    <w:p w:rsidR="00B21971" w:rsidRPr="0055610F" w:rsidRDefault="00B21971" w:rsidP="004D5825">
      <w:pPr>
        <w:tabs>
          <w:tab w:val="left" w:pos="540"/>
          <w:tab w:val="left" w:pos="569"/>
        </w:tabs>
        <w:jc w:val="both"/>
        <w:rPr>
          <w:sz w:val="22"/>
          <w:szCs w:val="22"/>
          <w:u w:val="single"/>
          <w:lang w:val="sr-Latn-ME"/>
        </w:rPr>
      </w:pPr>
    </w:p>
    <w:p w:rsidR="00B21971" w:rsidRPr="0055610F" w:rsidRDefault="00B21971" w:rsidP="004D5825">
      <w:pPr>
        <w:jc w:val="both"/>
        <w:rPr>
          <w:sz w:val="22"/>
          <w:szCs w:val="22"/>
          <w:lang w:val="sr-Latn-ME"/>
        </w:rPr>
      </w:pPr>
      <w:r w:rsidRPr="0055610F">
        <w:rPr>
          <w:sz w:val="22"/>
          <w:szCs w:val="22"/>
          <w:lang w:val="sr-Latn-ME"/>
        </w:rPr>
        <w:t>Poznato je da IgG immunoglobulini prolaze kroz placentnu barijeru.</w:t>
      </w:r>
    </w:p>
    <w:p w:rsidR="00B21971" w:rsidRPr="0055610F" w:rsidRDefault="00B21971" w:rsidP="004D5825">
      <w:pPr>
        <w:jc w:val="both"/>
        <w:rPr>
          <w:sz w:val="22"/>
          <w:szCs w:val="22"/>
          <w:lang w:val="sr-Latn-ME"/>
        </w:rPr>
      </w:pPr>
      <w:r w:rsidRPr="0055610F">
        <w:rPr>
          <w:sz w:val="22"/>
          <w:szCs w:val="22"/>
          <w:lang w:val="sr-Latn-ME"/>
        </w:rPr>
        <w:t>Nivoi B ćelija kod novorođenčadi po izlaganju majki MabTheri ni</w:t>
      </w:r>
      <w:r w:rsidR="00FD3056" w:rsidRPr="0055610F">
        <w:rPr>
          <w:sz w:val="22"/>
          <w:szCs w:val="22"/>
          <w:lang w:val="sr-Latn-ME"/>
        </w:rPr>
        <w:t>je</w:t>
      </w:r>
      <w:r w:rsidRPr="0055610F">
        <w:rPr>
          <w:sz w:val="22"/>
          <w:szCs w:val="22"/>
          <w:lang w:val="sr-Latn-ME"/>
        </w:rPr>
        <w:t xml:space="preserve">su praćeni u kliničkim ispitivanjima. Ne postoje adekvatni i dobro kontrolisani </w:t>
      </w:r>
      <w:r w:rsidR="00680E9F">
        <w:rPr>
          <w:sz w:val="22"/>
          <w:szCs w:val="22"/>
          <w:lang w:val="sr-Latn-ME"/>
        </w:rPr>
        <w:t>podaci iz studija na trudnicama</w:t>
      </w:r>
      <w:r w:rsidRPr="0055610F">
        <w:rPr>
          <w:sz w:val="22"/>
          <w:szCs w:val="22"/>
          <w:lang w:val="sr-Latn-ME"/>
        </w:rPr>
        <w:t>, ali su ipak prolazna deplecija B ćelija i limfocitopenija  prijavljene kod nekih novorođenčadi čije su majke tokom trudnoće bile izložene lijeku MabThera. Slični efekti su prim</w:t>
      </w:r>
      <w:r w:rsidR="00C0552F">
        <w:rPr>
          <w:sz w:val="22"/>
          <w:szCs w:val="22"/>
          <w:lang w:val="sr-Latn-ME"/>
        </w:rPr>
        <w:t>i</w:t>
      </w:r>
      <w:r w:rsidR="00680E9F">
        <w:rPr>
          <w:sz w:val="22"/>
          <w:szCs w:val="22"/>
          <w:lang w:val="sr-Latn-ME"/>
        </w:rPr>
        <w:t>jećeni u Sudijama na životin</w:t>
      </w:r>
      <w:r w:rsidRPr="0055610F">
        <w:rPr>
          <w:sz w:val="22"/>
          <w:szCs w:val="22"/>
          <w:lang w:val="sr-Latn-ME"/>
        </w:rPr>
        <w:t xml:space="preserve">jama (vidjeti dio 5.3). Zbog toga se lijek MabThera ne smije primjenjivati kod trudnica, osim ukoliko potencijalna korist ne prevazilazi potencijalni rizik. </w:t>
      </w:r>
    </w:p>
    <w:p w:rsidR="00B21971" w:rsidRPr="0055610F" w:rsidRDefault="00B21971" w:rsidP="004D5825">
      <w:pPr>
        <w:jc w:val="both"/>
        <w:rPr>
          <w:sz w:val="22"/>
          <w:szCs w:val="22"/>
          <w:lang w:val="sr-Latn-ME"/>
        </w:rPr>
      </w:pPr>
    </w:p>
    <w:p w:rsidR="00B21971" w:rsidRPr="0055610F" w:rsidRDefault="00B21971" w:rsidP="004D5825">
      <w:pPr>
        <w:tabs>
          <w:tab w:val="left" w:pos="540"/>
          <w:tab w:val="left" w:pos="569"/>
        </w:tabs>
        <w:jc w:val="both"/>
        <w:rPr>
          <w:sz w:val="22"/>
          <w:szCs w:val="22"/>
          <w:u w:val="single"/>
          <w:lang w:val="sr-Latn-ME"/>
        </w:rPr>
      </w:pPr>
      <w:r w:rsidRPr="0055610F">
        <w:rPr>
          <w:sz w:val="22"/>
          <w:szCs w:val="22"/>
          <w:u w:val="single"/>
          <w:lang w:val="sr-Latn-ME"/>
        </w:rPr>
        <w:t xml:space="preserve">Dojenje </w:t>
      </w:r>
    </w:p>
    <w:p w:rsidR="00B21971" w:rsidRPr="0055610F" w:rsidRDefault="00B21971" w:rsidP="004D5825">
      <w:pPr>
        <w:tabs>
          <w:tab w:val="left" w:pos="540"/>
          <w:tab w:val="left" w:pos="569"/>
        </w:tabs>
        <w:jc w:val="both"/>
        <w:rPr>
          <w:b/>
          <w:bCs/>
          <w:sz w:val="22"/>
          <w:szCs w:val="22"/>
          <w:lang w:val="sr-Latn-ME"/>
        </w:rPr>
      </w:pPr>
    </w:p>
    <w:p w:rsidR="00B21971" w:rsidRPr="0055610F" w:rsidRDefault="008313EA" w:rsidP="004D5825">
      <w:pPr>
        <w:tabs>
          <w:tab w:val="left" w:pos="540"/>
          <w:tab w:val="left" w:pos="569"/>
        </w:tabs>
        <w:jc w:val="both"/>
        <w:rPr>
          <w:sz w:val="22"/>
          <w:szCs w:val="22"/>
          <w:lang w:val="sr-Latn-ME"/>
        </w:rPr>
      </w:pPr>
      <w:r w:rsidRPr="00DB78AA">
        <w:rPr>
          <w:sz w:val="22"/>
          <w:szCs w:val="22"/>
          <w:lang w:val="pt-PT"/>
        </w:rPr>
        <w:t>Ograničeni podaci o izluč</w:t>
      </w:r>
      <w:r>
        <w:rPr>
          <w:sz w:val="22"/>
          <w:szCs w:val="22"/>
          <w:lang w:val="pt-PT"/>
        </w:rPr>
        <w:t>ivanju rituksimaba u majčino mlije</w:t>
      </w:r>
      <w:r w:rsidRPr="00DB78AA">
        <w:rPr>
          <w:sz w:val="22"/>
          <w:szCs w:val="22"/>
          <w:lang w:val="pt-PT"/>
        </w:rPr>
        <w:t>ko ukazuju na vrlo niske koncentracije l</w:t>
      </w:r>
      <w:r>
        <w:rPr>
          <w:sz w:val="22"/>
          <w:szCs w:val="22"/>
          <w:lang w:val="pt-PT"/>
        </w:rPr>
        <w:t>ij</w:t>
      </w:r>
      <w:r w:rsidRPr="00DB78AA">
        <w:rPr>
          <w:sz w:val="22"/>
          <w:szCs w:val="22"/>
          <w:lang w:val="pt-PT"/>
        </w:rPr>
        <w:t>eka u ml</w:t>
      </w:r>
      <w:r>
        <w:rPr>
          <w:sz w:val="22"/>
          <w:szCs w:val="22"/>
          <w:lang w:val="pt-PT"/>
        </w:rPr>
        <w:t>ij</w:t>
      </w:r>
      <w:r w:rsidRPr="00DB78AA">
        <w:rPr>
          <w:sz w:val="22"/>
          <w:szCs w:val="22"/>
          <w:lang w:val="pt-PT"/>
        </w:rPr>
        <w:t xml:space="preserve">eku (relativna doza u odojčeta manja je od 0,4%). U malobrojnim slučajevima praćenja dojene djece opisan je normalan rast i razvoj do </w:t>
      </w:r>
      <w:r w:rsidR="00FB34CE">
        <w:rPr>
          <w:sz w:val="22"/>
          <w:szCs w:val="22"/>
          <w:lang w:val="pt-PT"/>
        </w:rPr>
        <w:t>2</w:t>
      </w:r>
      <w:r w:rsidRPr="00DB78AA">
        <w:rPr>
          <w:sz w:val="22"/>
          <w:szCs w:val="22"/>
          <w:lang w:val="pt-PT"/>
        </w:rPr>
        <w:t xml:space="preserve"> godine. Međutim, budući da su ti podaci ograničeni, a dugoročni ishodi za odojčad i dalje nepoznati, dojenje se ne preporučuje tokom l</w:t>
      </w:r>
      <w:r>
        <w:rPr>
          <w:sz w:val="22"/>
          <w:szCs w:val="22"/>
          <w:lang w:val="pt-PT"/>
        </w:rPr>
        <w:t>ij</w:t>
      </w:r>
      <w:r w:rsidRPr="00DB78AA">
        <w:rPr>
          <w:sz w:val="22"/>
          <w:szCs w:val="22"/>
          <w:lang w:val="pt-PT"/>
        </w:rPr>
        <w:t xml:space="preserve">ečenja rituksimabom, a u optimalnom slučaju ni idućih </w:t>
      </w:r>
      <w:r w:rsidR="00FB34CE">
        <w:rPr>
          <w:sz w:val="22"/>
          <w:szCs w:val="22"/>
          <w:lang w:val="pt-PT"/>
        </w:rPr>
        <w:t>6</w:t>
      </w:r>
      <w:r w:rsidR="00FB34CE" w:rsidRPr="00DB78AA">
        <w:rPr>
          <w:sz w:val="22"/>
          <w:szCs w:val="22"/>
          <w:lang w:val="pt-PT"/>
        </w:rPr>
        <w:t xml:space="preserve"> </w:t>
      </w:r>
      <w:r w:rsidRPr="00DB78AA">
        <w:rPr>
          <w:sz w:val="22"/>
          <w:szCs w:val="22"/>
          <w:lang w:val="pt-PT"/>
        </w:rPr>
        <w:t>m</w:t>
      </w:r>
      <w:r>
        <w:rPr>
          <w:sz w:val="22"/>
          <w:szCs w:val="22"/>
          <w:lang w:val="pt-PT"/>
        </w:rPr>
        <w:t>j</w:t>
      </w:r>
      <w:r w:rsidRPr="00DB78AA">
        <w:rPr>
          <w:sz w:val="22"/>
          <w:szCs w:val="22"/>
          <w:lang w:val="pt-PT"/>
        </w:rPr>
        <w:t>eseci nakon l</w:t>
      </w:r>
      <w:r>
        <w:rPr>
          <w:sz w:val="22"/>
          <w:szCs w:val="22"/>
          <w:lang w:val="pt-PT"/>
        </w:rPr>
        <w:t>ij</w:t>
      </w:r>
      <w:r w:rsidRPr="00DB78AA">
        <w:rPr>
          <w:sz w:val="22"/>
          <w:szCs w:val="22"/>
          <w:lang w:val="pt-PT"/>
        </w:rPr>
        <w:t>ečenja rituksimabom.</w:t>
      </w:r>
    </w:p>
    <w:p w:rsidR="00B21971" w:rsidRPr="0055610F" w:rsidRDefault="00B21971" w:rsidP="004D5825">
      <w:pPr>
        <w:tabs>
          <w:tab w:val="left" w:pos="540"/>
          <w:tab w:val="left" w:pos="569"/>
        </w:tabs>
        <w:ind w:left="540" w:hanging="540"/>
        <w:jc w:val="both"/>
        <w:rPr>
          <w:sz w:val="22"/>
          <w:szCs w:val="22"/>
          <w:u w:val="single"/>
          <w:lang w:val="sr-Latn-ME"/>
        </w:rPr>
      </w:pPr>
    </w:p>
    <w:p w:rsidR="0072020E" w:rsidRPr="0055610F" w:rsidRDefault="0072020E" w:rsidP="004D5825">
      <w:pPr>
        <w:tabs>
          <w:tab w:val="left" w:pos="540"/>
          <w:tab w:val="left" w:pos="569"/>
        </w:tabs>
        <w:ind w:left="540" w:hanging="540"/>
        <w:jc w:val="both"/>
        <w:rPr>
          <w:b/>
          <w:bCs/>
          <w:sz w:val="22"/>
          <w:szCs w:val="22"/>
          <w:lang w:val="sr-Latn-ME"/>
        </w:rPr>
      </w:pPr>
      <w:r w:rsidRPr="0055610F">
        <w:rPr>
          <w:b/>
          <w:bCs/>
          <w:sz w:val="22"/>
          <w:szCs w:val="22"/>
          <w:lang w:val="sr-Latn-ME"/>
        </w:rPr>
        <w:t xml:space="preserve">4.7. </w:t>
      </w:r>
      <w:r w:rsidR="00480FB1" w:rsidRPr="0055610F">
        <w:rPr>
          <w:b/>
          <w:bCs/>
          <w:sz w:val="22"/>
          <w:szCs w:val="22"/>
          <w:lang w:val="sr-Latn-ME"/>
        </w:rPr>
        <w:tab/>
      </w:r>
      <w:r w:rsidRPr="0055610F">
        <w:rPr>
          <w:b/>
          <w:bCs/>
          <w:sz w:val="22"/>
          <w:szCs w:val="22"/>
          <w:lang w:val="sr-Latn-ME"/>
        </w:rPr>
        <w:t xml:space="preserve">Uticaj na </w:t>
      </w:r>
      <w:r w:rsidR="002031B3" w:rsidRPr="0055610F">
        <w:rPr>
          <w:b/>
          <w:bCs/>
          <w:sz w:val="22"/>
          <w:szCs w:val="22"/>
          <w:lang w:val="sr-Latn-ME"/>
        </w:rPr>
        <w:t xml:space="preserve">sposobnost </w:t>
      </w:r>
      <w:r w:rsidR="00F34554" w:rsidRPr="0055610F">
        <w:rPr>
          <w:b/>
          <w:bCs/>
          <w:sz w:val="22"/>
          <w:szCs w:val="22"/>
          <w:lang w:val="sr-Latn-ME"/>
        </w:rPr>
        <w:t>upravljanja vozili</w:t>
      </w:r>
      <w:r w:rsidRPr="0055610F">
        <w:rPr>
          <w:b/>
          <w:bCs/>
          <w:sz w:val="22"/>
          <w:szCs w:val="22"/>
          <w:lang w:val="sr-Latn-ME"/>
        </w:rPr>
        <w:t>m</w:t>
      </w:r>
      <w:r w:rsidR="00F34554" w:rsidRPr="0055610F">
        <w:rPr>
          <w:b/>
          <w:bCs/>
          <w:sz w:val="22"/>
          <w:szCs w:val="22"/>
          <w:lang w:val="sr-Latn-ME"/>
        </w:rPr>
        <w:t>a</w:t>
      </w:r>
      <w:r w:rsidRPr="0055610F">
        <w:rPr>
          <w:b/>
          <w:bCs/>
          <w:sz w:val="22"/>
          <w:szCs w:val="22"/>
          <w:lang w:val="sr-Latn-ME"/>
        </w:rPr>
        <w:t xml:space="preserve"> i </w:t>
      </w:r>
      <w:r w:rsidR="000D3449" w:rsidRPr="0055610F">
        <w:rPr>
          <w:b/>
          <w:bCs/>
          <w:sz w:val="22"/>
          <w:szCs w:val="22"/>
          <w:lang w:val="sr-Latn-ME"/>
        </w:rPr>
        <w:t xml:space="preserve">rukovanje </w:t>
      </w:r>
      <w:r w:rsidRPr="0055610F">
        <w:rPr>
          <w:b/>
          <w:bCs/>
          <w:sz w:val="22"/>
          <w:szCs w:val="22"/>
          <w:lang w:val="sr-Latn-ME"/>
        </w:rPr>
        <w:t>mašinama</w:t>
      </w:r>
    </w:p>
    <w:p w:rsidR="0072020E" w:rsidRPr="0055610F" w:rsidRDefault="0072020E" w:rsidP="004D5825">
      <w:pPr>
        <w:tabs>
          <w:tab w:val="left" w:pos="540"/>
          <w:tab w:val="left" w:pos="569"/>
        </w:tabs>
        <w:jc w:val="both"/>
        <w:rPr>
          <w:b/>
          <w:bCs/>
          <w:sz w:val="22"/>
          <w:szCs w:val="22"/>
          <w:lang w:val="sr-Latn-ME"/>
        </w:rPr>
      </w:pPr>
    </w:p>
    <w:p w:rsidR="00496E03" w:rsidRPr="0055610F" w:rsidRDefault="00496E03" w:rsidP="004D5825">
      <w:pPr>
        <w:jc w:val="both"/>
        <w:rPr>
          <w:sz w:val="22"/>
          <w:szCs w:val="22"/>
          <w:lang w:val="sr-Latn-ME"/>
        </w:rPr>
      </w:pPr>
      <w:r w:rsidRPr="0055610F">
        <w:rPr>
          <w:sz w:val="22"/>
          <w:szCs w:val="22"/>
          <w:lang w:val="sr-Latn-ME"/>
        </w:rPr>
        <w:lastRenderedPageBreak/>
        <w:t>Ni</w:t>
      </w:r>
      <w:r w:rsidR="00FD3056" w:rsidRPr="0055610F">
        <w:rPr>
          <w:sz w:val="22"/>
          <w:szCs w:val="22"/>
          <w:lang w:val="sr-Latn-ME"/>
        </w:rPr>
        <w:t>je</w:t>
      </w:r>
      <w:r w:rsidRPr="0055610F">
        <w:rPr>
          <w:sz w:val="22"/>
          <w:szCs w:val="22"/>
          <w:lang w:val="sr-Latn-ME"/>
        </w:rPr>
        <w:t xml:space="preserve">su sprovedena ispitivanja dejstva lijeka MabThera na sposobnosti za vožnju ili upravljanje mašinama, mada farmakološka ispitivanja i neželjena dejstva koja su do danas zabilježena ne </w:t>
      </w:r>
      <w:r w:rsidR="00FD3056" w:rsidRPr="0055610F">
        <w:rPr>
          <w:sz w:val="22"/>
          <w:szCs w:val="22"/>
          <w:lang w:val="sr-Latn-ME"/>
        </w:rPr>
        <w:t>u</w:t>
      </w:r>
      <w:r w:rsidRPr="0055610F">
        <w:rPr>
          <w:sz w:val="22"/>
          <w:szCs w:val="22"/>
          <w:lang w:val="sr-Latn-ME"/>
        </w:rPr>
        <w:t xml:space="preserve">kazuju na to da MabThera ne utiče ili zanemarljivo utiče na sposobnost upravljanja motornim vozilima i rukovanja mašinama. </w:t>
      </w:r>
    </w:p>
    <w:p w:rsidR="00496E03" w:rsidRPr="0055610F" w:rsidRDefault="00496E03" w:rsidP="004D5825">
      <w:pPr>
        <w:tabs>
          <w:tab w:val="left" w:pos="540"/>
          <w:tab w:val="left" w:pos="569"/>
        </w:tabs>
        <w:jc w:val="both"/>
        <w:rPr>
          <w:b/>
          <w:bCs/>
          <w:sz w:val="22"/>
          <w:szCs w:val="22"/>
          <w:lang w:val="sr-Latn-ME"/>
        </w:rPr>
      </w:pPr>
    </w:p>
    <w:p w:rsidR="0072020E"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4.8. </w:t>
      </w:r>
      <w:r w:rsidR="00480FB1" w:rsidRPr="0055610F">
        <w:rPr>
          <w:b/>
          <w:bCs/>
          <w:sz w:val="22"/>
          <w:szCs w:val="22"/>
          <w:lang w:val="sr-Latn-ME"/>
        </w:rPr>
        <w:tab/>
      </w:r>
      <w:r w:rsidRPr="0055610F">
        <w:rPr>
          <w:b/>
          <w:bCs/>
          <w:sz w:val="22"/>
          <w:szCs w:val="22"/>
          <w:lang w:val="sr-Latn-ME"/>
        </w:rPr>
        <w:t>Neželjena dejstva</w:t>
      </w:r>
    </w:p>
    <w:p w:rsidR="00496E03" w:rsidRPr="0055610F" w:rsidRDefault="00496E03" w:rsidP="004D5825">
      <w:pPr>
        <w:tabs>
          <w:tab w:val="left" w:pos="540"/>
          <w:tab w:val="left" w:pos="569"/>
        </w:tabs>
        <w:jc w:val="both"/>
        <w:rPr>
          <w:b/>
          <w:bCs/>
          <w:sz w:val="22"/>
          <w:szCs w:val="22"/>
          <w:lang w:val="sr-Latn-ME"/>
        </w:rPr>
      </w:pPr>
    </w:p>
    <w:p w:rsidR="00496E03" w:rsidRPr="0055610F" w:rsidRDefault="00496E03" w:rsidP="004D5825">
      <w:pPr>
        <w:jc w:val="both"/>
        <w:rPr>
          <w:sz w:val="22"/>
          <w:szCs w:val="22"/>
          <w:u w:val="single"/>
          <w:lang w:val="sr-Latn-ME"/>
        </w:rPr>
      </w:pPr>
      <w:r w:rsidRPr="0055610F">
        <w:rPr>
          <w:sz w:val="22"/>
          <w:szCs w:val="22"/>
          <w:u w:val="single"/>
          <w:lang w:val="sr-Latn-ME"/>
        </w:rPr>
        <w:t>Iskustva sa primjenom kod Non-Hodgkinov limfoma i hronične limfocitne leukemije kod odraslih pacijenata</w:t>
      </w:r>
    </w:p>
    <w:p w:rsidR="00496E03" w:rsidRPr="0055610F" w:rsidRDefault="00496E03" w:rsidP="004D5825">
      <w:pPr>
        <w:jc w:val="both"/>
        <w:rPr>
          <w:i/>
          <w:sz w:val="22"/>
          <w:szCs w:val="22"/>
          <w:u w:val="single"/>
          <w:lang w:val="sr-Latn-ME"/>
        </w:rPr>
      </w:pPr>
    </w:p>
    <w:p w:rsidR="00496E03" w:rsidRPr="0055610F" w:rsidRDefault="00496E03" w:rsidP="004D5825">
      <w:pPr>
        <w:jc w:val="both"/>
        <w:rPr>
          <w:i/>
          <w:sz w:val="22"/>
          <w:szCs w:val="22"/>
          <w:u w:val="single"/>
          <w:lang w:val="sr-Latn-ME"/>
        </w:rPr>
      </w:pPr>
      <w:r w:rsidRPr="0055610F">
        <w:rPr>
          <w:i/>
          <w:sz w:val="22"/>
          <w:szCs w:val="22"/>
          <w:u w:val="single"/>
          <w:lang w:val="sr-Latn-ME"/>
        </w:rPr>
        <w:t>Sažetak bezbjednosnog profila</w:t>
      </w:r>
    </w:p>
    <w:p w:rsidR="00496E03" w:rsidRPr="0055610F" w:rsidRDefault="00496E03" w:rsidP="004D5825">
      <w:pPr>
        <w:jc w:val="both"/>
        <w:rPr>
          <w:sz w:val="22"/>
          <w:szCs w:val="22"/>
          <w:lang w:val="sr-Latn-ME" w:eastAsia="ja-JP"/>
        </w:rPr>
      </w:pPr>
    </w:p>
    <w:p w:rsidR="00496E03" w:rsidRPr="0055610F" w:rsidRDefault="00496E03" w:rsidP="004D5825">
      <w:pPr>
        <w:jc w:val="both"/>
        <w:rPr>
          <w:sz w:val="22"/>
          <w:szCs w:val="22"/>
          <w:u w:val="single"/>
          <w:lang w:val="sr-Latn-ME"/>
        </w:rPr>
      </w:pPr>
      <w:r w:rsidRPr="0055610F">
        <w:rPr>
          <w:sz w:val="22"/>
          <w:szCs w:val="22"/>
          <w:lang w:val="sr-Latn-ME" w:eastAsia="ja-JP"/>
        </w:rPr>
        <w:t xml:space="preserve">Ukupan bezbjednosni profil lijeka MabThera u terapiji </w:t>
      </w:r>
      <w:r w:rsidRPr="0055610F">
        <w:rPr>
          <w:sz w:val="22"/>
          <w:szCs w:val="22"/>
          <w:lang w:val="sr-Latn-ME"/>
        </w:rPr>
        <w:t xml:space="preserve">non-Hodgkinovog limfoma i hronične limfocitne leukemije zasnovan je na podacima od pacijenata iz kliničkih studija i postmarketinškog praćenja. Ovi pacijenti liječeni su ili lijekom MabThera kao monoterapijom (indukciona terapija ili terapija održavanja nakon indukcione terapije), ili u kombinaciji sa hemioterapijom. </w:t>
      </w:r>
    </w:p>
    <w:p w:rsidR="00496E03" w:rsidRPr="0055610F" w:rsidRDefault="00496E03" w:rsidP="004D5825">
      <w:pPr>
        <w:jc w:val="both"/>
        <w:rPr>
          <w:sz w:val="22"/>
          <w:szCs w:val="22"/>
          <w:lang w:val="sr-Latn-ME" w:eastAsia="ja-JP"/>
        </w:rPr>
      </w:pPr>
    </w:p>
    <w:p w:rsidR="00496E03" w:rsidRPr="0055610F" w:rsidRDefault="00496E03" w:rsidP="004D5825">
      <w:pPr>
        <w:jc w:val="both"/>
        <w:rPr>
          <w:sz w:val="22"/>
          <w:szCs w:val="22"/>
          <w:lang w:val="sr-Latn-ME" w:eastAsia="ja-JP"/>
        </w:rPr>
      </w:pPr>
      <w:r w:rsidRPr="0055610F">
        <w:rPr>
          <w:sz w:val="22"/>
          <w:szCs w:val="22"/>
          <w:lang w:val="sr-Latn-ME" w:eastAsia="ja-JP"/>
        </w:rPr>
        <w:t>Najčešće prijavljene neželjene reakcije kod pacijenata koji su primali lijek MabThera bile su reakcije na infuziju, koje su se kod većine pacijenata javljale pri prvoj infuziji. Incidenca simptoma pri primjeni infuzije značajno se smanjuje sa narednim infuzijama i iznosi manje od 1% nakon osam doza lijeka MabThera.</w:t>
      </w:r>
    </w:p>
    <w:p w:rsidR="00496E03" w:rsidRPr="0055610F" w:rsidRDefault="00496E03" w:rsidP="004D5825">
      <w:pPr>
        <w:jc w:val="both"/>
        <w:rPr>
          <w:sz w:val="22"/>
          <w:szCs w:val="22"/>
          <w:lang w:val="sr-Latn-ME" w:eastAsia="ja-JP"/>
        </w:rPr>
      </w:pPr>
    </w:p>
    <w:p w:rsidR="00496E03" w:rsidRPr="0055610F" w:rsidRDefault="00496E03" w:rsidP="004D5825">
      <w:pPr>
        <w:jc w:val="both"/>
        <w:rPr>
          <w:sz w:val="22"/>
          <w:szCs w:val="22"/>
          <w:lang w:val="sr-Latn-ME" w:eastAsia="ja-JP"/>
        </w:rPr>
      </w:pPr>
      <w:r w:rsidRPr="0055610F">
        <w:rPr>
          <w:sz w:val="22"/>
          <w:szCs w:val="22"/>
          <w:lang w:val="sr-Latn-ME" w:eastAsia="ja-JP"/>
        </w:rPr>
        <w:t>Infekcije (predominantno bakterijske i virusne) javljale su se kod oko 30-55% pacijenata u kliničkim studijama na pacijentima sa NHL, te kod 30-50% pacijenata tokom kliničko</w:t>
      </w:r>
      <w:r w:rsidR="00FD3056" w:rsidRPr="0055610F">
        <w:rPr>
          <w:sz w:val="22"/>
          <w:szCs w:val="22"/>
          <w:lang w:val="sr-Latn-ME" w:eastAsia="ja-JP"/>
        </w:rPr>
        <w:t>g</w:t>
      </w:r>
      <w:r w:rsidRPr="0055610F">
        <w:rPr>
          <w:sz w:val="22"/>
          <w:szCs w:val="22"/>
          <w:lang w:val="sr-Latn-ME" w:eastAsia="ja-JP"/>
        </w:rPr>
        <w:t xml:space="preserve"> ispitivanja pacijenata sa CLL-om.</w:t>
      </w:r>
    </w:p>
    <w:p w:rsidR="00496E03" w:rsidRPr="0055610F" w:rsidRDefault="00496E03" w:rsidP="004D5825">
      <w:pPr>
        <w:jc w:val="both"/>
        <w:rPr>
          <w:sz w:val="22"/>
          <w:szCs w:val="22"/>
          <w:lang w:val="sr-Latn-ME" w:eastAsia="ja-JP"/>
        </w:rPr>
      </w:pPr>
    </w:p>
    <w:p w:rsidR="00496E03" w:rsidRPr="0055610F" w:rsidRDefault="00496E03" w:rsidP="004D5825">
      <w:pPr>
        <w:jc w:val="both"/>
        <w:rPr>
          <w:sz w:val="22"/>
          <w:szCs w:val="22"/>
          <w:lang w:val="sr-Latn-ME" w:eastAsia="ja-JP"/>
        </w:rPr>
      </w:pPr>
      <w:r w:rsidRPr="0055610F">
        <w:rPr>
          <w:sz w:val="22"/>
          <w:szCs w:val="22"/>
          <w:lang w:val="sr-Latn-ME" w:eastAsia="ja-JP"/>
        </w:rPr>
        <w:t xml:space="preserve">Najčešće prijavljene ili primijećene </w:t>
      </w:r>
      <w:r w:rsidRPr="0055610F">
        <w:rPr>
          <w:sz w:val="22"/>
          <w:szCs w:val="22"/>
          <w:u w:val="single"/>
          <w:lang w:val="sr-Latn-ME" w:eastAsia="ja-JP"/>
        </w:rPr>
        <w:t>ozbiljne</w:t>
      </w:r>
      <w:r w:rsidRPr="0055610F">
        <w:rPr>
          <w:sz w:val="22"/>
          <w:szCs w:val="22"/>
          <w:lang w:val="sr-Latn-ME" w:eastAsia="ja-JP"/>
        </w:rPr>
        <w:t xml:space="preserve"> neželjene reakcije bile su:</w:t>
      </w:r>
    </w:p>
    <w:p w:rsidR="00496E03" w:rsidRPr="0055610F" w:rsidRDefault="00496E03" w:rsidP="004D5825">
      <w:pPr>
        <w:numPr>
          <w:ilvl w:val="0"/>
          <w:numId w:val="13"/>
        </w:numPr>
        <w:jc w:val="both"/>
        <w:rPr>
          <w:sz w:val="22"/>
          <w:szCs w:val="22"/>
          <w:lang w:val="sr-Latn-ME" w:eastAsia="ja-JP"/>
        </w:rPr>
      </w:pPr>
      <w:r w:rsidRPr="0055610F">
        <w:rPr>
          <w:sz w:val="22"/>
          <w:szCs w:val="22"/>
          <w:lang w:val="sr-Latn-ME" w:eastAsia="ja-JP"/>
        </w:rPr>
        <w:t>Reakcije na infuziju (uključujući sindrom oslobađanja citokina, sindrom lize tumora), vidjeti dio 4.4.</w:t>
      </w:r>
    </w:p>
    <w:p w:rsidR="00496E03" w:rsidRPr="0055610F" w:rsidRDefault="00496E03" w:rsidP="004D5825">
      <w:pPr>
        <w:numPr>
          <w:ilvl w:val="0"/>
          <w:numId w:val="13"/>
        </w:numPr>
        <w:jc w:val="both"/>
        <w:rPr>
          <w:sz w:val="22"/>
          <w:szCs w:val="22"/>
          <w:lang w:val="sr-Latn-ME" w:eastAsia="ja-JP"/>
        </w:rPr>
      </w:pPr>
      <w:r w:rsidRPr="0055610F">
        <w:rPr>
          <w:sz w:val="22"/>
          <w:szCs w:val="22"/>
          <w:lang w:val="sr-Latn-ME" w:eastAsia="ja-JP"/>
        </w:rPr>
        <w:t>Infekcije, vidjeti dio 4.4.</w:t>
      </w:r>
    </w:p>
    <w:p w:rsidR="00496E03" w:rsidRPr="0055610F" w:rsidRDefault="00496E03" w:rsidP="004D5825">
      <w:pPr>
        <w:numPr>
          <w:ilvl w:val="0"/>
          <w:numId w:val="13"/>
        </w:numPr>
        <w:jc w:val="both"/>
        <w:rPr>
          <w:sz w:val="22"/>
          <w:szCs w:val="22"/>
          <w:lang w:val="sr-Latn-ME" w:eastAsia="ja-JP"/>
        </w:rPr>
      </w:pPr>
      <w:r w:rsidRPr="0055610F">
        <w:rPr>
          <w:sz w:val="22"/>
          <w:szCs w:val="22"/>
          <w:lang w:val="sr-Latn-ME" w:eastAsia="ja-JP"/>
        </w:rPr>
        <w:t>Kardiovaskularni događaji, vidjeti dio 4.4.</w:t>
      </w:r>
    </w:p>
    <w:p w:rsidR="00496E03" w:rsidRPr="0055610F" w:rsidRDefault="00496E03" w:rsidP="004D5825">
      <w:pPr>
        <w:jc w:val="both"/>
        <w:rPr>
          <w:sz w:val="22"/>
          <w:szCs w:val="22"/>
          <w:lang w:val="sr-Latn-ME" w:eastAsia="ja-JP"/>
        </w:rPr>
      </w:pPr>
    </w:p>
    <w:p w:rsidR="00496E03" w:rsidRPr="0055610F" w:rsidRDefault="00496E03" w:rsidP="004D5825">
      <w:pPr>
        <w:jc w:val="both"/>
        <w:rPr>
          <w:sz w:val="22"/>
          <w:szCs w:val="22"/>
          <w:lang w:val="sr-Latn-ME" w:eastAsia="ja-JP"/>
        </w:rPr>
      </w:pPr>
      <w:r w:rsidRPr="0055610F">
        <w:rPr>
          <w:sz w:val="22"/>
          <w:szCs w:val="22"/>
          <w:lang w:val="sr-Latn-ME" w:eastAsia="ja-JP"/>
        </w:rPr>
        <w:t>Ostale prijavljene ozbiljne neželjene reakcije uključuju reaktivaciju hepatitisa B i P</w:t>
      </w:r>
      <w:r w:rsidR="007642DC">
        <w:rPr>
          <w:sz w:val="22"/>
          <w:szCs w:val="22"/>
          <w:lang w:val="sr-Latn-ME" w:eastAsia="ja-JP"/>
        </w:rPr>
        <w:t>ML</w:t>
      </w:r>
      <w:r w:rsidRPr="0055610F">
        <w:rPr>
          <w:sz w:val="22"/>
          <w:szCs w:val="22"/>
          <w:lang w:val="sr-Latn-ME" w:eastAsia="ja-JP"/>
        </w:rPr>
        <w:t xml:space="preserve"> (vidjeti dio 4.4.).</w:t>
      </w:r>
    </w:p>
    <w:p w:rsidR="00496E03" w:rsidRPr="0055610F" w:rsidRDefault="00496E03" w:rsidP="004D5825">
      <w:pPr>
        <w:jc w:val="both"/>
        <w:rPr>
          <w:sz w:val="22"/>
          <w:szCs w:val="22"/>
          <w:lang w:val="sr-Latn-ME" w:eastAsia="ja-JP"/>
        </w:rPr>
      </w:pPr>
    </w:p>
    <w:p w:rsidR="00496E03" w:rsidRPr="0055610F" w:rsidRDefault="00496E03" w:rsidP="004D5825">
      <w:pPr>
        <w:tabs>
          <w:tab w:val="left" w:pos="540"/>
          <w:tab w:val="left" w:pos="569"/>
        </w:tabs>
        <w:jc w:val="both"/>
        <w:rPr>
          <w:i/>
          <w:sz w:val="22"/>
          <w:szCs w:val="22"/>
          <w:u w:val="single"/>
          <w:lang w:val="sr-Latn-ME" w:eastAsia="ja-JP"/>
        </w:rPr>
      </w:pPr>
      <w:r w:rsidRPr="0055610F">
        <w:rPr>
          <w:i/>
          <w:sz w:val="22"/>
          <w:szCs w:val="22"/>
          <w:u w:val="single"/>
          <w:lang w:val="sr-Latn-ME" w:eastAsia="ja-JP"/>
        </w:rPr>
        <w:t>Tabelarni prikaz neželjenih reakcija</w:t>
      </w:r>
    </w:p>
    <w:p w:rsidR="00B21971" w:rsidRPr="0055610F" w:rsidRDefault="00B21971" w:rsidP="004D5825">
      <w:pPr>
        <w:tabs>
          <w:tab w:val="left" w:pos="540"/>
          <w:tab w:val="left" w:pos="569"/>
        </w:tabs>
        <w:jc w:val="both"/>
        <w:rPr>
          <w:i/>
          <w:sz w:val="22"/>
          <w:szCs w:val="22"/>
          <w:u w:val="single"/>
          <w:lang w:val="sr-Latn-ME" w:eastAsia="ja-JP"/>
        </w:rPr>
      </w:pPr>
    </w:p>
    <w:p w:rsidR="00496E03" w:rsidRPr="0055610F" w:rsidRDefault="00496E03" w:rsidP="004D5825">
      <w:pPr>
        <w:jc w:val="both"/>
        <w:rPr>
          <w:sz w:val="22"/>
          <w:szCs w:val="22"/>
          <w:lang w:val="sr-Latn-ME" w:eastAsia="ja-JP"/>
        </w:rPr>
      </w:pPr>
      <w:r w:rsidRPr="0055610F">
        <w:rPr>
          <w:sz w:val="22"/>
          <w:szCs w:val="22"/>
          <w:lang w:val="sr-Latn-ME" w:eastAsia="ja-JP"/>
        </w:rPr>
        <w:t xml:space="preserve">Učestalost ozbiljnih neželjenih reakcija prijavljenih sa lijekom MabThera samim ili u kombinaciji sa hemioterapijom prikazana je u Tabeli 3 ispod. </w:t>
      </w:r>
      <w:r w:rsidR="00B2002A">
        <w:rPr>
          <w:sz w:val="22"/>
          <w:szCs w:val="22"/>
          <w:lang w:val="sr-Latn-ME" w:eastAsia="ja-JP"/>
        </w:rPr>
        <w:t>Kategorije u</w:t>
      </w:r>
      <w:r w:rsidRPr="0055610F">
        <w:rPr>
          <w:sz w:val="22"/>
          <w:szCs w:val="22"/>
          <w:lang w:val="sr-Latn-ME" w:eastAsia="ja-JP"/>
        </w:rPr>
        <w:t>čestalosti su definisane kao v</w:t>
      </w:r>
      <w:r w:rsidR="00B2002A">
        <w:rPr>
          <w:sz w:val="22"/>
          <w:szCs w:val="22"/>
          <w:lang w:val="sr-Latn-ME" w:eastAsia="ja-JP"/>
        </w:rPr>
        <w:t>eoma</w:t>
      </w:r>
      <w:r w:rsidRPr="0055610F">
        <w:rPr>
          <w:sz w:val="22"/>
          <w:szCs w:val="22"/>
          <w:lang w:val="sr-Latn-ME" w:eastAsia="ja-JP"/>
        </w:rPr>
        <w:t xml:space="preserve"> čest</w:t>
      </w:r>
      <w:r w:rsidR="00B2002A">
        <w:rPr>
          <w:sz w:val="22"/>
          <w:szCs w:val="22"/>
          <w:lang w:val="sr-Latn-ME" w:eastAsia="ja-JP"/>
        </w:rPr>
        <w:t>o</w:t>
      </w:r>
      <w:r w:rsidRPr="0055610F">
        <w:rPr>
          <w:sz w:val="22"/>
          <w:szCs w:val="22"/>
          <w:lang w:val="sr-Latn-ME" w:eastAsia="ja-JP"/>
        </w:rPr>
        <w:t xml:space="preserve"> (</w:t>
      </w:r>
      <w:r w:rsidRPr="0055610F">
        <w:rPr>
          <w:sz w:val="22"/>
          <w:szCs w:val="22"/>
          <w:lang w:val="sr-Latn-ME" w:eastAsia="ja-JP"/>
        </w:rPr>
        <w:sym w:font="Symbol" w:char="F0B3"/>
      </w:r>
      <w:r w:rsidRPr="0055610F">
        <w:rPr>
          <w:sz w:val="22"/>
          <w:szCs w:val="22"/>
          <w:lang w:val="sr-Latn-ME" w:eastAsia="ja-JP"/>
        </w:rPr>
        <w:t>  1/10), čest</w:t>
      </w:r>
      <w:r w:rsidR="00B2002A">
        <w:rPr>
          <w:sz w:val="22"/>
          <w:szCs w:val="22"/>
          <w:lang w:val="sr-Latn-ME" w:eastAsia="ja-JP"/>
        </w:rPr>
        <w:t>o</w:t>
      </w:r>
      <w:r w:rsidRPr="0055610F">
        <w:rPr>
          <w:sz w:val="22"/>
          <w:szCs w:val="22"/>
          <w:lang w:val="sr-Latn-ME" w:eastAsia="ja-JP"/>
        </w:rPr>
        <w:t xml:space="preserve"> (</w:t>
      </w:r>
      <w:r w:rsidRPr="0055610F">
        <w:rPr>
          <w:sz w:val="22"/>
          <w:szCs w:val="22"/>
          <w:lang w:val="sr-Latn-ME" w:eastAsia="ja-JP"/>
        </w:rPr>
        <w:sym w:font="Symbol" w:char="F0B3"/>
      </w:r>
      <w:r w:rsidRPr="0055610F">
        <w:rPr>
          <w:sz w:val="22"/>
          <w:szCs w:val="22"/>
          <w:lang w:val="sr-Latn-ME" w:eastAsia="ja-JP"/>
        </w:rPr>
        <w:t>  1/100 to &lt; 1/10)</w:t>
      </w:r>
      <w:r w:rsidR="00B2002A">
        <w:rPr>
          <w:sz w:val="22"/>
          <w:szCs w:val="22"/>
          <w:lang w:val="sr-Latn-ME" w:eastAsia="ja-JP"/>
        </w:rPr>
        <w:t xml:space="preserve">, </w:t>
      </w:r>
      <w:r w:rsidRPr="0055610F">
        <w:rPr>
          <w:sz w:val="22"/>
          <w:szCs w:val="22"/>
          <w:lang w:val="sr-Latn-ME" w:eastAsia="ja-JP"/>
        </w:rPr>
        <w:t>povremen</w:t>
      </w:r>
      <w:r w:rsidR="00B2002A">
        <w:rPr>
          <w:sz w:val="22"/>
          <w:szCs w:val="22"/>
          <w:lang w:val="sr-Latn-ME" w:eastAsia="ja-JP"/>
        </w:rPr>
        <w:t>o</w:t>
      </w:r>
      <w:r w:rsidRPr="0055610F">
        <w:rPr>
          <w:sz w:val="22"/>
          <w:szCs w:val="22"/>
          <w:lang w:val="sr-Latn-ME" w:eastAsia="ja-JP"/>
        </w:rPr>
        <w:t xml:space="preserve"> (</w:t>
      </w:r>
      <w:r w:rsidRPr="0055610F">
        <w:rPr>
          <w:sz w:val="22"/>
          <w:szCs w:val="22"/>
          <w:lang w:val="sr-Latn-ME" w:eastAsia="ja-JP"/>
        </w:rPr>
        <w:sym w:font="Symbol" w:char="F0B3"/>
      </w:r>
      <w:r w:rsidRPr="0055610F">
        <w:rPr>
          <w:sz w:val="22"/>
          <w:szCs w:val="22"/>
          <w:lang w:val="sr-Latn-ME" w:eastAsia="ja-JP"/>
        </w:rPr>
        <w:t>  1/1,000 to &lt; 1/100), rijetko (≥ 1/10 000 i &lt; 1/1000) , v</w:t>
      </w:r>
      <w:r w:rsidR="00B2002A">
        <w:rPr>
          <w:sz w:val="22"/>
          <w:szCs w:val="22"/>
          <w:lang w:val="sr-Latn-ME" w:eastAsia="ja-JP"/>
        </w:rPr>
        <w:t>eoma</w:t>
      </w:r>
      <w:r w:rsidRPr="0055610F">
        <w:rPr>
          <w:sz w:val="22"/>
          <w:szCs w:val="22"/>
          <w:lang w:val="sr-Latn-ME" w:eastAsia="ja-JP"/>
        </w:rPr>
        <w:t xml:space="preserve"> rijetko (&lt; 1/10 000) i nepoznato (ne može se procijeniti iz podataka koji su dostupni). Unutar svake grupe učestalosti, neželjena dejstva prikazana su po opadajućoj ozbiljnosti.</w:t>
      </w:r>
    </w:p>
    <w:p w:rsidR="00496E03" w:rsidRPr="0055610F" w:rsidRDefault="00496E03" w:rsidP="004D5825">
      <w:pPr>
        <w:jc w:val="both"/>
        <w:rPr>
          <w:sz w:val="22"/>
          <w:szCs w:val="22"/>
          <w:lang w:val="sr-Latn-ME" w:eastAsia="ja-JP"/>
        </w:rPr>
      </w:pPr>
    </w:p>
    <w:p w:rsidR="00496E03" w:rsidRPr="0055610F" w:rsidRDefault="00496E03" w:rsidP="004D5825">
      <w:pPr>
        <w:jc w:val="both"/>
        <w:rPr>
          <w:b/>
          <w:sz w:val="22"/>
          <w:szCs w:val="22"/>
          <w:lang w:val="sr-Latn-ME" w:eastAsia="ja-JP"/>
        </w:rPr>
      </w:pPr>
      <w:r w:rsidRPr="0055610F">
        <w:rPr>
          <w:sz w:val="22"/>
          <w:szCs w:val="22"/>
          <w:lang w:val="sr-Latn-ME" w:eastAsia="ja-JP"/>
        </w:rPr>
        <w:t>Neželjene reakcije na lijek zabilježene samo tokom postmarketinškog praćenja, i za koje učestalost nije procijenjena, navedene su u dijelu “nepoznato”</w:t>
      </w:r>
      <w:r w:rsidR="0000153E">
        <w:rPr>
          <w:sz w:val="22"/>
          <w:szCs w:val="22"/>
          <w:lang w:val="sr-Latn-ME" w:eastAsia="ja-JP"/>
        </w:rPr>
        <w:t>, vidjeti fusnote</w:t>
      </w:r>
      <w:r w:rsidRPr="0055610F">
        <w:rPr>
          <w:sz w:val="22"/>
          <w:szCs w:val="22"/>
          <w:lang w:val="sr-Latn-ME" w:eastAsia="ja-JP"/>
        </w:rPr>
        <w:t>.</w:t>
      </w:r>
    </w:p>
    <w:p w:rsidR="00496E03" w:rsidRPr="0055610F" w:rsidRDefault="00496E03" w:rsidP="004D5825">
      <w:pPr>
        <w:keepNext/>
        <w:ind w:left="1134" w:hanging="1134"/>
        <w:jc w:val="both"/>
        <w:rPr>
          <w:b/>
          <w:sz w:val="22"/>
          <w:szCs w:val="22"/>
          <w:lang w:val="sr-Latn-ME" w:eastAsia="ja-JP"/>
        </w:rPr>
      </w:pPr>
    </w:p>
    <w:p w:rsidR="00496E03" w:rsidRPr="0055610F" w:rsidRDefault="00496E03" w:rsidP="004D5825">
      <w:pPr>
        <w:keepNext/>
        <w:ind w:left="1134" w:hanging="1134"/>
        <w:jc w:val="both"/>
        <w:rPr>
          <w:sz w:val="22"/>
          <w:szCs w:val="22"/>
          <w:lang w:val="sr-Latn-ME" w:eastAsia="ja-JP"/>
        </w:rPr>
      </w:pPr>
      <w:r w:rsidRPr="0055610F">
        <w:rPr>
          <w:b/>
          <w:sz w:val="22"/>
          <w:szCs w:val="22"/>
          <w:lang w:val="sr-Latn-ME" w:eastAsia="ja-JP"/>
        </w:rPr>
        <w:t>Tabela 3</w:t>
      </w:r>
      <w:r w:rsidRPr="0055610F">
        <w:rPr>
          <w:b/>
          <w:sz w:val="22"/>
          <w:szCs w:val="22"/>
          <w:lang w:val="sr-Latn-ME" w:eastAsia="ja-JP"/>
        </w:rPr>
        <w:tab/>
        <w:t xml:space="preserve">Neželjene reakcije prijavljene u kliničkim studijama ili tokom postmerketinškog praćenja kod pacijenata sa NHL i CLL liječenih MabThera monoterapijom/terapijom održavanja ili u kombinaciji sa hemioterapijom  </w:t>
      </w:r>
    </w:p>
    <w:p w:rsidR="00496E03" w:rsidRPr="0055610F" w:rsidRDefault="00496E03" w:rsidP="004D5825">
      <w:pPr>
        <w:jc w:val="both"/>
        <w:rPr>
          <w:sz w:val="22"/>
          <w:szCs w:val="22"/>
          <w:lang w:val="sr-Latn-ME" w:eastAsia="ja-JP"/>
        </w:rPr>
      </w:pPr>
    </w:p>
    <w:tbl>
      <w:tblPr>
        <w:tblW w:w="9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422"/>
        <w:gridCol w:w="1422"/>
        <w:gridCol w:w="1422"/>
        <w:gridCol w:w="1423"/>
        <w:gridCol w:w="1423"/>
        <w:gridCol w:w="1423"/>
      </w:tblGrid>
      <w:tr w:rsidR="00496E03" w:rsidRPr="007642DC" w:rsidTr="00C57D09">
        <w:tc>
          <w:tcPr>
            <w:tcW w:w="1422" w:type="dxa"/>
            <w:shd w:val="clear" w:color="auto" w:fill="auto"/>
            <w:vAlign w:val="center"/>
          </w:tcPr>
          <w:p w:rsidR="00496E03" w:rsidRPr="0055610F" w:rsidRDefault="00496E03" w:rsidP="004D5825">
            <w:pPr>
              <w:jc w:val="both"/>
              <w:rPr>
                <w:sz w:val="22"/>
                <w:szCs w:val="22"/>
                <w:lang w:val="sr-Latn-ME" w:eastAsia="ja-JP"/>
              </w:rPr>
            </w:pPr>
            <w:r w:rsidRPr="0055610F">
              <w:rPr>
                <w:rFonts w:eastAsia="MS Mincho"/>
                <w:b/>
                <w:bCs/>
                <w:sz w:val="22"/>
                <w:szCs w:val="22"/>
                <w:lang w:val="sr-Latn-ME" w:eastAsia="zh-CN" w:bidi="th-TH"/>
              </w:rPr>
              <w:t xml:space="preserve">MedDRA Klasa sistema organa </w:t>
            </w:r>
          </w:p>
        </w:tc>
        <w:tc>
          <w:tcPr>
            <w:tcW w:w="1422" w:type="dxa"/>
            <w:shd w:val="clear" w:color="auto" w:fill="auto"/>
            <w:vAlign w:val="center"/>
          </w:tcPr>
          <w:p w:rsidR="00496E03" w:rsidRPr="0055610F" w:rsidRDefault="00B2002A" w:rsidP="004D5825">
            <w:pPr>
              <w:jc w:val="both"/>
              <w:rPr>
                <w:sz w:val="22"/>
                <w:szCs w:val="22"/>
                <w:lang w:val="sr-Latn-ME" w:eastAsia="ja-JP"/>
              </w:rPr>
            </w:pPr>
            <w:r>
              <w:rPr>
                <w:b/>
                <w:sz w:val="22"/>
                <w:szCs w:val="22"/>
                <w:lang w:val="sr-Latn-ME" w:eastAsia="ja-JP"/>
              </w:rPr>
              <w:t>Veoma često</w:t>
            </w:r>
          </w:p>
        </w:tc>
        <w:tc>
          <w:tcPr>
            <w:tcW w:w="1422" w:type="dxa"/>
            <w:shd w:val="clear" w:color="auto" w:fill="auto"/>
            <w:vAlign w:val="center"/>
          </w:tcPr>
          <w:p w:rsidR="00496E03" w:rsidRPr="0055610F" w:rsidRDefault="00496E03" w:rsidP="004D5825">
            <w:pPr>
              <w:jc w:val="both"/>
              <w:rPr>
                <w:sz w:val="22"/>
                <w:szCs w:val="22"/>
                <w:lang w:val="sr-Latn-ME" w:eastAsia="ja-JP"/>
              </w:rPr>
            </w:pPr>
            <w:r w:rsidRPr="0055610F">
              <w:rPr>
                <w:b/>
                <w:sz w:val="22"/>
                <w:szCs w:val="22"/>
                <w:lang w:val="sr-Latn-ME" w:eastAsia="ja-JP"/>
              </w:rPr>
              <w:t>Čest</w:t>
            </w:r>
            <w:r w:rsidR="00B2002A">
              <w:rPr>
                <w:b/>
                <w:sz w:val="22"/>
                <w:szCs w:val="22"/>
                <w:lang w:val="sr-Latn-ME" w:eastAsia="ja-JP"/>
              </w:rPr>
              <w:t>o</w:t>
            </w:r>
          </w:p>
        </w:tc>
        <w:tc>
          <w:tcPr>
            <w:tcW w:w="1422" w:type="dxa"/>
            <w:shd w:val="clear" w:color="auto" w:fill="auto"/>
            <w:vAlign w:val="center"/>
          </w:tcPr>
          <w:p w:rsidR="00496E03" w:rsidRPr="0055610F" w:rsidRDefault="00496E03" w:rsidP="00B2002A">
            <w:pPr>
              <w:jc w:val="both"/>
              <w:rPr>
                <w:sz w:val="22"/>
                <w:szCs w:val="22"/>
                <w:lang w:val="sr-Latn-ME" w:eastAsia="ja-JP"/>
              </w:rPr>
            </w:pPr>
            <w:r w:rsidRPr="0055610F">
              <w:rPr>
                <w:b/>
                <w:sz w:val="22"/>
                <w:szCs w:val="22"/>
                <w:lang w:val="sr-Latn-ME" w:eastAsia="ja-JP"/>
              </w:rPr>
              <w:t>Povremen</w:t>
            </w:r>
            <w:r w:rsidR="00B2002A">
              <w:rPr>
                <w:b/>
                <w:sz w:val="22"/>
                <w:szCs w:val="22"/>
                <w:lang w:val="sr-Latn-ME" w:eastAsia="ja-JP"/>
              </w:rPr>
              <w:t>o</w:t>
            </w:r>
          </w:p>
        </w:tc>
        <w:tc>
          <w:tcPr>
            <w:tcW w:w="1423" w:type="dxa"/>
            <w:shd w:val="clear" w:color="auto" w:fill="auto"/>
            <w:vAlign w:val="center"/>
          </w:tcPr>
          <w:p w:rsidR="00496E03" w:rsidRPr="0055610F" w:rsidRDefault="00496E03" w:rsidP="004D5825">
            <w:pPr>
              <w:jc w:val="both"/>
              <w:rPr>
                <w:b/>
                <w:sz w:val="22"/>
                <w:szCs w:val="22"/>
                <w:lang w:val="sr-Latn-ME" w:eastAsia="ja-JP"/>
              </w:rPr>
            </w:pPr>
            <w:r w:rsidRPr="0055610F">
              <w:rPr>
                <w:b/>
                <w:sz w:val="22"/>
                <w:szCs w:val="22"/>
                <w:lang w:val="sr-Latn-ME" w:eastAsia="ja-JP"/>
              </w:rPr>
              <w:t>Rijetko</w:t>
            </w:r>
          </w:p>
        </w:tc>
        <w:tc>
          <w:tcPr>
            <w:tcW w:w="1423" w:type="dxa"/>
            <w:shd w:val="clear" w:color="auto" w:fill="auto"/>
          </w:tcPr>
          <w:p w:rsidR="00496E03" w:rsidRPr="0055610F" w:rsidRDefault="00496E03" w:rsidP="004D5825">
            <w:pPr>
              <w:jc w:val="both"/>
              <w:rPr>
                <w:b/>
                <w:sz w:val="22"/>
                <w:szCs w:val="22"/>
                <w:lang w:val="sr-Latn-ME" w:eastAsia="ja-JP"/>
              </w:rPr>
            </w:pPr>
          </w:p>
          <w:p w:rsidR="00496E03" w:rsidRPr="0055610F" w:rsidRDefault="00496E03" w:rsidP="004D5825">
            <w:pPr>
              <w:jc w:val="both"/>
              <w:rPr>
                <w:b/>
                <w:sz w:val="22"/>
                <w:szCs w:val="22"/>
                <w:lang w:val="sr-Latn-ME" w:eastAsia="ja-JP"/>
              </w:rPr>
            </w:pPr>
            <w:r w:rsidRPr="0055610F">
              <w:rPr>
                <w:b/>
                <w:sz w:val="22"/>
                <w:szCs w:val="22"/>
                <w:lang w:val="sr-Latn-ME" w:eastAsia="ja-JP"/>
              </w:rPr>
              <w:t>V</w:t>
            </w:r>
            <w:r w:rsidR="00B2002A">
              <w:rPr>
                <w:b/>
                <w:sz w:val="22"/>
                <w:szCs w:val="22"/>
                <w:lang w:val="sr-Latn-ME" w:eastAsia="ja-JP"/>
              </w:rPr>
              <w:t>eoma</w:t>
            </w:r>
            <w:r w:rsidRPr="0055610F">
              <w:rPr>
                <w:b/>
                <w:sz w:val="22"/>
                <w:szCs w:val="22"/>
                <w:lang w:val="sr-Latn-ME" w:eastAsia="ja-JP"/>
              </w:rPr>
              <w:t xml:space="preserve"> rijetko</w:t>
            </w:r>
          </w:p>
        </w:tc>
        <w:tc>
          <w:tcPr>
            <w:tcW w:w="1423" w:type="dxa"/>
            <w:shd w:val="clear" w:color="auto" w:fill="auto"/>
          </w:tcPr>
          <w:p w:rsidR="00496E03" w:rsidRPr="0055610F" w:rsidRDefault="00496E03" w:rsidP="004D5825">
            <w:pPr>
              <w:jc w:val="both"/>
              <w:rPr>
                <w:b/>
                <w:sz w:val="22"/>
                <w:szCs w:val="22"/>
                <w:lang w:val="sr-Latn-ME" w:eastAsia="ja-JP"/>
              </w:rPr>
            </w:pPr>
          </w:p>
          <w:p w:rsidR="00496E03" w:rsidRPr="0055610F" w:rsidRDefault="00496E03" w:rsidP="004D5825">
            <w:pPr>
              <w:jc w:val="both"/>
              <w:rPr>
                <w:b/>
                <w:sz w:val="22"/>
                <w:szCs w:val="22"/>
                <w:vertAlign w:val="superscript"/>
                <w:lang w:val="sr-Latn-ME" w:eastAsia="ja-JP"/>
              </w:rPr>
            </w:pPr>
            <w:r w:rsidRPr="0055610F">
              <w:rPr>
                <w:b/>
                <w:sz w:val="22"/>
                <w:szCs w:val="22"/>
                <w:lang w:val="sr-Latn-ME" w:eastAsia="ja-JP"/>
              </w:rPr>
              <w:t>Nepoznato</w:t>
            </w:r>
          </w:p>
        </w:tc>
      </w:tr>
      <w:tr w:rsidR="00496E03" w:rsidRPr="007642DC"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t>Infekcije i infestacije</w:t>
            </w: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bakterijske infekcije</w:t>
            </w:r>
            <w:r w:rsidRPr="0055610F">
              <w:rPr>
                <w:sz w:val="22"/>
                <w:szCs w:val="22"/>
                <w:vertAlign w:val="superscript"/>
                <w:lang w:val="sr-Latn-ME" w:eastAsia="ja-JP"/>
              </w:rPr>
              <w:t xml:space="preserve"> </w:t>
            </w:r>
            <w:r w:rsidRPr="0055610F">
              <w:rPr>
                <w:sz w:val="22"/>
                <w:szCs w:val="22"/>
                <w:lang w:val="sr-Latn-ME" w:eastAsia="ja-JP"/>
              </w:rPr>
              <w:t xml:space="preserve">, virusne </w:t>
            </w:r>
            <w:r w:rsidRPr="0055610F">
              <w:rPr>
                <w:sz w:val="22"/>
                <w:szCs w:val="22"/>
                <w:lang w:val="sr-Latn-ME" w:eastAsia="ja-JP"/>
              </w:rPr>
              <w:lastRenderedPageBreak/>
              <w:t>infekcije</w:t>
            </w:r>
            <w:r w:rsidRPr="0055610F">
              <w:rPr>
                <w:sz w:val="22"/>
                <w:szCs w:val="22"/>
                <w:vertAlign w:val="superscript"/>
                <w:lang w:val="sr-Latn-ME" w:eastAsia="ja-JP"/>
              </w:rPr>
              <w:t xml:space="preserve"> </w:t>
            </w:r>
            <w:r w:rsidRPr="0055610F">
              <w:rPr>
                <w:sz w:val="22"/>
                <w:szCs w:val="22"/>
                <w:lang w:val="sr-Latn-ME" w:eastAsia="ja-JP"/>
              </w:rPr>
              <w:t xml:space="preserve">, </w:t>
            </w:r>
            <w:r w:rsidRPr="0055610F">
              <w:rPr>
                <w:sz w:val="22"/>
                <w:szCs w:val="22"/>
                <w:vertAlign w:val="superscript"/>
                <w:lang w:val="sr-Latn-ME" w:eastAsia="ja-JP"/>
              </w:rPr>
              <w:t>+</w:t>
            </w:r>
            <w:r w:rsidRPr="0055610F">
              <w:rPr>
                <w:sz w:val="22"/>
                <w:szCs w:val="22"/>
                <w:lang w:val="sr-Latn-ME" w:eastAsia="ja-JP"/>
              </w:rPr>
              <w:t xml:space="preserve">bronhitis </w:t>
            </w:r>
          </w:p>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lastRenderedPageBreak/>
              <w:t xml:space="preserve">sepsa, </w:t>
            </w:r>
            <w:r w:rsidRPr="0055610F">
              <w:rPr>
                <w:sz w:val="22"/>
                <w:szCs w:val="22"/>
                <w:vertAlign w:val="superscript"/>
                <w:lang w:val="sr-Latn-ME" w:eastAsia="ja-JP"/>
              </w:rPr>
              <w:t>+</w:t>
            </w:r>
            <w:r w:rsidRPr="0055610F">
              <w:rPr>
                <w:sz w:val="22"/>
                <w:szCs w:val="22"/>
                <w:lang w:val="sr-Latn-ME" w:eastAsia="ja-JP"/>
              </w:rPr>
              <w:t xml:space="preserve">pneumonija, </w:t>
            </w:r>
            <w:r w:rsidRPr="0055610F">
              <w:rPr>
                <w:sz w:val="22"/>
                <w:szCs w:val="22"/>
                <w:vertAlign w:val="superscript"/>
                <w:lang w:val="sr-Latn-ME" w:eastAsia="ja-JP"/>
              </w:rPr>
              <w:t>+</w:t>
            </w:r>
            <w:r w:rsidRPr="0055610F">
              <w:rPr>
                <w:sz w:val="22"/>
                <w:szCs w:val="22"/>
                <w:lang w:val="sr-Latn-ME" w:eastAsia="ja-JP"/>
              </w:rPr>
              <w:t xml:space="preserve">febrilna </w:t>
            </w:r>
            <w:r w:rsidRPr="0055610F">
              <w:rPr>
                <w:sz w:val="22"/>
                <w:szCs w:val="22"/>
                <w:lang w:val="sr-Latn-ME" w:eastAsia="ja-JP"/>
              </w:rPr>
              <w:lastRenderedPageBreak/>
              <w:t xml:space="preserve">infekcija, </w:t>
            </w:r>
            <w:r w:rsidRPr="0055610F">
              <w:rPr>
                <w:sz w:val="22"/>
                <w:szCs w:val="22"/>
                <w:vertAlign w:val="superscript"/>
                <w:lang w:val="sr-Latn-ME" w:eastAsia="ja-JP"/>
              </w:rPr>
              <w:t>+</w:t>
            </w:r>
            <w:r w:rsidRPr="0055610F">
              <w:rPr>
                <w:sz w:val="22"/>
                <w:szCs w:val="22"/>
                <w:lang w:val="sr-Latn-ME" w:eastAsia="ja-JP"/>
              </w:rPr>
              <w:t xml:space="preserve">herpes zoster, </w:t>
            </w:r>
          </w:p>
          <w:p w:rsidR="00496E03" w:rsidRPr="0055610F" w:rsidRDefault="00496E03" w:rsidP="004D5825">
            <w:pPr>
              <w:rPr>
                <w:sz w:val="22"/>
                <w:szCs w:val="22"/>
                <w:lang w:val="sr-Latn-ME" w:eastAsia="ja-JP"/>
              </w:rPr>
            </w:pPr>
            <w:r w:rsidRPr="0055610F">
              <w:rPr>
                <w:sz w:val="22"/>
                <w:szCs w:val="22"/>
                <w:vertAlign w:val="superscript"/>
                <w:lang w:val="sr-Latn-ME" w:eastAsia="ja-JP"/>
              </w:rPr>
              <w:t>+</w:t>
            </w:r>
            <w:r w:rsidRPr="0055610F">
              <w:rPr>
                <w:sz w:val="22"/>
                <w:szCs w:val="22"/>
                <w:lang w:val="sr-Latn-ME" w:eastAsia="ja-JP"/>
              </w:rPr>
              <w:t xml:space="preserve"> infekcija respiratornog trakta, </w:t>
            </w:r>
          </w:p>
          <w:p w:rsidR="00496E03" w:rsidRPr="0055610F" w:rsidRDefault="00496E03" w:rsidP="004D5825">
            <w:pPr>
              <w:rPr>
                <w:sz w:val="22"/>
                <w:szCs w:val="22"/>
                <w:lang w:val="sr-Latn-ME" w:eastAsia="ja-JP"/>
              </w:rPr>
            </w:pPr>
            <w:r w:rsidRPr="0055610F">
              <w:rPr>
                <w:sz w:val="22"/>
                <w:szCs w:val="22"/>
                <w:lang w:val="sr-Latn-ME" w:eastAsia="ja-JP"/>
              </w:rPr>
              <w:t xml:space="preserve">gljivična infekcija, infekcije nepoznate etiologije, </w:t>
            </w:r>
          </w:p>
          <w:p w:rsidR="00496E03" w:rsidRPr="0055610F" w:rsidRDefault="00496E03" w:rsidP="004D5825">
            <w:pPr>
              <w:rPr>
                <w:sz w:val="22"/>
                <w:szCs w:val="22"/>
                <w:vertAlign w:val="superscript"/>
                <w:lang w:val="sr-Latn-ME" w:eastAsia="ja-JP"/>
              </w:rPr>
            </w:pPr>
            <w:r w:rsidRPr="0055610F">
              <w:rPr>
                <w:sz w:val="22"/>
                <w:szCs w:val="22"/>
                <w:vertAlign w:val="superscript"/>
                <w:lang w:val="sr-Latn-ME" w:eastAsia="ja-JP"/>
              </w:rPr>
              <w:t>+</w:t>
            </w:r>
            <w:r w:rsidRPr="0055610F">
              <w:rPr>
                <w:sz w:val="22"/>
                <w:szCs w:val="22"/>
                <w:lang w:val="sr-Latn-ME" w:eastAsia="ja-JP"/>
              </w:rPr>
              <w:t xml:space="preserve">akutni bronhitis, </w:t>
            </w:r>
            <w:r w:rsidRPr="0055610F">
              <w:rPr>
                <w:sz w:val="22"/>
                <w:szCs w:val="22"/>
                <w:vertAlign w:val="superscript"/>
                <w:lang w:val="sr-Latn-ME" w:eastAsia="ja-JP"/>
              </w:rPr>
              <w:t>+</w:t>
            </w:r>
            <w:r w:rsidRPr="0055610F">
              <w:rPr>
                <w:sz w:val="22"/>
                <w:szCs w:val="22"/>
                <w:lang w:val="sr-Latn-ME" w:eastAsia="ja-JP"/>
              </w:rPr>
              <w:t>sinusitis</w:t>
            </w:r>
            <w:r w:rsidRPr="0055610F">
              <w:rPr>
                <w:sz w:val="22"/>
                <w:szCs w:val="22"/>
                <w:vertAlign w:val="superscript"/>
                <w:lang w:val="sr-Latn-ME" w:eastAsia="ja-JP"/>
              </w:rPr>
              <w:t xml:space="preserve"> </w:t>
            </w:r>
            <w:r w:rsidRPr="0055610F">
              <w:rPr>
                <w:sz w:val="22"/>
                <w:szCs w:val="22"/>
                <w:lang w:val="sr-Latn-ME" w:eastAsia="ja-JP"/>
              </w:rPr>
              <w:t>, hepatitis B</w:t>
            </w:r>
            <w:r w:rsidRPr="0055610F">
              <w:rPr>
                <w:sz w:val="22"/>
                <w:szCs w:val="22"/>
                <w:vertAlign w:val="superscript"/>
                <w:lang w:val="sr-Latn-ME" w:eastAsia="ja-JP"/>
              </w:rPr>
              <w:t>1</w:t>
            </w:r>
          </w:p>
        </w:tc>
        <w:tc>
          <w:tcPr>
            <w:tcW w:w="1422"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r w:rsidRPr="0055610F">
              <w:rPr>
                <w:snapToGrid w:val="0"/>
                <w:sz w:val="22"/>
                <w:szCs w:val="22"/>
                <w:lang w:val="sr-Latn-ME"/>
              </w:rPr>
              <w:t>ozbiljna virusna infekcija</w:t>
            </w:r>
            <w:r w:rsidRPr="0055610F">
              <w:rPr>
                <w:snapToGrid w:val="0"/>
                <w:sz w:val="22"/>
                <w:szCs w:val="22"/>
                <w:vertAlign w:val="superscript"/>
                <w:lang w:val="sr-Latn-ME"/>
              </w:rPr>
              <w:t>2</w:t>
            </w:r>
            <w:r w:rsidRPr="0055610F">
              <w:rPr>
                <w:snapToGrid w:val="0"/>
                <w:sz w:val="22"/>
                <w:szCs w:val="22"/>
                <w:lang w:val="sr-Latn-ME"/>
              </w:rPr>
              <w:t xml:space="preserve">, </w:t>
            </w:r>
            <w:r w:rsidRPr="0055610F">
              <w:rPr>
                <w:i/>
                <w:snapToGrid w:val="0"/>
                <w:sz w:val="22"/>
                <w:szCs w:val="22"/>
                <w:lang w:val="sr-Latn-ME"/>
              </w:rPr>
              <w:lastRenderedPageBreak/>
              <w:t>Pneumocystis jirovecii</w:t>
            </w:r>
          </w:p>
        </w:tc>
        <w:tc>
          <w:tcPr>
            <w:tcW w:w="1423"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lastRenderedPageBreak/>
              <w:t>P</w:t>
            </w:r>
            <w:r w:rsidR="007642DC">
              <w:rPr>
                <w:sz w:val="22"/>
                <w:szCs w:val="22"/>
                <w:lang w:val="sr-Latn-ME" w:eastAsia="ja-JP"/>
              </w:rPr>
              <w:t>ML</w:t>
            </w:r>
          </w:p>
        </w:tc>
        <w:tc>
          <w:tcPr>
            <w:tcW w:w="1423" w:type="dxa"/>
            <w:shd w:val="clear" w:color="auto" w:fill="auto"/>
          </w:tcPr>
          <w:p w:rsidR="00496E03" w:rsidRPr="0055610F" w:rsidRDefault="00073369" w:rsidP="004D5825">
            <w:pPr>
              <w:rPr>
                <w:sz w:val="22"/>
                <w:szCs w:val="22"/>
                <w:lang w:val="sr-Latn-ME" w:eastAsia="ja-JP"/>
              </w:rPr>
            </w:pPr>
            <w:r w:rsidRPr="004E3C19">
              <w:rPr>
                <w:sz w:val="22"/>
              </w:rPr>
              <w:t>enterovirusni meningoencefalitis</w:t>
            </w:r>
            <w:r w:rsidRPr="004E3C19">
              <w:rPr>
                <w:sz w:val="22"/>
                <w:vertAlign w:val="superscript"/>
              </w:rPr>
              <w:t>2, 3</w:t>
            </w:r>
          </w:p>
        </w:tc>
      </w:tr>
      <w:tr w:rsidR="00496E03" w:rsidRPr="007642DC"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t xml:space="preserve">Poremećaji krvi i limfnog sistema </w:t>
            </w: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 xml:space="preserve">neutropenija, leukopenija, </w:t>
            </w:r>
            <w:r w:rsidRPr="0055610F">
              <w:rPr>
                <w:sz w:val="22"/>
                <w:szCs w:val="22"/>
                <w:vertAlign w:val="superscript"/>
                <w:lang w:val="sr-Latn-ME" w:eastAsia="ja-JP"/>
              </w:rPr>
              <w:t>+</w:t>
            </w:r>
            <w:r w:rsidRPr="0055610F">
              <w:rPr>
                <w:sz w:val="22"/>
                <w:szCs w:val="22"/>
                <w:lang w:val="sr-Latn-ME" w:eastAsia="ja-JP"/>
              </w:rPr>
              <w:t xml:space="preserve">febrilna neutropenija, </w:t>
            </w:r>
            <w:r w:rsidRPr="0055610F">
              <w:rPr>
                <w:sz w:val="22"/>
                <w:szCs w:val="22"/>
                <w:vertAlign w:val="superscript"/>
                <w:lang w:val="sr-Latn-ME" w:eastAsia="ja-JP"/>
              </w:rPr>
              <w:t>+</w:t>
            </w:r>
            <w:r w:rsidRPr="0055610F">
              <w:rPr>
                <w:sz w:val="22"/>
                <w:szCs w:val="22"/>
                <w:lang w:val="sr-Latn-ME" w:eastAsia="ja-JP"/>
              </w:rPr>
              <w:t>trombocitopenija</w:t>
            </w:r>
          </w:p>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anemija, ,</w:t>
            </w:r>
          </w:p>
          <w:p w:rsidR="00496E03" w:rsidRPr="0055610F" w:rsidRDefault="00496E03" w:rsidP="004D5825">
            <w:pPr>
              <w:rPr>
                <w:sz w:val="22"/>
                <w:szCs w:val="22"/>
                <w:lang w:val="sr-Latn-ME" w:eastAsia="ja-JP"/>
              </w:rPr>
            </w:pPr>
            <w:r w:rsidRPr="0055610F">
              <w:rPr>
                <w:sz w:val="22"/>
                <w:szCs w:val="22"/>
                <w:vertAlign w:val="superscript"/>
                <w:lang w:val="sr-Latn-ME" w:eastAsia="ja-JP"/>
              </w:rPr>
              <w:t>+</w:t>
            </w:r>
            <w:r w:rsidRPr="0055610F">
              <w:rPr>
                <w:sz w:val="22"/>
                <w:szCs w:val="22"/>
                <w:lang w:val="sr-Latn-ME" w:eastAsia="ja-JP"/>
              </w:rPr>
              <w:t xml:space="preserve">pancitopenija, </w:t>
            </w:r>
            <w:r w:rsidRPr="0055610F">
              <w:rPr>
                <w:sz w:val="22"/>
                <w:szCs w:val="22"/>
                <w:vertAlign w:val="superscript"/>
                <w:lang w:val="sr-Latn-ME" w:eastAsia="ja-JP"/>
              </w:rPr>
              <w:t>+</w:t>
            </w:r>
            <w:r w:rsidRPr="0055610F">
              <w:rPr>
                <w:sz w:val="22"/>
                <w:szCs w:val="22"/>
                <w:lang w:val="sr-Latn-ME"/>
              </w:rPr>
              <w:t xml:space="preserve"> </w:t>
            </w:r>
            <w:r w:rsidRPr="0055610F">
              <w:rPr>
                <w:sz w:val="22"/>
                <w:szCs w:val="22"/>
                <w:lang w:val="sr-Latn-ME" w:eastAsia="ja-JP"/>
              </w:rPr>
              <w:t>granulocitopenija</w:t>
            </w: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poremećaji koagulacije, aplastična anemija,  hemolitička anemija, limfadenopatija</w:t>
            </w:r>
          </w:p>
        </w:tc>
        <w:tc>
          <w:tcPr>
            <w:tcW w:w="1423" w:type="dxa"/>
            <w:shd w:val="clear" w:color="auto" w:fill="auto"/>
          </w:tcPr>
          <w:p w:rsidR="00496E03" w:rsidRPr="0055610F" w:rsidRDefault="00496E03" w:rsidP="004D5825">
            <w:pPr>
              <w:rPr>
                <w:snapToGrid w:val="0"/>
                <w:sz w:val="22"/>
                <w:szCs w:val="22"/>
                <w:lang w:val="sr-Latn-ME"/>
              </w:rPr>
            </w:pPr>
          </w:p>
        </w:tc>
        <w:tc>
          <w:tcPr>
            <w:tcW w:w="1423" w:type="dxa"/>
            <w:shd w:val="clear" w:color="auto" w:fill="auto"/>
          </w:tcPr>
          <w:p w:rsidR="00496E03" w:rsidRPr="0055610F" w:rsidRDefault="00496E03" w:rsidP="004D5825">
            <w:pPr>
              <w:rPr>
                <w:sz w:val="22"/>
                <w:szCs w:val="22"/>
                <w:lang w:val="sr-Latn-ME" w:eastAsia="ja-JP"/>
              </w:rPr>
            </w:pPr>
            <w:r w:rsidRPr="0055610F">
              <w:rPr>
                <w:rFonts w:eastAsia="Arial Unicode MS"/>
                <w:sz w:val="22"/>
                <w:szCs w:val="22"/>
                <w:lang w:val="sr-Latn-ME" w:eastAsia="ja-JP"/>
              </w:rPr>
              <w:t>prolazno povećanje nivoa serumskog IgM</w:t>
            </w:r>
            <w:r w:rsidR="00C57D09">
              <w:rPr>
                <w:snapToGrid w:val="0"/>
                <w:sz w:val="22"/>
                <w:szCs w:val="22"/>
                <w:vertAlign w:val="superscript"/>
                <w:lang w:val="sr-Latn-ME"/>
              </w:rPr>
              <w:t>4</w:t>
            </w:r>
          </w:p>
        </w:tc>
        <w:tc>
          <w:tcPr>
            <w:tcW w:w="1423" w:type="dxa"/>
            <w:shd w:val="clear" w:color="auto" w:fill="auto"/>
          </w:tcPr>
          <w:p w:rsidR="00496E03" w:rsidRPr="0055610F" w:rsidRDefault="00496E03" w:rsidP="004D5825">
            <w:pPr>
              <w:rPr>
                <w:sz w:val="22"/>
                <w:szCs w:val="22"/>
                <w:lang w:val="sr-Latn-ME" w:eastAsia="ja-JP"/>
              </w:rPr>
            </w:pPr>
            <w:r w:rsidRPr="0055610F">
              <w:rPr>
                <w:snapToGrid w:val="0"/>
                <w:sz w:val="22"/>
                <w:szCs w:val="22"/>
                <w:lang w:val="sr-Latn-ME"/>
              </w:rPr>
              <w:t>kasna neutropenija</w:t>
            </w:r>
            <w:r w:rsidR="00C57D09">
              <w:rPr>
                <w:snapToGrid w:val="0"/>
                <w:sz w:val="22"/>
                <w:szCs w:val="22"/>
                <w:vertAlign w:val="superscript"/>
                <w:lang w:val="sr-Latn-ME"/>
              </w:rPr>
              <w:t>4</w:t>
            </w:r>
          </w:p>
        </w:tc>
      </w:tr>
      <w:tr w:rsidR="00496E03" w:rsidRPr="00FB34CE" w:rsidTr="00C57D09">
        <w:tc>
          <w:tcPr>
            <w:tcW w:w="1422" w:type="dxa"/>
            <w:shd w:val="clear" w:color="auto" w:fill="auto"/>
          </w:tcPr>
          <w:p w:rsidR="00496E03" w:rsidRPr="0055610F" w:rsidRDefault="00680E9F" w:rsidP="004D5825">
            <w:pPr>
              <w:rPr>
                <w:sz w:val="22"/>
                <w:szCs w:val="22"/>
                <w:lang w:val="sr-Latn-ME" w:eastAsia="ja-JP"/>
              </w:rPr>
            </w:pPr>
            <w:r>
              <w:rPr>
                <w:b/>
                <w:sz w:val="22"/>
                <w:szCs w:val="22"/>
                <w:lang w:val="sr-Latn-ME" w:eastAsia="ja-JP"/>
              </w:rPr>
              <w:t>Poremećaji i</w:t>
            </w:r>
            <w:r w:rsidR="00496E03" w:rsidRPr="0055610F">
              <w:rPr>
                <w:b/>
                <w:sz w:val="22"/>
                <w:szCs w:val="22"/>
                <w:lang w:val="sr-Latn-ME" w:eastAsia="ja-JP"/>
              </w:rPr>
              <w:t>munog sistema</w:t>
            </w:r>
          </w:p>
        </w:tc>
        <w:tc>
          <w:tcPr>
            <w:tcW w:w="1422" w:type="dxa"/>
            <w:shd w:val="clear" w:color="auto" w:fill="auto"/>
          </w:tcPr>
          <w:p w:rsidR="00496E03" w:rsidRPr="0055610F" w:rsidRDefault="00496E03" w:rsidP="004D5825">
            <w:pPr>
              <w:rPr>
                <w:sz w:val="22"/>
                <w:szCs w:val="22"/>
                <w:lang w:val="sr-Latn-ME" w:eastAsia="ja-JP"/>
              </w:rPr>
            </w:pPr>
            <w:r w:rsidRPr="0055610F">
              <w:rPr>
                <w:snapToGrid w:val="0"/>
                <w:sz w:val="22"/>
                <w:szCs w:val="22"/>
                <w:lang w:val="sr-Latn-ME"/>
              </w:rPr>
              <w:t>reakcije na infuziju</w:t>
            </w:r>
            <w:r w:rsidR="00C57D09" w:rsidRPr="004B5023">
              <w:rPr>
                <w:snapToGrid w:val="0"/>
                <w:sz w:val="22"/>
                <w:szCs w:val="22"/>
                <w:vertAlign w:val="superscript"/>
                <w:lang w:val="sr-Latn-ME"/>
              </w:rPr>
              <w:t>5</w:t>
            </w:r>
            <w:r w:rsidRPr="0055610F">
              <w:rPr>
                <w:snapToGrid w:val="0"/>
                <w:sz w:val="22"/>
                <w:szCs w:val="22"/>
                <w:lang w:val="sr-Latn-ME"/>
              </w:rPr>
              <w:t>,</w:t>
            </w:r>
          </w:p>
          <w:p w:rsidR="00496E03" w:rsidRPr="0055610F" w:rsidRDefault="00496E03" w:rsidP="004D5825">
            <w:pPr>
              <w:rPr>
                <w:sz w:val="22"/>
                <w:szCs w:val="22"/>
                <w:lang w:val="sr-Latn-ME" w:eastAsia="ja-JP"/>
              </w:rPr>
            </w:pPr>
            <w:r w:rsidRPr="0055610F">
              <w:rPr>
                <w:sz w:val="22"/>
                <w:szCs w:val="22"/>
                <w:lang w:val="sr-Latn-ME" w:eastAsia="ja-JP"/>
              </w:rPr>
              <w:t>angioedem</w:t>
            </w:r>
            <w:r w:rsidRPr="0055610F">
              <w:rPr>
                <w:sz w:val="22"/>
                <w:szCs w:val="22"/>
                <w:vertAlign w:val="superscript"/>
                <w:lang w:val="sr-Latn-ME" w:eastAsia="ja-JP"/>
              </w:rPr>
              <w:t xml:space="preserve"> </w:t>
            </w: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hiperosjetljivost</w:t>
            </w:r>
          </w:p>
        </w:tc>
        <w:tc>
          <w:tcPr>
            <w:tcW w:w="1422"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r w:rsidRPr="0055610F">
              <w:rPr>
                <w:snapToGrid w:val="0"/>
                <w:sz w:val="22"/>
                <w:szCs w:val="22"/>
                <w:lang w:val="sr-Latn-ME"/>
              </w:rPr>
              <w:t>anafilaksa</w:t>
            </w:r>
          </w:p>
        </w:tc>
        <w:tc>
          <w:tcPr>
            <w:tcW w:w="1423" w:type="dxa"/>
            <w:shd w:val="clear" w:color="auto" w:fill="auto"/>
          </w:tcPr>
          <w:p w:rsidR="00496E03" w:rsidRPr="0055610F" w:rsidRDefault="00496E03" w:rsidP="004D5825">
            <w:pPr>
              <w:rPr>
                <w:snapToGrid w:val="0"/>
                <w:sz w:val="22"/>
                <w:szCs w:val="22"/>
                <w:lang w:val="sr-Latn-ME"/>
              </w:rPr>
            </w:pPr>
            <w:r w:rsidRPr="0055610F">
              <w:rPr>
                <w:snapToGrid w:val="0"/>
                <w:sz w:val="22"/>
                <w:szCs w:val="22"/>
                <w:lang w:val="sr-Latn-ME"/>
              </w:rPr>
              <w:t xml:space="preserve">sindrom lize tumora, </w:t>
            </w:r>
          </w:p>
          <w:p w:rsidR="00496E03" w:rsidRPr="0055610F" w:rsidRDefault="00496E03" w:rsidP="00C57D09">
            <w:pPr>
              <w:rPr>
                <w:sz w:val="22"/>
                <w:szCs w:val="22"/>
                <w:lang w:val="sr-Latn-ME" w:eastAsia="ja-JP"/>
              </w:rPr>
            </w:pPr>
            <w:r w:rsidRPr="0055610F">
              <w:rPr>
                <w:snapToGrid w:val="0"/>
                <w:sz w:val="22"/>
                <w:szCs w:val="22"/>
                <w:lang w:val="sr-Latn-ME"/>
              </w:rPr>
              <w:t>sindrom oslobađanja citokina</w:t>
            </w:r>
            <w:r w:rsidR="00C57D09">
              <w:rPr>
                <w:snapToGrid w:val="0"/>
                <w:sz w:val="22"/>
                <w:szCs w:val="22"/>
                <w:vertAlign w:val="superscript"/>
                <w:lang w:val="sr-Latn-ME"/>
              </w:rPr>
              <w:t>5</w:t>
            </w:r>
            <w:r w:rsidRPr="0055610F">
              <w:rPr>
                <w:snapToGrid w:val="0"/>
                <w:sz w:val="22"/>
                <w:szCs w:val="22"/>
                <w:lang w:val="sr-Latn-ME"/>
              </w:rPr>
              <w:t>, serumska bolest,</w:t>
            </w:r>
          </w:p>
        </w:tc>
        <w:tc>
          <w:tcPr>
            <w:tcW w:w="1423" w:type="dxa"/>
            <w:shd w:val="clear" w:color="auto" w:fill="auto"/>
          </w:tcPr>
          <w:p w:rsidR="00496E03" w:rsidRPr="0055610F" w:rsidRDefault="00496E03" w:rsidP="00C57D09">
            <w:pPr>
              <w:rPr>
                <w:sz w:val="22"/>
                <w:szCs w:val="22"/>
                <w:vertAlign w:val="superscript"/>
                <w:lang w:val="sr-Latn-ME" w:eastAsia="ja-JP"/>
              </w:rPr>
            </w:pPr>
            <w:r w:rsidRPr="0055610F">
              <w:rPr>
                <w:snapToGrid w:val="0"/>
                <w:sz w:val="22"/>
                <w:szCs w:val="22"/>
                <w:lang w:val="sr-Latn-ME"/>
              </w:rPr>
              <w:t>akutna reverzibilna trombocitopenija povezana sa infuzijom</w:t>
            </w:r>
            <w:r w:rsidR="00C57D09">
              <w:rPr>
                <w:snapToGrid w:val="0"/>
                <w:sz w:val="22"/>
                <w:szCs w:val="22"/>
                <w:vertAlign w:val="superscript"/>
                <w:lang w:val="sr-Latn-ME"/>
              </w:rPr>
              <w:t>5</w:t>
            </w:r>
          </w:p>
        </w:tc>
      </w:tr>
      <w:tr w:rsidR="00496E03" w:rsidRPr="00FB34CE"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t xml:space="preserve">Poremećaji metabolizma i nutricije </w:t>
            </w:r>
          </w:p>
        </w:tc>
        <w:tc>
          <w:tcPr>
            <w:tcW w:w="1422" w:type="dxa"/>
            <w:shd w:val="clear" w:color="auto" w:fill="auto"/>
          </w:tcPr>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hiperglikemija, smanjenje tjelesne težine, periferni edem, edem lica, povećanje LDH, hipokalcemija</w:t>
            </w:r>
          </w:p>
        </w:tc>
        <w:tc>
          <w:tcPr>
            <w:tcW w:w="1422"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r>
      <w:tr w:rsidR="00496E03" w:rsidRPr="007642DC"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t>Psihijatrijski poremećaji</w:t>
            </w:r>
          </w:p>
        </w:tc>
        <w:tc>
          <w:tcPr>
            <w:tcW w:w="1422" w:type="dxa"/>
            <w:shd w:val="clear" w:color="auto" w:fill="auto"/>
          </w:tcPr>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depresija, nervoza</w:t>
            </w: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r>
      <w:tr w:rsidR="00496E03" w:rsidRPr="00FB34CE"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t>Poremećaji nervnog sistema</w:t>
            </w:r>
          </w:p>
        </w:tc>
        <w:tc>
          <w:tcPr>
            <w:tcW w:w="1422" w:type="dxa"/>
            <w:shd w:val="clear" w:color="auto" w:fill="auto"/>
          </w:tcPr>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 xml:space="preserve">parestezija, hipoestezija, agitacija, nesanica, vazodilatacija, vrtoglavica, anksioznost </w:t>
            </w: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disgeuzija</w:t>
            </w: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napToGrid w:val="0"/>
                <w:sz w:val="22"/>
                <w:szCs w:val="22"/>
                <w:lang w:val="sr-Latn-ME"/>
              </w:rPr>
            </w:pPr>
            <w:r w:rsidRPr="0055610F">
              <w:rPr>
                <w:snapToGrid w:val="0"/>
                <w:sz w:val="22"/>
                <w:szCs w:val="22"/>
                <w:lang w:val="sr-Latn-ME"/>
              </w:rPr>
              <w:t>periferna neuropatija, paraliza facijalisa</w:t>
            </w:r>
            <w:r w:rsidR="00C57D09">
              <w:rPr>
                <w:snapToGrid w:val="0"/>
                <w:sz w:val="22"/>
                <w:szCs w:val="22"/>
                <w:vertAlign w:val="superscript"/>
                <w:lang w:val="sr-Latn-ME"/>
              </w:rPr>
              <w:t>6</w:t>
            </w:r>
            <w:r w:rsidRPr="0055610F">
              <w:rPr>
                <w:snapToGrid w:val="0"/>
                <w:sz w:val="22"/>
                <w:szCs w:val="22"/>
                <w:lang w:val="sr-Latn-ME"/>
              </w:rPr>
              <w:t>,</w:t>
            </w:r>
          </w:p>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napToGrid w:val="0"/>
                <w:sz w:val="22"/>
                <w:szCs w:val="22"/>
                <w:lang w:val="sr-Latn-ME"/>
              </w:rPr>
            </w:pPr>
            <w:r w:rsidRPr="0055610F">
              <w:rPr>
                <w:snapToGrid w:val="0"/>
                <w:sz w:val="22"/>
                <w:szCs w:val="22"/>
                <w:lang w:val="sr-Latn-ME"/>
              </w:rPr>
              <w:t>kranijalna neuropatija,</w:t>
            </w:r>
          </w:p>
          <w:p w:rsidR="00496E03" w:rsidRPr="0055610F" w:rsidRDefault="00496E03" w:rsidP="00C57D09">
            <w:pPr>
              <w:rPr>
                <w:sz w:val="22"/>
                <w:szCs w:val="22"/>
                <w:lang w:val="sr-Latn-ME" w:eastAsia="ja-JP"/>
              </w:rPr>
            </w:pPr>
            <w:r w:rsidRPr="0055610F">
              <w:rPr>
                <w:snapToGrid w:val="0"/>
                <w:sz w:val="22"/>
                <w:szCs w:val="22"/>
                <w:lang w:val="sr-Latn-ME"/>
              </w:rPr>
              <w:t>gubitak drugih čula</w:t>
            </w:r>
            <w:r w:rsidR="00C57D09">
              <w:rPr>
                <w:snapToGrid w:val="0"/>
                <w:sz w:val="22"/>
                <w:szCs w:val="22"/>
                <w:vertAlign w:val="superscript"/>
                <w:lang w:val="sr-Latn-ME"/>
              </w:rPr>
              <w:t>6</w:t>
            </w:r>
          </w:p>
        </w:tc>
      </w:tr>
      <w:tr w:rsidR="00496E03" w:rsidRPr="007642DC"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t>Poremećaji oka</w:t>
            </w:r>
          </w:p>
        </w:tc>
        <w:tc>
          <w:tcPr>
            <w:tcW w:w="1422" w:type="dxa"/>
            <w:shd w:val="clear" w:color="auto" w:fill="auto"/>
          </w:tcPr>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poremećaji suzenja, konjunktivitis</w:t>
            </w:r>
          </w:p>
        </w:tc>
        <w:tc>
          <w:tcPr>
            <w:tcW w:w="1422"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C57D09">
            <w:pPr>
              <w:rPr>
                <w:sz w:val="22"/>
                <w:szCs w:val="22"/>
                <w:lang w:val="sr-Latn-ME" w:eastAsia="ja-JP"/>
              </w:rPr>
            </w:pPr>
            <w:r w:rsidRPr="0055610F">
              <w:rPr>
                <w:snapToGrid w:val="0"/>
                <w:sz w:val="22"/>
                <w:szCs w:val="22"/>
                <w:lang w:val="sr-Latn-ME"/>
              </w:rPr>
              <w:t xml:space="preserve">ozbiljan </w:t>
            </w:r>
            <w:r w:rsidR="00680E9F">
              <w:rPr>
                <w:snapToGrid w:val="0"/>
                <w:sz w:val="22"/>
                <w:szCs w:val="22"/>
                <w:lang w:val="sr-Latn-ME"/>
              </w:rPr>
              <w:t>gu</w:t>
            </w:r>
            <w:r w:rsidRPr="0055610F">
              <w:rPr>
                <w:snapToGrid w:val="0"/>
                <w:sz w:val="22"/>
                <w:szCs w:val="22"/>
                <w:lang w:val="sr-Latn-ME"/>
              </w:rPr>
              <w:t>bitak vida</w:t>
            </w:r>
            <w:r w:rsidR="00C57D09">
              <w:rPr>
                <w:snapToGrid w:val="0"/>
                <w:sz w:val="22"/>
                <w:szCs w:val="22"/>
                <w:vertAlign w:val="superscript"/>
                <w:lang w:val="sr-Latn-ME"/>
              </w:rPr>
              <w:t>6</w:t>
            </w:r>
          </w:p>
        </w:tc>
        <w:tc>
          <w:tcPr>
            <w:tcW w:w="1423" w:type="dxa"/>
            <w:shd w:val="clear" w:color="auto" w:fill="auto"/>
          </w:tcPr>
          <w:p w:rsidR="00496E03" w:rsidRPr="0055610F" w:rsidRDefault="00496E03" w:rsidP="004D5825">
            <w:pPr>
              <w:rPr>
                <w:sz w:val="22"/>
                <w:szCs w:val="22"/>
                <w:lang w:val="sr-Latn-ME" w:eastAsia="ja-JP"/>
              </w:rPr>
            </w:pPr>
          </w:p>
        </w:tc>
      </w:tr>
      <w:tr w:rsidR="00496E03" w:rsidRPr="007642DC"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lastRenderedPageBreak/>
              <w:t>Poremećaji uha i lavirinta</w:t>
            </w:r>
          </w:p>
        </w:tc>
        <w:tc>
          <w:tcPr>
            <w:tcW w:w="1422" w:type="dxa"/>
            <w:shd w:val="clear" w:color="auto" w:fill="auto"/>
          </w:tcPr>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 xml:space="preserve">tinitus, bol u uhu </w:t>
            </w:r>
          </w:p>
        </w:tc>
        <w:tc>
          <w:tcPr>
            <w:tcW w:w="1422"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C57D09">
            <w:pPr>
              <w:rPr>
                <w:sz w:val="22"/>
                <w:szCs w:val="22"/>
                <w:lang w:val="sr-Latn-ME" w:eastAsia="ja-JP"/>
              </w:rPr>
            </w:pPr>
            <w:r w:rsidRPr="0055610F">
              <w:rPr>
                <w:snapToGrid w:val="0"/>
                <w:sz w:val="22"/>
                <w:szCs w:val="22"/>
                <w:lang w:val="sr-Latn-ME"/>
              </w:rPr>
              <w:t>gubitak sluha</w:t>
            </w:r>
            <w:r w:rsidR="00C57D09">
              <w:rPr>
                <w:snapToGrid w:val="0"/>
                <w:sz w:val="22"/>
                <w:szCs w:val="22"/>
                <w:vertAlign w:val="superscript"/>
                <w:lang w:val="sr-Latn-ME"/>
              </w:rPr>
              <w:t>6</w:t>
            </w:r>
          </w:p>
        </w:tc>
      </w:tr>
      <w:tr w:rsidR="00496E03" w:rsidRPr="007642DC"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t>Kardiološki poremećaji</w:t>
            </w:r>
          </w:p>
        </w:tc>
        <w:tc>
          <w:tcPr>
            <w:tcW w:w="1422" w:type="dxa"/>
            <w:shd w:val="clear" w:color="auto" w:fill="auto"/>
          </w:tcPr>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C57D09">
            <w:pPr>
              <w:rPr>
                <w:sz w:val="22"/>
                <w:szCs w:val="22"/>
                <w:lang w:val="sr-Latn-ME" w:eastAsia="ja-JP"/>
              </w:rPr>
            </w:pPr>
            <w:r w:rsidRPr="0055610F">
              <w:rPr>
                <w:sz w:val="22"/>
                <w:szCs w:val="22"/>
                <w:vertAlign w:val="superscript"/>
                <w:lang w:val="sr-Latn-ME" w:eastAsia="ja-JP"/>
              </w:rPr>
              <w:t>+</w:t>
            </w:r>
            <w:r w:rsidRPr="0055610F">
              <w:rPr>
                <w:sz w:val="22"/>
                <w:szCs w:val="22"/>
                <w:lang w:val="sr-Latn-ME" w:eastAsia="ja-JP"/>
              </w:rPr>
              <w:t>infarkt miokarda</w:t>
            </w:r>
            <w:r w:rsidR="00C57D09">
              <w:rPr>
                <w:snapToGrid w:val="0"/>
                <w:sz w:val="22"/>
                <w:szCs w:val="22"/>
                <w:vertAlign w:val="superscript"/>
                <w:lang w:val="sr-Latn-ME"/>
              </w:rPr>
              <w:t>5</w:t>
            </w:r>
            <w:r w:rsidRPr="0055610F">
              <w:rPr>
                <w:snapToGrid w:val="0"/>
                <w:sz w:val="22"/>
                <w:szCs w:val="22"/>
                <w:vertAlign w:val="superscript"/>
                <w:lang w:val="sr-Latn-ME"/>
              </w:rPr>
              <w:t xml:space="preserve"> </w:t>
            </w:r>
            <w:r w:rsidRPr="0055610F">
              <w:rPr>
                <w:sz w:val="22"/>
                <w:szCs w:val="22"/>
                <w:vertAlign w:val="superscript"/>
                <w:lang w:val="sr-Latn-ME" w:eastAsia="ja-JP"/>
              </w:rPr>
              <w:t xml:space="preserve">i </w:t>
            </w:r>
            <w:r w:rsidR="00C57D09">
              <w:rPr>
                <w:sz w:val="22"/>
                <w:szCs w:val="22"/>
                <w:vertAlign w:val="superscript"/>
                <w:lang w:val="sr-Latn-ME" w:eastAsia="ja-JP"/>
              </w:rPr>
              <w:t>7</w:t>
            </w:r>
            <w:r w:rsidRPr="0055610F">
              <w:rPr>
                <w:sz w:val="22"/>
                <w:szCs w:val="22"/>
                <w:lang w:val="sr-Latn-ME" w:eastAsia="ja-JP"/>
              </w:rPr>
              <w:t xml:space="preserve">, aritmija, </w:t>
            </w:r>
            <w:r w:rsidRPr="0055610F">
              <w:rPr>
                <w:sz w:val="22"/>
                <w:szCs w:val="22"/>
                <w:vertAlign w:val="superscript"/>
                <w:lang w:val="sr-Latn-ME" w:eastAsia="ja-JP"/>
              </w:rPr>
              <w:t>+</w:t>
            </w:r>
            <w:r w:rsidRPr="0055610F">
              <w:rPr>
                <w:sz w:val="22"/>
                <w:szCs w:val="22"/>
                <w:lang w:val="sr-Latn-ME" w:eastAsia="ja-JP"/>
              </w:rPr>
              <w:t xml:space="preserve">atrijalna fibrilacija, tahikardija, </w:t>
            </w:r>
            <w:r w:rsidRPr="0055610F">
              <w:rPr>
                <w:sz w:val="22"/>
                <w:szCs w:val="22"/>
                <w:vertAlign w:val="superscript"/>
                <w:lang w:val="sr-Latn-ME" w:eastAsia="ja-JP"/>
              </w:rPr>
              <w:t>+</w:t>
            </w:r>
            <w:r w:rsidRPr="0055610F">
              <w:rPr>
                <w:sz w:val="22"/>
                <w:szCs w:val="22"/>
                <w:lang w:val="sr-Latn-ME" w:eastAsia="ja-JP"/>
              </w:rPr>
              <w:t>srčani poremećaji</w:t>
            </w: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vertAlign w:val="superscript"/>
                <w:lang w:val="sr-Latn-ME" w:eastAsia="ja-JP"/>
              </w:rPr>
              <w:t>+</w:t>
            </w:r>
            <w:r w:rsidRPr="0055610F">
              <w:rPr>
                <w:sz w:val="22"/>
                <w:szCs w:val="22"/>
                <w:lang w:val="sr-Latn-ME" w:eastAsia="ja-JP"/>
              </w:rPr>
              <w:t xml:space="preserve">insuficijencija lijeve komore, </w:t>
            </w:r>
            <w:r w:rsidRPr="0055610F">
              <w:rPr>
                <w:sz w:val="22"/>
                <w:szCs w:val="22"/>
                <w:vertAlign w:val="superscript"/>
                <w:lang w:val="sr-Latn-ME" w:eastAsia="ja-JP"/>
              </w:rPr>
              <w:t>+</w:t>
            </w:r>
            <w:r w:rsidRPr="0055610F">
              <w:rPr>
                <w:sz w:val="22"/>
                <w:szCs w:val="22"/>
                <w:lang w:val="sr-Latn-ME" w:eastAsia="ja-JP"/>
              </w:rPr>
              <w:t xml:space="preserve">supraventrikularna tahikardija,  </w:t>
            </w:r>
            <w:r w:rsidRPr="0055610F">
              <w:rPr>
                <w:sz w:val="22"/>
                <w:szCs w:val="22"/>
                <w:vertAlign w:val="superscript"/>
                <w:lang w:val="sr-Latn-ME" w:eastAsia="ja-JP"/>
              </w:rPr>
              <w:t>+</w:t>
            </w:r>
            <w:r w:rsidRPr="0055610F">
              <w:rPr>
                <w:sz w:val="22"/>
                <w:szCs w:val="22"/>
                <w:lang w:val="sr-Latn-ME" w:eastAsia="ja-JP"/>
              </w:rPr>
              <w:t xml:space="preserve">ventrikularna tahikardija,  </w:t>
            </w:r>
            <w:r w:rsidRPr="0055610F">
              <w:rPr>
                <w:sz w:val="22"/>
                <w:szCs w:val="22"/>
                <w:vertAlign w:val="superscript"/>
                <w:lang w:val="sr-Latn-ME" w:eastAsia="ja-JP"/>
              </w:rPr>
              <w:t>+</w:t>
            </w:r>
            <w:r w:rsidRPr="0055610F">
              <w:rPr>
                <w:sz w:val="22"/>
                <w:szCs w:val="22"/>
                <w:lang w:val="sr-Latn-ME" w:eastAsia="ja-JP"/>
              </w:rPr>
              <w:t xml:space="preserve">angina,  </w:t>
            </w:r>
            <w:r w:rsidRPr="0055610F">
              <w:rPr>
                <w:sz w:val="22"/>
                <w:szCs w:val="22"/>
                <w:vertAlign w:val="superscript"/>
                <w:lang w:val="sr-Latn-ME" w:eastAsia="ja-JP"/>
              </w:rPr>
              <w:t>+</w:t>
            </w:r>
            <w:r w:rsidRPr="0055610F">
              <w:rPr>
                <w:sz w:val="22"/>
                <w:szCs w:val="22"/>
                <w:lang w:val="sr-Latn-ME" w:eastAsia="ja-JP"/>
              </w:rPr>
              <w:t>ishemija miokarda, bradikardija</w:t>
            </w:r>
          </w:p>
        </w:tc>
        <w:tc>
          <w:tcPr>
            <w:tcW w:w="1423" w:type="dxa"/>
            <w:shd w:val="clear" w:color="auto" w:fill="auto"/>
          </w:tcPr>
          <w:p w:rsidR="00496E03" w:rsidRPr="0055610F" w:rsidRDefault="00496E03" w:rsidP="00C57D09">
            <w:pPr>
              <w:rPr>
                <w:sz w:val="22"/>
                <w:szCs w:val="22"/>
                <w:vertAlign w:val="superscript"/>
                <w:lang w:val="sr-Latn-ME" w:eastAsia="ja-JP"/>
              </w:rPr>
            </w:pPr>
            <w:r w:rsidRPr="0055610F">
              <w:rPr>
                <w:sz w:val="22"/>
                <w:szCs w:val="22"/>
                <w:lang w:val="sr-Latn-ME" w:eastAsia="ja-JP"/>
              </w:rPr>
              <w:t xml:space="preserve">ozbiljni kardiološki poremećaji </w:t>
            </w:r>
            <w:r w:rsidR="00C57D09">
              <w:rPr>
                <w:snapToGrid w:val="0"/>
                <w:sz w:val="22"/>
                <w:szCs w:val="22"/>
                <w:vertAlign w:val="superscript"/>
                <w:lang w:val="sr-Latn-ME"/>
              </w:rPr>
              <w:t>5</w:t>
            </w:r>
            <w:r w:rsidRPr="0055610F">
              <w:rPr>
                <w:snapToGrid w:val="0"/>
                <w:sz w:val="22"/>
                <w:szCs w:val="22"/>
                <w:vertAlign w:val="superscript"/>
                <w:lang w:val="sr-Latn-ME"/>
              </w:rPr>
              <w:t xml:space="preserve"> </w:t>
            </w:r>
            <w:r w:rsidRPr="0055610F">
              <w:rPr>
                <w:sz w:val="22"/>
                <w:szCs w:val="22"/>
                <w:vertAlign w:val="superscript"/>
                <w:lang w:val="sr-Latn-ME" w:eastAsia="ja-JP"/>
              </w:rPr>
              <w:t xml:space="preserve">i </w:t>
            </w:r>
            <w:r w:rsidR="00C57D09">
              <w:rPr>
                <w:sz w:val="22"/>
                <w:szCs w:val="22"/>
                <w:vertAlign w:val="superscript"/>
                <w:lang w:val="sr-Latn-ME" w:eastAsia="ja-JP"/>
              </w:rPr>
              <w:t>7</w:t>
            </w:r>
          </w:p>
        </w:tc>
        <w:tc>
          <w:tcPr>
            <w:tcW w:w="1423" w:type="dxa"/>
            <w:shd w:val="clear" w:color="auto" w:fill="auto"/>
          </w:tcPr>
          <w:p w:rsidR="00496E03" w:rsidRPr="0055610F" w:rsidRDefault="00496E03" w:rsidP="00C57D09">
            <w:pPr>
              <w:rPr>
                <w:sz w:val="22"/>
                <w:szCs w:val="22"/>
                <w:lang w:val="sr-Latn-ME" w:eastAsia="ja-JP"/>
              </w:rPr>
            </w:pPr>
            <w:r w:rsidRPr="0055610F">
              <w:rPr>
                <w:sz w:val="22"/>
                <w:szCs w:val="22"/>
                <w:lang w:val="sr-Latn-ME" w:eastAsia="ja-JP"/>
              </w:rPr>
              <w:t>srčana insuficijencija</w:t>
            </w:r>
            <w:r w:rsidR="00C57D09">
              <w:rPr>
                <w:snapToGrid w:val="0"/>
                <w:sz w:val="22"/>
                <w:szCs w:val="22"/>
                <w:vertAlign w:val="superscript"/>
                <w:lang w:val="sr-Latn-ME"/>
              </w:rPr>
              <w:t>5</w:t>
            </w:r>
            <w:r w:rsidRPr="0055610F">
              <w:rPr>
                <w:snapToGrid w:val="0"/>
                <w:sz w:val="22"/>
                <w:szCs w:val="22"/>
                <w:vertAlign w:val="superscript"/>
                <w:lang w:val="sr-Latn-ME"/>
              </w:rPr>
              <w:t xml:space="preserve"> </w:t>
            </w:r>
            <w:r w:rsidRPr="0055610F">
              <w:rPr>
                <w:sz w:val="22"/>
                <w:szCs w:val="22"/>
                <w:vertAlign w:val="superscript"/>
                <w:lang w:val="sr-Latn-ME" w:eastAsia="ja-JP"/>
              </w:rPr>
              <w:t xml:space="preserve">i </w:t>
            </w:r>
            <w:r w:rsidR="00C57D09">
              <w:rPr>
                <w:sz w:val="22"/>
                <w:szCs w:val="22"/>
                <w:vertAlign w:val="superscript"/>
                <w:lang w:val="sr-Latn-ME" w:eastAsia="ja-JP"/>
              </w:rPr>
              <w:t>7</w:t>
            </w:r>
          </w:p>
        </w:tc>
        <w:tc>
          <w:tcPr>
            <w:tcW w:w="1423" w:type="dxa"/>
            <w:shd w:val="clear" w:color="auto" w:fill="auto"/>
          </w:tcPr>
          <w:p w:rsidR="00496E03" w:rsidRPr="0055610F" w:rsidRDefault="00496E03" w:rsidP="004D5825">
            <w:pPr>
              <w:rPr>
                <w:sz w:val="22"/>
                <w:szCs w:val="22"/>
                <w:lang w:val="sr-Latn-ME" w:eastAsia="ja-JP"/>
              </w:rPr>
            </w:pPr>
          </w:p>
        </w:tc>
      </w:tr>
      <w:tr w:rsidR="00496E03" w:rsidRPr="00FB34CE"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t>Vaskularni poremećaji</w:t>
            </w:r>
          </w:p>
        </w:tc>
        <w:tc>
          <w:tcPr>
            <w:tcW w:w="1422" w:type="dxa"/>
            <w:shd w:val="clear" w:color="auto" w:fill="auto"/>
          </w:tcPr>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hipertenzija, ortostatska hipotenzija, hipotenzija</w:t>
            </w:r>
            <w:r w:rsidRPr="0055610F">
              <w:rPr>
                <w:sz w:val="22"/>
                <w:szCs w:val="22"/>
                <w:vertAlign w:val="superscript"/>
                <w:lang w:val="sr-Latn-ME" w:eastAsia="ja-JP"/>
              </w:rPr>
              <w:t xml:space="preserve"> </w:t>
            </w:r>
          </w:p>
        </w:tc>
        <w:tc>
          <w:tcPr>
            <w:tcW w:w="1422"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napToGrid w:val="0"/>
                <w:sz w:val="22"/>
                <w:szCs w:val="22"/>
                <w:lang w:val="sr-Latn-ME"/>
              </w:rPr>
            </w:pPr>
            <w:r w:rsidRPr="0055610F">
              <w:rPr>
                <w:snapToGrid w:val="0"/>
                <w:sz w:val="22"/>
                <w:szCs w:val="22"/>
                <w:lang w:val="sr-Latn-ME"/>
              </w:rPr>
              <w:t>vaskulitis (predominantno kutani),</w:t>
            </w:r>
          </w:p>
          <w:p w:rsidR="00496E03" w:rsidRPr="0055610F" w:rsidRDefault="00496E03" w:rsidP="004D5825">
            <w:pPr>
              <w:rPr>
                <w:sz w:val="22"/>
                <w:szCs w:val="22"/>
                <w:lang w:val="sr-Latn-ME" w:eastAsia="ja-JP"/>
              </w:rPr>
            </w:pPr>
            <w:r w:rsidRPr="0055610F">
              <w:rPr>
                <w:snapToGrid w:val="0"/>
                <w:sz w:val="22"/>
                <w:szCs w:val="22"/>
                <w:lang w:val="sr-Latn-ME"/>
              </w:rPr>
              <w:t>leukocitoklastički vaskulitis</w:t>
            </w:r>
          </w:p>
        </w:tc>
        <w:tc>
          <w:tcPr>
            <w:tcW w:w="1423" w:type="dxa"/>
            <w:shd w:val="clear" w:color="auto" w:fill="auto"/>
          </w:tcPr>
          <w:p w:rsidR="00496E03" w:rsidRPr="0055610F" w:rsidRDefault="00496E03" w:rsidP="004D5825">
            <w:pPr>
              <w:rPr>
                <w:sz w:val="22"/>
                <w:szCs w:val="22"/>
                <w:lang w:val="sr-Latn-ME" w:eastAsia="ja-JP"/>
              </w:rPr>
            </w:pPr>
          </w:p>
        </w:tc>
      </w:tr>
      <w:tr w:rsidR="00496E03" w:rsidRPr="007642DC"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t xml:space="preserve">Respiratorni, torakalni i medijastinalni poremećaji </w:t>
            </w:r>
          </w:p>
        </w:tc>
        <w:tc>
          <w:tcPr>
            <w:tcW w:w="1422" w:type="dxa"/>
            <w:shd w:val="clear" w:color="auto" w:fill="auto"/>
          </w:tcPr>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C57D09">
            <w:pPr>
              <w:rPr>
                <w:sz w:val="22"/>
                <w:szCs w:val="22"/>
                <w:lang w:val="sr-Latn-ME" w:eastAsia="ja-JP"/>
              </w:rPr>
            </w:pPr>
            <w:r w:rsidRPr="0055610F">
              <w:rPr>
                <w:sz w:val="22"/>
                <w:szCs w:val="22"/>
                <w:lang w:val="sr-Latn-ME" w:eastAsia="ja-JP"/>
              </w:rPr>
              <w:t>bronhospazam</w:t>
            </w:r>
            <w:r w:rsidR="00C57D09">
              <w:rPr>
                <w:snapToGrid w:val="0"/>
                <w:sz w:val="22"/>
                <w:szCs w:val="22"/>
                <w:vertAlign w:val="superscript"/>
                <w:lang w:val="sr-Latn-ME"/>
              </w:rPr>
              <w:t>5</w:t>
            </w:r>
            <w:r w:rsidRPr="0055610F">
              <w:rPr>
                <w:sz w:val="22"/>
                <w:szCs w:val="22"/>
                <w:lang w:val="sr-Latn-ME" w:eastAsia="ja-JP"/>
              </w:rPr>
              <w:t>, respiratorni poremećaji, bol u grudima, dispneja, pojačan kašalj, rinitis</w:t>
            </w: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astma, bronhiolitis obliterans, poremećaji pluća, hipoksija</w:t>
            </w:r>
          </w:p>
        </w:tc>
        <w:tc>
          <w:tcPr>
            <w:tcW w:w="1423" w:type="dxa"/>
            <w:shd w:val="clear" w:color="auto" w:fill="auto"/>
          </w:tcPr>
          <w:p w:rsidR="00496E03" w:rsidRPr="0055610F" w:rsidRDefault="00496E03" w:rsidP="00C57D09">
            <w:pPr>
              <w:rPr>
                <w:sz w:val="22"/>
                <w:szCs w:val="22"/>
                <w:vertAlign w:val="superscript"/>
                <w:lang w:val="sr-Latn-ME" w:eastAsia="ja-JP"/>
              </w:rPr>
            </w:pPr>
            <w:r w:rsidRPr="0055610F">
              <w:rPr>
                <w:snapToGrid w:val="0"/>
                <w:sz w:val="22"/>
                <w:szCs w:val="22"/>
                <w:lang w:val="sr-Latn-ME"/>
              </w:rPr>
              <w:t>intersticijalni pneumonitis</w:t>
            </w:r>
            <w:r w:rsidR="00C57D09">
              <w:rPr>
                <w:snapToGrid w:val="0"/>
                <w:sz w:val="22"/>
                <w:szCs w:val="22"/>
                <w:vertAlign w:val="superscript"/>
                <w:lang w:val="sr-Latn-ME"/>
              </w:rPr>
              <w:t>8</w:t>
            </w:r>
          </w:p>
        </w:tc>
        <w:tc>
          <w:tcPr>
            <w:tcW w:w="1423" w:type="dxa"/>
            <w:shd w:val="clear" w:color="auto" w:fill="auto"/>
          </w:tcPr>
          <w:p w:rsidR="00496E03" w:rsidRPr="0055610F" w:rsidRDefault="00496E03" w:rsidP="004D5825">
            <w:pPr>
              <w:rPr>
                <w:snapToGrid w:val="0"/>
                <w:sz w:val="22"/>
                <w:szCs w:val="22"/>
                <w:lang w:val="sr-Latn-ME"/>
              </w:rPr>
            </w:pPr>
            <w:r w:rsidRPr="0055610F">
              <w:rPr>
                <w:snapToGrid w:val="0"/>
                <w:sz w:val="22"/>
                <w:szCs w:val="22"/>
                <w:lang w:val="sr-Latn-ME"/>
              </w:rPr>
              <w:t>respiratorni poremećaji</w:t>
            </w:r>
            <w:r w:rsidR="00C57D09">
              <w:rPr>
                <w:snapToGrid w:val="0"/>
                <w:sz w:val="22"/>
                <w:szCs w:val="22"/>
                <w:vertAlign w:val="superscript"/>
                <w:lang w:val="sr-Latn-ME"/>
              </w:rPr>
              <w:t>5</w:t>
            </w:r>
          </w:p>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6F268D" w:rsidP="004D5825">
            <w:pPr>
              <w:rPr>
                <w:snapToGrid w:val="0"/>
                <w:sz w:val="22"/>
                <w:szCs w:val="22"/>
                <w:lang w:val="sr-Latn-ME"/>
              </w:rPr>
            </w:pPr>
            <w:r>
              <w:rPr>
                <w:snapToGrid w:val="0"/>
                <w:sz w:val="22"/>
                <w:szCs w:val="22"/>
                <w:lang w:val="sr-Latn-ME"/>
              </w:rPr>
              <w:t>pulmonarni infiltrati</w:t>
            </w:r>
          </w:p>
          <w:p w:rsidR="00496E03" w:rsidRPr="0055610F" w:rsidRDefault="00496E03" w:rsidP="004D5825">
            <w:pPr>
              <w:rPr>
                <w:sz w:val="22"/>
                <w:szCs w:val="22"/>
                <w:lang w:val="sr-Latn-ME" w:eastAsia="ja-JP"/>
              </w:rPr>
            </w:pPr>
          </w:p>
        </w:tc>
      </w:tr>
      <w:tr w:rsidR="00496E03" w:rsidRPr="007642DC"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t>Gastrointestinalni poremećaji</w:t>
            </w: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mučnina</w:t>
            </w: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povraćanje, dijareja, bol u abdomenu, disfagija, stomatitis, opstipacija, dispepsija, anoreksija, iritacija grla</w:t>
            </w: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povećanje abdomena</w:t>
            </w: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C57D09">
            <w:pPr>
              <w:rPr>
                <w:b/>
                <w:sz w:val="22"/>
                <w:szCs w:val="22"/>
                <w:lang w:val="sr-Latn-ME" w:eastAsia="ja-JP"/>
              </w:rPr>
            </w:pPr>
            <w:r w:rsidRPr="0055610F">
              <w:rPr>
                <w:snapToGrid w:val="0"/>
                <w:sz w:val="22"/>
                <w:szCs w:val="22"/>
                <w:lang w:val="sr-Latn-ME"/>
              </w:rPr>
              <w:t>gastro-intestinalne perforacije</w:t>
            </w:r>
            <w:r w:rsidR="00C57D09">
              <w:rPr>
                <w:snapToGrid w:val="0"/>
                <w:sz w:val="22"/>
                <w:szCs w:val="22"/>
                <w:vertAlign w:val="superscript"/>
                <w:lang w:val="sr-Latn-ME"/>
              </w:rPr>
              <w:t>8</w:t>
            </w:r>
          </w:p>
        </w:tc>
        <w:tc>
          <w:tcPr>
            <w:tcW w:w="1423" w:type="dxa"/>
            <w:shd w:val="clear" w:color="auto" w:fill="auto"/>
          </w:tcPr>
          <w:p w:rsidR="00496E03" w:rsidRPr="0055610F" w:rsidRDefault="00496E03" w:rsidP="004D5825">
            <w:pPr>
              <w:rPr>
                <w:sz w:val="22"/>
                <w:szCs w:val="22"/>
                <w:lang w:val="sr-Latn-ME" w:eastAsia="ja-JP"/>
              </w:rPr>
            </w:pPr>
          </w:p>
        </w:tc>
      </w:tr>
      <w:tr w:rsidR="00496E03" w:rsidRPr="00FB34CE"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t xml:space="preserve">Poremećaji kože i potkožnog tkiva </w:t>
            </w: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 xml:space="preserve">svrab, raš, </w:t>
            </w:r>
            <w:r w:rsidRPr="0055610F">
              <w:rPr>
                <w:sz w:val="22"/>
                <w:szCs w:val="22"/>
                <w:vertAlign w:val="superscript"/>
                <w:lang w:val="sr-Latn-ME" w:eastAsia="ja-JP"/>
              </w:rPr>
              <w:t>+</w:t>
            </w:r>
            <w:r w:rsidRPr="0055610F">
              <w:rPr>
                <w:sz w:val="22"/>
                <w:szCs w:val="22"/>
                <w:lang w:val="sr-Latn-ME" w:eastAsia="ja-JP"/>
              </w:rPr>
              <w:t>alopecija</w:t>
            </w:r>
            <w:r w:rsidRPr="0055610F">
              <w:rPr>
                <w:sz w:val="22"/>
                <w:szCs w:val="22"/>
                <w:vertAlign w:val="superscript"/>
                <w:lang w:val="sr-Latn-ME" w:eastAsia="ja-JP"/>
              </w:rPr>
              <w:t xml:space="preserve"> </w:t>
            </w: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 xml:space="preserve">urtikarija, znojenje, noćno znojenje, </w:t>
            </w:r>
            <w:r w:rsidRPr="0055610F">
              <w:rPr>
                <w:sz w:val="22"/>
                <w:szCs w:val="22"/>
                <w:vertAlign w:val="superscript"/>
                <w:lang w:val="sr-Latn-ME" w:eastAsia="ja-JP"/>
              </w:rPr>
              <w:t>+</w:t>
            </w:r>
            <w:r w:rsidRPr="0055610F">
              <w:rPr>
                <w:sz w:val="22"/>
                <w:szCs w:val="22"/>
                <w:lang w:val="sr-Latn-ME" w:eastAsia="ja-JP"/>
              </w:rPr>
              <w:t xml:space="preserve">poremećaji kože </w:t>
            </w:r>
          </w:p>
        </w:tc>
        <w:tc>
          <w:tcPr>
            <w:tcW w:w="1422"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napToGrid w:val="0"/>
                <w:sz w:val="22"/>
                <w:szCs w:val="22"/>
                <w:lang w:val="sr-Latn-ME"/>
              </w:rPr>
            </w:pPr>
            <w:r w:rsidRPr="0055610F">
              <w:rPr>
                <w:snapToGrid w:val="0"/>
                <w:sz w:val="22"/>
                <w:szCs w:val="22"/>
                <w:lang w:val="sr-Latn-ME"/>
              </w:rPr>
              <w:t>ozbiljne bulozne kožne reakcije,</w:t>
            </w:r>
          </w:p>
          <w:p w:rsidR="00496E03" w:rsidRPr="0055610F" w:rsidRDefault="00496E03" w:rsidP="004D5825">
            <w:pPr>
              <w:snapToGrid w:val="0"/>
              <w:outlineLvl w:val="0"/>
              <w:rPr>
                <w:snapToGrid w:val="0"/>
                <w:sz w:val="22"/>
                <w:szCs w:val="22"/>
                <w:lang w:val="sr-Latn-ME"/>
              </w:rPr>
            </w:pPr>
            <w:r w:rsidRPr="0055610F">
              <w:rPr>
                <w:snapToGrid w:val="0"/>
                <w:sz w:val="22"/>
                <w:szCs w:val="22"/>
                <w:lang w:val="sr-Latn-ME"/>
              </w:rPr>
              <w:t>Stevens-Johnsonov sindrom,</w:t>
            </w:r>
          </w:p>
          <w:p w:rsidR="00496E03" w:rsidRPr="0055610F" w:rsidRDefault="00496E03" w:rsidP="00C57D09">
            <w:pPr>
              <w:rPr>
                <w:sz w:val="22"/>
                <w:szCs w:val="22"/>
                <w:lang w:val="sr-Latn-ME" w:eastAsia="ja-JP"/>
              </w:rPr>
            </w:pPr>
            <w:r w:rsidRPr="0055610F">
              <w:rPr>
                <w:snapToGrid w:val="0"/>
                <w:sz w:val="22"/>
                <w:szCs w:val="22"/>
                <w:lang w:val="sr-Latn-ME"/>
              </w:rPr>
              <w:t>toksična  epidermalna nekroliza</w:t>
            </w:r>
            <w:r w:rsidRPr="0055610F">
              <w:rPr>
                <w:sz w:val="22"/>
                <w:szCs w:val="22"/>
                <w:lang w:val="sr-Latn-ME"/>
              </w:rPr>
              <w:t>(</w:t>
            </w:r>
            <w:r w:rsidRPr="0055610F">
              <w:rPr>
                <w:snapToGrid w:val="0"/>
                <w:sz w:val="22"/>
                <w:szCs w:val="22"/>
                <w:lang w:val="sr-Latn-ME"/>
              </w:rPr>
              <w:t>Lyellov sindrom)</w:t>
            </w:r>
            <w:r w:rsidR="00C57D09">
              <w:rPr>
                <w:snapToGrid w:val="0"/>
                <w:sz w:val="22"/>
                <w:szCs w:val="22"/>
                <w:vertAlign w:val="superscript"/>
                <w:lang w:val="sr-Latn-ME"/>
              </w:rPr>
              <w:t>8</w:t>
            </w:r>
          </w:p>
        </w:tc>
        <w:tc>
          <w:tcPr>
            <w:tcW w:w="1423" w:type="dxa"/>
            <w:shd w:val="clear" w:color="auto" w:fill="auto"/>
          </w:tcPr>
          <w:p w:rsidR="00496E03" w:rsidRPr="0055610F" w:rsidRDefault="00496E03" w:rsidP="004D5825">
            <w:pPr>
              <w:rPr>
                <w:sz w:val="22"/>
                <w:szCs w:val="22"/>
                <w:lang w:val="sr-Latn-ME" w:eastAsia="ja-JP"/>
              </w:rPr>
            </w:pPr>
          </w:p>
        </w:tc>
      </w:tr>
      <w:tr w:rsidR="00496E03" w:rsidRPr="00FB34CE"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t>Mi</w:t>
            </w:r>
            <w:r w:rsidR="00B21971" w:rsidRPr="0055610F">
              <w:rPr>
                <w:b/>
                <w:sz w:val="22"/>
                <w:szCs w:val="22"/>
                <w:lang w:val="sr-Latn-ME" w:eastAsia="ja-JP"/>
              </w:rPr>
              <w:t>š</w:t>
            </w:r>
            <w:r w:rsidRPr="0055610F">
              <w:rPr>
                <w:b/>
                <w:sz w:val="22"/>
                <w:szCs w:val="22"/>
                <w:lang w:val="sr-Latn-ME" w:eastAsia="ja-JP"/>
              </w:rPr>
              <w:t xml:space="preserve">ićno-skeletni poremećaji, poremećaji vezivnog </w:t>
            </w:r>
            <w:r w:rsidRPr="0055610F">
              <w:rPr>
                <w:b/>
                <w:sz w:val="22"/>
                <w:szCs w:val="22"/>
                <w:lang w:val="sr-Latn-ME" w:eastAsia="ja-JP"/>
              </w:rPr>
              <w:lastRenderedPageBreak/>
              <w:t xml:space="preserve">tkiva i kostiju </w:t>
            </w:r>
          </w:p>
        </w:tc>
        <w:tc>
          <w:tcPr>
            <w:tcW w:w="1422" w:type="dxa"/>
            <w:shd w:val="clear" w:color="auto" w:fill="auto"/>
          </w:tcPr>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4D5825">
            <w:pPr>
              <w:rPr>
                <w:sz w:val="22"/>
                <w:szCs w:val="22"/>
                <w:lang w:val="sr-Latn-ME" w:eastAsia="ja-JP"/>
              </w:rPr>
            </w:pPr>
            <w:r w:rsidRPr="0055610F">
              <w:rPr>
                <w:sz w:val="22"/>
                <w:szCs w:val="22"/>
                <w:lang w:val="sr-Latn-ME" w:eastAsia="ja-JP"/>
              </w:rPr>
              <w:t>hipertonija, mialgija, artralgija, bol u leđima, bol u vratu, bol</w:t>
            </w:r>
          </w:p>
        </w:tc>
        <w:tc>
          <w:tcPr>
            <w:tcW w:w="1422"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r>
      <w:tr w:rsidR="00496E03" w:rsidRPr="007642DC" w:rsidTr="00C57D09">
        <w:tc>
          <w:tcPr>
            <w:tcW w:w="1422" w:type="dxa"/>
            <w:shd w:val="clear" w:color="auto" w:fill="auto"/>
          </w:tcPr>
          <w:p w:rsidR="00496E03" w:rsidRPr="0055610F" w:rsidRDefault="00496E03" w:rsidP="004D5825">
            <w:pPr>
              <w:rPr>
                <w:sz w:val="22"/>
                <w:szCs w:val="22"/>
                <w:lang w:val="sr-Latn-ME" w:eastAsia="ja-JP"/>
              </w:rPr>
            </w:pPr>
            <w:r w:rsidRPr="0055610F">
              <w:rPr>
                <w:b/>
                <w:sz w:val="22"/>
                <w:szCs w:val="22"/>
                <w:lang w:val="sr-Latn-ME" w:eastAsia="ja-JP"/>
              </w:rPr>
              <w:t xml:space="preserve">Poremećaji bubrega i urinarnog sistema </w:t>
            </w:r>
          </w:p>
        </w:tc>
        <w:tc>
          <w:tcPr>
            <w:tcW w:w="1422" w:type="dxa"/>
            <w:shd w:val="clear" w:color="auto" w:fill="auto"/>
          </w:tcPr>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4D5825">
            <w:pPr>
              <w:rPr>
                <w:sz w:val="22"/>
                <w:szCs w:val="22"/>
                <w:lang w:val="sr-Latn-ME" w:eastAsia="ja-JP"/>
              </w:rPr>
            </w:pPr>
          </w:p>
        </w:tc>
        <w:tc>
          <w:tcPr>
            <w:tcW w:w="1422"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4D5825">
            <w:pPr>
              <w:rPr>
                <w:sz w:val="22"/>
                <w:szCs w:val="22"/>
                <w:lang w:val="sr-Latn-ME" w:eastAsia="ja-JP"/>
              </w:rPr>
            </w:pPr>
          </w:p>
        </w:tc>
        <w:tc>
          <w:tcPr>
            <w:tcW w:w="1423" w:type="dxa"/>
            <w:shd w:val="clear" w:color="auto" w:fill="auto"/>
          </w:tcPr>
          <w:p w:rsidR="00496E03" w:rsidRPr="0055610F" w:rsidRDefault="00496E03" w:rsidP="00C57D09">
            <w:pPr>
              <w:rPr>
                <w:sz w:val="22"/>
                <w:szCs w:val="22"/>
                <w:lang w:val="sr-Latn-ME" w:eastAsia="ja-JP"/>
              </w:rPr>
            </w:pPr>
            <w:r w:rsidRPr="0055610F">
              <w:rPr>
                <w:snapToGrid w:val="0"/>
                <w:sz w:val="22"/>
                <w:szCs w:val="22"/>
                <w:lang w:val="sr-Latn-ME"/>
              </w:rPr>
              <w:t>Bubrežna insuficijencija</w:t>
            </w:r>
            <w:r w:rsidR="00C57D09">
              <w:rPr>
                <w:snapToGrid w:val="0"/>
                <w:sz w:val="22"/>
                <w:szCs w:val="22"/>
                <w:vertAlign w:val="superscript"/>
                <w:lang w:val="sr-Latn-ME"/>
              </w:rPr>
              <w:t>5</w:t>
            </w:r>
          </w:p>
        </w:tc>
        <w:tc>
          <w:tcPr>
            <w:tcW w:w="1423" w:type="dxa"/>
            <w:shd w:val="clear" w:color="auto" w:fill="auto"/>
          </w:tcPr>
          <w:p w:rsidR="00496E03" w:rsidRPr="0055610F" w:rsidRDefault="00496E03" w:rsidP="004D5825">
            <w:pPr>
              <w:rPr>
                <w:sz w:val="22"/>
                <w:szCs w:val="22"/>
                <w:lang w:val="sr-Latn-ME" w:eastAsia="ja-JP"/>
              </w:rPr>
            </w:pPr>
          </w:p>
        </w:tc>
      </w:tr>
      <w:tr w:rsidR="00C57D09" w:rsidRPr="007642DC" w:rsidTr="00C57D09">
        <w:tc>
          <w:tcPr>
            <w:tcW w:w="1422" w:type="dxa"/>
            <w:shd w:val="clear" w:color="auto" w:fill="auto"/>
          </w:tcPr>
          <w:p w:rsidR="00C57D09" w:rsidRPr="0055610F" w:rsidRDefault="00C57D09" w:rsidP="00C57D09">
            <w:pPr>
              <w:rPr>
                <w:b/>
                <w:sz w:val="22"/>
                <w:szCs w:val="22"/>
                <w:lang w:val="sr-Latn-ME" w:eastAsia="ja-JP"/>
              </w:rPr>
            </w:pPr>
            <w:r w:rsidRPr="007D7AF3">
              <w:rPr>
                <w:b/>
                <w:sz w:val="22"/>
                <w:szCs w:val="22"/>
                <w:lang w:val="sr-Latn-ME" w:eastAsia="ja-JP"/>
              </w:rPr>
              <w:t>Opšti poremećaji i reakcije na m</w:t>
            </w:r>
            <w:r>
              <w:rPr>
                <w:b/>
                <w:sz w:val="22"/>
                <w:szCs w:val="22"/>
                <w:lang w:val="sr-Latn-ME" w:eastAsia="ja-JP"/>
              </w:rPr>
              <w:t>j</w:t>
            </w:r>
            <w:r w:rsidRPr="007D7AF3">
              <w:rPr>
                <w:b/>
                <w:sz w:val="22"/>
                <w:szCs w:val="22"/>
                <w:lang w:val="sr-Latn-ME" w:eastAsia="ja-JP"/>
              </w:rPr>
              <w:t>estu prim</w:t>
            </w:r>
            <w:r>
              <w:rPr>
                <w:b/>
                <w:sz w:val="22"/>
                <w:szCs w:val="22"/>
                <w:lang w:val="sr-Latn-ME" w:eastAsia="ja-JP"/>
              </w:rPr>
              <w:t>j</w:t>
            </w:r>
            <w:r w:rsidRPr="007D7AF3">
              <w:rPr>
                <w:b/>
                <w:sz w:val="22"/>
                <w:szCs w:val="22"/>
                <w:lang w:val="sr-Latn-ME" w:eastAsia="ja-JP"/>
              </w:rPr>
              <w:t>ene</w:t>
            </w:r>
          </w:p>
        </w:tc>
        <w:tc>
          <w:tcPr>
            <w:tcW w:w="1422" w:type="dxa"/>
            <w:shd w:val="clear" w:color="auto" w:fill="auto"/>
          </w:tcPr>
          <w:p w:rsidR="00C57D09" w:rsidRPr="0055610F" w:rsidRDefault="00C57D09" w:rsidP="00C57D09">
            <w:pPr>
              <w:rPr>
                <w:sz w:val="22"/>
                <w:szCs w:val="22"/>
                <w:lang w:val="sr-Latn-ME" w:eastAsia="ja-JP"/>
              </w:rPr>
            </w:pPr>
            <w:r w:rsidRPr="007D7AF3">
              <w:rPr>
                <w:sz w:val="22"/>
                <w:szCs w:val="22"/>
                <w:lang w:val="sr-Latn-ME" w:eastAsia="ja-JP"/>
              </w:rPr>
              <w:t>groznica, jeza, astenija, glavobolja</w:t>
            </w:r>
          </w:p>
        </w:tc>
        <w:tc>
          <w:tcPr>
            <w:tcW w:w="1422" w:type="dxa"/>
            <w:shd w:val="clear" w:color="auto" w:fill="auto"/>
          </w:tcPr>
          <w:p w:rsidR="00C57D09" w:rsidRPr="007D7AF3" w:rsidRDefault="00C57D09" w:rsidP="00C57D09">
            <w:pPr>
              <w:rPr>
                <w:sz w:val="22"/>
                <w:szCs w:val="22"/>
                <w:lang w:val="sr-Latn-ME" w:eastAsia="ja-JP"/>
              </w:rPr>
            </w:pPr>
            <w:r w:rsidRPr="007D7AF3">
              <w:rPr>
                <w:sz w:val="22"/>
                <w:szCs w:val="22"/>
                <w:lang w:val="sr-Latn-ME" w:eastAsia="ja-JP"/>
              </w:rPr>
              <w:t xml:space="preserve">tumorski bol, navale crvenila, </w:t>
            </w:r>
            <w:r w:rsidR="0000153E">
              <w:rPr>
                <w:sz w:val="22"/>
                <w:szCs w:val="22"/>
                <w:lang w:val="sr-Latn-ME" w:eastAsia="ja-JP"/>
              </w:rPr>
              <w:t>malaksalost</w:t>
            </w:r>
            <w:r w:rsidRPr="007D7AF3">
              <w:rPr>
                <w:sz w:val="22"/>
                <w:szCs w:val="22"/>
                <w:lang w:val="sr-Latn-ME" w:eastAsia="ja-JP"/>
              </w:rPr>
              <w:t xml:space="preserve">, sindrom sličan prehladi, +umor, +drhtavica, </w:t>
            </w:r>
          </w:p>
          <w:p w:rsidR="00C57D09" w:rsidRPr="0055610F" w:rsidRDefault="00C57D09" w:rsidP="00C57D09">
            <w:pPr>
              <w:rPr>
                <w:sz w:val="22"/>
                <w:szCs w:val="22"/>
                <w:lang w:val="sr-Latn-ME" w:eastAsia="ja-JP"/>
              </w:rPr>
            </w:pPr>
            <w:r w:rsidRPr="007D7AF3">
              <w:rPr>
                <w:sz w:val="22"/>
                <w:szCs w:val="22"/>
                <w:lang w:val="sr-Latn-ME" w:eastAsia="ja-JP"/>
              </w:rPr>
              <w:t>+multi-organski poremećaji</w:t>
            </w:r>
            <w:r>
              <w:rPr>
                <w:sz w:val="22"/>
                <w:szCs w:val="22"/>
                <w:vertAlign w:val="superscript"/>
                <w:lang w:val="sr-Latn-ME" w:eastAsia="ja-JP"/>
              </w:rPr>
              <w:t>5</w:t>
            </w:r>
          </w:p>
        </w:tc>
        <w:tc>
          <w:tcPr>
            <w:tcW w:w="1422" w:type="dxa"/>
            <w:shd w:val="clear" w:color="auto" w:fill="auto"/>
          </w:tcPr>
          <w:p w:rsidR="00C57D09" w:rsidRPr="0055610F" w:rsidRDefault="00C57D09" w:rsidP="00C57D09">
            <w:pPr>
              <w:rPr>
                <w:sz w:val="22"/>
                <w:szCs w:val="22"/>
                <w:lang w:val="sr-Latn-ME" w:eastAsia="ja-JP"/>
              </w:rPr>
            </w:pPr>
            <w:r w:rsidRPr="007D7AF3">
              <w:rPr>
                <w:sz w:val="22"/>
                <w:szCs w:val="22"/>
                <w:lang w:val="sr-Latn-ME" w:eastAsia="ja-JP"/>
              </w:rPr>
              <w:t>bol na m</w:t>
            </w:r>
            <w:r>
              <w:rPr>
                <w:sz w:val="22"/>
                <w:szCs w:val="22"/>
                <w:lang w:val="sr-Latn-ME" w:eastAsia="ja-JP"/>
              </w:rPr>
              <w:t>j</w:t>
            </w:r>
            <w:r w:rsidRPr="007D7AF3">
              <w:rPr>
                <w:sz w:val="22"/>
                <w:szCs w:val="22"/>
                <w:lang w:val="sr-Latn-ME" w:eastAsia="ja-JP"/>
              </w:rPr>
              <w:t>estu prim</w:t>
            </w:r>
            <w:r>
              <w:rPr>
                <w:sz w:val="22"/>
                <w:szCs w:val="22"/>
                <w:lang w:val="sr-Latn-ME" w:eastAsia="ja-JP"/>
              </w:rPr>
              <w:t>j</w:t>
            </w:r>
            <w:r w:rsidRPr="007D7AF3">
              <w:rPr>
                <w:sz w:val="22"/>
                <w:szCs w:val="22"/>
                <w:lang w:val="sr-Latn-ME" w:eastAsia="ja-JP"/>
              </w:rPr>
              <w:t>ene infuzije</w:t>
            </w:r>
          </w:p>
        </w:tc>
        <w:tc>
          <w:tcPr>
            <w:tcW w:w="1423" w:type="dxa"/>
            <w:shd w:val="clear" w:color="auto" w:fill="auto"/>
          </w:tcPr>
          <w:p w:rsidR="00C57D09" w:rsidRPr="0055610F" w:rsidRDefault="00C57D09" w:rsidP="00C57D09">
            <w:pPr>
              <w:rPr>
                <w:sz w:val="22"/>
                <w:szCs w:val="22"/>
                <w:lang w:val="sr-Latn-ME" w:eastAsia="ja-JP"/>
              </w:rPr>
            </w:pPr>
          </w:p>
        </w:tc>
        <w:tc>
          <w:tcPr>
            <w:tcW w:w="1423" w:type="dxa"/>
            <w:shd w:val="clear" w:color="auto" w:fill="auto"/>
          </w:tcPr>
          <w:p w:rsidR="00C57D09" w:rsidRPr="0055610F" w:rsidRDefault="00C57D09" w:rsidP="00C57D09">
            <w:pPr>
              <w:rPr>
                <w:snapToGrid w:val="0"/>
                <w:sz w:val="22"/>
                <w:szCs w:val="22"/>
                <w:lang w:val="sr-Latn-ME"/>
              </w:rPr>
            </w:pPr>
          </w:p>
        </w:tc>
        <w:tc>
          <w:tcPr>
            <w:tcW w:w="1423" w:type="dxa"/>
            <w:shd w:val="clear" w:color="auto" w:fill="auto"/>
          </w:tcPr>
          <w:p w:rsidR="00C57D09" w:rsidRPr="0055610F" w:rsidRDefault="00C57D09" w:rsidP="00C57D09">
            <w:pPr>
              <w:rPr>
                <w:sz w:val="22"/>
                <w:szCs w:val="22"/>
                <w:lang w:val="sr-Latn-ME" w:eastAsia="ja-JP"/>
              </w:rPr>
            </w:pPr>
          </w:p>
        </w:tc>
      </w:tr>
      <w:tr w:rsidR="00C57D09" w:rsidRPr="007642DC" w:rsidTr="00C57D09">
        <w:tc>
          <w:tcPr>
            <w:tcW w:w="1422" w:type="dxa"/>
            <w:shd w:val="clear" w:color="auto" w:fill="auto"/>
          </w:tcPr>
          <w:p w:rsidR="00C57D09" w:rsidRPr="0055610F" w:rsidRDefault="00C57D09" w:rsidP="00C57D09">
            <w:pPr>
              <w:rPr>
                <w:sz w:val="22"/>
                <w:szCs w:val="22"/>
                <w:lang w:val="sr-Latn-ME" w:eastAsia="ja-JP"/>
              </w:rPr>
            </w:pPr>
            <w:r w:rsidRPr="0055610F">
              <w:rPr>
                <w:b/>
                <w:sz w:val="22"/>
                <w:szCs w:val="22"/>
                <w:lang w:val="sr-Latn-ME" w:eastAsia="ja-JP"/>
              </w:rPr>
              <w:t>Nalazi</w:t>
            </w:r>
          </w:p>
        </w:tc>
        <w:tc>
          <w:tcPr>
            <w:tcW w:w="1422" w:type="dxa"/>
            <w:shd w:val="clear" w:color="auto" w:fill="auto"/>
          </w:tcPr>
          <w:p w:rsidR="00C57D09" w:rsidRPr="0055610F" w:rsidRDefault="00C57D09" w:rsidP="00C57D09">
            <w:pPr>
              <w:rPr>
                <w:sz w:val="22"/>
                <w:szCs w:val="22"/>
                <w:lang w:val="sr-Latn-ME" w:eastAsia="ja-JP"/>
              </w:rPr>
            </w:pPr>
            <w:r w:rsidRPr="0055610F">
              <w:rPr>
                <w:sz w:val="22"/>
                <w:szCs w:val="22"/>
                <w:lang w:val="sr-Latn-ME" w:eastAsia="ja-JP"/>
              </w:rPr>
              <w:t>smanjenje nivoa IgG</w:t>
            </w:r>
          </w:p>
        </w:tc>
        <w:tc>
          <w:tcPr>
            <w:tcW w:w="1422" w:type="dxa"/>
            <w:shd w:val="clear" w:color="auto" w:fill="auto"/>
          </w:tcPr>
          <w:p w:rsidR="00C57D09" w:rsidRPr="0055610F" w:rsidRDefault="00C57D09" w:rsidP="00C57D09">
            <w:pPr>
              <w:rPr>
                <w:sz w:val="22"/>
                <w:szCs w:val="22"/>
                <w:lang w:val="sr-Latn-ME" w:eastAsia="ja-JP"/>
              </w:rPr>
            </w:pPr>
          </w:p>
        </w:tc>
        <w:tc>
          <w:tcPr>
            <w:tcW w:w="1422" w:type="dxa"/>
            <w:shd w:val="clear" w:color="auto" w:fill="auto"/>
          </w:tcPr>
          <w:p w:rsidR="00C57D09" w:rsidRPr="0055610F" w:rsidRDefault="00C57D09" w:rsidP="00C57D09">
            <w:pPr>
              <w:rPr>
                <w:sz w:val="22"/>
                <w:szCs w:val="22"/>
                <w:lang w:val="sr-Latn-ME" w:eastAsia="ja-JP"/>
              </w:rPr>
            </w:pPr>
          </w:p>
        </w:tc>
        <w:tc>
          <w:tcPr>
            <w:tcW w:w="1423" w:type="dxa"/>
            <w:shd w:val="clear" w:color="auto" w:fill="auto"/>
          </w:tcPr>
          <w:p w:rsidR="00C57D09" w:rsidRPr="0055610F" w:rsidRDefault="00C57D09" w:rsidP="00C57D09">
            <w:pPr>
              <w:rPr>
                <w:sz w:val="22"/>
                <w:szCs w:val="22"/>
                <w:lang w:val="sr-Latn-ME" w:eastAsia="ja-JP"/>
              </w:rPr>
            </w:pPr>
          </w:p>
        </w:tc>
        <w:tc>
          <w:tcPr>
            <w:tcW w:w="1423" w:type="dxa"/>
            <w:shd w:val="clear" w:color="auto" w:fill="auto"/>
          </w:tcPr>
          <w:p w:rsidR="00C57D09" w:rsidRPr="0055610F" w:rsidRDefault="00C57D09" w:rsidP="00C57D09">
            <w:pPr>
              <w:rPr>
                <w:sz w:val="22"/>
                <w:szCs w:val="22"/>
                <w:lang w:val="sr-Latn-ME" w:eastAsia="ja-JP"/>
              </w:rPr>
            </w:pPr>
          </w:p>
        </w:tc>
        <w:tc>
          <w:tcPr>
            <w:tcW w:w="1423" w:type="dxa"/>
            <w:shd w:val="clear" w:color="auto" w:fill="auto"/>
          </w:tcPr>
          <w:p w:rsidR="00C57D09" w:rsidRPr="0055610F" w:rsidRDefault="00C57D09" w:rsidP="00C57D09">
            <w:pPr>
              <w:rPr>
                <w:sz w:val="22"/>
                <w:szCs w:val="22"/>
                <w:lang w:val="sr-Latn-ME" w:eastAsia="ja-JP"/>
              </w:rPr>
            </w:pPr>
          </w:p>
        </w:tc>
      </w:tr>
      <w:tr w:rsidR="00C57D09" w:rsidRPr="007642DC" w:rsidTr="00C57D09">
        <w:tc>
          <w:tcPr>
            <w:tcW w:w="9957" w:type="dxa"/>
            <w:gridSpan w:val="7"/>
            <w:shd w:val="clear" w:color="auto" w:fill="auto"/>
          </w:tcPr>
          <w:p w:rsidR="00C57D09" w:rsidRPr="0055610F" w:rsidRDefault="00C57D09" w:rsidP="00C57D09">
            <w:pPr>
              <w:keepNext/>
              <w:jc w:val="both"/>
              <w:rPr>
                <w:sz w:val="22"/>
                <w:szCs w:val="22"/>
                <w:lang w:val="sr-Latn-ME" w:eastAsia="ja-JP"/>
              </w:rPr>
            </w:pPr>
            <w:r w:rsidRPr="0055610F">
              <w:rPr>
                <w:sz w:val="22"/>
                <w:szCs w:val="22"/>
                <w:lang w:val="sr-Latn-ME" w:eastAsia="ja-JP"/>
              </w:rPr>
              <w:t>Za svaku neželjenu reakciju, navedena neželjena reakcija zasnovana je na reakcijama svih stepena ozbiljnosti (od blagog do ozbiljnog), osim kod neželjenih reakcija označenih sa "+", gdje je učestalost zasnovana samo na ozbiljnim (≥ stepena 3 NCI uobičajenih kriterijuma toksičnosti) reakcijama. Jedino je najviša učestalost prim</w:t>
            </w:r>
            <w:r>
              <w:rPr>
                <w:sz w:val="22"/>
                <w:szCs w:val="22"/>
                <w:lang w:val="sr-Latn-ME" w:eastAsia="ja-JP"/>
              </w:rPr>
              <w:t>ij</w:t>
            </w:r>
            <w:r w:rsidRPr="0055610F">
              <w:rPr>
                <w:sz w:val="22"/>
                <w:szCs w:val="22"/>
                <w:lang w:val="sr-Latn-ME" w:eastAsia="ja-JP"/>
              </w:rPr>
              <w:t>ećena u studijama prijavljena</w:t>
            </w:r>
          </w:p>
          <w:p w:rsidR="00C57D09" w:rsidRPr="0055610F" w:rsidRDefault="00C57D09" w:rsidP="009C76FB">
            <w:pPr>
              <w:tabs>
                <w:tab w:val="left" w:pos="196"/>
              </w:tabs>
              <w:jc w:val="both"/>
              <w:outlineLvl w:val="0"/>
              <w:rPr>
                <w:rFonts w:eastAsia="MS Mincho"/>
                <w:sz w:val="22"/>
                <w:szCs w:val="22"/>
                <w:lang w:val="sr-Latn-ME" w:eastAsia="ja-JP"/>
              </w:rPr>
            </w:pPr>
            <w:r w:rsidRPr="00C57D09">
              <w:rPr>
                <w:rFonts w:eastAsia="MS Mincho"/>
                <w:sz w:val="22"/>
                <w:szCs w:val="22"/>
                <w:vertAlign w:val="superscript"/>
                <w:lang w:val="sr-Latn-ME" w:eastAsia="ja-JP"/>
              </w:rPr>
              <w:t>1</w:t>
            </w:r>
            <w:r w:rsidRPr="0055610F">
              <w:rPr>
                <w:sz w:val="22"/>
                <w:szCs w:val="22"/>
                <w:lang w:val="sr-Latn-ME" w:eastAsia="ja-JP"/>
              </w:rPr>
              <w:t>uključuje reaktivaciju i primarne infekcije; učestalost se zasniva na R</w:t>
            </w:r>
            <w:r w:rsidRPr="0055610F">
              <w:rPr>
                <w:sz w:val="22"/>
                <w:szCs w:val="22"/>
                <w:lang w:val="sr-Latn-ME" w:eastAsia="ja-JP"/>
              </w:rPr>
              <w:noBreakHyphen/>
              <w:t>FC režimu u relapsirajućem/refraktornom CLL</w:t>
            </w:r>
            <w:r w:rsidRPr="0055610F">
              <w:rPr>
                <w:sz w:val="22"/>
                <w:szCs w:val="22"/>
                <w:lang w:val="sr-Latn-ME" w:eastAsia="ja-JP"/>
              </w:rPr>
              <w:noBreakHyphen/>
              <w:t>u</w:t>
            </w:r>
          </w:p>
          <w:p w:rsidR="00C57D09" w:rsidRPr="0055610F" w:rsidRDefault="00C57D09" w:rsidP="00C57D09">
            <w:pPr>
              <w:keepNext/>
              <w:jc w:val="both"/>
              <w:rPr>
                <w:sz w:val="22"/>
                <w:szCs w:val="22"/>
                <w:lang w:val="sr-Latn-ME" w:eastAsia="ja-JP"/>
              </w:rPr>
            </w:pPr>
            <w:r w:rsidRPr="00C57D09">
              <w:rPr>
                <w:sz w:val="22"/>
                <w:szCs w:val="22"/>
                <w:vertAlign w:val="superscript"/>
                <w:lang w:val="sr-Latn-ME" w:eastAsia="ja-JP"/>
              </w:rPr>
              <w:t>2</w:t>
            </w:r>
            <w:r w:rsidRPr="0055610F">
              <w:rPr>
                <w:sz w:val="22"/>
                <w:szCs w:val="22"/>
                <w:lang w:val="sr-Latn-ME" w:eastAsia="ja-JP"/>
              </w:rPr>
              <w:t xml:space="preserve"> vidjeti takođe dio </w:t>
            </w:r>
            <w:r w:rsidRPr="0055610F">
              <w:rPr>
                <w:i/>
                <w:sz w:val="22"/>
                <w:szCs w:val="22"/>
                <w:lang w:val="sr-Latn-ME" w:eastAsia="ja-JP"/>
              </w:rPr>
              <w:t>Infekcije</w:t>
            </w:r>
            <w:r w:rsidRPr="0055610F">
              <w:rPr>
                <w:sz w:val="22"/>
                <w:szCs w:val="22"/>
                <w:lang w:val="sr-Latn-ME" w:eastAsia="ja-JP"/>
              </w:rPr>
              <w:t xml:space="preserve"> dalje u tekstu   </w:t>
            </w:r>
          </w:p>
          <w:p w:rsidR="00C57D09" w:rsidRDefault="00C57D09" w:rsidP="00C57D09">
            <w:pPr>
              <w:keepNext/>
              <w:jc w:val="both"/>
              <w:rPr>
                <w:sz w:val="22"/>
                <w:szCs w:val="22"/>
                <w:lang w:val="sr-Latn-ME" w:eastAsia="ja-JP"/>
              </w:rPr>
            </w:pPr>
            <w:r w:rsidRPr="00C57D09">
              <w:rPr>
                <w:sz w:val="22"/>
                <w:szCs w:val="22"/>
                <w:vertAlign w:val="superscript"/>
                <w:lang w:val="sr-Latn-ME" w:eastAsia="ja-JP"/>
              </w:rPr>
              <w:t>3</w:t>
            </w:r>
            <w:r w:rsidRPr="0055610F">
              <w:rPr>
                <w:sz w:val="22"/>
                <w:szCs w:val="22"/>
                <w:lang w:val="sr-Latn-ME" w:eastAsia="ja-JP"/>
              </w:rPr>
              <w:t xml:space="preserve"> </w:t>
            </w:r>
            <w:r w:rsidRPr="00C57D09">
              <w:rPr>
                <w:sz w:val="22"/>
                <w:szCs w:val="22"/>
                <w:lang w:val="sr-Latn-ME" w:eastAsia="ja-JP"/>
              </w:rPr>
              <w:t>primijećeno tokom praćenja lijeka nakon stavljanja lijeka u promet</w:t>
            </w:r>
          </w:p>
          <w:p w:rsidR="00C57D09" w:rsidRPr="0055610F" w:rsidRDefault="00C57D09" w:rsidP="00C57D09">
            <w:pPr>
              <w:keepNext/>
              <w:jc w:val="both"/>
              <w:rPr>
                <w:sz w:val="22"/>
                <w:szCs w:val="22"/>
                <w:lang w:val="sr-Latn-ME" w:eastAsia="ja-JP"/>
              </w:rPr>
            </w:pPr>
            <w:r w:rsidRPr="004B5023">
              <w:rPr>
                <w:sz w:val="22"/>
                <w:szCs w:val="22"/>
                <w:vertAlign w:val="superscript"/>
                <w:lang w:val="sr-Latn-ME" w:eastAsia="ja-JP"/>
              </w:rPr>
              <w:t>4</w:t>
            </w:r>
            <w:r>
              <w:rPr>
                <w:sz w:val="22"/>
                <w:szCs w:val="22"/>
                <w:lang w:val="sr-Latn-ME" w:eastAsia="ja-JP"/>
              </w:rPr>
              <w:t xml:space="preserve"> </w:t>
            </w:r>
            <w:r w:rsidRPr="0055610F">
              <w:rPr>
                <w:sz w:val="22"/>
                <w:szCs w:val="22"/>
                <w:lang w:val="sr-Latn-ME" w:eastAsia="ja-JP"/>
              </w:rPr>
              <w:t xml:space="preserve">vidjeti takođe dio </w:t>
            </w:r>
            <w:r w:rsidRPr="0055610F">
              <w:rPr>
                <w:i/>
                <w:sz w:val="22"/>
                <w:szCs w:val="22"/>
                <w:lang w:val="sr-Latn-ME" w:eastAsia="ja-JP"/>
              </w:rPr>
              <w:t>Hematološke neželjene reakcije</w:t>
            </w:r>
            <w:r w:rsidRPr="0055610F">
              <w:rPr>
                <w:sz w:val="22"/>
                <w:szCs w:val="22"/>
                <w:lang w:val="sr-Latn-ME" w:eastAsia="ja-JP"/>
              </w:rPr>
              <w:t xml:space="preserve"> dalje u tekstu</w:t>
            </w:r>
          </w:p>
          <w:p w:rsidR="00C57D09" w:rsidRPr="0055610F" w:rsidRDefault="00C57D09" w:rsidP="00C57D09">
            <w:pPr>
              <w:keepNext/>
              <w:jc w:val="both"/>
              <w:rPr>
                <w:sz w:val="22"/>
                <w:szCs w:val="22"/>
                <w:lang w:val="sr-Latn-ME" w:eastAsia="ja-JP"/>
              </w:rPr>
            </w:pPr>
            <w:r>
              <w:rPr>
                <w:sz w:val="22"/>
                <w:szCs w:val="22"/>
                <w:vertAlign w:val="superscript"/>
                <w:lang w:val="sr-Latn-ME" w:eastAsia="ja-JP"/>
              </w:rPr>
              <w:t>5</w:t>
            </w:r>
            <w:r w:rsidRPr="0055610F">
              <w:rPr>
                <w:sz w:val="22"/>
                <w:szCs w:val="22"/>
                <w:lang w:val="sr-Latn-ME" w:eastAsia="ja-JP"/>
              </w:rPr>
              <w:t xml:space="preserve"> vidjeti takođe dio </w:t>
            </w:r>
            <w:r w:rsidRPr="0055610F">
              <w:rPr>
                <w:i/>
                <w:sz w:val="22"/>
                <w:szCs w:val="22"/>
                <w:lang w:val="sr-Latn-ME" w:eastAsia="ja-JP"/>
              </w:rPr>
              <w:t>Reakcije na infuziju</w:t>
            </w:r>
            <w:r w:rsidRPr="0055610F">
              <w:rPr>
                <w:sz w:val="22"/>
                <w:szCs w:val="22"/>
                <w:lang w:val="sr-Latn-ME" w:eastAsia="ja-JP"/>
              </w:rPr>
              <w:t xml:space="preserve"> dalje u tekstu. Rijetko su prijavljeni fatalni ishodi</w:t>
            </w:r>
          </w:p>
          <w:p w:rsidR="00C57D09" w:rsidRPr="0055610F" w:rsidRDefault="00C57D09" w:rsidP="009C76FB">
            <w:pPr>
              <w:keepNext/>
              <w:ind w:left="169" w:hanging="169"/>
              <w:jc w:val="both"/>
              <w:rPr>
                <w:sz w:val="22"/>
                <w:szCs w:val="22"/>
                <w:lang w:val="sr-Latn-ME" w:eastAsia="ja-JP"/>
              </w:rPr>
            </w:pPr>
            <w:r>
              <w:rPr>
                <w:sz w:val="22"/>
                <w:szCs w:val="22"/>
                <w:vertAlign w:val="superscript"/>
                <w:lang w:val="sr-Latn-ME" w:eastAsia="ja-JP"/>
              </w:rPr>
              <w:t>6</w:t>
            </w:r>
            <w:r w:rsidRPr="0055610F">
              <w:rPr>
                <w:b/>
                <w:sz w:val="22"/>
                <w:szCs w:val="22"/>
                <w:lang w:val="sr-Latn-ME" w:eastAsia="ja-JP"/>
              </w:rPr>
              <w:t xml:space="preserve"> </w:t>
            </w:r>
            <w:r w:rsidRPr="0055610F">
              <w:rPr>
                <w:sz w:val="22"/>
                <w:szCs w:val="22"/>
                <w:lang w:val="sr-Latn-ME" w:eastAsia="ja-JP"/>
              </w:rPr>
              <w:t xml:space="preserve">znaci i simptomi kranijalne neuropatije. Javljaju se u različito vrijeme i do nekoliko mjeseci nakon završetka terapije lijekom MabThera </w:t>
            </w:r>
          </w:p>
          <w:p w:rsidR="00C57D09" w:rsidRPr="0055610F" w:rsidRDefault="00C57D09" w:rsidP="009C76FB">
            <w:pPr>
              <w:keepNext/>
              <w:ind w:left="169" w:hanging="169"/>
              <w:jc w:val="both"/>
              <w:rPr>
                <w:sz w:val="22"/>
                <w:szCs w:val="22"/>
                <w:lang w:val="sr-Latn-ME" w:eastAsia="ja-JP"/>
              </w:rPr>
            </w:pPr>
            <w:r w:rsidRPr="00C57D09">
              <w:rPr>
                <w:sz w:val="22"/>
                <w:szCs w:val="22"/>
                <w:vertAlign w:val="superscript"/>
                <w:lang w:val="sr-Latn-ME" w:eastAsia="ja-JP"/>
              </w:rPr>
              <w:t xml:space="preserve"> </w:t>
            </w:r>
            <w:r>
              <w:rPr>
                <w:sz w:val="22"/>
                <w:szCs w:val="22"/>
                <w:vertAlign w:val="superscript"/>
                <w:lang w:val="sr-Latn-ME" w:eastAsia="ja-JP"/>
              </w:rPr>
              <w:t>7</w:t>
            </w:r>
            <w:r w:rsidRPr="0055610F">
              <w:rPr>
                <w:sz w:val="22"/>
                <w:szCs w:val="22"/>
                <w:lang w:val="sr-Latn-ME" w:eastAsia="ja-JP"/>
              </w:rPr>
              <w:t xml:space="preserve">primijećeni uglavnom kod pacijenata sa prethodnim kardiološkim stanjima i/ili kardiotoksičnom hemioterapijom i uglavnom su bili povezani sa reakcijama na infuziju </w:t>
            </w:r>
          </w:p>
          <w:p w:rsidR="00C57D09" w:rsidRPr="0055610F" w:rsidRDefault="00C57D09" w:rsidP="00C57D09">
            <w:pPr>
              <w:jc w:val="both"/>
              <w:rPr>
                <w:sz w:val="22"/>
                <w:szCs w:val="22"/>
                <w:lang w:val="sr-Latn-ME" w:eastAsia="ja-JP"/>
              </w:rPr>
            </w:pPr>
            <w:r>
              <w:rPr>
                <w:sz w:val="22"/>
                <w:szCs w:val="22"/>
                <w:vertAlign w:val="superscript"/>
                <w:lang w:val="sr-Latn-ME" w:eastAsia="ja-JP"/>
              </w:rPr>
              <w:t>8</w:t>
            </w:r>
            <w:r w:rsidRPr="0055610F">
              <w:rPr>
                <w:sz w:val="22"/>
                <w:szCs w:val="22"/>
                <w:lang w:val="sr-Latn-ME" w:eastAsia="ja-JP"/>
              </w:rPr>
              <w:t xml:space="preserve"> uključuju i fatalne slučajeve</w:t>
            </w:r>
          </w:p>
          <w:p w:rsidR="00C57D09" w:rsidRPr="0055610F" w:rsidRDefault="00C57D09" w:rsidP="00C57D09">
            <w:pPr>
              <w:jc w:val="both"/>
              <w:rPr>
                <w:sz w:val="22"/>
                <w:szCs w:val="22"/>
                <w:lang w:val="sr-Latn-ME" w:eastAsia="ja-JP"/>
              </w:rPr>
            </w:pPr>
          </w:p>
        </w:tc>
      </w:tr>
    </w:tbl>
    <w:p w:rsidR="00496E03" w:rsidRPr="0055610F" w:rsidRDefault="00496E03" w:rsidP="004D5825">
      <w:pPr>
        <w:jc w:val="both"/>
        <w:rPr>
          <w:sz w:val="22"/>
          <w:szCs w:val="22"/>
          <w:lang w:val="sr-Latn-ME" w:eastAsia="ja-JP"/>
        </w:rPr>
      </w:pPr>
    </w:p>
    <w:p w:rsidR="00496E03" w:rsidRPr="0055610F" w:rsidRDefault="00496E03" w:rsidP="004D5825">
      <w:pPr>
        <w:jc w:val="both"/>
        <w:rPr>
          <w:sz w:val="22"/>
          <w:szCs w:val="22"/>
          <w:lang w:val="sr-Latn-ME" w:eastAsia="ja-JP"/>
        </w:rPr>
      </w:pPr>
      <w:r w:rsidRPr="0055610F">
        <w:rPr>
          <w:sz w:val="22"/>
          <w:szCs w:val="22"/>
          <w:lang w:val="sr-Latn-ME" w:eastAsia="ja-JP"/>
        </w:rPr>
        <w:t>Sl</w:t>
      </w:r>
      <w:r w:rsidR="0004233E" w:rsidRPr="0055610F">
        <w:rPr>
          <w:sz w:val="22"/>
          <w:szCs w:val="22"/>
          <w:lang w:val="sr-Latn-ME" w:eastAsia="ja-JP"/>
        </w:rPr>
        <w:t>j</w:t>
      </w:r>
      <w:r w:rsidRPr="0055610F">
        <w:rPr>
          <w:sz w:val="22"/>
          <w:szCs w:val="22"/>
          <w:lang w:val="sr-Latn-ME" w:eastAsia="ja-JP"/>
        </w:rPr>
        <w:t>edeća stanja prijavljena su kao neželjeni događaji tokom kliničkih studija, ali su bili prijavljena sa sličnom ili nižom incidencom u grupi pacijenata na terapiji lijekom MabThera u poređenju sa kontrolnom grupom: hematotoksičnost, neutropenijske infekcije, infekcije urinarnog trakta, senzorni poremećaji, pireksija.</w:t>
      </w:r>
    </w:p>
    <w:p w:rsidR="00496E03" w:rsidRPr="0055610F" w:rsidRDefault="00496E03" w:rsidP="004D5825">
      <w:pPr>
        <w:jc w:val="both"/>
        <w:rPr>
          <w:i/>
          <w:sz w:val="22"/>
          <w:szCs w:val="22"/>
          <w:lang w:val="sr-Latn-ME"/>
        </w:rPr>
      </w:pPr>
    </w:p>
    <w:p w:rsidR="00B21971" w:rsidRPr="0055610F" w:rsidRDefault="00496E03" w:rsidP="004D5825">
      <w:pPr>
        <w:tabs>
          <w:tab w:val="left" w:pos="540"/>
          <w:tab w:val="left" w:pos="569"/>
        </w:tabs>
        <w:jc w:val="both"/>
        <w:rPr>
          <w:sz w:val="22"/>
          <w:szCs w:val="22"/>
          <w:lang w:val="sr-Latn-ME"/>
        </w:rPr>
      </w:pPr>
      <w:r w:rsidRPr="0055610F">
        <w:rPr>
          <w:sz w:val="22"/>
          <w:szCs w:val="22"/>
          <w:lang w:val="sr-Latn-ME"/>
        </w:rPr>
        <w:t>Znaci i simptomi koji ukazuju na pojavu reakcije vezane za infuziju zabilježene su u više od 50% pacijenata u kliničkim studijama, i uglavnom su se pojavljivale tokom prve infuzije, i to obično u prvom satu ili prva dva sata. Ovi simptomi su uglavnom uključivali groznicu, jezu i ukrućenost. U ostale simptome spadaju: crvenilo uz</w:t>
      </w:r>
      <w:r w:rsidRPr="007642DC">
        <w:rPr>
          <w:sz w:val="22"/>
          <w:szCs w:val="22"/>
          <w:lang w:val="sr-Latn-ME"/>
        </w:rPr>
        <w:t xml:space="preserve"> osjećaj vrućine</w:t>
      </w:r>
      <w:r w:rsidRPr="0055610F">
        <w:rPr>
          <w:sz w:val="22"/>
          <w:szCs w:val="22"/>
          <w:lang w:val="sr-Latn-ME"/>
        </w:rPr>
        <w:t xml:space="preserve">, angioedem, bronhospazam, povraćanje, mučnina, urtikarija/osip, umor, glavobolja, iritacija grla, rinitis, svrab, bol, tahikardija, hipertenzija, hipotenzija, dispnea, dispepsija, astenija i karakteristike sindroma lize tumora. Ozbiljne reakcije na infuziju (kao što su bronhospazam, hipotenzija) javili su se u oko 12% slučajeva. </w:t>
      </w:r>
    </w:p>
    <w:p w:rsidR="00B21971" w:rsidRPr="0055610F" w:rsidRDefault="00B21971" w:rsidP="004D5825">
      <w:pPr>
        <w:tabs>
          <w:tab w:val="left" w:pos="540"/>
          <w:tab w:val="left" w:pos="569"/>
        </w:tabs>
        <w:jc w:val="both"/>
        <w:rPr>
          <w:sz w:val="22"/>
          <w:szCs w:val="22"/>
          <w:lang w:val="sr-Latn-ME"/>
        </w:rPr>
      </w:pPr>
    </w:p>
    <w:p w:rsidR="00496E03" w:rsidRPr="0055610F" w:rsidRDefault="00496E03" w:rsidP="004D5825">
      <w:pPr>
        <w:tabs>
          <w:tab w:val="left" w:pos="540"/>
          <w:tab w:val="left" w:pos="569"/>
        </w:tabs>
        <w:jc w:val="both"/>
        <w:rPr>
          <w:sz w:val="22"/>
          <w:szCs w:val="22"/>
          <w:lang w:val="sr-Latn-ME" w:eastAsia="ja-JP"/>
        </w:rPr>
      </w:pPr>
      <w:r w:rsidRPr="0055610F">
        <w:rPr>
          <w:sz w:val="22"/>
          <w:szCs w:val="22"/>
          <w:lang w:val="sr-Latn-ME"/>
        </w:rPr>
        <w:t xml:space="preserve">Reakcije koje su još bile prijavljene u nekim slučajevima bile su infarkt miokarda, atrijalna fibrilacija, plućni edem i akutna reverzibilna trombocitopenija. Pogoršanja ranijih kardioloških događaja kao što su angina pektoris ili kongestivna sršana insuficijencija ili ozbiljni kardiološki poremećaji (srčana insuficijencija, infarkt miokarda, atrijalna fibrilacija), edem pluća, multiorganski poremećaji, sindrom lize tumora, sindrom oslobađanja citokina, bubrežna insuficijencija i respiratorna insuficijencija, prijavljene su sa manjom ili nepoznatom učestalošću. Incidenca simptoma vezanih za infuziju značajno </w:t>
      </w:r>
      <w:r w:rsidRPr="0055610F">
        <w:rPr>
          <w:sz w:val="22"/>
          <w:szCs w:val="22"/>
          <w:lang w:val="sr-Latn-ME"/>
        </w:rPr>
        <w:lastRenderedPageBreak/>
        <w:t xml:space="preserve">se smanjuje sa primjenom narednih infuzija i iznosi </w:t>
      </w:r>
      <w:r w:rsidRPr="0055610F">
        <w:rPr>
          <w:sz w:val="22"/>
          <w:szCs w:val="22"/>
          <w:lang w:val="sr-Latn-ME" w:eastAsia="ja-JP"/>
        </w:rPr>
        <w:t>&lt;1 % pacijenata pri primjeni osmog ciklusa terapije koja sadrži lijek MabThera.</w:t>
      </w:r>
    </w:p>
    <w:p w:rsidR="00496E03" w:rsidRPr="0055610F" w:rsidRDefault="00496E03" w:rsidP="004D5825">
      <w:pPr>
        <w:tabs>
          <w:tab w:val="left" w:pos="540"/>
          <w:tab w:val="left" w:pos="569"/>
        </w:tabs>
        <w:jc w:val="both"/>
        <w:rPr>
          <w:sz w:val="22"/>
          <w:szCs w:val="22"/>
          <w:lang w:val="sr-Latn-ME" w:eastAsia="ja-JP"/>
        </w:rPr>
      </w:pPr>
    </w:p>
    <w:p w:rsidR="00496E03" w:rsidRPr="0055610F" w:rsidRDefault="00496E03" w:rsidP="004D5825">
      <w:pPr>
        <w:jc w:val="both"/>
        <w:rPr>
          <w:i/>
          <w:sz w:val="22"/>
          <w:szCs w:val="22"/>
          <w:u w:val="single"/>
          <w:lang w:val="sr-Latn-ME"/>
        </w:rPr>
      </w:pPr>
      <w:r w:rsidRPr="0055610F">
        <w:rPr>
          <w:i/>
          <w:sz w:val="22"/>
          <w:szCs w:val="22"/>
          <w:u w:val="single"/>
          <w:lang w:val="sr-Latn-ME"/>
        </w:rPr>
        <w:t>Opis odabranih neželjenih dejstava</w:t>
      </w:r>
    </w:p>
    <w:p w:rsidR="00496E03" w:rsidRPr="0055610F" w:rsidRDefault="00496E03" w:rsidP="004D5825">
      <w:pPr>
        <w:jc w:val="both"/>
        <w:rPr>
          <w:i/>
          <w:sz w:val="22"/>
          <w:szCs w:val="22"/>
          <w:lang w:val="sr-Latn-ME"/>
        </w:rPr>
      </w:pPr>
    </w:p>
    <w:p w:rsidR="00496E03" w:rsidRPr="0055610F" w:rsidRDefault="00496E03" w:rsidP="004D5825">
      <w:pPr>
        <w:jc w:val="both"/>
        <w:rPr>
          <w:sz w:val="22"/>
          <w:szCs w:val="22"/>
          <w:lang w:val="sr-Latn-ME"/>
        </w:rPr>
      </w:pPr>
      <w:r w:rsidRPr="0055610F">
        <w:rPr>
          <w:i/>
          <w:sz w:val="22"/>
          <w:szCs w:val="22"/>
          <w:lang w:val="sr-Latn-ME"/>
        </w:rPr>
        <w:t>Infekcije</w:t>
      </w:r>
    </w:p>
    <w:p w:rsidR="00496E03" w:rsidRPr="0055610F" w:rsidRDefault="00496E03" w:rsidP="004D5825">
      <w:pPr>
        <w:jc w:val="both"/>
        <w:rPr>
          <w:sz w:val="22"/>
          <w:szCs w:val="22"/>
          <w:lang w:val="sr-Latn-ME"/>
        </w:rPr>
      </w:pPr>
      <w:r w:rsidRPr="0055610F">
        <w:rPr>
          <w:sz w:val="22"/>
          <w:szCs w:val="22"/>
          <w:lang w:val="sr-Latn-ME"/>
        </w:rPr>
        <w:t>MabThera je indukovala depleciju B ćelija kod 70% - 80% pacijenata</w:t>
      </w:r>
      <w:r w:rsidR="005712D5" w:rsidRPr="0055610F">
        <w:rPr>
          <w:sz w:val="22"/>
          <w:szCs w:val="22"/>
          <w:lang w:val="sr-Latn-ME"/>
        </w:rPr>
        <w:t>,</w:t>
      </w:r>
      <w:r w:rsidRPr="0055610F">
        <w:rPr>
          <w:sz w:val="22"/>
          <w:szCs w:val="22"/>
          <w:lang w:val="sr-Latn-ME"/>
        </w:rPr>
        <w:t xml:space="preserve"> ali je ovo bilo praćeno smanjenim nivoima imunoglobulina u serumu samo kod manjeg broja pacijenata. </w:t>
      </w:r>
    </w:p>
    <w:p w:rsidR="00496E03" w:rsidRPr="0055610F" w:rsidRDefault="00496E03" w:rsidP="004D5825">
      <w:pPr>
        <w:jc w:val="both"/>
        <w:rPr>
          <w:sz w:val="22"/>
          <w:szCs w:val="22"/>
          <w:lang w:val="sr-Latn-ME"/>
        </w:rPr>
      </w:pPr>
    </w:p>
    <w:p w:rsidR="00496E03" w:rsidRPr="0055610F" w:rsidRDefault="00CE2741" w:rsidP="004D5825">
      <w:pPr>
        <w:jc w:val="both"/>
        <w:rPr>
          <w:sz w:val="22"/>
          <w:szCs w:val="22"/>
          <w:lang w:val="sr-Latn-ME" w:eastAsia="ja-JP"/>
        </w:rPr>
      </w:pPr>
      <w:r>
        <w:rPr>
          <w:sz w:val="22"/>
          <w:szCs w:val="22"/>
          <w:lang w:val="sr-Latn-ME"/>
        </w:rPr>
        <w:t>Lokalizovana candida infekcija</w:t>
      </w:r>
      <w:r w:rsidR="00496E03" w:rsidRPr="0055610F">
        <w:rPr>
          <w:sz w:val="22"/>
          <w:szCs w:val="22"/>
          <w:lang w:val="sr-Latn-ME"/>
        </w:rPr>
        <w:t>, kao i Herpes zoster prijavljeni su sa većom incidencom u grupi pacijenata na terapiji sa MabTherom u randomizovanim studijama. Ozbiljne infekcije prijavljene su kod oko 4% pacijenata. Veća učestalost svih infekcija, uključujući i infekcije stepena 3 i 4, zabiliežene su sa MabTherom u terapiji održavanja do dvije godine, u poređenju sa kontrolnom grupom. Nije bilo kumulativne toksičnosti zbog infekcija tokom dvogodišnjeg perioda terapije. Štaviše, druge ozbiljne virusne infekcije, bilo nove, reaktivirane ili pogoršane, od kojih su neke bile fatalne, prijavljene su tokom terapije lijekom MabThera. Većina pacijenata dobijala je lijek MabThera sa hemioterapijom ili kao dio terapije pri transplantaciji hematopoetskih stem ćelija. Primjeri ovih ozbiljnih virusnih infekcija su infekcije uzrokovane herpes virusima (</w:t>
      </w:r>
      <w:r w:rsidR="00496E03" w:rsidRPr="0055610F">
        <w:rPr>
          <w:sz w:val="22"/>
          <w:szCs w:val="22"/>
          <w:lang w:val="sr-Latn-ME" w:eastAsia="ja-JP"/>
        </w:rPr>
        <w:t>Cytomegalovirus, Varicella Zoster Virus i Herpes Simplex Virus</w:t>
      </w:r>
      <w:r w:rsidR="00496E03" w:rsidRPr="0055610F">
        <w:rPr>
          <w:sz w:val="22"/>
          <w:szCs w:val="22"/>
          <w:lang w:val="sr-Latn-ME"/>
        </w:rPr>
        <w:t xml:space="preserve">),  JC virusom </w:t>
      </w:r>
      <w:r w:rsidR="00496E03" w:rsidRPr="0055610F">
        <w:rPr>
          <w:sz w:val="22"/>
          <w:szCs w:val="22"/>
          <w:lang w:val="sr-Latn-ME" w:eastAsia="ja-JP"/>
        </w:rPr>
        <w:t>(progresivena multifokalna leukoencefalopatija (P</w:t>
      </w:r>
      <w:r w:rsidR="007642DC">
        <w:rPr>
          <w:sz w:val="22"/>
          <w:szCs w:val="22"/>
          <w:lang w:val="sr-Latn-ME" w:eastAsia="ja-JP"/>
        </w:rPr>
        <w:t>ML</w:t>
      </w:r>
      <w:r w:rsidR="00496E03" w:rsidRPr="0055610F">
        <w:rPr>
          <w:sz w:val="22"/>
          <w:szCs w:val="22"/>
          <w:lang w:val="sr-Latn-ME" w:eastAsia="ja-JP"/>
        </w:rPr>
        <w:t>))</w:t>
      </w:r>
      <w:r w:rsidR="00496E03" w:rsidRPr="0055610F">
        <w:rPr>
          <w:sz w:val="22"/>
          <w:szCs w:val="22"/>
          <w:lang w:val="sr-Latn-ME"/>
        </w:rPr>
        <w:t xml:space="preserve">, </w:t>
      </w:r>
      <w:r w:rsidR="00C57D09" w:rsidRPr="00C57D09">
        <w:rPr>
          <w:sz w:val="22"/>
          <w:szCs w:val="22"/>
          <w:lang w:val="sr-Latn-ME"/>
        </w:rPr>
        <w:t>enteroviruso</w:t>
      </w:r>
      <w:r w:rsidR="00C57D09">
        <w:rPr>
          <w:sz w:val="22"/>
          <w:szCs w:val="22"/>
          <w:lang w:val="sr-Latn-ME"/>
        </w:rPr>
        <w:t>m (meningoencefalitis)</w:t>
      </w:r>
      <w:r w:rsidR="00C57D09" w:rsidRPr="00C57D09">
        <w:rPr>
          <w:sz w:val="22"/>
          <w:szCs w:val="22"/>
          <w:lang w:val="sr-Latn-ME"/>
        </w:rPr>
        <w:t xml:space="preserve"> </w:t>
      </w:r>
      <w:r w:rsidR="00496E03" w:rsidRPr="0055610F">
        <w:rPr>
          <w:sz w:val="22"/>
          <w:szCs w:val="22"/>
          <w:lang w:val="sr-Latn-ME"/>
        </w:rPr>
        <w:t>i hepatitis C virusom</w:t>
      </w:r>
      <w:r w:rsidR="00C57D09" w:rsidRPr="00C57D09">
        <w:rPr>
          <w:sz w:val="22"/>
          <w:szCs w:val="22"/>
          <w:lang w:val="sr-Latn-ME"/>
        </w:rPr>
        <w:t xml:space="preserve"> (vidjeti dio 4.4.)</w:t>
      </w:r>
      <w:r w:rsidR="00496E03" w:rsidRPr="0055610F">
        <w:rPr>
          <w:sz w:val="22"/>
          <w:szCs w:val="22"/>
          <w:lang w:val="sr-Latn-ME" w:eastAsia="ja-JP"/>
        </w:rPr>
        <w:t xml:space="preserve">. </w:t>
      </w:r>
      <w:r w:rsidR="00496E03" w:rsidRPr="0055610F">
        <w:rPr>
          <w:sz w:val="22"/>
          <w:szCs w:val="22"/>
          <w:lang w:val="sr-Latn-ME"/>
        </w:rPr>
        <w:t>Slučajevi P</w:t>
      </w:r>
      <w:r w:rsidR="007642DC">
        <w:rPr>
          <w:sz w:val="22"/>
          <w:szCs w:val="22"/>
          <w:lang w:val="sr-Latn-ME"/>
        </w:rPr>
        <w:t>ML</w:t>
      </w:r>
      <w:r w:rsidR="00496E03" w:rsidRPr="0055610F">
        <w:rPr>
          <w:sz w:val="22"/>
          <w:szCs w:val="22"/>
          <w:lang w:val="sr-Latn-ME"/>
        </w:rPr>
        <w:noBreakHyphen/>
        <w:t xml:space="preserve">a sa fatalnim ishodom koji su se pojavili nakon progresije bolesti i ponovnog liječenja prijavljeni su i u kliničkim ispitivanjima. </w:t>
      </w:r>
      <w:r w:rsidR="00496E03" w:rsidRPr="0055610F">
        <w:rPr>
          <w:sz w:val="22"/>
          <w:szCs w:val="22"/>
          <w:lang w:val="sr-Latn-ME" w:eastAsia="ja-JP"/>
        </w:rPr>
        <w:t xml:space="preserve">Prijavljeni su i primjeri reaktivacije hepatitisa B, od kojih je većina bila kod pacijenata koji su  primali lijek MabThera u kombinaciji sa  citotoksičnom hemioterapijom. </w:t>
      </w:r>
      <w:r w:rsidR="00496E03" w:rsidRPr="0055610F">
        <w:rPr>
          <w:sz w:val="22"/>
          <w:szCs w:val="22"/>
          <w:lang w:val="sr-Latn-ME"/>
        </w:rPr>
        <w:t>Kod pacijenata sa relapsirajućim/refraktornim CLL</w:t>
      </w:r>
      <w:r w:rsidR="00496E03" w:rsidRPr="0055610F">
        <w:rPr>
          <w:sz w:val="22"/>
          <w:szCs w:val="22"/>
          <w:lang w:val="sr-Latn-ME"/>
        </w:rPr>
        <w:noBreakHyphen/>
        <w:t>om incidenca hepatitis B infekcije stepena 3/4 (reaktivacija i primarna infekcija) iznosila je 2% kod primjene R</w:t>
      </w:r>
      <w:r w:rsidR="00496E03" w:rsidRPr="0055610F">
        <w:rPr>
          <w:sz w:val="22"/>
          <w:szCs w:val="22"/>
          <w:lang w:val="sr-Latn-ME"/>
        </w:rPr>
        <w:noBreakHyphen/>
        <w:t>FC terapije u odnosu na 0% kod primjene FC terapije.Pr</w:t>
      </w:r>
      <w:r w:rsidR="00496E03" w:rsidRPr="0055610F">
        <w:rPr>
          <w:sz w:val="22"/>
          <w:szCs w:val="22"/>
          <w:lang w:val="sr-Latn-ME" w:eastAsia="ja-JP"/>
        </w:rPr>
        <w:t xml:space="preserve">ogresija Kapoši sarkoma zabilježena je kod pacijenata koji su dobijali rituksimab a već su imali Kapoši sarkom. Ovi slučajevi javili su se pri primjeni lijeka u neodobrenim indikacijama i većina pacijenata bila je HIV pozitivna. </w:t>
      </w:r>
    </w:p>
    <w:p w:rsidR="00496E03" w:rsidRPr="0055610F" w:rsidRDefault="00496E03" w:rsidP="004D5825">
      <w:pPr>
        <w:jc w:val="both"/>
        <w:rPr>
          <w:sz w:val="22"/>
          <w:szCs w:val="22"/>
          <w:lang w:val="sr-Latn-ME" w:eastAsia="ja-JP"/>
        </w:rPr>
      </w:pPr>
    </w:p>
    <w:p w:rsidR="00496E03" w:rsidRPr="0055610F" w:rsidRDefault="00496E03" w:rsidP="004D5825">
      <w:pPr>
        <w:jc w:val="both"/>
        <w:rPr>
          <w:i/>
          <w:sz w:val="22"/>
          <w:szCs w:val="22"/>
          <w:lang w:val="sr-Latn-ME"/>
        </w:rPr>
      </w:pPr>
      <w:r w:rsidRPr="0055610F">
        <w:rPr>
          <w:i/>
          <w:sz w:val="22"/>
          <w:szCs w:val="22"/>
          <w:lang w:val="sr-Latn-ME"/>
        </w:rPr>
        <w:t>Hematološke neželjene reakcije</w:t>
      </w:r>
    </w:p>
    <w:p w:rsidR="006F7465" w:rsidRDefault="00496E03" w:rsidP="004D5825">
      <w:pPr>
        <w:jc w:val="both"/>
        <w:rPr>
          <w:sz w:val="22"/>
          <w:szCs w:val="22"/>
          <w:lang w:val="sr-Latn-ME"/>
        </w:rPr>
      </w:pPr>
      <w:r w:rsidRPr="0055610F">
        <w:rPr>
          <w:sz w:val="22"/>
          <w:szCs w:val="22"/>
          <w:lang w:val="sr-Latn-ME"/>
        </w:rPr>
        <w:t>U kliničkim studijama sa primjenom MabThera monoterapije tokom 4 ned</w:t>
      </w:r>
      <w:r w:rsidR="005712D5" w:rsidRPr="0055610F">
        <w:rPr>
          <w:sz w:val="22"/>
          <w:szCs w:val="22"/>
          <w:lang w:val="sr-Latn-ME"/>
        </w:rPr>
        <w:t>j</w:t>
      </w:r>
      <w:r w:rsidRPr="0055610F">
        <w:rPr>
          <w:sz w:val="22"/>
          <w:szCs w:val="22"/>
          <w:lang w:val="sr-Latn-ME"/>
        </w:rPr>
        <w:t xml:space="preserve">elje, hematološki poremećaji javili su se kod manjeg broja </w:t>
      </w:r>
      <w:r w:rsidR="00B16626" w:rsidRPr="0055610F">
        <w:rPr>
          <w:sz w:val="22"/>
          <w:szCs w:val="22"/>
          <w:lang w:val="sr-Latn-ME"/>
        </w:rPr>
        <w:t>pacijenata</w:t>
      </w:r>
      <w:r w:rsidRPr="0055610F">
        <w:rPr>
          <w:sz w:val="22"/>
          <w:szCs w:val="22"/>
          <w:lang w:val="sr-Latn-ME"/>
        </w:rPr>
        <w:t xml:space="preserve"> i obično su bili blagi i reverzibilni. Teška (stepen 3 ili 4) neutropenija zabilježena je kod 4,2% </w:t>
      </w:r>
      <w:r w:rsidR="00B16626" w:rsidRPr="0055610F">
        <w:rPr>
          <w:sz w:val="22"/>
          <w:szCs w:val="22"/>
          <w:lang w:val="sr-Latn-ME"/>
        </w:rPr>
        <w:t>pacijenata</w:t>
      </w:r>
      <w:r w:rsidRPr="0055610F">
        <w:rPr>
          <w:sz w:val="22"/>
          <w:szCs w:val="22"/>
          <w:lang w:val="sr-Latn-ME"/>
        </w:rPr>
        <w:t xml:space="preserve">,  anemija kod 1,1% </w:t>
      </w:r>
      <w:r w:rsidR="00B16626" w:rsidRPr="0055610F">
        <w:rPr>
          <w:sz w:val="22"/>
          <w:szCs w:val="22"/>
          <w:lang w:val="sr-Latn-ME"/>
        </w:rPr>
        <w:t>pacijenata</w:t>
      </w:r>
      <w:r w:rsidRPr="0055610F">
        <w:rPr>
          <w:sz w:val="22"/>
          <w:szCs w:val="22"/>
          <w:lang w:val="sr-Latn-ME"/>
        </w:rPr>
        <w:t xml:space="preserve">, a trombocitopenija  kod 1,7% pacijenata.  </w:t>
      </w:r>
    </w:p>
    <w:p w:rsidR="00496E03" w:rsidRPr="0055610F" w:rsidRDefault="00496E03" w:rsidP="004D5825">
      <w:pPr>
        <w:jc w:val="both"/>
        <w:rPr>
          <w:sz w:val="22"/>
          <w:szCs w:val="22"/>
          <w:lang w:val="sr-Latn-ME"/>
        </w:rPr>
      </w:pPr>
      <w:r w:rsidRPr="0055610F">
        <w:rPr>
          <w:sz w:val="22"/>
          <w:szCs w:val="22"/>
          <w:lang w:val="sr-Latn-ME"/>
        </w:rPr>
        <w:t>Tokom terapije održavanja sa lijekom MabThera tokom 2 godine</w:t>
      </w:r>
      <w:r w:rsidRPr="0055610F">
        <w:rPr>
          <w:sz w:val="22"/>
          <w:szCs w:val="22"/>
          <w:lang w:val="sr-Latn-ME" w:eastAsia="ja-JP"/>
        </w:rPr>
        <w:t>, leukopenija (5% vs 2%, stepena 3/4) i neutropenija (10% vs.4%, stepena 3/4) prijavljene su sa većom incidencom u odnosu na kontrolnu grupu. Incidenca trombocitopenije bila je niska ( &lt;1 %, stepena 3/4) i nije se razlikovala između terapijskih grupa. Za vrijeme liječenja u studijama sa lijekom MabThera u kombinaciji sa hemioterapijom, leukopenija stepena 3/4 (R-CHOP 88% vs CHOP 79%, R-FC 23% vs FC 12%), neutropenija (R-CVP 24% vs CVP 14%; R-CHOP 97% vs. CHOP 88%, R-FC 30% vs. FC 19%), pancitopenija (R-FC 3% vs FC 1%) obično su prijavljene su sa većom učestalošću nego pri primjeni samo hemioterapije. Ipak, viša incidenca neutropenije kod pacijenata liječenih lijekom MabThrea i hemioterapijom nije bila povezana sa višom incidencom infekcija i infestacija u poređenju sa pacijentima liječenim samo hemioterapijom.</w:t>
      </w:r>
      <w:r w:rsidRPr="0055610F">
        <w:rPr>
          <w:sz w:val="22"/>
          <w:szCs w:val="22"/>
          <w:lang w:val="sr-Latn-ME"/>
        </w:rPr>
        <w:t xml:space="preserve"> </w:t>
      </w:r>
      <w:r w:rsidRPr="0055610F">
        <w:rPr>
          <w:sz w:val="22"/>
          <w:szCs w:val="22"/>
          <w:lang w:val="sr-Latn-ME" w:eastAsia="ja-JP"/>
        </w:rPr>
        <w:t>Ispitivanjima prethodno neliječenog i relapsirajućeg/refraktornog CLL</w:t>
      </w:r>
      <w:r w:rsidRPr="0055610F">
        <w:rPr>
          <w:sz w:val="22"/>
          <w:szCs w:val="22"/>
          <w:lang w:val="sr-Latn-ME" w:eastAsia="ja-JP"/>
        </w:rPr>
        <w:noBreakHyphen/>
        <w:t>a utvrdilo se da je u do 25% pacijenata koji su primali R</w:t>
      </w:r>
      <w:r w:rsidRPr="0055610F">
        <w:rPr>
          <w:sz w:val="22"/>
          <w:szCs w:val="22"/>
          <w:lang w:val="sr-Latn-ME" w:eastAsia="ja-JP"/>
        </w:rPr>
        <w:noBreakHyphen/>
        <w:t>FC neutropenija bila produžena (definirano kao broj neutrofila koji je ostao niži od 1 x 10</w:t>
      </w:r>
      <w:r w:rsidRPr="0055610F">
        <w:rPr>
          <w:sz w:val="22"/>
          <w:szCs w:val="22"/>
          <w:vertAlign w:val="superscript"/>
          <w:lang w:val="sr-Latn-ME" w:eastAsia="ja-JP"/>
        </w:rPr>
        <w:t>9</w:t>
      </w:r>
      <w:r w:rsidRPr="0055610F">
        <w:rPr>
          <w:sz w:val="22"/>
          <w:szCs w:val="22"/>
          <w:lang w:val="sr-Latn-ME" w:eastAsia="ja-JP"/>
        </w:rPr>
        <w:t>/l između 24. i 42. dana od posljednje doze) ili se pojavila kasnije (definisano kao broj neutrofila niži od 1 x 10</w:t>
      </w:r>
      <w:r w:rsidRPr="0055610F">
        <w:rPr>
          <w:sz w:val="22"/>
          <w:szCs w:val="22"/>
          <w:vertAlign w:val="superscript"/>
          <w:lang w:val="sr-Latn-ME" w:eastAsia="ja-JP"/>
        </w:rPr>
        <w:t>9</w:t>
      </w:r>
      <w:r w:rsidRPr="0055610F">
        <w:rPr>
          <w:sz w:val="22"/>
          <w:szCs w:val="22"/>
          <w:lang w:val="sr-Latn-ME" w:eastAsia="ja-JP"/>
        </w:rPr>
        <w:t>/l nakon više od 42 dana od posljednje doze kod pacijenata koji ranije ni</w:t>
      </w:r>
      <w:r w:rsidR="005712D5" w:rsidRPr="0055610F">
        <w:rPr>
          <w:sz w:val="22"/>
          <w:szCs w:val="22"/>
          <w:lang w:val="sr-Latn-ME" w:eastAsia="ja-JP"/>
        </w:rPr>
        <w:t>je</w:t>
      </w:r>
      <w:r w:rsidRPr="0055610F">
        <w:rPr>
          <w:sz w:val="22"/>
          <w:szCs w:val="22"/>
          <w:lang w:val="sr-Latn-ME" w:eastAsia="ja-JP"/>
        </w:rPr>
        <w:t>su imali produženu neutropeniju ili u onih koji su se oporavili prije 42. dana) nakon liječenja lijekom MabThera u kombinaciji sa FC</w:t>
      </w:r>
      <w:r w:rsidRPr="0055610F">
        <w:rPr>
          <w:sz w:val="22"/>
          <w:szCs w:val="22"/>
          <w:lang w:val="sr-Latn-ME" w:eastAsia="ja-JP"/>
        </w:rPr>
        <w:noBreakHyphen/>
        <w:t>om.  Nije bilo prijavljenih razlika za incidencu  anemije. Prijavljeni su neki slučajevi kasne neutropenije koji su se  javljali više od četiri nedelje nakon primjene poslednje infuzije lijeka MabThera. U ispitivanju prve linije liječenja CLL</w:t>
      </w:r>
      <w:r w:rsidRPr="0055610F">
        <w:rPr>
          <w:sz w:val="22"/>
          <w:szCs w:val="22"/>
          <w:lang w:val="sr-Latn-ME" w:eastAsia="ja-JP"/>
        </w:rPr>
        <w:noBreakHyphen/>
        <w:t>a, pacijenti u stadijumu C bolesti prema Binetovoj klasifikaciji koji su primali R</w:t>
      </w:r>
      <w:r w:rsidRPr="0055610F">
        <w:rPr>
          <w:sz w:val="22"/>
          <w:szCs w:val="22"/>
          <w:lang w:val="sr-Latn-ME" w:eastAsia="ja-JP"/>
        </w:rPr>
        <w:noBreakHyphen/>
        <w:t>FC imali su više neželjenih reakcija u poređenju sa onim koji su primali FC (R</w:t>
      </w:r>
      <w:r w:rsidRPr="0055610F">
        <w:rPr>
          <w:sz w:val="22"/>
          <w:szCs w:val="22"/>
          <w:lang w:val="sr-Latn-ME" w:eastAsia="ja-JP"/>
        </w:rPr>
        <w:noBreakHyphen/>
        <w:t>FC 83% u odnosu na FC 71%). U ispitivanju relapsirajućeg/refraktornog CLL</w:t>
      </w:r>
      <w:r w:rsidRPr="0055610F">
        <w:rPr>
          <w:sz w:val="22"/>
          <w:szCs w:val="22"/>
          <w:lang w:val="sr-Latn-ME" w:eastAsia="ja-JP"/>
        </w:rPr>
        <w:noBreakHyphen/>
        <w:t>a trombocitopenija stepena 3/4 prijavljena je u 11% pacijenata u grupi koja je primala R</w:t>
      </w:r>
      <w:r w:rsidRPr="0055610F">
        <w:rPr>
          <w:sz w:val="22"/>
          <w:szCs w:val="22"/>
          <w:lang w:val="sr-Latn-ME" w:eastAsia="ja-JP"/>
        </w:rPr>
        <w:noBreakHyphen/>
        <w:t>FC u poređenju sa 9% pacijenata u grupi koja je primala FC.</w:t>
      </w:r>
    </w:p>
    <w:p w:rsidR="00496E03" w:rsidRPr="0055610F" w:rsidRDefault="00496E03" w:rsidP="004D5825">
      <w:pPr>
        <w:jc w:val="both"/>
        <w:rPr>
          <w:sz w:val="22"/>
          <w:szCs w:val="22"/>
          <w:lang w:val="sr-Latn-ME" w:eastAsia="ja-JP"/>
        </w:rPr>
      </w:pPr>
    </w:p>
    <w:p w:rsidR="00496E03" w:rsidRPr="0055610F" w:rsidRDefault="00496E03" w:rsidP="004D5825">
      <w:pPr>
        <w:jc w:val="both"/>
        <w:rPr>
          <w:rFonts w:eastAsia="Arial Unicode MS"/>
          <w:sz w:val="22"/>
          <w:szCs w:val="22"/>
          <w:lang w:val="sr-Latn-ME" w:eastAsia="ja-JP"/>
        </w:rPr>
      </w:pPr>
      <w:r w:rsidRPr="0055610F">
        <w:rPr>
          <w:sz w:val="22"/>
          <w:szCs w:val="22"/>
          <w:lang w:val="sr-Latn-ME" w:eastAsia="ja-JP"/>
        </w:rPr>
        <w:lastRenderedPageBreak/>
        <w:t xml:space="preserve">U studijama sa MabTherom kod pacijenata sa </w:t>
      </w:r>
      <w:r w:rsidRPr="0055610F">
        <w:rPr>
          <w:rFonts w:eastAsia="Arial Unicode MS"/>
          <w:sz w:val="22"/>
          <w:szCs w:val="22"/>
          <w:lang w:val="sr-Latn-ME" w:eastAsia="ja-JP"/>
        </w:rPr>
        <w:t>Waldenstrom-ovom makroglobulinemijom, primijećeno je prolazno povećanje nivoa serumkog IgM nakon započinjanja terapije, koje može biti povezano sa hiperviskozitetom i sličnim simptomima.  Prolazno povećanje IgM obično se vraćalo bar na početni nivo u toku 4 mjeseca.</w:t>
      </w:r>
    </w:p>
    <w:p w:rsidR="00496E03" w:rsidRPr="0055610F" w:rsidRDefault="00496E03" w:rsidP="004D5825">
      <w:pPr>
        <w:jc w:val="both"/>
        <w:rPr>
          <w:rFonts w:eastAsia="Arial Unicode MS"/>
          <w:sz w:val="22"/>
          <w:szCs w:val="22"/>
          <w:lang w:val="sr-Latn-ME" w:eastAsia="ja-JP"/>
        </w:rPr>
      </w:pPr>
    </w:p>
    <w:p w:rsidR="00496E03" w:rsidRPr="0055610F" w:rsidRDefault="00496E03" w:rsidP="004D5825">
      <w:pPr>
        <w:jc w:val="both"/>
        <w:rPr>
          <w:sz w:val="22"/>
          <w:szCs w:val="22"/>
          <w:lang w:val="sr-Latn-ME"/>
        </w:rPr>
      </w:pPr>
      <w:r w:rsidRPr="0055610F">
        <w:rPr>
          <w:i/>
          <w:sz w:val="22"/>
          <w:szCs w:val="22"/>
          <w:lang w:val="sr-Latn-ME"/>
        </w:rPr>
        <w:t>Kardiovaskularna neželjena dejstva</w:t>
      </w:r>
    </w:p>
    <w:p w:rsidR="00496E03" w:rsidRPr="0055610F" w:rsidRDefault="00496E03" w:rsidP="004D5825">
      <w:pPr>
        <w:jc w:val="both"/>
        <w:rPr>
          <w:sz w:val="22"/>
          <w:szCs w:val="22"/>
          <w:lang w:val="sr-Latn-ME"/>
        </w:rPr>
      </w:pPr>
      <w:r w:rsidRPr="0055610F">
        <w:rPr>
          <w:sz w:val="22"/>
          <w:szCs w:val="22"/>
          <w:lang w:val="sr-Latn-ME"/>
        </w:rPr>
        <w:t xml:space="preserve">Kardiovaskularne reakcije tokom kliničkih studija sa MabThera monoterapijom zabilježeni su kod 18,8%, pri čemu su najčešće prijavljeni bili hipotenzija i hipertenzija. Tokom primjene infuzije, prijavljeni su slučajevi aritmije stepena 3 ili 4 (uključujući ventrikularnu i supraventrikularnu tahikardiju) i angine pektoris. Tokom terapije održavanja incidenca kardioloških poremećaja stepena 3/4 bila je slična između pacijenata liječenih lijekom MabThera i kontrolne grupe. Kardiološki događaji prijavljeni su kao ozbiljni neželjeni događaji (uključujući atrijalnu fibrilaciju, infarkt miokarda, insuficijenciju lijeve komore, ishemiju miokarda) kod 3% pacijenata liječenih lijekom MabThera i </w:t>
      </w:r>
      <w:r w:rsidRPr="0055610F">
        <w:rPr>
          <w:sz w:val="22"/>
          <w:szCs w:val="22"/>
          <w:lang w:val="sr-Latn-ME" w:eastAsia="ja-JP"/>
        </w:rPr>
        <w:t>&lt;1% u kontrolnoj grupi. U studijama koje su procjenjivale liječenje lijekom MabThera u kombinaciji sa hemioterapijom, incidenca stepena 3 i 4 kardijalnih aritmija, predominantno supraventrikularnih aritmija kao što su tahikardija i atrijalni flater/fibrilacija, bila je viša u  R-CHOP grupi (14 pacijenata, 6.9 %) u poređenju sa CHOP grupom (3 pacijenta, 1.5 %). Sve ove aritmije javljale su se ili pri primjeni infuzije MabThera ili su bile povezane sa stanjima predispozicija kao što su groznica, infekcija, akutni infarkt miokarda ili postojeće respiratorne i kardiovaskularne bolesti. Nije primijećena razlika između R-CHOP i CHOP grupe u incidenci ostalih kardioloških događaja stepena 3 i 4, uključujući srčanu insuficijenciju, bolesti miokarda i manifestacije koronarne arterijske bolesti. U studiji koja je ispitivala liječenje CLL lijekom MabThera u prvoj terapijskoj liniji, ukupna incidenca kardioloških poremećaja stepena 3 i 4 bila je niska (4% R-FC, 3% FC).</w:t>
      </w:r>
    </w:p>
    <w:p w:rsidR="00496E03" w:rsidRPr="0055610F" w:rsidRDefault="00496E03" w:rsidP="004D5825">
      <w:pPr>
        <w:jc w:val="both"/>
        <w:rPr>
          <w:sz w:val="22"/>
          <w:szCs w:val="22"/>
          <w:lang w:val="sr-Latn-ME" w:eastAsia="ja-JP"/>
        </w:rPr>
      </w:pPr>
    </w:p>
    <w:p w:rsidR="00496E03" w:rsidRPr="0055610F" w:rsidRDefault="00496E03" w:rsidP="004D5825">
      <w:pPr>
        <w:keepNext/>
        <w:jc w:val="both"/>
        <w:outlineLvl w:val="0"/>
        <w:rPr>
          <w:i/>
          <w:sz w:val="22"/>
          <w:szCs w:val="22"/>
          <w:lang w:val="sr-Latn-ME" w:eastAsia="ja-JP"/>
        </w:rPr>
      </w:pPr>
      <w:r w:rsidRPr="0055610F">
        <w:rPr>
          <w:i/>
          <w:sz w:val="22"/>
          <w:szCs w:val="22"/>
          <w:lang w:val="sr-Latn-ME" w:eastAsia="ja-JP"/>
        </w:rPr>
        <w:t>Respiratormi sistem</w:t>
      </w:r>
    </w:p>
    <w:p w:rsidR="00496E03" w:rsidRPr="0055610F" w:rsidRDefault="00496E03" w:rsidP="004D5825">
      <w:pPr>
        <w:jc w:val="both"/>
        <w:outlineLvl w:val="0"/>
        <w:rPr>
          <w:sz w:val="22"/>
          <w:szCs w:val="22"/>
          <w:lang w:val="sr-Latn-ME" w:eastAsia="ja-JP"/>
        </w:rPr>
      </w:pPr>
      <w:r w:rsidRPr="0055610F">
        <w:rPr>
          <w:sz w:val="22"/>
          <w:szCs w:val="22"/>
          <w:lang w:val="sr-Latn-ME" w:eastAsia="ja-JP"/>
        </w:rPr>
        <w:t>Prijavljeni su slučajevi intersticijalne bolesti pluća, neki sa fatalnim ishodom.</w:t>
      </w:r>
    </w:p>
    <w:p w:rsidR="00496E03" w:rsidRPr="0055610F" w:rsidRDefault="00496E03" w:rsidP="004D5825">
      <w:pPr>
        <w:jc w:val="both"/>
        <w:rPr>
          <w:sz w:val="22"/>
          <w:szCs w:val="22"/>
          <w:lang w:val="sr-Latn-ME" w:eastAsia="ja-JP"/>
        </w:rPr>
      </w:pPr>
    </w:p>
    <w:p w:rsidR="00496E03" w:rsidRPr="0055610F" w:rsidRDefault="00496E03" w:rsidP="004D5825">
      <w:pPr>
        <w:keepNext/>
        <w:jc w:val="both"/>
        <w:outlineLvl w:val="0"/>
        <w:rPr>
          <w:sz w:val="22"/>
          <w:szCs w:val="22"/>
          <w:lang w:val="sr-Latn-ME" w:eastAsia="ja-JP"/>
        </w:rPr>
      </w:pPr>
      <w:r w:rsidRPr="0055610F">
        <w:rPr>
          <w:i/>
          <w:sz w:val="22"/>
          <w:szCs w:val="22"/>
          <w:lang w:val="sr-Latn-ME" w:eastAsia="ja-JP"/>
        </w:rPr>
        <w:t>Neurološka neželjena dejstva</w:t>
      </w:r>
      <w:r w:rsidRPr="0055610F">
        <w:rPr>
          <w:sz w:val="22"/>
          <w:szCs w:val="22"/>
          <w:lang w:val="sr-Latn-ME" w:eastAsia="ja-JP"/>
        </w:rPr>
        <w:t xml:space="preserve"> </w:t>
      </w:r>
    </w:p>
    <w:p w:rsidR="00496E03" w:rsidRPr="0055610F" w:rsidRDefault="00496E03" w:rsidP="004D5825">
      <w:pPr>
        <w:jc w:val="both"/>
        <w:rPr>
          <w:sz w:val="22"/>
          <w:szCs w:val="22"/>
          <w:lang w:val="sr-Latn-ME" w:eastAsia="ja-JP"/>
        </w:rPr>
      </w:pPr>
      <w:r w:rsidRPr="0055610F">
        <w:rPr>
          <w:sz w:val="22"/>
          <w:szCs w:val="22"/>
          <w:lang w:val="sr-Latn-ME" w:eastAsia="ja-JP"/>
        </w:rPr>
        <w:t>Tokom perioda liječenja (period p</w:t>
      </w:r>
      <w:r w:rsidR="005712D5" w:rsidRPr="0055610F">
        <w:rPr>
          <w:sz w:val="22"/>
          <w:szCs w:val="22"/>
          <w:lang w:val="sr-Latn-ME" w:eastAsia="ja-JP"/>
        </w:rPr>
        <w:t>o</w:t>
      </w:r>
      <w:r w:rsidRPr="0055610F">
        <w:rPr>
          <w:sz w:val="22"/>
          <w:szCs w:val="22"/>
          <w:lang w:val="sr-Latn-ME" w:eastAsia="ja-JP"/>
        </w:rPr>
        <w:t xml:space="preserve">četnog liječenja koji se sastojao od primjene R-CHOP tokom najviše 8 ciklusa), četiri pacijenta (2%) liječena R-CHOP, svi sa kardiovaskularnim faktorima rizika, imala su tromboembolijske cerebrovaskularne događaje tokom prvog terapijskog ciklusa. Nije bilo razlike među terapijskim grupama u incidenci ostalih tromboembolijskih događaja. Nasuprot tome, tri pacijenta (1.5%) imala su cerebrovaskularne događaje i CHOP grupi, i kod svih su se javili tokom perioda praćenja. U studiji koja je ispitivala liječenje CLL lijekom MabThera u prvoj terapijskoj liniji, ukupna incidenca poremećaja nervnog sistema stepena 3 i 4 bila je niska (4% R-FC, 4% FC) i u ispitivanju relapsne-refraktorne bolesti (3% R-FC, 3% FC). </w:t>
      </w:r>
    </w:p>
    <w:p w:rsidR="00496E03" w:rsidRPr="0055610F" w:rsidRDefault="00496E03" w:rsidP="004D5825">
      <w:pPr>
        <w:jc w:val="both"/>
        <w:outlineLvl w:val="0"/>
        <w:rPr>
          <w:iCs/>
          <w:sz w:val="22"/>
          <w:szCs w:val="22"/>
          <w:lang w:val="sr-Latn-ME" w:eastAsia="ja-JP"/>
        </w:rPr>
      </w:pPr>
    </w:p>
    <w:p w:rsidR="00496E03" w:rsidRPr="0055610F" w:rsidRDefault="00496E03" w:rsidP="004D5825">
      <w:pPr>
        <w:jc w:val="both"/>
        <w:outlineLvl w:val="0"/>
        <w:rPr>
          <w:sz w:val="22"/>
          <w:szCs w:val="22"/>
          <w:lang w:val="sr-Latn-ME" w:eastAsia="ja-JP"/>
        </w:rPr>
      </w:pPr>
      <w:r w:rsidRPr="0055610F">
        <w:rPr>
          <w:sz w:val="22"/>
          <w:szCs w:val="22"/>
          <w:lang w:val="sr-Latn-ME" w:eastAsia="ja-JP"/>
        </w:rPr>
        <w:t>Prijavljeni su slučajevi sindroma reverzibilne posteriorne encefalopatije (engl. posterior reversible encephalopathy syndrome, PRES) odnosno sindroma reverzibilne posteriorne leukoencefalopatije (engl. reversible posterior leukoencephalopathy syndrome, RPLS). Znaci i simptomi obuhvaćali su smetnje vida, glavobolju, epileptičke napade i promijenjeno mentalno stanje, uz pridruženu hipertenziju</w:t>
      </w:r>
      <w:r w:rsidRPr="0055610F">
        <w:rPr>
          <w:sz w:val="22"/>
          <w:szCs w:val="22"/>
          <w:lang w:val="sr-Latn-ME"/>
        </w:rPr>
        <w:t xml:space="preserve"> </w:t>
      </w:r>
      <w:r w:rsidRPr="0055610F">
        <w:rPr>
          <w:sz w:val="22"/>
          <w:szCs w:val="22"/>
          <w:lang w:val="sr-Latn-ME" w:eastAsia="ja-JP"/>
        </w:rPr>
        <w:t>ili bez nje. Dijagnozu PRES/RPLS treba potvrditi snimanjem mozga. U prijavljenim slučajevima postojali su faktori rizika za PRES/RPLS, uključujući osnovnu bolest pacijenta, hipertenziju, terapiju imunosupresivima i/ili hemoterapiju.</w:t>
      </w:r>
    </w:p>
    <w:p w:rsidR="00496E03" w:rsidRPr="0055610F" w:rsidRDefault="00496E03" w:rsidP="004D5825">
      <w:pPr>
        <w:jc w:val="both"/>
        <w:outlineLvl w:val="0"/>
        <w:rPr>
          <w:sz w:val="22"/>
          <w:szCs w:val="22"/>
          <w:lang w:val="sr-Latn-ME" w:eastAsia="ja-JP"/>
        </w:rPr>
      </w:pPr>
    </w:p>
    <w:p w:rsidR="00496E03" w:rsidRPr="0055610F" w:rsidRDefault="00496E03" w:rsidP="004D5825">
      <w:pPr>
        <w:jc w:val="both"/>
        <w:outlineLvl w:val="0"/>
        <w:rPr>
          <w:i/>
          <w:sz w:val="22"/>
          <w:szCs w:val="22"/>
          <w:lang w:val="sr-Latn-ME" w:eastAsia="ja-JP"/>
        </w:rPr>
      </w:pPr>
      <w:r w:rsidRPr="0055610F">
        <w:rPr>
          <w:i/>
          <w:sz w:val="22"/>
          <w:szCs w:val="22"/>
          <w:lang w:val="sr-Latn-ME" w:eastAsia="ja-JP"/>
        </w:rPr>
        <w:t xml:space="preserve">Gastrointestinalni poremećaji </w:t>
      </w:r>
    </w:p>
    <w:p w:rsidR="00496E03" w:rsidRPr="0055610F" w:rsidRDefault="00496E03" w:rsidP="004D5825">
      <w:pPr>
        <w:autoSpaceDE w:val="0"/>
        <w:autoSpaceDN w:val="0"/>
        <w:adjustRightInd w:val="0"/>
        <w:jc w:val="both"/>
        <w:rPr>
          <w:rFonts w:eastAsia="MS Mincho"/>
          <w:sz w:val="22"/>
          <w:szCs w:val="22"/>
          <w:lang w:val="sr-Latn-ME" w:eastAsia="zh-CN" w:bidi="th-TH"/>
        </w:rPr>
      </w:pPr>
      <w:r w:rsidRPr="0055610F">
        <w:rPr>
          <w:rFonts w:eastAsia="MS Mincho"/>
          <w:sz w:val="22"/>
          <w:szCs w:val="22"/>
          <w:lang w:val="sr-Latn-ME" w:eastAsia="zh-CN" w:bidi="th-TH"/>
        </w:rPr>
        <w:t>Gastrointestinalne perforacije koje su u nekim slučajevima dovele do smrti zabilježene su kod pacijenata koji su dobijal</w:t>
      </w:r>
      <w:r w:rsidR="006F7465">
        <w:rPr>
          <w:rFonts w:eastAsia="MS Mincho"/>
          <w:sz w:val="22"/>
          <w:szCs w:val="22"/>
          <w:lang w:val="sr-Latn-ME" w:eastAsia="zh-CN" w:bidi="th-TH"/>
        </w:rPr>
        <w:t>i lijek MabThera u terapiji non-Hodg</w:t>
      </w:r>
      <w:r w:rsidRPr="0055610F">
        <w:rPr>
          <w:rFonts w:eastAsia="MS Mincho"/>
          <w:sz w:val="22"/>
          <w:szCs w:val="22"/>
          <w:lang w:val="sr-Latn-ME" w:eastAsia="zh-CN" w:bidi="th-TH"/>
        </w:rPr>
        <w:t>kin limfoma. U većini ovih slučajeva, MabThera je primjenjivana sa hemioterapijom.</w:t>
      </w:r>
    </w:p>
    <w:p w:rsidR="00496E03" w:rsidRPr="0055610F" w:rsidRDefault="00496E03" w:rsidP="004D5825">
      <w:pPr>
        <w:jc w:val="both"/>
        <w:rPr>
          <w:i/>
          <w:snapToGrid w:val="0"/>
          <w:sz w:val="22"/>
          <w:szCs w:val="22"/>
          <w:lang w:val="sr-Latn-ME" w:eastAsia="ja-JP"/>
        </w:rPr>
      </w:pPr>
    </w:p>
    <w:p w:rsidR="00496E03" w:rsidRPr="0055610F" w:rsidRDefault="00496E03" w:rsidP="004D5825">
      <w:pPr>
        <w:jc w:val="both"/>
        <w:outlineLvl w:val="0"/>
        <w:rPr>
          <w:sz w:val="22"/>
          <w:szCs w:val="22"/>
          <w:lang w:val="sr-Latn-ME" w:eastAsia="ja-JP"/>
        </w:rPr>
      </w:pPr>
      <w:r w:rsidRPr="0055610F">
        <w:rPr>
          <w:i/>
          <w:sz w:val="22"/>
          <w:szCs w:val="22"/>
          <w:lang w:val="sr-Latn-ME" w:eastAsia="ja-JP"/>
        </w:rPr>
        <w:t xml:space="preserve">Nivoi IgG </w:t>
      </w:r>
    </w:p>
    <w:p w:rsidR="00496E03" w:rsidRPr="0055610F" w:rsidRDefault="00496E03" w:rsidP="004D5825">
      <w:pPr>
        <w:jc w:val="both"/>
        <w:rPr>
          <w:sz w:val="22"/>
          <w:szCs w:val="22"/>
          <w:lang w:val="sr-Latn-ME" w:eastAsia="ja-JP"/>
        </w:rPr>
      </w:pPr>
      <w:r w:rsidRPr="0055610F">
        <w:rPr>
          <w:sz w:val="22"/>
          <w:szCs w:val="22"/>
          <w:lang w:val="sr-Latn-ME" w:eastAsia="ja-JP"/>
        </w:rPr>
        <w:t>U kliničkim studijama koje su proc</w:t>
      </w:r>
      <w:r w:rsidR="005622EE" w:rsidRPr="0055610F">
        <w:rPr>
          <w:sz w:val="22"/>
          <w:szCs w:val="22"/>
          <w:lang w:val="sr-Latn-ME" w:eastAsia="ja-JP"/>
        </w:rPr>
        <w:t>j</w:t>
      </w:r>
      <w:r w:rsidRPr="0055610F">
        <w:rPr>
          <w:sz w:val="22"/>
          <w:szCs w:val="22"/>
          <w:lang w:val="sr-Latn-ME" w:eastAsia="ja-JP"/>
        </w:rPr>
        <w:t>enjivale terapiju održavanja lijekom MabThera, srednji nivoi IgG bili su ispod donje granice normale (LLN) (&lt; 7 g/L), nakon indukcione terapije i u kontrolnoj i u grupi na lijeku MabThera. U kontrolnoj grupi, srednji nivo IgG postepeno se povećavao do preko LLN, a u grupi na lijeku MabThera ostao je konstantan. Udio pacijenata sa IgG nivoima ispod LLN bio je oko 60% u MabThera grupi tokom dvije godine terapije, dok se u kontrolnoj grupi smanjio (36 % nakon 2 godine).</w:t>
      </w:r>
    </w:p>
    <w:p w:rsidR="00496E03" w:rsidRPr="0055610F" w:rsidRDefault="00496E03" w:rsidP="004D5825">
      <w:pPr>
        <w:jc w:val="both"/>
        <w:rPr>
          <w:i/>
          <w:snapToGrid w:val="0"/>
          <w:sz w:val="22"/>
          <w:szCs w:val="22"/>
          <w:lang w:val="sr-Latn-ME" w:eastAsia="ja-JP"/>
        </w:rPr>
      </w:pPr>
    </w:p>
    <w:p w:rsidR="00496E03" w:rsidRPr="0055610F" w:rsidRDefault="00496E03" w:rsidP="004D5825">
      <w:pPr>
        <w:jc w:val="both"/>
        <w:outlineLvl w:val="0"/>
        <w:rPr>
          <w:sz w:val="22"/>
          <w:szCs w:val="22"/>
          <w:lang w:val="sr-Latn-ME" w:eastAsia="ja-JP"/>
        </w:rPr>
      </w:pPr>
      <w:r w:rsidRPr="0055610F">
        <w:rPr>
          <w:sz w:val="22"/>
          <w:szCs w:val="22"/>
          <w:lang w:val="sr-Latn-ME" w:eastAsia="ja-JP"/>
        </w:rPr>
        <w:t>Zabilježen je mali broj spontanih i u literaturi opisanih slučajeva hipogamaglobulinemije kod pedijatrijskih pacijenata liječenih lijekom MabThera, od kojih su neki bili ozbiljni i zahtijevali dugotrajnu supstitucionu terapiju imunoglobulinima. Posljedice dugotrajne deplecije B ćelija kod pedijatrijskih pacijenata ni</w:t>
      </w:r>
      <w:r w:rsidR="005622EE" w:rsidRPr="0055610F">
        <w:rPr>
          <w:sz w:val="22"/>
          <w:szCs w:val="22"/>
          <w:lang w:val="sr-Latn-ME" w:eastAsia="ja-JP"/>
        </w:rPr>
        <w:t>je</w:t>
      </w:r>
      <w:r w:rsidRPr="0055610F">
        <w:rPr>
          <w:sz w:val="22"/>
          <w:szCs w:val="22"/>
          <w:lang w:val="sr-Latn-ME" w:eastAsia="ja-JP"/>
        </w:rPr>
        <w:t>su poznate.</w:t>
      </w:r>
    </w:p>
    <w:p w:rsidR="00496E03" w:rsidRPr="0055610F" w:rsidRDefault="00496E03" w:rsidP="004D5825">
      <w:pPr>
        <w:jc w:val="both"/>
        <w:rPr>
          <w:snapToGrid w:val="0"/>
          <w:sz w:val="22"/>
          <w:szCs w:val="22"/>
          <w:lang w:val="sr-Latn-ME" w:eastAsia="ja-JP"/>
        </w:rPr>
      </w:pPr>
    </w:p>
    <w:p w:rsidR="00496E03" w:rsidRPr="0055610F" w:rsidRDefault="00496E03" w:rsidP="004D5825">
      <w:pPr>
        <w:jc w:val="both"/>
        <w:rPr>
          <w:i/>
          <w:sz w:val="22"/>
          <w:szCs w:val="22"/>
          <w:lang w:val="sr-Latn-ME" w:eastAsia="ja-JP"/>
        </w:rPr>
      </w:pPr>
      <w:r w:rsidRPr="0055610F">
        <w:rPr>
          <w:i/>
          <w:sz w:val="22"/>
          <w:szCs w:val="22"/>
          <w:lang w:val="sr-Latn-ME" w:eastAsia="ja-JP"/>
        </w:rPr>
        <w:t>Poremećaji kože i potkožnog tkiva</w:t>
      </w:r>
    </w:p>
    <w:p w:rsidR="00496E03" w:rsidRPr="0055610F" w:rsidRDefault="00496E03" w:rsidP="004D5825">
      <w:pPr>
        <w:jc w:val="both"/>
        <w:rPr>
          <w:sz w:val="22"/>
          <w:szCs w:val="22"/>
          <w:lang w:val="sr-Latn-ME" w:eastAsia="ja-JP"/>
        </w:rPr>
      </w:pPr>
      <w:r w:rsidRPr="0055610F">
        <w:rPr>
          <w:sz w:val="22"/>
          <w:szCs w:val="22"/>
          <w:lang w:val="sr-Latn-ME" w:eastAsia="ja-JP"/>
        </w:rPr>
        <w:t>V</w:t>
      </w:r>
      <w:r w:rsidR="00B2002A">
        <w:rPr>
          <w:sz w:val="22"/>
          <w:szCs w:val="22"/>
          <w:lang w:val="sr-Latn-ME" w:eastAsia="ja-JP"/>
        </w:rPr>
        <w:t>eoma</w:t>
      </w:r>
      <w:r w:rsidRPr="0055610F">
        <w:rPr>
          <w:sz w:val="22"/>
          <w:szCs w:val="22"/>
          <w:lang w:val="sr-Latn-ME" w:eastAsia="ja-JP"/>
        </w:rPr>
        <w:t xml:space="preserve"> rijetko </w:t>
      </w:r>
      <w:r w:rsidR="00B2002A">
        <w:rPr>
          <w:sz w:val="22"/>
          <w:szCs w:val="22"/>
          <w:lang w:val="sr-Latn-ME" w:eastAsia="ja-JP"/>
        </w:rPr>
        <w:t xml:space="preserve">su </w:t>
      </w:r>
      <w:r w:rsidRPr="0055610F">
        <w:rPr>
          <w:sz w:val="22"/>
          <w:szCs w:val="22"/>
          <w:lang w:val="sr-Latn-ME" w:eastAsia="ja-JP"/>
        </w:rPr>
        <w:t>prijavljeni toksična epidermalna nekroliza (Lyellov sindrom) i Stevens-Johnsonov sindrom, ponekad sa fatalnim ishodom.</w:t>
      </w:r>
    </w:p>
    <w:p w:rsidR="00496E03" w:rsidRPr="0055610F" w:rsidRDefault="00496E03" w:rsidP="004D5825">
      <w:pPr>
        <w:jc w:val="both"/>
        <w:rPr>
          <w:snapToGrid w:val="0"/>
          <w:sz w:val="22"/>
          <w:szCs w:val="22"/>
          <w:lang w:val="sr-Latn-ME" w:eastAsia="ja-JP"/>
        </w:rPr>
      </w:pPr>
    </w:p>
    <w:p w:rsidR="00496E03" w:rsidRPr="0055610F" w:rsidRDefault="00496E03" w:rsidP="004D5825">
      <w:pPr>
        <w:keepNext/>
        <w:jc w:val="both"/>
        <w:outlineLvl w:val="0"/>
        <w:rPr>
          <w:i/>
          <w:snapToGrid w:val="0"/>
          <w:sz w:val="22"/>
          <w:szCs w:val="22"/>
          <w:lang w:val="sr-Latn-ME" w:eastAsia="ja-JP"/>
        </w:rPr>
      </w:pPr>
      <w:r w:rsidRPr="0055610F">
        <w:rPr>
          <w:i/>
          <w:snapToGrid w:val="0"/>
          <w:sz w:val="22"/>
          <w:szCs w:val="22"/>
          <w:lang w:val="sr-Latn-ME" w:eastAsia="ja-JP"/>
        </w:rPr>
        <w:t xml:space="preserve">Subpopulacije pacijenata </w:t>
      </w:r>
      <w:r w:rsidR="00B21971" w:rsidRPr="0055610F">
        <w:rPr>
          <w:i/>
          <w:snapToGrid w:val="0"/>
          <w:sz w:val="22"/>
          <w:szCs w:val="22"/>
          <w:lang w:val="sr-Latn-ME" w:eastAsia="ja-JP"/>
        </w:rPr>
        <w:t>– monoterapija l</w:t>
      </w:r>
      <w:r w:rsidR="005622EE" w:rsidRPr="0055610F">
        <w:rPr>
          <w:i/>
          <w:snapToGrid w:val="0"/>
          <w:sz w:val="22"/>
          <w:szCs w:val="22"/>
          <w:lang w:val="sr-Latn-ME" w:eastAsia="ja-JP"/>
        </w:rPr>
        <w:t>ij</w:t>
      </w:r>
      <w:r w:rsidR="00B21971" w:rsidRPr="0055610F">
        <w:rPr>
          <w:i/>
          <w:snapToGrid w:val="0"/>
          <w:sz w:val="22"/>
          <w:szCs w:val="22"/>
          <w:lang w:val="sr-Latn-ME" w:eastAsia="ja-JP"/>
        </w:rPr>
        <w:t>ekom MabThera</w:t>
      </w:r>
    </w:p>
    <w:p w:rsidR="00496E03" w:rsidRPr="0055610F" w:rsidRDefault="00496E03" w:rsidP="004D5825">
      <w:pPr>
        <w:jc w:val="both"/>
        <w:rPr>
          <w:sz w:val="22"/>
          <w:szCs w:val="22"/>
          <w:lang w:val="sr-Latn-ME"/>
        </w:rPr>
      </w:pPr>
      <w:r w:rsidRPr="0055610F">
        <w:rPr>
          <w:sz w:val="22"/>
          <w:szCs w:val="22"/>
          <w:lang w:val="sr-Latn-ME"/>
        </w:rPr>
        <w:t xml:space="preserve">Pacijenti starijeg životnog doba (65 </w:t>
      </w:r>
      <w:r w:rsidR="0000153E">
        <w:rPr>
          <w:sz w:val="22"/>
          <w:szCs w:val="22"/>
          <w:lang w:val="sr-Latn-ME"/>
        </w:rPr>
        <w:t xml:space="preserve">i više </w:t>
      </w:r>
      <w:r w:rsidRPr="0055610F">
        <w:rPr>
          <w:sz w:val="22"/>
          <w:szCs w:val="22"/>
          <w:lang w:val="sr-Latn-ME"/>
        </w:rPr>
        <w:t xml:space="preserve">godina): </w:t>
      </w:r>
    </w:p>
    <w:p w:rsidR="00496E03" w:rsidRPr="0055610F" w:rsidRDefault="00496E03" w:rsidP="004D5825">
      <w:pPr>
        <w:jc w:val="both"/>
        <w:rPr>
          <w:sz w:val="22"/>
          <w:szCs w:val="22"/>
          <w:lang w:val="sr-Latn-ME"/>
        </w:rPr>
      </w:pPr>
      <w:r w:rsidRPr="0055610F">
        <w:rPr>
          <w:sz w:val="22"/>
          <w:szCs w:val="22"/>
          <w:lang w:val="sr-Latn-ME"/>
        </w:rPr>
        <w:t xml:space="preserve">Incidenca svih neželjenih reakcija na lijek svih stepena kao i stepena 3/4 bila je slična kod starijih i </w:t>
      </w:r>
      <w:r w:rsidR="007642DC">
        <w:rPr>
          <w:sz w:val="22"/>
          <w:szCs w:val="22"/>
          <w:lang w:val="sr-Latn-ME"/>
        </w:rPr>
        <w:t>ml</w:t>
      </w:r>
      <w:r w:rsidRPr="0055610F">
        <w:rPr>
          <w:sz w:val="22"/>
          <w:szCs w:val="22"/>
          <w:lang w:val="sr-Latn-ME"/>
        </w:rPr>
        <w:t xml:space="preserve">ađih pacijenata </w:t>
      </w:r>
      <w:r w:rsidRPr="0055610F">
        <w:rPr>
          <w:sz w:val="22"/>
          <w:szCs w:val="22"/>
          <w:lang w:val="sr-Latn-ME" w:eastAsia="ja-JP"/>
        </w:rPr>
        <w:t>(</w:t>
      </w:r>
      <w:r w:rsidR="00EC738D">
        <w:rPr>
          <w:sz w:val="22"/>
          <w:szCs w:val="22"/>
          <w:lang w:val="sr-Latn-ME" w:eastAsia="ja-JP"/>
        </w:rPr>
        <w:t xml:space="preserve">ispod </w:t>
      </w:r>
      <w:r w:rsidRPr="0055610F">
        <w:rPr>
          <w:sz w:val="22"/>
          <w:szCs w:val="22"/>
          <w:lang w:val="sr-Latn-ME" w:eastAsia="ja-JP"/>
        </w:rPr>
        <w:t xml:space="preserve">65 </w:t>
      </w:r>
      <w:r w:rsidR="00EC738D">
        <w:rPr>
          <w:sz w:val="22"/>
          <w:szCs w:val="22"/>
          <w:lang w:val="sr-Latn-ME" w:eastAsia="ja-JP"/>
        </w:rPr>
        <w:t>godina</w:t>
      </w:r>
      <w:r w:rsidRPr="0055610F">
        <w:rPr>
          <w:sz w:val="22"/>
          <w:szCs w:val="22"/>
          <w:lang w:val="sr-Latn-ME" w:eastAsia="ja-JP"/>
        </w:rPr>
        <w:t>).</w:t>
      </w:r>
    </w:p>
    <w:p w:rsidR="00496E03" w:rsidRPr="0055610F" w:rsidRDefault="00496E03" w:rsidP="004D5825">
      <w:pPr>
        <w:jc w:val="both"/>
        <w:rPr>
          <w:sz w:val="22"/>
          <w:szCs w:val="22"/>
          <w:lang w:val="sr-Latn-ME" w:eastAsia="ja-JP"/>
        </w:rPr>
      </w:pPr>
    </w:p>
    <w:p w:rsidR="00496E03" w:rsidRPr="0055610F" w:rsidRDefault="00496E03" w:rsidP="004D5825">
      <w:pPr>
        <w:jc w:val="both"/>
        <w:rPr>
          <w:sz w:val="22"/>
          <w:szCs w:val="22"/>
          <w:lang w:val="sr-Latn-ME"/>
        </w:rPr>
      </w:pPr>
      <w:r w:rsidRPr="0055610F">
        <w:rPr>
          <w:sz w:val="22"/>
          <w:szCs w:val="22"/>
          <w:lang w:val="sr-Latn-ME"/>
        </w:rPr>
        <w:t>Voluminozna tumorska masa</w:t>
      </w:r>
    </w:p>
    <w:p w:rsidR="00496E03" w:rsidRPr="0055610F" w:rsidRDefault="00496E03" w:rsidP="004D5825">
      <w:pPr>
        <w:jc w:val="both"/>
        <w:rPr>
          <w:sz w:val="22"/>
          <w:szCs w:val="22"/>
          <w:lang w:val="sr-Latn-ME" w:eastAsia="ja-JP"/>
        </w:rPr>
      </w:pPr>
      <w:r w:rsidRPr="0055610F">
        <w:rPr>
          <w:sz w:val="22"/>
          <w:szCs w:val="22"/>
          <w:lang w:val="sr-Latn-ME"/>
        </w:rPr>
        <w:t>Postojala je veća incidenca neželjenih događaja stepena 3 ili 4 kod pacijenata sa voluminoznom tumorskom masom nego kod pacijenata koji ni</w:t>
      </w:r>
      <w:r w:rsidR="005622EE" w:rsidRPr="0055610F">
        <w:rPr>
          <w:sz w:val="22"/>
          <w:szCs w:val="22"/>
          <w:lang w:val="sr-Latn-ME"/>
        </w:rPr>
        <w:t>je</w:t>
      </w:r>
      <w:r w:rsidRPr="0055610F">
        <w:rPr>
          <w:sz w:val="22"/>
          <w:szCs w:val="22"/>
          <w:lang w:val="sr-Latn-ME"/>
        </w:rPr>
        <w:t xml:space="preserve">su imali voluminoznu tumorsku masu </w:t>
      </w:r>
      <w:r w:rsidRPr="0055610F">
        <w:rPr>
          <w:sz w:val="22"/>
          <w:szCs w:val="22"/>
          <w:lang w:val="sr-Latn-ME" w:eastAsia="ja-JP"/>
        </w:rPr>
        <w:t>(25.6 % vs. 15.4 %).</w:t>
      </w:r>
      <w:r w:rsidRPr="0055610F">
        <w:rPr>
          <w:sz w:val="22"/>
          <w:szCs w:val="22"/>
          <w:lang w:val="sr-Latn-ME"/>
        </w:rPr>
        <w:t xml:space="preserve"> I</w:t>
      </w:r>
      <w:r w:rsidRPr="0055610F">
        <w:rPr>
          <w:sz w:val="22"/>
          <w:szCs w:val="22"/>
          <w:lang w:val="sr-Latn-ME" w:eastAsia="ja-JP"/>
        </w:rPr>
        <w:t xml:space="preserve">ncidenca </w:t>
      </w:r>
      <w:r w:rsidRPr="0055610F">
        <w:rPr>
          <w:sz w:val="22"/>
          <w:szCs w:val="22"/>
          <w:lang w:val="sr-Latn-ME"/>
        </w:rPr>
        <w:t xml:space="preserve">neželjenih reakcija na lijek svih stepena bila je slična u ove dvije grupe.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Ponovna terapija</w:t>
      </w:r>
    </w:p>
    <w:p w:rsidR="00496E03" w:rsidRPr="0055610F" w:rsidRDefault="00496E03" w:rsidP="004D5825">
      <w:pPr>
        <w:jc w:val="both"/>
        <w:rPr>
          <w:sz w:val="22"/>
          <w:szCs w:val="22"/>
          <w:lang w:val="sr-Latn-ME"/>
        </w:rPr>
      </w:pPr>
      <w:r w:rsidRPr="0055610F">
        <w:rPr>
          <w:sz w:val="22"/>
          <w:szCs w:val="22"/>
          <w:lang w:val="sr-Latn-ME"/>
        </w:rPr>
        <w:t>Procenat pacijenata koji prijavljuju neželjene događaje pri ponovnoj terapiji lijekom MabThera bio je sličan procentu pacijenata</w:t>
      </w:r>
      <w:r w:rsidR="005622EE" w:rsidRPr="0055610F">
        <w:rPr>
          <w:sz w:val="22"/>
          <w:szCs w:val="22"/>
          <w:lang w:val="sr-Latn-ME"/>
        </w:rPr>
        <w:t xml:space="preserve"> </w:t>
      </w:r>
      <w:r w:rsidRPr="0055610F">
        <w:rPr>
          <w:sz w:val="22"/>
          <w:szCs w:val="22"/>
          <w:lang w:val="sr-Latn-ME"/>
        </w:rPr>
        <w:t xml:space="preserve">koji prijavljuju neželjene događaje po inicijalnom izlaganju (ma kakav neželjeni događaj i neželjene događaje stepena 3 ili 4). </w:t>
      </w:r>
    </w:p>
    <w:p w:rsidR="00496E03" w:rsidRPr="0055610F" w:rsidRDefault="00496E03" w:rsidP="004D5825">
      <w:pPr>
        <w:jc w:val="both"/>
        <w:rPr>
          <w:sz w:val="22"/>
          <w:szCs w:val="22"/>
          <w:lang w:val="sr-Latn-ME"/>
        </w:rPr>
      </w:pPr>
    </w:p>
    <w:p w:rsidR="00496E03" w:rsidRPr="0055610F" w:rsidRDefault="00496E03" w:rsidP="004D5825">
      <w:pPr>
        <w:keepNext/>
        <w:jc w:val="both"/>
        <w:outlineLvl w:val="0"/>
        <w:rPr>
          <w:i/>
          <w:snapToGrid w:val="0"/>
          <w:sz w:val="22"/>
          <w:szCs w:val="22"/>
          <w:lang w:val="sr-Latn-ME" w:eastAsia="ja-JP"/>
        </w:rPr>
      </w:pPr>
      <w:r w:rsidRPr="0055610F">
        <w:rPr>
          <w:i/>
          <w:snapToGrid w:val="0"/>
          <w:sz w:val="22"/>
          <w:szCs w:val="22"/>
          <w:lang w:val="sr-Latn-ME" w:eastAsia="ja-JP"/>
        </w:rPr>
        <w:t xml:space="preserve">Subpopulacije pacijenata </w:t>
      </w:r>
      <w:r w:rsidR="00B21971" w:rsidRPr="0055610F">
        <w:rPr>
          <w:i/>
          <w:snapToGrid w:val="0"/>
          <w:sz w:val="22"/>
          <w:szCs w:val="22"/>
          <w:lang w:val="sr-Latn-ME" w:eastAsia="ja-JP"/>
        </w:rPr>
        <w:t>– kombinovana terapija l</w:t>
      </w:r>
      <w:r w:rsidR="005622EE" w:rsidRPr="0055610F">
        <w:rPr>
          <w:i/>
          <w:snapToGrid w:val="0"/>
          <w:sz w:val="22"/>
          <w:szCs w:val="22"/>
          <w:lang w:val="sr-Latn-ME" w:eastAsia="ja-JP"/>
        </w:rPr>
        <w:t>ij</w:t>
      </w:r>
      <w:r w:rsidR="00B21971" w:rsidRPr="0055610F">
        <w:rPr>
          <w:i/>
          <w:snapToGrid w:val="0"/>
          <w:sz w:val="22"/>
          <w:szCs w:val="22"/>
          <w:lang w:val="sr-Latn-ME" w:eastAsia="ja-JP"/>
        </w:rPr>
        <w:t xml:space="preserve">ekom </w:t>
      </w:r>
      <w:r w:rsidRPr="0055610F">
        <w:rPr>
          <w:i/>
          <w:snapToGrid w:val="0"/>
          <w:sz w:val="22"/>
          <w:szCs w:val="22"/>
          <w:lang w:val="sr-Latn-ME" w:eastAsia="ja-JP"/>
        </w:rPr>
        <w:t xml:space="preserve">MabThera </w:t>
      </w:r>
    </w:p>
    <w:p w:rsidR="00496E03" w:rsidRPr="0055610F" w:rsidRDefault="00496E03" w:rsidP="004D5825">
      <w:pPr>
        <w:jc w:val="both"/>
        <w:rPr>
          <w:sz w:val="22"/>
          <w:szCs w:val="22"/>
          <w:lang w:val="sr-Latn-ME"/>
        </w:rPr>
      </w:pPr>
      <w:r w:rsidRPr="0055610F">
        <w:rPr>
          <w:sz w:val="22"/>
          <w:szCs w:val="22"/>
          <w:lang w:val="sr-Latn-ME"/>
        </w:rPr>
        <w:t xml:space="preserve">Pacijenti starijeg životnog doba (65 </w:t>
      </w:r>
      <w:r w:rsidR="00EC738D">
        <w:rPr>
          <w:sz w:val="22"/>
          <w:szCs w:val="22"/>
          <w:lang w:val="sr-Latn-ME"/>
        </w:rPr>
        <w:t xml:space="preserve">i više </w:t>
      </w:r>
      <w:r w:rsidRPr="0055610F">
        <w:rPr>
          <w:sz w:val="22"/>
          <w:szCs w:val="22"/>
          <w:lang w:val="sr-Latn-ME"/>
        </w:rPr>
        <w:t xml:space="preserve">godina): </w:t>
      </w:r>
    </w:p>
    <w:p w:rsidR="00496E03" w:rsidRPr="0055610F" w:rsidRDefault="00496E03" w:rsidP="004D5825">
      <w:pPr>
        <w:jc w:val="both"/>
        <w:outlineLvl w:val="0"/>
        <w:rPr>
          <w:sz w:val="22"/>
          <w:szCs w:val="22"/>
          <w:lang w:val="sr-Latn-ME"/>
        </w:rPr>
      </w:pPr>
      <w:r w:rsidRPr="0055610F">
        <w:rPr>
          <w:sz w:val="22"/>
          <w:szCs w:val="22"/>
          <w:lang w:val="sr-Latn-ME"/>
        </w:rPr>
        <w:t xml:space="preserve">Incidenca hematoloških i limfatičkih neželjenih događaja stepena 3/4 bila je veća kod starijih pacijenata u poređenju sa </w:t>
      </w:r>
      <w:r w:rsidR="007642DC">
        <w:rPr>
          <w:sz w:val="22"/>
          <w:szCs w:val="22"/>
          <w:lang w:val="sr-Latn-ME"/>
        </w:rPr>
        <w:t>ml</w:t>
      </w:r>
      <w:r w:rsidRPr="0055610F">
        <w:rPr>
          <w:sz w:val="22"/>
          <w:szCs w:val="22"/>
          <w:lang w:val="sr-Latn-ME"/>
        </w:rPr>
        <w:t>ađim pacijentima (</w:t>
      </w:r>
      <w:r w:rsidR="00EC738D">
        <w:rPr>
          <w:sz w:val="22"/>
          <w:szCs w:val="22"/>
          <w:lang w:val="sr-Latn-ME"/>
        </w:rPr>
        <w:t>ispod</w:t>
      </w:r>
      <w:r w:rsidRPr="0055610F">
        <w:rPr>
          <w:sz w:val="22"/>
          <w:szCs w:val="22"/>
          <w:lang w:val="sr-Latn-ME"/>
        </w:rPr>
        <w:t> 65</w:t>
      </w:r>
      <w:r w:rsidR="00B04709">
        <w:rPr>
          <w:sz w:val="22"/>
          <w:szCs w:val="22"/>
          <w:lang w:val="sr-Latn-ME"/>
        </w:rPr>
        <w:t xml:space="preserve"> </w:t>
      </w:r>
      <w:r w:rsidRPr="0055610F">
        <w:rPr>
          <w:sz w:val="22"/>
          <w:szCs w:val="22"/>
          <w:lang w:val="sr-Latn-ME"/>
        </w:rPr>
        <w:t>godina) sa prethodno neliječenim ili relapsirajućim/refraktornim CLL</w:t>
      </w:r>
      <w:r w:rsidRPr="0055610F">
        <w:rPr>
          <w:sz w:val="22"/>
          <w:szCs w:val="22"/>
          <w:lang w:val="sr-Latn-ME"/>
        </w:rPr>
        <w:noBreakHyphen/>
        <w:t>om.</w:t>
      </w:r>
    </w:p>
    <w:p w:rsidR="00496E03" w:rsidRPr="0055610F" w:rsidRDefault="00496E03" w:rsidP="004D5825">
      <w:pPr>
        <w:jc w:val="both"/>
        <w:outlineLvl w:val="0"/>
        <w:rPr>
          <w:sz w:val="22"/>
          <w:szCs w:val="22"/>
          <w:lang w:val="sr-Latn-ME"/>
        </w:rPr>
      </w:pPr>
    </w:p>
    <w:p w:rsidR="00496E03" w:rsidRPr="0055610F" w:rsidRDefault="00496E03" w:rsidP="004D5825">
      <w:pPr>
        <w:tabs>
          <w:tab w:val="left" w:pos="284"/>
        </w:tabs>
        <w:jc w:val="both"/>
        <w:rPr>
          <w:sz w:val="22"/>
          <w:szCs w:val="22"/>
          <w:u w:val="single"/>
          <w:lang w:val="sr-Latn-ME"/>
        </w:rPr>
      </w:pPr>
      <w:r w:rsidRPr="0055610F">
        <w:rPr>
          <w:sz w:val="22"/>
          <w:szCs w:val="22"/>
          <w:u w:val="single"/>
          <w:lang w:val="sr-Latn-ME"/>
        </w:rPr>
        <w:t>Iskustvo s primjenom kod DLBCL-a/BL-a/B-AL-a/BLL-a kod pedijatrijskih pacijenata</w:t>
      </w:r>
    </w:p>
    <w:p w:rsidR="00496E03" w:rsidRPr="0055610F" w:rsidRDefault="00496E03" w:rsidP="004D5825">
      <w:pPr>
        <w:tabs>
          <w:tab w:val="left" w:pos="284"/>
        </w:tabs>
        <w:jc w:val="both"/>
        <w:rPr>
          <w:sz w:val="22"/>
          <w:szCs w:val="22"/>
          <w:lang w:val="sr-Latn-ME"/>
        </w:rPr>
      </w:pPr>
    </w:p>
    <w:p w:rsidR="00496E03" w:rsidRPr="0055610F" w:rsidRDefault="00496E03" w:rsidP="004D5825">
      <w:pPr>
        <w:tabs>
          <w:tab w:val="left" w:pos="284"/>
        </w:tabs>
        <w:jc w:val="both"/>
        <w:rPr>
          <w:i/>
          <w:sz w:val="22"/>
          <w:szCs w:val="22"/>
          <w:u w:val="single"/>
          <w:lang w:val="sr-Latn-ME"/>
        </w:rPr>
      </w:pPr>
      <w:r w:rsidRPr="0055610F">
        <w:rPr>
          <w:i/>
          <w:sz w:val="22"/>
          <w:szCs w:val="22"/>
          <w:u w:val="single"/>
          <w:lang w:val="sr-Latn-ME"/>
        </w:rPr>
        <w:t xml:space="preserve">Sažetak bezbjednosnog profila </w:t>
      </w:r>
    </w:p>
    <w:p w:rsidR="00496E03" w:rsidRPr="0055610F" w:rsidRDefault="00496E03" w:rsidP="004D5825">
      <w:pPr>
        <w:tabs>
          <w:tab w:val="left" w:pos="284"/>
        </w:tabs>
        <w:jc w:val="both"/>
        <w:rPr>
          <w:sz w:val="22"/>
          <w:szCs w:val="22"/>
          <w:lang w:val="sr-Latn-ME"/>
        </w:rPr>
      </w:pPr>
    </w:p>
    <w:p w:rsidR="00B21971" w:rsidRPr="0055610F" w:rsidRDefault="00496E03" w:rsidP="004D5825">
      <w:pPr>
        <w:tabs>
          <w:tab w:val="left" w:pos="284"/>
        </w:tabs>
        <w:jc w:val="both"/>
        <w:rPr>
          <w:sz w:val="22"/>
          <w:szCs w:val="22"/>
          <w:lang w:val="sr-Latn-ME"/>
        </w:rPr>
      </w:pPr>
      <w:r w:rsidRPr="0055610F">
        <w:rPr>
          <w:sz w:val="22"/>
          <w:szCs w:val="22"/>
          <w:lang w:val="sr-Latn-ME"/>
        </w:rPr>
        <w:t>Sprovedeno je multicentrično, otvoreno, randomizovano ispitivanje hemioterapije LMB (Lymphome Malin B) u kombinaciji s lijekom MabThera ili bez njega kod pedijatrijskih pacijenata (starosti od  6 m</w:t>
      </w:r>
      <w:r w:rsidR="005622EE" w:rsidRPr="0055610F">
        <w:rPr>
          <w:sz w:val="22"/>
          <w:szCs w:val="22"/>
          <w:lang w:val="sr-Latn-ME"/>
        </w:rPr>
        <w:t>j</w:t>
      </w:r>
      <w:r w:rsidRPr="0055610F">
        <w:rPr>
          <w:sz w:val="22"/>
          <w:szCs w:val="22"/>
          <w:lang w:val="sr-Latn-ME"/>
        </w:rPr>
        <w:t xml:space="preserve">eseci do </w:t>
      </w:r>
      <w:r w:rsidR="00EC738D">
        <w:rPr>
          <w:sz w:val="22"/>
          <w:szCs w:val="22"/>
          <w:lang w:val="sr-Latn-ME"/>
        </w:rPr>
        <w:t>manje od</w:t>
      </w:r>
      <w:r w:rsidRPr="0055610F">
        <w:rPr>
          <w:sz w:val="22"/>
          <w:szCs w:val="22"/>
          <w:lang w:val="sr-Latn-ME"/>
        </w:rPr>
        <w:t xml:space="preserve"> 18 godina) s prethodno neliječenim uznapredovalim CD20 pozitivnim DLBCL-om/BL-om/B-AL-om/BLL-om. </w:t>
      </w:r>
    </w:p>
    <w:p w:rsidR="00B21971" w:rsidRPr="0055610F" w:rsidRDefault="00B21971" w:rsidP="004D5825">
      <w:pPr>
        <w:tabs>
          <w:tab w:val="left" w:pos="284"/>
        </w:tabs>
        <w:jc w:val="both"/>
        <w:rPr>
          <w:sz w:val="22"/>
          <w:szCs w:val="22"/>
          <w:lang w:val="sr-Latn-ME"/>
        </w:rPr>
      </w:pPr>
    </w:p>
    <w:p w:rsidR="00B21971" w:rsidRPr="0055610F" w:rsidRDefault="00496E03" w:rsidP="004D5825">
      <w:pPr>
        <w:tabs>
          <w:tab w:val="left" w:pos="284"/>
        </w:tabs>
        <w:jc w:val="both"/>
        <w:rPr>
          <w:sz w:val="22"/>
          <w:szCs w:val="22"/>
          <w:lang w:val="sr-Latn-ME"/>
        </w:rPr>
      </w:pPr>
      <w:r w:rsidRPr="0055610F">
        <w:rPr>
          <w:sz w:val="22"/>
          <w:szCs w:val="22"/>
          <w:lang w:val="sr-Latn-ME"/>
        </w:rPr>
        <w:t>Ukupno 309 pedijatrijskih pacijenata je primilo lijek MabThera i bilo uključeno u populaciju za analizu bezbjednosti. Pedijatrijski pacijenti randomizovani u grupu koja je primala hemioterapiju LMB u kombinaciji s lijekom MabThera ili oni uključeni u dio ispitivanja sa samo jednom grupom primali su lijek MabThera u dozi od 375 mg/m</w:t>
      </w:r>
      <w:r w:rsidRPr="0055610F">
        <w:rPr>
          <w:sz w:val="22"/>
          <w:szCs w:val="22"/>
          <w:vertAlign w:val="superscript"/>
          <w:lang w:val="sr-Latn-ME"/>
        </w:rPr>
        <w:t>2</w:t>
      </w:r>
      <w:r w:rsidRPr="0055610F">
        <w:rPr>
          <w:sz w:val="22"/>
          <w:szCs w:val="22"/>
          <w:lang w:val="sr-Latn-ME"/>
        </w:rPr>
        <w:t xml:space="preserve"> tjelesne površine te su primili ukupno šest i.v. infuzija lijeka MabThera (po dv</w:t>
      </w:r>
      <w:r w:rsidR="005622EE" w:rsidRPr="0055610F">
        <w:rPr>
          <w:sz w:val="22"/>
          <w:szCs w:val="22"/>
          <w:lang w:val="sr-Latn-ME"/>
        </w:rPr>
        <w:t>ij</w:t>
      </w:r>
      <w:r w:rsidRPr="0055610F">
        <w:rPr>
          <w:sz w:val="22"/>
          <w:szCs w:val="22"/>
          <w:lang w:val="sr-Latn-ME"/>
        </w:rPr>
        <w:t xml:space="preserve">e tokom svakog od dva ciklusa indukcione terapije i po jednu tokom svakog od dva ciklusa terapije konsolidacije protokolom LMB). </w:t>
      </w:r>
    </w:p>
    <w:p w:rsidR="00B21971" w:rsidRPr="0055610F" w:rsidRDefault="00B21971" w:rsidP="004D5825">
      <w:pPr>
        <w:tabs>
          <w:tab w:val="left" w:pos="284"/>
        </w:tabs>
        <w:jc w:val="both"/>
        <w:rPr>
          <w:sz w:val="22"/>
          <w:szCs w:val="22"/>
          <w:lang w:val="sr-Latn-ME"/>
        </w:rPr>
      </w:pPr>
    </w:p>
    <w:p w:rsidR="00496E03" w:rsidRDefault="00496E03" w:rsidP="004D5825">
      <w:pPr>
        <w:tabs>
          <w:tab w:val="left" w:pos="284"/>
        </w:tabs>
        <w:jc w:val="both"/>
        <w:rPr>
          <w:sz w:val="22"/>
          <w:szCs w:val="22"/>
          <w:lang w:val="sr-Latn-ME"/>
        </w:rPr>
      </w:pPr>
      <w:r w:rsidRPr="0055610F">
        <w:rPr>
          <w:sz w:val="22"/>
          <w:szCs w:val="22"/>
          <w:lang w:val="sr-Latn-ME"/>
        </w:rPr>
        <w:t>Bezbjednosni profil lijeka MabThera kod pedijatrijskih pacijenata (starosti od 6 m</w:t>
      </w:r>
      <w:r w:rsidR="005622EE" w:rsidRPr="0055610F">
        <w:rPr>
          <w:sz w:val="22"/>
          <w:szCs w:val="22"/>
          <w:lang w:val="sr-Latn-ME"/>
        </w:rPr>
        <w:t>j</w:t>
      </w:r>
      <w:r w:rsidRPr="0055610F">
        <w:rPr>
          <w:sz w:val="22"/>
          <w:szCs w:val="22"/>
          <w:lang w:val="sr-Latn-ME"/>
        </w:rPr>
        <w:t xml:space="preserve">eseci do </w:t>
      </w:r>
      <w:r w:rsidR="00EC738D">
        <w:rPr>
          <w:sz w:val="22"/>
          <w:szCs w:val="22"/>
          <w:lang w:val="sr-Latn-ME"/>
        </w:rPr>
        <w:t>manje od</w:t>
      </w:r>
      <w:r w:rsidRPr="0055610F">
        <w:rPr>
          <w:sz w:val="22"/>
          <w:szCs w:val="22"/>
          <w:lang w:val="sr-Latn-ME"/>
        </w:rPr>
        <w:t xml:space="preserve"> 18 godina) s prethodno nel</w:t>
      </w:r>
      <w:r w:rsidR="005622EE" w:rsidRPr="0055610F">
        <w:rPr>
          <w:sz w:val="22"/>
          <w:szCs w:val="22"/>
          <w:lang w:val="sr-Latn-ME"/>
        </w:rPr>
        <w:t>i</w:t>
      </w:r>
      <w:r w:rsidRPr="0055610F">
        <w:rPr>
          <w:sz w:val="22"/>
          <w:szCs w:val="22"/>
          <w:lang w:val="sr-Latn-ME"/>
        </w:rPr>
        <w:t>ječenim uznapredovalim CD20 pozitivnim DLBCL-om/BL-om/B-AL-om/BLL-om u načelu je s obzirom na vrstu, prirodu i težinu neželjenih dejstava odgovarao poznatom bezbjednosnom profilu opaženom kod odraslih pacijenata s NHL-om i KLL-om. Dodavanje lijeka MabThera hemioterapiji dovjelo je do povećanog rizika od nekih događaja, uključujući infekcije (uključujući sepsu), u odnosu na lječenje samo hemioterapijom.</w:t>
      </w:r>
    </w:p>
    <w:p w:rsidR="006F7465" w:rsidRPr="0055610F" w:rsidRDefault="006F7465" w:rsidP="004D5825">
      <w:pPr>
        <w:tabs>
          <w:tab w:val="left" w:pos="284"/>
        </w:tabs>
        <w:jc w:val="both"/>
        <w:rPr>
          <w:sz w:val="22"/>
          <w:szCs w:val="22"/>
          <w:lang w:val="sr-Latn-ME"/>
        </w:rPr>
      </w:pPr>
    </w:p>
    <w:p w:rsidR="00496E03" w:rsidRPr="0055610F" w:rsidRDefault="00496E03" w:rsidP="004D5825">
      <w:pPr>
        <w:jc w:val="both"/>
        <w:rPr>
          <w:sz w:val="22"/>
          <w:szCs w:val="22"/>
          <w:u w:val="single"/>
          <w:lang w:val="sr-Latn-ME"/>
        </w:rPr>
      </w:pPr>
      <w:r w:rsidRPr="0055610F">
        <w:rPr>
          <w:sz w:val="22"/>
          <w:szCs w:val="22"/>
          <w:u w:val="single"/>
          <w:lang w:val="sr-Latn-ME"/>
        </w:rPr>
        <w:t>Iskustva sa primjenom u  reumatoidnom  artritisu</w:t>
      </w:r>
    </w:p>
    <w:p w:rsidR="00496E03" w:rsidRPr="0055610F" w:rsidRDefault="00496E03" w:rsidP="004D5825">
      <w:pPr>
        <w:jc w:val="both"/>
        <w:rPr>
          <w:sz w:val="22"/>
          <w:szCs w:val="22"/>
          <w:u w:val="single"/>
          <w:lang w:val="sr-Latn-ME"/>
        </w:rPr>
      </w:pPr>
    </w:p>
    <w:p w:rsidR="00496E03" w:rsidRPr="0055610F" w:rsidRDefault="00496E03" w:rsidP="004D5825">
      <w:pPr>
        <w:jc w:val="both"/>
        <w:rPr>
          <w:i/>
          <w:sz w:val="22"/>
          <w:szCs w:val="22"/>
          <w:u w:val="single"/>
          <w:lang w:val="sr-Latn-ME"/>
        </w:rPr>
      </w:pPr>
      <w:r w:rsidRPr="0055610F">
        <w:rPr>
          <w:i/>
          <w:sz w:val="22"/>
          <w:szCs w:val="22"/>
          <w:u w:val="single"/>
          <w:lang w:val="sr-Latn-ME"/>
        </w:rPr>
        <w:t>Sažetak bezbjednosnog profila</w:t>
      </w:r>
    </w:p>
    <w:p w:rsidR="00496E03" w:rsidRPr="0055610F" w:rsidRDefault="00496E03" w:rsidP="004D5825">
      <w:pPr>
        <w:jc w:val="both"/>
        <w:rPr>
          <w:sz w:val="22"/>
          <w:szCs w:val="22"/>
          <w:u w:val="single"/>
          <w:lang w:val="sr-Latn-ME"/>
        </w:rPr>
      </w:pPr>
    </w:p>
    <w:p w:rsidR="00496E03" w:rsidRPr="0055610F" w:rsidRDefault="00496E03" w:rsidP="004D5825">
      <w:pPr>
        <w:jc w:val="both"/>
        <w:outlineLvl w:val="0"/>
        <w:rPr>
          <w:sz w:val="22"/>
          <w:szCs w:val="22"/>
          <w:lang w:val="sr-Latn-ME"/>
        </w:rPr>
      </w:pPr>
      <w:r w:rsidRPr="0055610F">
        <w:rPr>
          <w:sz w:val="22"/>
          <w:szCs w:val="22"/>
          <w:lang w:val="sr-Latn-ME"/>
        </w:rPr>
        <w:t>Ukupan bezbjednosni profil lijeka MabThera u reumatoidnom artritisu zasniva se na podacima o pacijentima iz kliničkih studija i praćenju nakon stavljanja lijeka u promet.</w:t>
      </w:r>
    </w:p>
    <w:p w:rsidR="00496E03" w:rsidRPr="0055610F" w:rsidRDefault="00496E03" w:rsidP="004D5825">
      <w:pPr>
        <w:jc w:val="both"/>
        <w:outlineLvl w:val="0"/>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Bezbjednosni profil lijeka MabThera kod pacijenata sa srednje teškim ili teškim reumatoidnim artritisom (RA) sažeto je prikazan u nastavku. U kliničkim studijama je više od 3100 pacijenata primilo barem jedan ciklus liječenja, a praćeni su u razdobljima od 6 mjeseci do više od 5 godina; približno 2400 pacijenata primilo je dva ili više ciklusa liječenja dok je više od 1000 pacijenata primilo pet ili više ciklusa. Informacije o bezbjednosti prikupljene nakon stavljanja lijeka u promet odražavaju očekivani profil ne</w:t>
      </w:r>
      <w:r w:rsidRPr="007642DC">
        <w:rPr>
          <w:sz w:val="22"/>
          <w:szCs w:val="22"/>
          <w:lang w:val="sr-Latn-ME"/>
        </w:rPr>
        <w:t>ž</w:t>
      </w:r>
      <w:r w:rsidRPr="0055610F">
        <w:rPr>
          <w:sz w:val="22"/>
          <w:szCs w:val="22"/>
          <w:lang w:val="sr-Latn-ME"/>
        </w:rPr>
        <w:t xml:space="preserve">eljenih reakcija koji je bio vidljiv u kliničkim studijama lijeka MabThera (vidjeti dio 4.4). </w:t>
      </w:r>
    </w:p>
    <w:p w:rsidR="00B21971" w:rsidRPr="0055610F" w:rsidRDefault="00B21971"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Pacijenti su primali 2 x 1000 mg MabThere odvojeno u intervalima od dvije ned</w:t>
      </w:r>
      <w:r w:rsidR="005622EE" w:rsidRPr="0055610F">
        <w:rPr>
          <w:sz w:val="22"/>
          <w:szCs w:val="22"/>
          <w:lang w:val="sr-Latn-ME"/>
        </w:rPr>
        <w:t>j</w:t>
      </w:r>
      <w:r w:rsidRPr="0055610F">
        <w:rPr>
          <w:sz w:val="22"/>
          <w:szCs w:val="22"/>
          <w:lang w:val="sr-Latn-ME"/>
        </w:rPr>
        <w:t>elje. Uz to je davan metotreksat (10-25 mg ned</w:t>
      </w:r>
      <w:r w:rsidR="005622EE" w:rsidRPr="0055610F">
        <w:rPr>
          <w:sz w:val="22"/>
          <w:szCs w:val="22"/>
          <w:lang w:val="sr-Latn-ME"/>
        </w:rPr>
        <w:t>j</w:t>
      </w:r>
      <w:r w:rsidRPr="0055610F">
        <w:rPr>
          <w:sz w:val="22"/>
          <w:szCs w:val="22"/>
          <w:lang w:val="sr-Latn-ME"/>
        </w:rPr>
        <w:t>eljno). Infuzije MabThere</w:t>
      </w:r>
      <w:r w:rsidR="005622EE" w:rsidRPr="0055610F">
        <w:rPr>
          <w:sz w:val="22"/>
          <w:szCs w:val="22"/>
          <w:lang w:val="sr-Latn-ME"/>
        </w:rPr>
        <w:t xml:space="preserve"> primjenjivane</w:t>
      </w:r>
      <w:r w:rsidRPr="0055610F">
        <w:rPr>
          <w:sz w:val="22"/>
          <w:szCs w:val="22"/>
          <w:lang w:val="sr-Latn-ME"/>
        </w:rPr>
        <w:t xml:space="preserve"> su posl</w:t>
      </w:r>
      <w:r w:rsidR="005622EE" w:rsidRPr="0055610F">
        <w:rPr>
          <w:sz w:val="22"/>
          <w:szCs w:val="22"/>
          <w:lang w:val="sr-Latn-ME"/>
        </w:rPr>
        <w:t>ij</w:t>
      </w:r>
      <w:r w:rsidRPr="0055610F">
        <w:rPr>
          <w:sz w:val="22"/>
          <w:szCs w:val="22"/>
          <w:lang w:val="sr-Latn-ME"/>
        </w:rPr>
        <w:t xml:space="preserve">e intravenske infuzije 100 mg metilprednizolona. Pacijenti su dobijali i terapiju oralnim prednizolonom tokom 15 dana. </w:t>
      </w:r>
    </w:p>
    <w:p w:rsidR="00496E03" w:rsidRPr="0055610F" w:rsidRDefault="00496E03" w:rsidP="004D5825">
      <w:pPr>
        <w:jc w:val="both"/>
        <w:rPr>
          <w:sz w:val="22"/>
          <w:szCs w:val="22"/>
          <w:lang w:val="sr-Latn-ME"/>
        </w:rPr>
      </w:pPr>
    </w:p>
    <w:p w:rsidR="00496E03" w:rsidRPr="0055610F" w:rsidRDefault="00496E03" w:rsidP="004D5825">
      <w:pPr>
        <w:jc w:val="both"/>
        <w:rPr>
          <w:i/>
          <w:sz w:val="22"/>
          <w:szCs w:val="22"/>
          <w:u w:val="single"/>
          <w:lang w:val="sr-Latn-ME"/>
        </w:rPr>
      </w:pPr>
      <w:r w:rsidRPr="0055610F">
        <w:rPr>
          <w:i/>
          <w:sz w:val="22"/>
          <w:szCs w:val="22"/>
          <w:u w:val="single"/>
          <w:lang w:val="sr-Latn-ME"/>
        </w:rPr>
        <w:t>Tabelarni prikaz neželjenih reakcija</w:t>
      </w:r>
    </w:p>
    <w:p w:rsidR="00496E03" w:rsidRPr="0055610F" w:rsidRDefault="00496E03" w:rsidP="004D5825">
      <w:pPr>
        <w:jc w:val="both"/>
        <w:rPr>
          <w:i/>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Neželjene reakcije su navedene u tabeli 4. Učestalost je definisana kao veoma često (≥1/10), često (≥1/100 do &lt;1/10), povremeno (≥1/1000 do &lt;1/100)</w:t>
      </w:r>
      <w:r w:rsidR="00FB34CE">
        <w:rPr>
          <w:sz w:val="22"/>
          <w:szCs w:val="22"/>
          <w:lang w:val="sr-Latn-ME"/>
        </w:rPr>
        <w:t>,</w:t>
      </w:r>
      <w:r w:rsidRPr="0055610F">
        <w:rPr>
          <w:sz w:val="22"/>
          <w:szCs w:val="22"/>
          <w:lang w:val="sr-Latn-ME"/>
        </w:rPr>
        <w:t>veoma rijetko (&lt;1/10000)</w:t>
      </w:r>
      <w:r w:rsidR="00FB34CE">
        <w:rPr>
          <w:sz w:val="22"/>
          <w:szCs w:val="22"/>
          <w:lang w:val="sr-Latn-ME"/>
        </w:rPr>
        <w:t xml:space="preserve"> i</w:t>
      </w:r>
      <w:r w:rsidR="00FB34CE">
        <w:rPr>
          <w:sz w:val="22"/>
          <w:szCs w:val="22"/>
          <w:lang w:val="pl-PL"/>
        </w:rPr>
        <w:t xml:space="preserve"> nepoznato (</w:t>
      </w:r>
      <w:r w:rsidR="00B2002A">
        <w:rPr>
          <w:sz w:val="22"/>
          <w:szCs w:val="22"/>
          <w:lang w:val="pl-PL"/>
        </w:rPr>
        <w:t>učestalost se ne može procjeniti iz dostupnih podataka</w:t>
      </w:r>
      <w:r w:rsidR="00FB34CE">
        <w:rPr>
          <w:sz w:val="22"/>
          <w:szCs w:val="22"/>
          <w:lang w:val="sr-Latn-RS"/>
        </w:rPr>
        <w:t>)</w:t>
      </w:r>
      <w:r w:rsidRPr="0055610F">
        <w:rPr>
          <w:sz w:val="22"/>
          <w:szCs w:val="22"/>
          <w:lang w:val="sr-Latn-ME"/>
        </w:rPr>
        <w:t xml:space="preserve">. Unutar svake grupe učestalosti, neželjeni događaji prikazani su po redosljedu opadajuće ozbiljnosti. </w:t>
      </w:r>
    </w:p>
    <w:p w:rsidR="00496E03" w:rsidRDefault="00496E03" w:rsidP="004D5825">
      <w:pPr>
        <w:jc w:val="both"/>
        <w:rPr>
          <w:sz w:val="22"/>
          <w:szCs w:val="22"/>
          <w:lang w:val="sr-Latn-ME"/>
        </w:rPr>
      </w:pPr>
    </w:p>
    <w:p w:rsidR="00EC738D" w:rsidRDefault="00EC738D" w:rsidP="004D5825">
      <w:pPr>
        <w:jc w:val="both"/>
        <w:rPr>
          <w:sz w:val="22"/>
          <w:szCs w:val="22"/>
          <w:lang w:val="sr-Latn-ME"/>
        </w:rPr>
      </w:pPr>
      <w:r>
        <w:rPr>
          <w:sz w:val="22"/>
          <w:szCs w:val="22"/>
          <w:lang w:val="sr-Latn-ME"/>
        </w:rPr>
        <w:t>Neželjene reakcije koje su uočene samo to</w:t>
      </w:r>
      <w:r w:rsidRPr="00EC738D">
        <w:rPr>
          <w:sz w:val="22"/>
          <w:szCs w:val="22"/>
          <w:lang w:val="sr-Latn-ME"/>
        </w:rPr>
        <w:t>kom praćenja nakon stavljanja lijeka u promet i za koje nije moguće procijeniti učestalost svrstane su u kategori</w:t>
      </w:r>
      <w:r>
        <w:rPr>
          <w:sz w:val="22"/>
          <w:szCs w:val="22"/>
          <w:lang w:val="sr-Latn-ME"/>
        </w:rPr>
        <w:t>ju „nepoznato“, vidjeti fusnote</w:t>
      </w:r>
      <w:r w:rsidRPr="00EC738D">
        <w:rPr>
          <w:sz w:val="22"/>
          <w:szCs w:val="22"/>
          <w:lang w:val="sr-Latn-ME"/>
        </w:rPr>
        <w:t>.</w:t>
      </w:r>
    </w:p>
    <w:p w:rsidR="00EC738D" w:rsidRPr="0055610F" w:rsidRDefault="00EC738D" w:rsidP="004D5825">
      <w:pPr>
        <w:jc w:val="both"/>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t>Najčešće neželjene reakcije za koje se smatra da su posljedica primanje lijeka MabThera bile su reakcije na infuziju. Ukupna učestalost reakcija povezanih sa infuzijom u kliničkim studijama bila je 23% nakon prve infuzije te se smanjivala sa narednim infuzijama. Ozbiljne reakcije povezane sa infuzijom bile su manje česte (0,5% pacijenata) i pretežno su uočene tokom početnog ciklusa. Uz neželjene reakcije lijeka MabThera zabilježene u kliničkim studijama reumatoidnog artritisa, nakon stavljanja lijeka u promet prijavljene su progresivna multifokalna leukoencefalopatija (P</w:t>
      </w:r>
      <w:r w:rsidR="007642DC">
        <w:rPr>
          <w:sz w:val="22"/>
          <w:szCs w:val="22"/>
          <w:lang w:val="sr-Latn-ME"/>
        </w:rPr>
        <w:t>ML</w:t>
      </w:r>
      <w:r w:rsidRPr="0055610F">
        <w:rPr>
          <w:sz w:val="22"/>
          <w:szCs w:val="22"/>
          <w:lang w:val="sr-Latn-ME"/>
        </w:rPr>
        <w:t xml:space="preserve">) (vidjeti dio 4.4) i reakcija nalik serumskoj bolesti. </w:t>
      </w:r>
    </w:p>
    <w:p w:rsidR="00496E03" w:rsidRPr="0055610F" w:rsidRDefault="00496E03" w:rsidP="004D5825">
      <w:pPr>
        <w:jc w:val="both"/>
        <w:rPr>
          <w:sz w:val="22"/>
          <w:szCs w:val="22"/>
          <w:lang w:val="sr-Latn-ME"/>
        </w:rPr>
      </w:pPr>
    </w:p>
    <w:p w:rsidR="00496E03" w:rsidRPr="0055610F" w:rsidRDefault="00496E03" w:rsidP="004D5825">
      <w:pPr>
        <w:jc w:val="both"/>
        <w:rPr>
          <w:b/>
          <w:sz w:val="22"/>
          <w:szCs w:val="22"/>
          <w:lang w:val="sr-Latn-ME"/>
        </w:rPr>
      </w:pPr>
      <w:r w:rsidRPr="0055610F">
        <w:rPr>
          <w:b/>
          <w:sz w:val="22"/>
          <w:szCs w:val="22"/>
          <w:lang w:val="sr-Latn-ME"/>
        </w:rPr>
        <w:t>Tabela 4</w:t>
      </w:r>
      <w:r w:rsidRPr="0055610F">
        <w:rPr>
          <w:b/>
          <w:sz w:val="22"/>
          <w:szCs w:val="22"/>
          <w:lang w:val="sr-Latn-ME"/>
        </w:rPr>
        <w:tab/>
        <w:t xml:space="preserve">Sažetak neželjenih reakcija prijavljenih u kliničkim studijama ili nakon stavljanja lijeka u promet sa reumatoidnim artritisom koji su primali lijek MabThera </w:t>
      </w:r>
    </w:p>
    <w:p w:rsidR="00496E03" w:rsidRPr="0055610F" w:rsidRDefault="00496E03" w:rsidP="004D5825">
      <w:pPr>
        <w:jc w:val="both"/>
        <w:rPr>
          <w:sz w:val="22"/>
          <w:szCs w:val="22"/>
          <w:lang w:val="sr-Latn-ME"/>
        </w:rPr>
      </w:pPr>
    </w:p>
    <w:tbl>
      <w:tblPr>
        <w:tblW w:w="909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260"/>
        <w:gridCol w:w="1350"/>
        <w:gridCol w:w="1350"/>
        <w:gridCol w:w="1350"/>
        <w:gridCol w:w="1350"/>
        <w:gridCol w:w="1260"/>
      </w:tblGrid>
      <w:tr w:rsidR="00FB34CE" w:rsidRPr="007642DC" w:rsidTr="009941F7">
        <w:tc>
          <w:tcPr>
            <w:tcW w:w="1170" w:type="dxa"/>
            <w:shd w:val="clear" w:color="auto" w:fill="auto"/>
            <w:vAlign w:val="center"/>
          </w:tcPr>
          <w:p w:rsidR="00FB34CE" w:rsidRPr="0055610F" w:rsidRDefault="00FB34CE" w:rsidP="004D5825">
            <w:pPr>
              <w:jc w:val="both"/>
              <w:rPr>
                <w:sz w:val="22"/>
                <w:szCs w:val="22"/>
                <w:lang w:val="sr-Latn-ME"/>
              </w:rPr>
            </w:pPr>
            <w:r w:rsidRPr="0055610F">
              <w:rPr>
                <w:rFonts w:eastAsia="MS Mincho"/>
                <w:b/>
                <w:bCs/>
                <w:sz w:val="22"/>
                <w:szCs w:val="22"/>
                <w:lang w:val="sr-Latn-ME" w:eastAsia="zh-CN" w:bidi="th-TH"/>
              </w:rPr>
              <w:t xml:space="preserve">MedDRA Klasa sistema organa </w:t>
            </w:r>
          </w:p>
        </w:tc>
        <w:tc>
          <w:tcPr>
            <w:tcW w:w="1260" w:type="dxa"/>
            <w:shd w:val="clear" w:color="auto" w:fill="auto"/>
            <w:vAlign w:val="center"/>
          </w:tcPr>
          <w:p w:rsidR="00FB34CE" w:rsidRPr="0055610F" w:rsidRDefault="00B2002A" w:rsidP="004D5825">
            <w:pPr>
              <w:jc w:val="both"/>
              <w:rPr>
                <w:sz w:val="22"/>
                <w:szCs w:val="22"/>
                <w:lang w:val="sr-Latn-ME"/>
              </w:rPr>
            </w:pPr>
            <w:r>
              <w:rPr>
                <w:b/>
                <w:sz w:val="22"/>
                <w:szCs w:val="22"/>
                <w:lang w:val="sr-Latn-ME" w:eastAsia="ja-JP"/>
              </w:rPr>
              <w:t>Veoma često</w:t>
            </w:r>
          </w:p>
        </w:tc>
        <w:tc>
          <w:tcPr>
            <w:tcW w:w="1350" w:type="dxa"/>
            <w:shd w:val="clear" w:color="auto" w:fill="auto"/>
            <w:vAlign w:val="center"/>
          </w:tcPr>
          <w:p w:rsidR="00FB34CE" w:rsidRPr="0055610F" w:rsidRDefault="00FB34CE" w:rsidP="00B2002A">
            <w:pPr>
              <w:jc w:val="both"/>
              <w:rPr>
                <w:sz w:val="22"/>
                <w:szCs w:val="22"/>
                <w:lang w:val="sr-Latn-ME"/>
              </w:rPr>
            </w:pPr>
            <w:r w:rsidRPr="0055610F">
              <w:rPr>
                <w:b/>
                <w:sz w:val="22"/>
                <w:szCs w:val="22"/>
                <w:lang w:val="sr-Latn-ME" w:eastAsia="ja-JP"/>
              </w:rPr>
              <w:t>Čest</w:t>
            </w:r>
            <w:r w:rsidR="00B2002A">
              <w:rPr>
                <w:b/>
                <w:sz w:val="22"/>
                <w:szCs w:val="22"/>
                <w:lang w:val="sr-Latn-ME" w:eastAsia="ja-JP"/>
              </w:rPr>
              <w:t>o</w:t>
            </w:r>
          </w:p>
        </w:tc>
        <w:tc>
          <w:tcPr>
            <w:tcW w:w="1350" w:type="dxa"/>
            <w:shd w:val="clear" w:color="auto" w:fill="auto"/>
            <w:vAlign w:val="center"/>
          </w:tcPr>
          <w:p w:rsidR="00FB34CE" w:rsidRPr="0055610F" w:rsidRDefault="00FB34CE" w:rsidP="00B2002A">
            <w:pPr>
              <w:jc w:val="both"/>
              <w:rPr>
                <w:sz w:val="22"/>
                <w:szCs w:val="22"/>
                <w:lang w:val="sr-Latn-ME"/>
              </w:rPr>
            </w:pPr>
            <w:r w:rsidRPr="0055610F">
              <w:rPr>
                <w:b/>
                <w:sz w:val="22"/>
                <w:szCs w:val="22"/>
                <w:lang w:val="sr-Latn-ME" w:eastAsia="ja-JP"/>
              </w:rPr>
              <w:t>Povremen</w:t>
            </w:r>
            <w:r w:rsidR="00B2002A">
              <w:rPr>
                <w:b/>
                <w:sz w:val="22"/>
                <w:szCs w:val="22"/>
                <w:lang w:val="sr-Latn-ME" w:eastAsia="ja-JP"/>
              </w:rPr>
              <w:t>o</w:t>
            </w:r>
          </w:p>
        </w:tc>
        <w:tc>
          <w:tcPr>
            <w:tcW w:w="1350" w:type="dxa"/>
            <w:shd w:val="clear" w:color="auto" w:fill="auto"/>
            <w:vAlign w:val="center"/>
          </w:tcPr>
          <w:p w:rsidR="00FB34CE" w:rsidRPr="0055610F" w:rsidRDefault="00FB34CE" w:rsidP="004D5825">
            <w:pPr>
              <w:jc w:val="both"/>
              <w:rPr>
                <w:sz w:val="22"/>
                <w:szCs w:val="22"/>
                <w:lang w:val="sr-Latn-ME"/>
              </w:rPr>
            </w:pPr>
            <w:r w:rsidRPr="0055610F">
              <w:rPr>
                <w:b/>
                <w:sz w:val="22"/>
                <w:szCs w:val="22"/>
                <w:lang w:val="sr-Latn-ME" w:eastAsia="ja-JP"/>
              </w:rPr>
              <w:t>Rijetko</w:t>
            </w:r>
          </w:p>
        </w:tc>
        <w:tc>
          <w:tcPr>
            <w:tcW w:w="1350" w:type="dxa"/>
            <w:shd w:val="clear" w:color="auto" w:fill="auto"/>
          </w:tcPr>
          <w:p w:rsidR="00FB34CE" w:rsidRPr="0055610F" w:rsidRDefault="00FB34CE" w:rsidP="004D5825">
            <w:pPr>
              <w:jc w:val="both"/>
              <w:rPr>
                <w:b/>
                <w:sz w:val="22"/>
                <w:szCs w:val="22"/>
                <w:lang w:val="sr-Latn-ME" w:eastAsia="ja-JP"/>
              </w:rPr>
            </w:pPr>
          </w:p>
          <w:p w:rsidR="00FB34CE" w:rsidRPr="0055610F" w:rsidRDefault="00FB34CE" w:rsidP="004D5825">
            <w:pPr>
              <w:jc w:val="both"/>
              <w:rPr>
                <w:sz w:val="22"/>
                <w:szCs w:val="22"/>
                <w:lang w:val="sr-Latn-ME"/>
              </w:rPr>
            </w:pPr>
            <w:r w:rsidRPr="0055610F">
              <w:rPr>
                <w:b/>
                <w:sz w:val="22"/>
                <w:szCs w:val="22"/>
                <w:lang w:val="sr-Latn-ME" w:eastAsia="ja-JP"/>
              </w:rPr>
              <w:t>V</w:t>
            </w:r>
            <w:r w:rsidR="00B2002A">
              <w:rPr>
                <w:b/>
                <w:sz w:val="22"/>
                <w:szCs w:val="22"/>
                <w:lang w:val="sr-Latn-ME" w:eastAsia="ja-JP"/>
              </w:rPr>
              <w:t>eoma</w:t>
            </w:r>
            <w:r w:rsidRPr="0055610F">
              <w:rPr>
                <w:b/>
                <w:sz w:val="22"/>
                <w:szCs w:val="22"/>
                <w:lang w:val="sr-Latn-ME" w:eastAsia="ja-JP"/>
              </w:rPr>
              <w:t xml:space="preserve"> rijetko</w:t>
            </w:r>
          </w:p>
        </w:tc>
        <w:tc>
          <w:tcPr>
            <w:tcW w:w="1260" w:type="dxa"/>
          </w:tcPr>
          <w:p w:rsidR="00FB34CE" w:rsidRPr="0055610F" w:rsidRDefault="00FB34CE" w:rsidP="004D5825">
            <w:pPr>
              <w:jc w:val="both"/>
              <w:rPr>
                <w:b/>
                <w:sz w:val="22"/>
                <w:szCs w:val="22"/>
                <w:lang w:val="sr-Latn-ME" w:eastAsia="ja-JP"/>
              </w:rPr>
            </w:pPr>
            <w:r>
              <w:rPr>
                <w:b/>
                <w:sz w:val="22"/>
                <w:szCs w:val="22"/>
                <w:lang w:val="sr-Latn-ME" w:eastAsia="ja-JP"/>
              </w:rPr>
              <w:t>Nepoznato</w:t>
            </w:r>
          </w:p>
        </w:tc>
      </w:tr>
      <w:tr w:rsidR="00FB34CE" w:rsidRPr="007642DC" w:rsidTr="009941F7">
        <w:tc>
          <w:tcPr>
            <w:tcW w:w="1170" w:type="dxa"/>
            <w:shd w:val="clear" w:color="auto" w:fill="auto"/>
            <w:vAlign w:val="center"/>
          </w:tcPr>
          <w:p w:rsidR="00FB34CE" w:rsidRPr="0055610F" w:rsidRDefault="00FB34CE" w:rsidP="004D5825">
            <w:pPr>
              <w:rPr>
                <w:rFonts w:eastAsia="MS Mincho"/>
                <w:b/>
                <w:bCs/>
                <w:sz w:val="22"/>
                <w:szCs w:val="22"/>
                <w:lang w:val="sr-Latn-ME" w:eastAsia="zh-CN" w:bidi="th-TH"/>
              </w:rPr>
            </w:pPr>
            <w:r w:rsidRPr="0055610F">
              <w:rPr>
                <w:b/>
                <w:sz w:val="22"/>
                <w:szCs w:val="22"/>
                <w:lang w:val="sr-Latn-ME"/>
              </w:rPr>
              <w:t>Infekcije i infestacije</w:t>
            </w:r>
          </w:p>
        </w:tc>
        <w:tc>
          <w:tcPr>
            <w:tcW w:w="1260" w:type="dxa"/>
            <w:shd w:val="clear" w:color="auto" w:fill="auto"/>
            <w:vAlign w:val="center"/>
          </w:tcPr>
          <w:p w:rsidR="00FB34CE" w:rsidRPr="0055610F" w:rsidRDefault="00FB34CE" w:rsidP="004D5825">
            <w:pPr>
              <w:rPr>
                <w:b/>
                <w:sz w:val="22"/>
                <w:szCs w:val="22"/>
                <w:lang w:val="sr-Latn-ME" w:eastAsia="ja-JP"/>
              </w:rPr>
            </w:pPr>
            <w:r w:rsidRPr="0055610F">
              <w:rPr>
                <w:sz w:val="22"/>
                <w:szCs w:val="22"/>
                <w:lang w:val="sr-Latn-ME"/>
              </w:rPr>
              <w:t>sve infekcije, infekcije gornjeg respiratornog trakta, infekcije urinarnog trakta</w:t>
            </w:r>
          </w:p>
        </w:tc>
        <w:tc>
          <w:tcPr>
            <w:tcW w:w="1350" w:type="dxa"/>
            <w:shd w:val="clear" w:color="auto" w:fill="auto"/>
            <w:vAlign w:val="center"/>
          </w:tcPr>
          <w:p w:rsidR="00FB34CE" w:rsidRPr="0055610F" w:rsidRDefault="00FB34CE" w:rsidP="004D5825">
            <w:pPr>
              <w:rPr>
                <w:b/>
                <w:sz w:val="22"/>
                <w:szCs w:val="22"/>
                <w:lang w:val="sr-Latn-ME" w:eastAsia="ja-JP"/>
              </w:rPr>
            </w:pPr>
            <w:r w:rsidRPr="0055610F">
              <w:rPr>
                <w:sz w:val="22"/>
                <w:szCs w:val="22"/>
                <w:lang w:val="sr-Latn-ME"/>
              </w:rPr>
              <w:t>bronhitis, sinusitis, gastroenteritis, tinea pedis</w:t>
            </w:r>
          </w:p>
        </w:tc>
        <w:tc>
          <w:tcPr>
            <w:tcW w:w="1350" w:type="dxa"/>
            <w:shd w:val="clear" w:color="auto" w:fill="auto"/>
            <w:vAlign w:val="center"/>
          </w:tcPr>
          <w:p w:rsidR="00FB34CE" w:rsidRPr="0055610F" w:rsidRDefault="00FB34CE" w:rsidP="004D5825">
            <w:pPr>
              <w:rPr>
                <w:b/>
                <w:sz w:val="22"/>
                <w:szCs w:val="22"/>
                <w:lang w:val="sr-Latn-ME" w:eastAsia="ja-JP"/>
              </w:rPr>
            </w:pPr>
          </w:p>
        </w:tc>
        <w:tc>
          <w:tcPr>
            <w:tcW w:w="1350" w:type="dxa"/>
            <w:shd w:val="clear" w:color="auto" w:fill="auto"/>
            <w:vAlign w:val="center"/>
          </w:tcPr>
          <w:p w:rsidR="00FB34CE" w:rsidRPr="0055610F" w:rsidRDefault="00FB34CE" w:rsidP="004D5825">
            <w:pPr>
              <w:rPr>
                <w:b/>
                <w:sz w:val="22"/>
                <w:szCs w:val="22"/>
                <w:lang w:val="sr-Latn-ME" w:eastAsia="ja-JP"/>
              </w:rPr>
            </w:pPr>
          </w:p>
        </w:tc>
        <w:tc>
          <w:tcPr>
            <w:tcW w:w="1350" w:type="dxa"/>
            <w:shd w:val="clear" w:color="auto" w:fill="auto"/>
          </w:tcPr>
          <w:p w:rsidR="00FB34CE" w:rsidRPr="0055610F" w:rsidRDefault="00FB34CE" w:rsidP="004D5825">
            <w:pPr>
              <w:rPr>
                <w:b/>
                <w:sz w:val="22"/>
                <w:szCs w:val="22"/>
                <w:lang w:val="sr-Latn-ME" w:eastAsia="ja-JP"/>
              </w:rPr>
            </w:pPr>
            <w:r w:rsidRPr="0055610F">
              <w:rPr>
                <w:sz w:val="22"/>
                <w:szCs w:val="22"/>
                <w:lang w:val="sr-Latn-ME"/>
              </w:rPr>
              <w:t>P</w:t>
            </w:r>
            <w:r>
              <w:rPr>
                <w:sz w:val="22"/>
                <w:szCs w:val="22"/>
                <w:lang w:val="sr-Latn-ME"/>
              </w:rPr>
              <w:t>ML</w:t>
            </w:r>
            <w:r w:rsidRPr="0055610F">
              <w:rPr>
                <w:sz w:val="22"/>
                <w:szCs w:val="22"/>
                <w:lang w:val="sr-Latn-ME"/>
              </w:rPr>
              <w:t>, reaktivacija hepatitisa B</w:t>
            </w:r>
          </w:p>
        </w:tc>
        <w:tc>
          <w:tcPr>
            <w:tcW w:w="1260" w:type="dxa"/>
          </w:tcPr>
          <w:p w:rsidR="00FB34CE" w:rsidRPr="004B5023" w:rsidRDefault="00FB34CE" w:rsidP="004D5825">
            <w:pPr>
              <w:rPr>
                <w:sz w:val="22"/>
                <w:szCs w:val="22"/>
                <w:lang w:val="sr-Latn-RS"/>
              </w:rPr>
            </w:pPr>
            <w:r>
              <w:rPr>
                <w:szCs w:val="22"/>
              </w:rPr>
              <w:t>ozbiljne virusne infekcije</w:t>
            </w:r>
            <w:r w:rsidRPr="00EE2B97">
              <w:rPr>
                <w:sz w:val="18"/>
                <w:vertAlign w:val="superscript"/>
              </w:rPr>
              <w:t>1</w:t>
            </w:r>
            <w:r w:rsidR="00EC738D">
              <w:rPr>
                <w:sz w:val="18"/>
                <w:vertAlign w:val="superscript"/>
              </w:rPr>
              <w:t>,2</w:t>
            </w:r>
            <w:r w:rsidR="00C57D09">
              <w:rPr>
                <w:sz w:val="18"/>
              </w:rPr>
              <w:t xml:space="preserve">, </w:t>
            </w:r>
            <w:r w:rsidR="00C57D09" w:rsidRPr="007D7AF3">
              <w:rPr>
                <w:sz w:val="22"/>
              </w:rPr>
              <w:t>enterovirusni meningoencefalitis</w:t>
            </w:r>
            <w:r w:rsidR="00C57D09" w:rsidRPr="007D7AF3">
              <w:rPr>
                <w:sz w:val="22"/>
                <w:vertAlign w:val="superscript"/>
              </w:rPr>
              <w:t>2</w:t>
            </w:r>
          </w:p>
        </w:tc>
      </w:tr>
      <w:tr w:rsidR="00FB34CE" w:rsidRPr="007642DC" w:rsidTr="009941F7">
        <w:trPr>
          <w:trHeight w:val="1573"/>
        </w:trPr>
        <w:tc>
          <w:tcPr>
            <w:tcW w:w="1170" w:type="dxa"/>
            <w:shd w:val="clear" w:color="auto" w:fill="auto"/>
            <w:vAlign w:val="center"/>
          </w:tcPr>
          <w:p w:rsidR="00FB34CE" w:rsidRPr="0055610F" w:rsidRDefault="00FB34CE" w:rsidP="004D5825">
            <w:pPr>
              <w:rPr>
                <w:b/>
                <w:sz w:val="22"/>
                <w:szCs w:val="22"/>
                <w:lang w:val="sr-Latn-ME"/>
              </w:rPr>
            </w:pPr>
            <w:r w:rsidRPr="0055610F">
              <w:rPr>
                <w:b/>
                <w:sz w:val="22"/>
                <w:szCs w:val="22"/>
                <w:lang w:val="sr-Latn-ME" w:eastAsia="ja-JP"/>
              </w:rPr>
              <w:t>Poremećaji krvi i limfnog sistema</w:t>
            </w:r>
          </w:p>
        </w:tc>
        <w:tc>
          <w:tcPr>
            <w:tcW w:w="1260" w:type="dxa"/>
            <w:shd w:val="clear" w:color="auto" w:fill="auto"/>
            <w:vAlign w:val="center"/>
          </w:tcPr>
          <w:p w:rsidR="00FB34CE" w:rsidRPr="0055610F" w:rsidRDefault="00FB34CE" w:rsidP="004D5825">
            <w:pPr>
              <w:rPr>
                <w:sz w:val="22"/>
                <w:szCs w:val="22"/>
                <w:lang w:val="sr-Latn-ME"/>
              </w:rPr>
            </w:pPr>
          </w:p>
        </w:tc>
        <w:tc>
          <w:tcPr>
            <w:tcW w:w="1350" w:type="dxa"/>
            <w:shd w:val="clear" w:color="auto" w:fill="auto"/>
            <w:vAlign w:val="center"/>
          </w:tcPr>
          <w:p w:rsidR="00FB34CE" w:rsidRPr="0055610F" w:rsidRDefault="00FB34CE" w:rsidP="00C57D09">
            <w:pPr>
              <w:rPr>
                <w:sz w:val="22"/>
                <w:szCs w:val="22"/>
                <w:vertAlign w:val="superscript"/>
                <w:lang w:val="sr-Latn-ME"/>
              </w:rPr>
            </w:pPr>
            <w:r w:rsidRPr="0055610F">
              <w:rPr>
                <w:sz w:val="22"/>
                <w:szCs w:val="22"/>
                <w:lang w:val="sr-Latn-ME"/>
              </w:rPr>
              <w:t>Neutropenija</w:t>
            </w:r>
            <w:r w:rsidR="00C57D09">
              <w:rPr>
                <w:sz w:val="22"/>
                <w:szCs w:val="22"/>
                <w:vertAlign w:val="superscript"/>
                <w:lang w:val="sr-Latn-ME"/>
              </w:rPr>
              <w:t>3</w:t>
            </w:r>
          </w:p>
        </w:tc>
        <w:tc>
          <w:tcPr>
            <w:tcW w:w="1350" w:type="dxa"/>
            <w:shd w:val="clear" w:color="auto" w:fill="auto"/>
            <w:vAlign w:val="center"/>
          </w:tcPr>
          <w:p w:rsidR="00FB34CE" w:rsidRPr="0055610F" w:rsidRDefault="00FB34CE" w:rsidP="004D5825">
            <w:pPr>
              <w:rPr>
                <w:b/>
                <w:sz w:val="22"/>
                <w:szCs w:val="22"/>
                <w:lang w:val="sr-Latn-ME" w:eastAsia="ja-JP"/>
              </w:rPr>
            </w:pPr>
          </w:p>
        </w:tc>
        <w:tc>
          <w:tcPr>
            <w:tcW w:w="1350" w:type="dxa"/>
            <w:shd w:val="clear" w:color="auto" w:fill="auto"/>
            <w:vAlign w:val="center"/>
          </w:tcPr>
          <w:p w:rsidR="00FB34CE" w:rsidRPr="0055610F" w:rsidRDefault="00FB34CE" w:rsidP="00C57D09">
            <w:pPr>
              <w:rPr>
                <w:sz w:val="22"/>
                <w:szCs w:val="22"/>
                <w:vertAlign w:val="superscript"/>
                <w:lang w:val="sr-Latn-ME" w:eastAsia="ja-JP"/>
              </w:rPr>
            </w:pPr>
            <w:r w:rsidRPr="0055610F">
              <w:rPr>
                <w:sz w:val="22"/>
                <w:szCs w:val="22"/>
                <w:lang w:val="sr-Latn-ME" w:eastAsia="ja-JP"/>
              </w:rPr>
              <w:t>kasna neutropenija</w:t>
            </w:r>
            <w:r w:rsidR="00C57D09">
              <w:rPr>
                <w:sz w:val="22"/>
                <w:szCs w:val="22"/>
                <w:vertAlign w:val="superscript"/>
                <w:lang w:val="sr-Latn-ME" w:eastAsia="ja-JP"/>
              </w:rPr>
              <w:t>4</w:t>
            </w:r>
          </w:p>
        </w:tc>
        <w:tc>
          <w:tcPr>
            <w:tcW w:w="1350" w:type="dxa"/>
            <w:shd w:val="clear" w:color="auto" w:fill="auto"/>
          </w:tcPr>
          <w:p w:rsidR="00FB34CE" w:rsidRPr="0055610F" w:rsidRDefault="00FB34CE" w:rsidP="004D5825">
            <w:pPr>
              <w:rPr>
                <w:sz w:val="22"/>
                <w:szCs w:val="22"/>
                <w:lang w:val="sr-Latn-ME"/>
              </w:rPr>
            </w:pPr>
          </w:p>
          <w:p w:rsidR="00FB34CE" w:rsidRPr="0055610F" w:rsidRDefault="00FB34CE" w:rsidP="004D5825">
            <w:pPr>
              <w:rPr>
                <w:sz w:val="22"/>
                <w:szCs w:val="22"/>
                <w:lang w:val="sr-Latn-ME"/>
              </w:rPr>
            </w:pPr>
            <w:r w:rsidRPr="0055610F">
              <w:rPr>
                <w:sz w:val="22"/>
                <w:szCs w:val="22"/>
                <w:lang w:val="sr-Latn-ME"/>
              </w:rPr>
              <w:t>reakcija poput serumske bolesti</w:t>
            </w:r>
          </w:p>
        </w:tc>
        <w:tc>
          <w:tcPr>
            <w:tcW w:w="1260" w:type="dxa"/>
          </w:tcPr>
          <w:p w:rsidR="00FB34CE" w:rsidRPr="0055610F" w:rsidRDefault="00FB34CE" w:rsidP="004D5825">
            <w:pPr>
              <w:rPr>
                <w:sz w:val="22"/>
                <w:szCs w:val="22"/>
                <w:lang w:val="sr-Latn-ME"/>
              </w:rPr>
            </w:pPr>
          </w:p>
        </w:tc>
      </w:tr>
      <w:tr w:rsidR="001C7B8B" w:rsidRPr="007642DC" w:rsidTr="009941F7">
        <w:tc>
          <w:tcPr>
            <w:tcW w:w="1170" w:type="dxa"/>
            <w:shd w:val="clear" w:color="auto" w:fill="auto"/>
          </w:tcPr>
          <w:p w:rsidR="001C7B8B" w:rsidRPr="0055610F" w:rsidRDefault="001C7B8B" w:rsidP="004D5825">
            <w:pPr>
              <w:rPr>
                <w:b/>
                <w:sz w:val="22"/>
                <w:szCs w:val="22"/>
                <w:lang w:val="sr-Latn-ME" w:eastAsia="ja-JP"/>
              </w:rPr>
            </w:pPr>
            <w:r w:rsidRPr="0055610F">
              <w:rPr>
                <w:b/>
                <w:sz w:val="22"/>
                <w:szCs w:val="22"/>
                <w:lang w:val="sr-Latn-ME" w:eastAsia="ja-JP"/>
              </w:rPr>
              <w:lastRenderedPageBreak/>
              <w:t>Poremećaji imunog sistema</w:t>
            </w:r>
          </w:p>
        </w:tc>
        <w:tc>
          <w:tcPr>
            <w:tcW w:w="1260" w:type="dxa"/>
            <w:vMerge w:val="restart"/>
            <w:shd w:val="clear" w:color="auto" w:fill="auto"/>
          </w:tcPr>
          <w:p w:rsidR="001C7B8B" w:rsidRPr="0055610F" w:rsidRDefault="001C7B8B" w:rsidP="004D5825">
            <w:pPr>
              <w:rPr>
                <w:sz w:val="22"/>
                <w:szCs w:val="22"/>
                <w:lang w:val="sr-Latn-ME"/>
              </w:rPr>
            </w:pPr>
            <w:r>
              <w:rPr>
                <w:sz w:val="22"/>
                <w:szCs w:val="22"/>
                <w:vertAlign w:val="superscript"/>
                <w:lang w:val="sr-Latn-ME"/>
              </w:rPr>
              <w:t>5</w:t>
            </w:r>
            <w:r w:rsidRPr="0055610F">
              <w:rPr>
                <w:sz w:val="22"/>
                <w:szCs w:val="22"/>
                <w:lang w:val="sr-Latn-ME"/>
              </w:rPr>
              <w:t>reakcije povezane s infuzijom (hipertenzija, mučnina, osip, groznica, svrab, urtikarija, iritacija grla, valunzi, hipotenzija, rinitis, drhtavica, tahikardija, umor, bol u ustima i grlu, periferni edem, eritem)</w:t>
            </w:r>
          </w:p>
        </w:tc>
        <w:tc>
          <w:tcPr>
            <w:tcW w:w="1350" w:type="dxa"/>
            <w:vMerge w:val="restart"/>
            <w:shd w:val="clear" w:color="auto" w:fill="auto"/>
          </w:tcPr>
          <w:p w:rsidR="001C7B8B" w:rsidRPr="0055610F" w:rsidRDefault="001C7B8B" w:rsidP="004D5825">
            <w:pPr>
              <w:rPr>
                <w:sz w:val="22"/>
                <w:szCs w:val="22"/>
                <w:lang w:val="sr-Latn-ME"/>
              </w:rPr>
            </w:pPr>
          </w:p>
        </w:tc>
        <w:tc>
          <w:tcPr>
            <w:tcW w:w="1350" w:type="dxa"/>
            <w:vMerge w:val="restart"/>
            <w:shd w:val="clear" w:color="auto" w:fill="auto"/>
            <w:vAlign w:val="center"/>
          </w:tcPr>
          <w:p w:rsidR="001C7B8B" w:rsidRPr="0055610F" w:rsidRDefault="001C7B8B" w:rsidP="004D5825">
            <w:pPr>
              <w:rPr>
                <w:b/>
                <w:sz w:val="22"/>
                <w:szCs w:val="22"/>
                <w:lang w:val="sr-Latn-ME" w:eastAsia="ja-JP"/>
              </w:rPr>
            </w:pPr>
            <w:r>
              <w:rPr>
                <w:sz w:val="22"/>
                <w:szCs w:val="22"/>
                <w:vertAlign w:val="superscript"/>
                <w:lang w:val="sr-Latn-ME"/>
              </w:rPr>
              <w:t>5</w:t>
            </w:r>
            <w:r w:rsidRPr="0055610F">
              <w:rPr>
                <w:sz w:val="22"/>
                <w:szCs w:val="22"/>
                <w:lang w:val="sr-Latn-ME"/>
              </w:rPr>
              <w:t>reakcije povezane sa infuzijom (generalizovaniedem, bronhospazam, šištanje, edem larinksa, angioneurotski edem, opšti svrab, anafilaksa, anafilaktička reakcija)</w:t>
            </w:r>
          </w:p>
        </w:tc>
        <w:tc>
          <w:tcPr>
            <w:tcW w:w="1350" w:type="dxa"/>
            <w:vMerge w:val="restart"/>
            <w:shd w:val="clear" w:color="auto" w:fill="auto"/>
            <w:vAlign w:val="center"/>
          </w:tcPr>
          <w:p w:rsidR="001C7B8B" w:rsidRPr="0055610F" w:rsidRDefault="001C7B8B" w:rsidP="004D5825">
            <w:pPr>
              <w:rPr>
                <w:sz w:val="22"/>
                <w:szCs w:val="22"/>
                <w:lang w:val="sr-Latn-ME" w:eastAsia="ja-JP"/>
              </w:rPr>
            </w:pPr>
          </w:p>
        </w:tc>
        <w:tc>
          <w:tcPr>
            <w:tcW w:w="1350" w:type="dxa"/>
            <w:vMerge w:val="restart"/>
            <w:shd w:val="clear" w:color="auto" w:fill="auto"/>
          </w:tcPr>
          <w:p w:rsidR="001C7B8B" w:rsidRPr="0055610F" w:rsidRDefault="001C7B8B" w:rsidP="004D5825">
            <w:pPr>
              <w:rPr>
                <w:sz w:val="22"/>
                <w:szCs w:val="22"/>
                <w:lang w:val="sr-Latn-ME"/>
              </w:rPr>
            </w:pPr>
          </w:p>
        </w:tc>
        <w:tc>
          <w:tcPr>
            <w:tcW w:w="1260" w:type="dxa"/>
            <w:vMerge w:val="restart"/>
          </w:tcPr>
          <w:p w:rsidR="001C7B8B" w:rsidRPr="0055610F" w:rsidRDefault="001C7B8B" w:rsidP="004D5825">
            <w:pPr>
              <w:rPr>
                <w:sz w:val="22"/>
                <w:szCs w:val="22"/>
                <w:lang w:val="sr-Latn-ME"/>
              </w:rPr>
            </w:pPr>
          </w:p>
        </w:tc>
      </w:tr>
      <w:tr w:rsidR="001C7B8B" w:rsidRPr="00FB34CE" w:rsidTr="009941F7">
        <w:tc>
          <w:tcPr>
            <w:tcW w:w="1170" w:type="dxa"/>
            <w:shd w:val="clear" w:color="auto" w:fill="auto"/>
          </w:tcPr>
          <w:p w:rsidR="001C7B8B" w:rsidRPr="0055610F" w:rsidRDefault="001C7B8B" w:rsidP="004D5825">
            <w:pPr>
              <w:rPr>
                <w:b/>
                <w:sz w:val="22"/>
                <w:szCs w:val="22"/>
                <w:lang w:val="sr-Latn-ME" w:eastAsia="ja-JP"/>
              </w:rPr>
            </w:pPr>
          </w:p>
        </w:tc>
        <w:tc>
          <w:tcPr>
            <w:tcW w:w="1260" w:type="dxa"/>
            <w:vMerge/>
            <w:shd w:val="clear" w:color="auto" w:fill="auto"/>
          </w:tcPr>
          <w:p w:rsidR="001C7B8B" w:rsidRPr="0055610F" w:rsidRDefault="001C7B8B" w:rsidP="004D5825">
            <w:pPr>
              <w:rPr>
                <w:sz w:val="22"/>
                <w:szCs w:val="22"/>
                <w:lang w:val="sr-Latn-ME"/>
              </w:rPr>
            </w:pPr>
          </w:p>
        </w:tc>
        <w:tc>
          <w:tcPr>
            <w:tcW w:w="1350" w:type="dxa"/>
            <w:vMerge/>
            <w:shd w:val="clear" w:color="auto" w:fill="auto"/>
          </w:tcPr>
          <w:p w:rsidR="001C7B8B" w:rsidRPr="0055610F" w:rsidRDefault="001C7B8B" w:rsidP="004D5825">
            <w:pPr>
              <w:rPr>
                <w:sz w:val="22"/>
                <w:szCs w:val="22"/>
                <w:lang w:val="sr-Latn-ME"/>
              </w:rPr>
            </w:pPr>
          </w:p>
        </w:tc>
        <w:tc>
          <w:tcPr>
            <w:tcW w:w="1350" w:type="dxa"/>
            <w:vMerge/>
            <w:shd w:val="clear" w:color="auto" w:fill="auto"/>
          </w:tcPr>
          <w:p w:rsidR="001C7B8B" w:rsidRPr="0055610F" w:rsidRDefault="001C7B8B" w:rsidP="004D5825">
            <w:pPr>
              <w:rPr>
                <w:sz w:val="22"/>
                <w:szCs w:val="22"/>
                <w:lang w:val="sr-Latn-ME"/>
              </w:rPr>
            </w:pPr>
          </w:p>
        </w:tc>
        <w:tc>
          <w:tcPr>
            <w:tcW w:w="1350" w:type="dxa"/>
            <w:vMerge/>
            <w:shd w:val="clear" w:color="auto" w:fill="auto"/>
          </w:tcPr>
          <w:p w:rsidR="001C7B8B" w:rsidRPr="0055610F" w:rsidRDefault="001C7B8B" w:rsidP="004D5825">
            <w:pPr>
              <w:rPr>
                <w:sz w:val="22"/>
                <w:szCs w:val="22"/>
                <w:lang w:val="sr-Latn-ME" w:eastAsia="ja-JP"/>
              </w:rPr>
            </w:pPr>
          </w:p>
        </w:tc>
        <w:tc>
          <w:tcPr>
            <w:tcW w:w="1350" w:type="dxa"/>
            <w:vMerge/>
            <w:shd w:val="clear" w:color="auto" w:fill="auto"/>
          </w:tcPr>
          <w:p w:rsidR="001C7B8B" w:rsidRPr="0055610F" w:rsidRDefault="001C7B8B" w:rsidP="004D5825">
            <w:pPr>
              <w:rPr>
                <w:sz w:val="22"/>
                <w:szCs w:val="22"/>
                <w:lang w:val="sr-Latn-ME"/>
              </w:rPr>
            </w:pPr>
          </w:p>
        </w:tc>
        <w:tc>
          <w:tcPr>
            <w:tcW w:w="1260" w:type="dxa"/>
            <w:vMerge/>
          </w:tcPr>
          <w:p w:rsidR="001C7B8B" w:rsidRPr="0055610F" w:rsidRDefault="001C7B8B" w:rsidP="004D5825">
            <w:pPr>
              <w:rPr>
                <w:sz w:val="22"/>
                <w:szCs w:val="22"/>
                <w:lang w:val="sr-Latn-ME"/>
              </w:rPr>
            </w:pPr>
          </w:p>
        </w:tc>
      </w:tr>
      <w:tr w:rsidR="001C7B8B" w:rsidRPr="00FB34CE" w:rsidTr="009941F7">
        <w:tc>
          <w:tcPr>
            <w:tcW w:w="1170" w:type="dxa"/>
            <w:shd w:val="clear" w:color="auto" w:fill="auto"/>
          </w:tcPr>
          <w:p w:rsidR="001C7B8B" w:rsidRPr="0055610F" w:rsidRDefault="001C7B8B" w:rsidP="004D5825">
            <w:pPr>
              <w:rPr>
                <w:b/>
                <w:sz w:val="22"/>
                <w:szCs w:val="22"/>
                <w:lang w:val="sr-Latn-ME" w:eastAsia="ja-JP"/>
              </w:rPr>
            </w:pPr>
            <w:r w:rsidRPr="0055610F">
              <w:rPr>
                <w:b/>
                <w:sz w:val="22"/>
                <w:szCs w:val="22"/>
                <w:lang w:val="sr-Latn-ME" w:eastAsia="ja-JP"/>
              </w:rPr>
              <w:t>Opšti poremećaji i reakcije na mjestu primjene</w:t>
            </w:r>
          </w:p>
        </w:tc>
        <w:tc>
          <w:tcPr>
            <w:tcW w:w="1260" w:type="dxa"/>
            <w:vMerge/>
            <w:shd w:val="clear" w:color="auto" w:fill="auto"/>
          </w:tcPr>
          <w:p w:rsidR="001C7B8B" w:rsidRPr="0055610F" w:rsidRDefault="001C7B8B" w:rsidP="004D5825">
            <w:pPr>
              <w:rPr>
                <w:sz w:val="22"/>
                <w:szCs w:val="22"/>
                <w:lang w:val="sr-Latn-ME"/>
              </w:rPr>
            </w:pPr>
          </w:p>
        </w:tc>
        <w:tc>
          <w:tcPr>
            <w:tcW w:w="1350" w:type="dxa"/>
            <w:vMerge/>
            <w:shd w:val="clear" w:color="auto" w:fill="auto"/>
          </w:tcPr>
          <w:p w:rsidR="001C7B8B" w:rsidRPr="0055610F" w:rsidRDefault="001C7B8B" w:rsidP="004D5825">
            <w:pPr>
              <w:rPr>
                <w:sz w:val="22"/>
                <w:szCs w:val="22"/>
                <w:lang w:val="sr-Latn-ME"/>
              </w:rPr>
            </w:pPr>
          </w:p>
        </w:tc>
        <w:tc>
          <w:tcPr>
            <w:tcW w:w="1350" w:type="dxa"/>
            <w:vMerge/>
            <w:shd w:val="clear" w:color="auto" w:fill="auto"/>
          </w:tcPr>
          <w:p w:rsidR="001C7B8B" w:rsidRPr="0055610F" w:rsidRDefault="001C7B8B" w:rsidP="004D5825">
            <w:pPr>
              <w:rPr>
                <w:b/>
                <w:sz w:val="22"/>
                <w:szCs w:val="22"/>
                <w:lang w:val="sr-Latn-ME" w:eastAsia="ja-JP"/>
              </w:rPr>
            </w:pPr>
          </w:p>
        </w:tc>
        <w:tc>
          <w:tcPr>
            <w:tcW w:w="1350" w:type="dxa"/>
            <w:vMerge/>
            <w:shd w:val="clear" w:color="auto" w:fill="auto"/>
          </w:tcPr>
          <w:p w:rsidR="001C7B8B" w:rsidRPr="0055610F" w:rsidRDefault="001C7B8B" w:rsidP="004D5825">
            <w:pPr>
              <w:rPr>
                <w:sz w:val="22"/>
                <w:szCs w:val="22"/>
                <w:lang w:val="sr-Latn-ME" w:eastAsia="ja-JP"/>
              </w:rPr>
            </w:pPr>
          </w:p>
        </w:tc>
        <w:tc>
          <w:tcPr>
            <w:tcW w:w="1350" w:type="dxa"/>
            <w:vMerge/>
            <w:shd w:val="clear" w:color="auto" w:fill="auto"/>
          </w:tcPr>
          <w:p w:rsidR="001C7B8B" w:rsidRPr="0055610F" w:rsidRDefault="001C7B8B" w:rsidP="004D5825">
            <w:pPr>
              <w:rPr>
                <w:sz w:val="22"/>
                <w:szCs w:val="22"/>
                <w:lang w:val="sr-Latn-ME"/>
              </w:rPr>
            </w:pPr>
          </w:p>
        </w:tc>
        <w:tc>
          <w:tcPr>
            <w:tcW w:w="1260" w:type="dxa"/>
            <w:vMerge/>
          </w:tcPr>
          <w:p w:rsidR="001C7B8B" w:rsidRPr="0055610F" w:rsidRDefault="001C7B8B" w:rsidP="004D5825">
            <w:pPr>
              <w:rPr>
                <w:sz w:val="22"/>
                <w:szCs w:val="22"/>
                <w:lang w:val="sr-Latn-ME"/>
              </w:rPr>
            </w:pPr>
          </w:p>
        </w:tc>
      </w:tr>
      <w:tr w:rsidR="00FB34CE" w:rsidRPr="007642DC" w:rsidTr="009941F7">
        <w:tc>
          <w:tcPr>
            <w:tcW w:w="1170" w:type="dxa"/>
            <w:shd w:val="clear" w:color="auto" w:fill="auto"/>
          </w:tcPr>
          <w:p w:rsidR="00FB34CE" w:rsidRPr="0055610F" w:rsidRDefault="00FB34CE" w:rsidP="004D5825">
            <w:pPr>
              <w:rPr>
                <w:b/>
                <w:sz w:val="22"/>
                <w:szCs w:val="22"/>
                <w:lang w:val="sr-Latn-ME" w:eastAsia="ja-JP"/>
              </w:rPr>
            </w:pPr>
            <w:r w:rsidRPr="0055610F">
              <w:rPr>
                <w:b/>
                <w:sz w:val="22"/>
                <w:szCs w:val="22"/>
                <w:lang w:val="sr-Latn-ME"/>
              </w:rPr>
              <w:t>Poremećaji metabolizma i nutricije</w:t>
            </w:r>
          </w:p>
        </w:tc>
        <w:tc>
          <w:tcPr>
            <w:tcW w:w="126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r w:rsidRPr="0055610F">
              <w:rPr>
                <w:sz w:val="22"/>
                <w:szCs w:val="22"/>
                <w:lang w:val="sr-Latn-ME"/>
              </w:rPr>
              <w:t>hiperholesterolemija</w:t>
            </w:r>
          </w:p>
        </w:tc>
        <w:tc>
          <w:tcPr>
            <w:tcW w:w="1350" w:type="dxa"/>
            <w:shd w:val="clear" w:color="auto" w:fill="auto"/>
          </w:tcPr>
          <w:p w:rsidR="00FB34CE" w:rsidRPr="0055610F" w:rsidRDefault="00FB34CE" w:rsidP="004D5825">
            <w:pPr>
              <w:rPr>
                <w:b/>
                <w:sz w:val="22"/>
                <w:szCs w:val="22"/>
                <w:lang w:val="sr-Latn-ME" w:eastAsia="ja-JP"/>
              </w:rPr>
            </w:pPr>
          </w:p>
        </w:tc>
        <w:tc>
          <w:tcPr>
            <w:tcW w:w="1350" w:type="dxa"/>
            <w:shd w:val="clear" w:color="auto" w:fill="auto"/>
          </w:tcPr>
          <w:p w:rsidR="00FB34CE" w:rsidRPr="0055610F" w:rsidRDefault="00FB34CE" w:rsidP="004D5825">
            <w:pPr>
              <w:rPr>
                <w:sz w:val="22"/>
                <w:szCs w:val="22"/>
                <w:lang w:val="sr-Latn-ME" w:eastAsia="ja-JP"/>
              </w:rPr>
            </w:pPr>
          </w:p>
        </w:tc>
        <w:tc>
          <w:tcPr>
            <w:tcW w:w="1350" w:type="dxa"/>
            <w:shd w:val="clear" w:color="auto" w:fill="auto"/>
          </w:tcPr>
          <w:p w:rsidR="00FB34CE" w:rsidRPr="0055610F" w:rsidRDefault="00FB34CE" w:rsidP="004D5825">
            <w:pPr>
              <w:rPr>
                <w:sz w:val="22"/>
                <w:szCs w:val="22"/>
                <w:lang w:val="sr-Latn-ME"/>
              </w:rPr>
            </w:pPr>
          </w:p>
        </w:tc>
        <w:tc>
          <w:tcPr>
            <w:tcW w:w="1260" w:type="dxa"/>
          </w:tcPr>
          <w:p w:rsidR="00FB34CE" w:rsidRPr="0055610F" w:rsidRDefault="00FB34CE" w:rsidP="004D5825">
            <w:pPr>
              <w:rPr>
                <w:sz w:val="22"/>
                <w:szCs w:val="22"/>
                <w:lang w:val="sr-Latn-ME"/>
              </w:rPr>
            </w:pPr>
          </w:p>
        </w:tc>
      </w:tr>
      <w:tr w:rsidR="00FB34CE" w:rsidRPr="007642DC" w:rsidTr="009941F7">
        <w:tc>
          <w:tcPr>
            <w:tcW w:w="1170" w:type="dxa"/>
            <w:shd w:val="clear" w:color="auto" w:fill="auto"/>
          </w:tcPr>
          <w:p w:rsidR="00FB34CE" w:rsidRPr="0055610F" w:rsidRDefault="00FB34CE" w:rsidP="004D5825">
            <w:pPr>
              <w:rPr>
                <w:b/>
                <w:sz w:val="22"/>
                <w:szCs w:val="22"/>
                <w:lang w:val="sr-Latn-ME"/>
              </w:rPr>
            </w:pPr>
            <w:r w:rsidRPr="0055610F">
              <w:rPr>
                <w:b/>
                <w:sz w:val="22"/>
                <w:szCs w:val="22"/>
                <w:lang w:val="sr-Latn-ME"/>
              </w:rPr>
              <w:t>Psihijatrijski poremećaji</w:t>
            </w:r>
          </w:p>
        </w:tc>
        <w:tc>
          <w:tcPr>
            <w:tcW w:w="126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r w:rsidRPr="0055610F">
              <w:rPr>
                <w:sz w:val="22"/>
                <w:szCs w:val="22"/>
                <w:lang w:val="sr-Latn-ME"/>
              </w:rPr>
              <w:t>depresija, anksioznost</w:t>
            </w:r>
          </w:p>
        </w:tc>
        <w:tc>
          <w:tcPr>
            <w:tcW w:w="1350" w:type="dxa"/>
            <w:shd w:val="clear" w:color="auto" w:fill="auto"/>
          </w:tcPr>
          <w:p w:rsidR="00FB34CE" w:rsidRPr="0055610F" w:rsidRDefault="00FB34CE" w:rsidP="004D5825">
            <w:pPr>
              <w:rPr>
                <w:b/>
                <w:sz w:val="22"/>
                <w:szCs w:val="22"/>
                <w:lang w:val="sr-Latn-ME" w:eastAsia="ja-JP"/>
              </w:rPr>
            </w:pPr>
          </w:p>
        </w:tc>
        <w:tc>
          <w:tcPr>
            <w:tcW w:w="1350" w:type="dxa"/>
            <w:shd w:val="clear" w:color="auto" w:fill="auto"/>
          </w:tcPr>
          <w:p w:rsidR="00FB34CE" w:rsidRPr="0055610F" w:rsidRDefault="00FB34CE" w:rsidP="004D5825">
            <w:pPr>
              <w:rPr>
                <w:sz w:val="22"/>
                <w:szCs w:val="22"/>
                <w:lang w:val="sr-Latn-ME" w:eastAsia="ja-JP"/>
              </w:rPr>
            </w:pPr>
          </w:p>
        </w:tc>
        <w:tc>
          <w:tcPr>
            <w:tcW w:w="1350" w:type="dxa"/>
            <w:shd w:val="clear" w:color="auto" w:fill="auto"/>
          </w:tcPr>
          <w:p w:rsidR="00FB34CE" w:rsidRPr="0055610F" w:rsidRDefault="00FB34CE" w:rsidP="004D5825">
            <w:pPr>
              <w:rPr>
                <w:sz w:val="22"/>
                <w:szCs w:val="22"/>
                <w:lang w:val="sr-Latn-ME"/>
              </w:rPr>
            </w:pPr>
          </w:p>
        </w:tc>
        <w:tc>
          <w:tcPr>
            <w:tcW w:w="1260" w:type="dxa"/>
          </w:tcPr>
          <w:p w:rsidR="00FB34CE" w:rsidRPr="0055610F" w:rsidRDefault="00FB34CE" w:rsidP="004D5825">
            <w:pPr>
              <w:rPr>
                <w:sz w:val="22"/>
                <w:szCs w:val="22"/>
                <w:lang w:val="sr-Latn-ME"/>
              </w:rPr>
            </w:pPr>
          </w:p>
        </w:tc>
      </w:tr>
      <w:tr w:rsidR="00FB34CE" w:rsidRPr="007642DC" w:rsidTr="009941F7">
        <w:tc>
          <w:tcPr>
            <w:tcW w:w="1170" w:type="dxa"/>
            <w:shd w:val="clear" w:color="auto" w:fill="auto"/>
          </w:tcPr>
          <w:p w:rsidR="00FB34CE" w:rsidRPr="0055610F" w:rsidRDefault="00FB34CE" w:rsidP="004D5825">
            <w:pPr>
              <w:rPr>
                <w:sz w:val="22"/>
                <w:szCs w:val="22"/>
                <w:lang w:val="sr-Latn-ME"/>
              </w:rPr>
            </w:pPr>
            <w:r w:rsidRPr="0055610F">
              <w:rPr>
                <w:b/>
                <w:sz w:val="22"/>
                <w:szCs w:val="22"/>
                <w:lang w:val="sr-Latn-ME"/>
              </w:rPr>
              <w:t>Poremećaji nervnog sistema</w:t>
            </w:r>
          </w:p>
        </w:tc>
        <w:tc>
          <w:tcPr>
            <w:tcW w:w="1260" w:type="dxa"/>
            <w:shd w:val="clear" w:color="auto" w:fill="auto"/>
          </w:tcPr>
          <w:p w:rsidR="00FB34CE" w:rsidRPr="0055610F" w:rsidRDefault="00FB34CE" w:rsidP="004D5825">
            <w:pPr>
              <w:rPr>
                <w:sz w:val="22"/>
                <w:szCs w:val="22"/>
                <w:lang w:val="sr-Latn-ME"/>
              </w:rPr>
            </w:pPr>
            <w:r w:rsidRPr="0055610F">
              <w:rPr>
                <w:sz w:val="22"/>
                <w:szCs w:val="22"/>
                <w:lang w:val="sr-Latn-ME"/>
              </w:rPr>
              <w:t>glavobolja</w:t>
            </w:r>
          </w:p>
        </w:tc>
        <w:tc>
          <w:tcPr>
            <w:tcW w:w="1350" w:type="dxa"/>
            <w:shd w:val="clear" w:color="auto" w:fill="auto"/>
          </w:tcPr>
          <w:p w:rsidR="00FB34CE" w:rsidRPr="0055610F" w:rsidRDefault="001C7B8B" w:rsidP="000F26FD">
            <w:pPr>
              <w:rPr>
                <w:sz w:val="22"/>
                <w:szCs w:val="22"/>
                <w:lang w:val="sr-Latn-ME"/>
              </w:rPr>
            </w:pPr>
            <w:r>
              <w:rPr>
                <w:sz w:val="22"/>
                <w:szCs w:val="22"/>
                <w:lang w:val="sr-Latn-ME"/>
              </w:rPr>
              <w:t>p</w:t>
            </w:r>
            <w:r w:rsidR="000F26FD">
              <w:rPr>
                <w:sz w:val="22"/>
                <w:szCs w:val="22"/>
                <w:lang w:val="sr-Latn-ME"/>
              </w:rPr>
              <w:t xml:space="preserve">arestezija,migrena, </w:t>
            </w:r>
            <w:r w:rsidR="00FB34CE" w:rsidRPr="0055610F">
              <w:rPr>
                <w:sz w:val="22"/>
                <w:szCs w:val="22"/>
                <w:lang w:val="sr-Latn-ME"/>
              </w:rPr>
              <w:t>vrtoglavica</w:t>
            </w:r>
            <w:r w:rsidR="000F26FD">
              <w:rPr>
                <w:sz w:val="22"/>
                <w:szCs w:val="22"/>
                <w:lang w:val="sr-Latn-ME"/>
              </w:rPr>
              <w:t>,</w:t>
            </w:r>
            <w:r w:rsidR="00FB34CE" w:rsidRPr="0055610F">
              <w:rPr>
                <w:sz w:val="22"/>
                <w:szCs w:val="22"/>
                <w:lang w:val="sr-Latn-ME"/>
              </w:rPr>
              <w:t xml:space="preserve"> išijas</w:t>
            </w:r>
          </w:p>
        </w:tc>
        <w:tc>
          <w:tcPr>
            <w:tcW w:w="135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p>
        </w:tc>
        <w:tc>
          <w:tcPr>
            <w:tcW w:w="1260" w:type="dxa"/>
          </w:tcPr>
          <w:p w:rsidR="00FB34CE" w:rsidRPr="0055610F" w:rsidRDefault="00FB34CE" w:rsidP="004D5825">
            <w:pPr>
              <w:rPr>
                <w:sz w:val="22"/>
                <w:szCs w:val="22"/>
                <w:lang w:val="sr-Latn-ME"/>
              </w:rPr>
            </w:pPr>
          </w:p>
        </w:tc>
      </w:tr>
      <w:tr w:rsidR="00FB34CE" w:rsidRPr="007642DC" w:rsidTr="009941F7">
        <w:tc>
          <w:tcPr>
            <w:tcW w:w="1170" w:type="dxa"/>
            <w:shd w:val="clear" w:color="auto" w:fill="auto"/>
          </w:tcPr>
          <w:p w:rsidR="00FB34CE" w:rsidRPr="0055610F" w:rsidRDefault="00FB34CE" w:rsidP="004D5825">
            <w:pPr>
              <w:rPr>
                <w:b/>
                <w:sz w:val="22"/>
                <w:szCs w:val="22"/>
                <w:lang w:val="sr-Latn-ME"/>
              </w:rPr>
            </w:pPr>
            <w:r w:rsidRPr="0055610F">
              <w:rPr>
                <w:b/>
                <w:sz w:val="22"/>
                <w:szCs w:val="22"/>
                <w:lang w:val="sr-Latn-ME"/>
              </w:rPr>
              <w:t>Kardiološki poremećaji</w:t>
            </w:r>
          </w:p>
        </w:tc>
        <w:tc>
          <w:tcPr>
            <w:tcW w:w="126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r w:rsidRPr="0055610F">
              <w:rPr>
                <w:sz w:val="22"/>
                <w:szCs w:val="22"/>
                <w:lang w:val="sr-Latn-ME"/>
              </w:rPr>
              <w:t>angina pektoris, atrijalna fibrilacija, srčana insuficijencija, infarkt miokarda</w:t>
            </w:r>
          </w:p>
        </w:tc>
        <w:tc>
          <w:tcPr>
            <w:tcW w:w="1350" w:type="dxa"/>
            <w:shd w:val="clear" w:color="auto" w:fill="auto"/>
          </w:tcPr>
          <w:p w:rsidR="00FB34CE" w:rsidRPr="0055610F" w:rsidRDefault="00FB34CE" w:rsidP="004D5825">
            <w:pPr>
              <w:rPr>
                <w:sz w:val="22"/>
                <w:szCs w:val="22"/>
                <w:lang w:val="sr-Latn-ME"/>
              </w:rPr>
            </w:pPr>
            <w:r w:rsidRPr="0055610F">
              <w:rPr>
                <w:sz w:val="22"/>
                <w:szCs w:val="22"/>
                <w:lang w:val="sr-Latn-ME"/>
              </w:rPr>
              <w:t>undulacija atrija</w:t>
            </w:r>
          </w:p>
        </w:tc>
        <w:tc>
          <w:tcPr>
            <w:tcW w:w="1260" w:type="dxa"/>
          </w:tcPr>
          <w:p w:rsidR="00FB34CE" w:rsidRPr="0055610F" w:rsidRDefault="00FB34CE" w:rsidP="004D5825">
            <w:pPr>
              <w:rPr>
                <w:sz w:val="22"/>
                <w:szCs w:val="22"/>
                <w:lang w:val="sr-Latn-ME"/>
              </w:rPr>
            </w:pPr>
          </w:p>
        </w:tc>
      </w:tr>
      <w:tr w:rsidR="00FB34CE" w:rsidRPr="007642DC" w:rsidTr="009941F7">
        <w:tc>
          <w:tcPr>
            <w:tcW w:w="1170" w:type="dxa"/>
            <w:shd w:val="clear" w:color="auto" w:fill="auto"/>
          </w:tcPr>
          <w:p w:rsidR="00FB34CE" w:rsidRPr="0055610F" w:rsidRDefault="00FB34CE" w:rsidP="004D5825">
            <w:pPr>
              <w:rPr>
                <w:b/>
                <w:sz w:val="22"/>
                <w:szCs w:val="22"/>
                <w:lang w:val="sr-Latn-ME"/>
              </w:rPr>
            </w:pPr>
            <w:r w:rsidRPr="0055610F">
              <w:rPr>
                <w:b/>
                <w:sz w:val="22"/>
                <w:szCs w:val="22"/>
                <w:lang w:val="sr-Latn-ME"/>
              </w:rPr>
              <w:t xml:space="preserve">Gastrointestinalni poremećaji </w:t>
            </w:r>
          </w:p>
        </w:tc>
        <w:tc>
          <w:tcPr>
            <w:tcW w:w="126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r w:rsidRPr="0055610F">
              <w:rPr>
                <w:sz w:val="22"/>
                <w:szCs w:val="22"/>
                <w:lang w:val="sr-Latn-ME"/>
              </w:rPr>
              <w:t>dispepsija, dijareja, gastroezofagealni refluks, ulceracije u ustima, bol u gornjem abdomenu</w:t>
            </w:r>
          </w:p>
        </w:tc>
        <w:tc>
          <w:tcPr>
            <w:tcW w:w="135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r w:rsidRPr="0055610F">
              <w:rPr>
                <w:sz w:val="22"/>
                <w:szCs w:val="22"/>
                <w:lang w:val="sr-Latn-ME"/>
              </w:rPr>
              <w:t xml:space="preserve">Gastrointestinalni poremećaji </w:t>
            </w:r>
          </w:p>
        </w:tc>
        <w:tc>
          <w:tcPr>
            <w:tcW w:w="1260" w:type="dxa"/>
          </w:tcPr>
          <w:p w:rsidR="00FB34CE" w:rsidRPr="0055610F" w:rsidRDefault="00FB34CE" w:rsidP="004D5825">
            <w:pPr>
              <w:rPr>
                <w:sz w:val="22"/>
                <w:szCs w:val="22"/>
                <w:lang w:val="sr-Latn-ME"/>
              </w:rPr>
            </w:pPr>
          </w:p>
        </w:tc>
      </w:tr>
      <w:tr w:rsidR="00FB34CE" w:rsidRPr="00FB34CE" w:rsidTr="009941F7">
        <w:tc>
          <w:tcPr>
            <w:tcW w:w="1170" w:type="dxa"/>
            <w:shd w:val="clear" w:color="auto" w:fill="auto"/>
          </w:tcPr>
          <w:p w:rsidR="00FB34CE" w:rsidRPr="0055610F" w:rsidRDefault="00FB34CE" w:rsidP="004D5825">
            <w:pPr>
              <w:rPr>
                <w:b/>
                <w:sz w:val="22"/>
                <w:szCs w:val="22"/>
                <w:lang w:val="sr-Latn-ME"/>
              </w:rPr>
            </w:pPr>
            <w:r w:rsidRPr="0055610F">
              <w:rPr>
                <w:b/>
                <w:sz w:val="22"/>
                <w:szCs w:val="22"/>
                <w:lang w:val="sr-Latn-ME"/>
              </w:rPr>
              <w:t>Poremećaji kože i potkožnog tkiva</w:t>
            </w:r>
          </w:p>
        </w:tc>
        <w:tc>
          <w:tcPr>
            <w:tcW w:w="126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r w:rsidRPr="0055610F">
              <w:rPr>
                <w:sz w:val="22"/>
                <w:szCs w:val="22"/>
                <w:lang w:val="sr-Latn-ME"/>
              </w:rPr>
              <w:t>alopecija</w:t>
            </w:r>
          </w:p>
        </w:tc>
        <w:tc>
          <w:tcPr>
            <w:tcW w:w="135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1C7B8B">
            <w:pPr>
              <w:rPr>
                <w:sz w:val="22"/>
                <w:szCs w:val="22"/>
                <w:vertAlign w:val="superscript"/>
                <w:lang w:val="sr-Latn-ME"/>
              </w:rPr>
            </w:pPr>
            <w:r w:rsidRPr="0055610F">
              <w:rPr>
                <w:sz w:val="22"/>
                <w:szCs w:val="22"/>
                <w:lang w:val="sr-Latn-ME"/>
              </w:rPr>
              <w:t xml:space="preserve">toksična epidermalna nekroliza (Lyellov sindrom), </w:t>
            </w:r>
            <w:r w:rsidRPr="0055610F">
              <w:rPr>
                <w:sz w:val="22"/>
                <w:szCs w:val="22"/>
                <w:lang w:val="sr-Latn-ME"/>
              </w:rPr>
              <w:lastRenderedPageBreak/>
              <w:t>Stevens-Johnsonov sindrom</w:t>
            </w:r>
            <w:r w:rsidR="001C7B8B">
              <w:rPr>
                <w:sz w:val="22"/>
                <w:szCs w:val="22"/>
                <w:vertAlign w:val="superscript"/>
                <w:lang w:val="sr-Latn-ME"/>
              </w:rPr>
              <w:t>7</w:t>
            </w:r>
          </w:p>
        </w:tc>
        <w:tc>
          <w:tcPr>
            <w:tcW w:w="1260" w:type="dxa"/>
          </w:tcPr>
          <w:p w:rsidR="00FB34CE" w:rsidRPr="0055610F" w:rsidRDefault="00FB34CE" w:rsidP="004D5825">
            <w:pPr>
              <w:rPr>
                <w:sz w:val="22"/>
                <w:szCs w:val="22"/>
                <w:lang w:val="sr-Latn-ME"/>
              </w:rPr>
            </w:pPr>
          </w:p>
        </w:tc>
      </w:tr>
      <w:tr w:rsidR="00FB34CE" w:rsidRPr="00FB34CE" w:rsidTr="009941F7">
        <w:tc>
          <w:tcPr>
            <w:tcW w:w="1170" w:type="dxa"/>
            <w:shd w:val="clear" w:color="auto" w:fill="auto"/>
          </w:tcPr>
          <w:p w:rsidR="00FB34CE" w:rsidRPr="0055610F" w:rsidRDefault="00FB34CE" w:rsidP="004D5825">
            <w:pPr>
              <w:rPr>
                <w:sz w:val="22"/>
                <w:szCs w:val="22"/>
                <w:lang w:val="sr-Latn-ME"/>
              </w:rPr>
            </w:pPr>
            <w:r w:rsidRPr="0055610F">
              <w:rPr>
                <w:b/>
                <w:sz w:val="22"/>
                <w:szCs w:val="22"/>
                <w:lang w:val="sr-Latn-ME"/>
              </w:rPr>
              <w:t>Mišićno skeletni poremećaji</w:t>
            </w:r>
          </w:p>
        </w:tc>
        <w:tc>
          <w:tcPr>
            <w:tcW w:w="126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r w:rsidRPr="0055610F">
              <w:rPr>
                <w:sz w:val="22"/>
                <w:szCs w:val="22"/>
                <w:lang w:val="sr-Latn-ME"/>
              </w:rPr>
              <w:t>artralgija / muskuloskeletni bol, osteoarthritis, burzitis</w:t>
            </w:r>
          </w:p>
        </w:tc>
        <w:tc>
          <w:tcPr>
            <w:tcW w:w="135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p>
        </w:tc>
        <w:tc>
          <w:tcPr>
            <w:tcW w:w="1260" w:type="dxa"/>
          </w:tcPr>
          <w:p w:rsidR="00FB34CE" w:rsidRPr="0055610F" w:rsidRDefault="00FB34CE" w:rsidP="004D5825">
            <w:pPr>
              <w:rPr>
                <w:sz w:val="22"/>
                <w:szCs w:val="22"/>
                <w:lang w:val="sr-Latn-ME"/>
              </w:rPr>
            </w:pPr>
          </w:p>
        </w:tc>
      </w:tr>
      <w:tr w:rsidR="00FB34CE" w:rsidRPr="007642DC" w:rsidTr="009941F7">
        <w:tc>
          <w:tcPr>
            <w:tcW w:w="1170" w:type="dxa"/>
            <w:shd w:val="clear" w:color="auto" w:fill="auto"/>
          </w:tcPr>
          <w:p w:rsidR="00FB34CE" w:rsidRPr="0055610F" w:rsidRDefault="00FB34CE" w:rsidP="004D5825">
            <w:pPr>
              <w:rPr>
                <w:b/>
                <w:sz w:val="22"/>
                <w:szCs w:val="22"/>
                <w:lang w:val="sr-Latn-ME"/>
              </w:rPr>
            </w:pPr>
            <w:r w:rsidRPr="0055610F">
              <w:rPr>
                <w:b/>
                <w:sz w:val="22"/>
                <w:szCs w:val="22"/>
                <w:lang w:val="sr-Latn-ME"/>
              </w:rPr>
              <w:t>Nalazi</w:t>
            </w:r>
          </w:p>
        </w:tc>
        <w:tc>
          <w:tcPr>
            <w:tcW w:w="1260" w:type="dxa"/>
            <w:shd w:val="clear" w:color="auto" w:fill="auto"/>
          </w:tcPr>
          <w:p w:rsidR="00FB34CE" w:rsidRPr="0055610F" w:rsidRDefault="00FB34CE" w:rsidP="001C7B8B">
            <w:pPr>
              <w:rPr>
                <w:sz w:val="22"/>
                <w:szCs w:val="22"/>
                <w:lang w:val="sr-Latn-ME"/>
              </w:rPr>
            </w:pPr>
            <w:r w:rsidRPr="0055610F">
              <w:rPr>
                <w:sz w:val="22"/>
                <w:szCs w:val="22"/>
                <w:lang w:val="sr-Latn-ME"/>
              </w:rPr>
              <w:t>smanjenje nivoa IgM</w:t>
            </w:r>
            <w:r w:rsidR="001C7B8B">
              <w:rPr>
                <w:szCs w:val="22"/>
                <w:vertAlign w:val="superscript"/>
              </w:rPr>
              <w:t>6</w:t>
            </w:r>
          </w:p>
        </w:tc>
        <w:tc>
          <w:tcPr>
            <w:tcW w:w="1350" w:type="dxa"/>
            <w:shd w:val="clear" w:color="auto" w:fill="auto"/>
          </w:tcPr>
          <w:p w:rsidR="00FB34CE" w:rsidRPr="0055610F" w:rsidRDefault="00FB34CE" w:rsidP="001C7B8B">
            <w:pPr>
              <w:rPr>
                <w:sz w:val="22"/>
                <w:szCs w:val="22"/>
                <w:lang w:val="sr-Latn-ME"/>
              </w:rPr>
            </w:pPr>
            <w:r w:rsidRPr="0055610F">
              <w:rPr>
                <w:sz w:val="22"/>
                <w:szCs w:val="22"/>
                <w:lang w:val="sr-Latn-ME"/>
              </w:rPr>
              <w:t>smanjenje nivoa IgG</w:t>
            </w:r>
            <w:r w:rsidR="001C7B8B">
              <w:rPr>
                <w:szCs w:val="22"/>
                <w:vertAlign w:val="superscript"/>
              </w:rPr>
              <w:t>6</w:t>
            </w:r>
          </w:p>
        </w:tc>
        <w:tc>
          <w:tcPr>
            <w:tcW w:w="135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p>
        </w:tc>
        <w:tc>
          <w:tcPr>
            <w:tcW w:w="1350" w:type="dxa"/>
            <w:shd w:val="clear" w:color="auto" w:fill="auto"/>
          </w:tcPr>
          <w:p w:rsidR="00FB34CE" w:rsidRPr="0055610F" w:rsidRDefault="00FB34CE" w:rsidP="004D5825">
            <w:pPr>
              <w:rPr>
                <w:sz w:val="22"/>
                <w:szCs w:val="22"/>
                <w:lang w:val="sr-Latn-ME"/>
              </w:rPr>
            </w:pPr>
          </w:p>
        </w:tc>
        <w:tc>
          <w:tcPr>
            <w:tcW w:w="1260" w:type="dxa"/>
          </w:tcPr>
          <w:p w:rsidR="00FB34CE" w:rsidRPr="0055610F" w:rsidRDefault="00FB34CE" w:rsidP="004D5825">
            <w:pPr>
              <w:rPr>
                <w:sz w:val="22"/>
                <w:szCs w:val="22"/>
                <w:lang w:val="sr-Latn-ME"/>
              </w:rPr>
            </w:pPr>
          </w:p>
        </w:tc>
      </w:tr>
      <w:tr w:rsidR="00FB34CE" w:rsidRPr="00FB34CE" w:rsidTr="009941F7">
        <w:trPr>
          <w:trHeight w:val="2259"/>
        </w:trPr>
        <w:tc>
          <w:tcPr>
            <w:tcW w:w="7830" w:type="dxa"/>
            <w:gridSpan w:val="6"/>
            <w:shd w:val="clear" w:color="auto" w:fill="auto"/>
          </w:tcPr>
          <w:p w:rsidR="00FB34CE" w:rsidRPr="004B5023" w:rsidRDefault="00FB34CE" w:rsidP="004D5825">
            <w:pPr>
              <w:snapToGrid w:val="0"/>
              <w:jc w:val="both"/>
              <w:outlineLvl w:val="0"/>
              <w:rPr>
                <w:sz w:val="22"/>
                <w:szCs w:val="22"/>
                <w:lang w:val="hr-HR"/>
              </w:rPr>
            </w:pPr>
            <w:r w:rsidRPr="004B5023">
              <w:rPr>
                <w:sz w:val="22"/>
                <w:szCs w:val="22"/>
                <w:vertAlign w:val="superscript"/>
                <w:lang w:val="hr-HR"/>
              </w:rPr>
              <w:t>1</w:t>
            </w:r>
            <w:r w:rsidRPr="004B5023">
              <w:rPr>
                <w:sz w:val="22"/>
                <w:szCs w:val="22"/>
                <w:lang w:val="hr-HR"/>
              </w:rPr>
              <w:t xml:space="preserve"> </w:t>
            </w:r>
            <w:r w:rsidRPr="004B5023">
              <w:rPr>
                <w:sz w:val="22"/>
                <w:szCs w:val="22"/>
              </w:rPr>
              <w:t>Pogl</w:t>
            </w:r>
            <w:r w:rsidR="0074611C" w:rsidRPr="004B5023">
              <w:rPr>
                <w:sz w:val="22"/>
                <w:szCs w:val="22"/>
              </w:rPr>
              <w:t>e</w:t>
            </w:r>
            <w:r w:rsidRPr="004B5023">
              <w:rPr>
                <w:sz w:val="22"/>
                <w:szCs w:val="22"/>
              </w:rPr>
              <w:t>dati dio ,,Infekcije’’ u nastavku</w:t>
            </w:r>
          </w:p>
          <w:p w:rsidR="001C7B8B" w:rsidRDefault="00FB34CE" w:rsidP="004D5825">
            <w:pPr>
              <w:snapToGrid w:val="0"/>
              <w:jc w:val="both"/>
              <w:outlineLvl w:val="0"/>
              <w:rPr>
                <w:sz w:val="22"/>
                <w:szCs w:val="22"/>
                <w:lang w:val="sr-Latn-ME"/>
              </w:rPr>
            </w:pPr>
            <w:r>
              <w:rPr>
                <w:sz w:val="22"/>
                <w:szCs w:val="22"/>
                <w:vertAlign w:val="superscript"/>
                <w:lang w:val="sr-Latn-ME"/>
              </w:rPr>
              <w:t>2</w:t>
            </w:r>
            <w:r w:rsidRPr="0055610F">
              <w:rPr>
                <w:sz w:val="22"/>
                <w:szCs w:val="22"/>
                <w:lang w:val="sr-Latn-ME"/>
              </w:rPr>
              <w:t xml:space="preserve"> </w:t>
            </w:r>
            <w:r w:rsidR="001C7B8B" w:rsidRPr="001C7B8B">
              <w:rPr>
                <w:sz w:val="22"/>
                <w:szCs w:val="22"/>
                <w:lang w:val="sr-Latn-ME"/>
              </w:rPr>
              <w:t>Primijećeno tokom praćenja lijeka nakon stavljanja lijeka u promet</w:t>
            </w:r>
          </w:p>
          <w:p w:rsidR="00FB34CE" w:rsidRPr="0055610F" w:rsidRDefault="001C7B8B" w:rsidP="00BF25A5">
            <w:pPr>
              <w:snapToGrid w:val="0"/>
              <w:ind w:left="119" w:hanging="119"/>
              <w:jc w:val="both"/>
              <w:outlineLvl w:val="0"/>
              <w:rPr>
                <w:sz w:val="22"/>
                <w:szCs w:val="22"/>
                <w:lang w:val="sr-Latn-ME"/>
              </w:rPr>
            </w:pPr>
            <w:r w:rsidRPr="004B5023">
              <w:rPr>
                <w:sz w:val="22"/>
                <w:szCs w:val="22"/>
                <w:vertAlign w:val="superscript"/>
                <w:lang w:val="sr-Latn-ME"/>
              </w:rPr>
              <w:t>3</w:t>
            </w:r>
            <w:r>
              <w:rPr>
                <w:sz w:val="22"/>
                <w:szCs w:val="22"/>
                <w:lang w:val="sr-Latn-ME"/>
              </w:rPr>
              <w:t xml:space="preserve"> </w:t>
            </w:r>
            <w:r w:rsidR="00FB34CE" w:rsidRPr="0055610F">
              <w:rPr>
                <w:sz w:val="22"/>
                <w:szCs w:val="22"/>
                <w:lang w:val="sr-Latn-ME"/>
              </w:rPr>
              <w:t>Kategorija učestalosti dodijeljena na osnovu laboratorijskih vrijednosti prikupljenih tokom rutinskih laboratorijskih kontrola u kliničkim studijama</w:t>
            </w:r>
          </w:p>
          <w:p w:rsidR="00FB34CE" w:rsidRPr="0055610F" w:rsidRDefault="001C7B8B" w:rsidP="00BF25A5">
            <w:pPr>
              <w:snapToGrid w:val="0"/>
              <w:ind w:left="119" w:hanging="119"/>
              <w:jc w:val="both"/>
              <w:outlineLvl w:val="0"/>
              <w:rPr>
                <w:sz w:val="22"/>
                <w:szCs w:val="22"/>
                <w:vertAlign w:val="superscript"/>
                <w:lang w:val="sr-Latn-ME"/>
              </w:rPr>
            </w:pPr>
            <w:r>
              <w:rPr>
                <w:sz w:val="22"/>
                <w:szCs w:val="22"/>
                <w:vertAlign w:val="superscript"/>
                <w:lang w:val="sr-Latn-ME"/>
              </w:rPr>
              <w:t>4</w:t>
            </w:r>
            <w:r w:rsidR="00BF25A5">
              <w:rPr>
                <w:sz w:val="22"/>
                <w:szCs w:val="22"/>
                <w:vertAlign w:val="superscript"/>
                <w:lang w:val="sr-Latn-ME"/>
              </w:rPr>
              <w:t xml:space="preserve"> </w:t>
            </w:r>
            <w:r w:rsidR="00FB34CE" w:rsidRPr="0055610F">
              <w:rPr>
                <w:sz w:val="22"/>
                <w:szCs w:val="22"/>
                <w:lang w:val="sr-Latn-ME"/>
              </w:rPr>
              <w:t>Kategorija učestalosti dodijeljena na osnovu podataka nakon stavljanja lijeka u promet.</w:t>
            </w:r>
          </w:p>
          <w:p w:rsidR="00FB34CE" w:rsidRPr="0055610F" w:rsidRDefault="001C7B8B" w:rsidP="00BF25A5">
            <w:pPr>
              <w:snapToGrid w:val="0"/>
              <w:ind w:left="119" w:hanging="119"/>
              <w:jc w:val="both"/>
              <w:outlineLvl w:val="0"/>
              <w:rPr>
                <w:sz w:val="22"/>
                <w:szCs w:val="22"/>
                <w:lang w:val="sr-Latn-ME"/>
              </w:rPr>
            </w:pPr>
            <w:r>
              <w:rPr>
                <w:sz w:val="22"/>
                <w:szCs w:val="22"/>
                <w:vertAlign w:val="superscript"/>
                <w:lang w:val="sr-Latn-ME"/>
              </w:rPr>
              <w:t>5</w:t>
            </w:r>
            <w:r w:rsidR="00BF25A5">
              <w:rPr>
                <w:sz w:val="22"/>
                <w:szCs w:val="22"/>
                <w:vertAlign w:val="superscript"/>
                <w:lang w:val="sr-Latn-ME"/>
              </w:rPr>
              <w:t xml:space="preserve"> </w:t>
            </w:r>
            <w:r w:rsidR="00FB34CE" w:rsidRPr="0055610F">
              <w:rPr>
                <w:sz w:val="22"/>
                <w:szCs w:val="22"/>
                <w:lang w:val="sr-Latn-ME"/>
              </w:rPr>
              <w:t xml:space="preserve">Reakcije koje se javljaju tokom ili u roku od 24 sata od infuzije. Vidjeti i dio o </w:t>
            </w:r>
            <w:r w:rsidR="00BF25A5">
              <w:rPr>
                <w:sz w:val="22"/>
                <w:szCs w:val="22"/>
                <w:lang w:val="sr-Latn-ME"/>
              </w:rPr>
              <w:t xml:space="preserve"> </w:t>
            </w:r>
            <w:r w:rsidR="00FB34CE" w:rsidRPr="0055610F">
              <w:rPr>
                <w:sz w:val="22"/>
                <w:szCs w:val="22"/>
                <w:lang w:val="sr-Latn-ME"/>
              </w:rPr>
              <w:t xml:space="preserve">reakcijama povezanim sa infuzijom u nastavku. </w:t>
            </w:r>
          </w:p>
          <w:p w:rsidR="00FB34CE" w:rsidRPr="0055610F" w:rsidRDefault="00FB34CE" w:rsidP="00BF25A5">
            <w:pPr>
              <w:snapToGrid w:val="0"/>
              <w:ind w:left="119"/>
              <w:jc w:val="both"/>
              <w:outlineLvl w:val="0"/>
              <w:rPr>
                <w:sz w:val="22"/>
                <w:szCs w:val="22"/>
                <w:lang w:val="sr-Latn-ME"/>
              </w:rPr>
            </w:pPr>
            <w:r w:rsidRPr="0055610F">
              <w:rPr>
                <w:sz w:val="22"/>
                <w:szCs w:val="22"/>
                <w:lang w:val="sr-Latn-ME"/>
              </w:rPr>
              <w:t>Reakcije povezane sa infuzijom mogu se javiti kao posljedica preosjetljivosti i/ili mehanizma djelovanja.</w:t>
            </w:r>
          </w:p>
          <w:p w:rsidR="00FB34CE" w:rsidRPr="0055610F" w:rsidRDefault="001C7B8B" w:rsidP="004D5825">
            <w:pPr>
              <w:snapToGrid w:val="0"/>
              <w:jc w:val="both"/>
              <w:outlineLvl w:val="0"/>
              <w:rPr>
                <w:sz w:val="22"/>
                <w:szCs w:val="22"/>
                <w:lang w:val="sr-Latn-ME"/>
              </w:rPr>
            </w:pPr>
            <w:r>
              <w:rPr>
                <w:sz w:val="22"/>
                <w:szCs w:val="22"/>
                <w:vertAlign w:val="superscript"/>
                <w:lang w:val="sr-Latn-ME"/>
              </w:rPr>
              <w:t>6</w:t>
            </w:r>
            <w:r w:rsidR="00FB34CE" w:rsidRPr="0055610F">
              <w:rPr>
                <w:sz w:val="22"/>
                <w:szCs w:val="22"/>
                <w:lang w:val="sr-Latn-ME"/>
              </w:rPr>
              <w:t xml:space="preserve"> Uključuje zapažanja zabilježena tokom rutinskih laboratorijskih kontrola. </w:t>
            </w:r>
          </w:p>
          <w:p w:rsidR="00FB34CE" w:rsidRPr="0055610F" w:rsidRDefault="001C7B8B" w:rsidP="004D5825">
            <w:pPr>
              <w:snapToGrid w:val="0"/>
              <w:jc w:val="both"/>
              <w:outlineLvl w:val="0"/>
              <w:rPr>
                <w:sz w:val="22"/>
                <w:szCs w:val="22"/>
                <w:lang w:val="sr-Latn-ME"/>
              </w:rPr>
            </w:pPr>
            <w:r>
              <w:rPr>
                <w:sz w:val="22"/>
                <w:szCs w:val="22"/>
                <w:vertAlign w:val="superscript"/>
                <w:lang w:val="sr-Latn-ME"/>
              </w:rPr>
              <w:t>7</w:t>
            </w:r>
            <w:r w:rsidR="00FB34CE" w:rsidRPr="0055610F">
              <w:rPr>
                <w:sz w:val="22"/>
                <w:szCs w:val="22"/>
                <w:lang w:val="sr-Latn-ME"/>
              </w:rPr>
              <w:t xml:space="preserve"> Uključuje slučajeve sa fatalnim ishodom</w:t>
            </w:r>
          </w:p>
          <w:p w:rsidR="00FB34CE" w:rsidRPr="0055610F" w:rsidRDefault="00FB34CE" w:rsidP="004D5825">
            <w:pPr>
              <w:jc w:val="both"/>
              <w:rPr>
                <w:sz w:val="22"/>
                <w:szCs w:val="22"/>
                <w:lang w:val="sr-Latn-ME"/>
              </w:rPr>
            </w:pPr>
          </w:p>
        </w:tc>
        <w:tc>
          <w:tcPr>
            <w:tcW w:w="1260" w:type="dxa"/>
          </w:tcPr>
          <w:p w:rsidR="00FB34CE" w:rsidRPr="0055610F" w:rsidRDefault="00FB34CE" w:rsidP="004D5825">
            <w:pPr>
              <w:snapToGrid w:val="0"/>
              <w:jc w:val="both"/>
              <w:outlineLvl w:val="0"/>
              <w:rPr>
                <w:sz w:val="22"/>
                <w:szCs w:val="22"/>
                <w:vertAlign w:val="superscript"/>
                <w:lang w:val="sr-Latn-ME"/>
              </w:rPr>
            </w:pPr>
          </w:p>
        </w:tc>
      </w:tr>
    </w:tbl>
    <w:p w:rsidR="00496E03" w:rsidRPr="0055610F" w:rsidRDefault="00496E03" w:rsidP="004D5825">
      <w:pPr>
        <w:jc w:val="both"/>
        <w:rPr>
          <w:sz w:val="22"/>
          <w:szCs w:val="22"/>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t>Višestruki ciklusi liječenja</w:t>
      </w:r>
    </w:p>
    <w:p w:rsidR="00496E03" w:rsidRPr="0055610F" w:rsidRDefault="00496E03" w:rsidP="004D5825">
      <w:pPr>
        <w:jc w:val="both"/>
        <w:outlineLvl w:val="0"/>
        <w:rPr>
          <w:sz w:val="22"/>
          <w:szCs w:val="22"/>
          <w:lang w:val="sr-Latn-ME"/>
        </w:rPr>
      </w:pPr>
      <w:r w:rsidRPr="0055610F">
        <w:rPr>
          <w:sz w:val="22"/>
          <w:szCs w:val="22"/>
          <w:lang w:val="sr-Latn-ME"/>
        </w:rPr>
        <w:t xml:space="preserve">Višestruki ciklusi liječenja povezani su sa sličnim profilom neželjenih dejstava kao i nakon prve izloženosti. Stopa učestalosti svih neželjenih dejstava nakon prve izloženosti lijeku MabThera bila je najveća tokom prvih 6 mjeseci, a potom se smanjivala. Za to su uglavnom zaslužne reakcije povezane sa infuzijom (najčešće tokom prvog ciklusa liječenja), egzacerbacija reumatoidnog artritisa i infekcije jer su se sve one javljale češće tokom prvih 6 mjeseci liječenja. </w:t>
      </w:r>
    </w:p>
    <w:p w:rsidR="00496E03" w:rsidRPr="0055610F" w:rsidRDefault="00496E03" w:rsidP="004D5825">
      <w:pPr>
        <w:jc w:val="both"/>
        <w:outlineLvl w:val="0"/>
        <w:rPr>
          <w:sz w:val="22"/>
          <w:szCs w:val="22"/>
          <w:lang w:val="sr-Latn-ME"/>
        </w:rPr>
      </w:pPr>
    </w:p>
    <w:p w:rsidR="00496E03" w:rsidRPr="0055610F" w:rsidRDefault="00496E03" w:rsidP="004D5825">
      <w:pPr>
        <w:jc w:val="both"/>
        <w:outlineLvl w:val="0"/>
        <w:rPr>
          <w:i/>
          <w:sz w:val="22"/>
          <w:szCs w:val="22"/>
          <w:u w:val="single"/>
          <w:lang w:val="sr-Latn-ME"/>
        </w:rPr>
      </w:pPr>
      <w:r w:rsidRPr="0055610F">
        <w:rPr>
          <w:i/>
          <w:sz w:val="22"/>
          <w:szCs w:val="22"/>
          <w:u w:val="single"/>
          <w:lang w:val="sr-Latn-ME"/>
        </w:rPr>
        <w:t>Opis odabranih neželjenih dejstava</w:t>
      </w:r>
    </w:p>
    <w:p w:rsidR="00496E03" w:rsidRPr="0055610F" w:rsidRDefault="00496E03" w:rsidP="004D5825">
      <w:pPr>
        <w:jc w:val="both"/>
        <w:outlineLvl w:val="0"/>
        <w:rPr>
          <w:sz w:val="22"/>
          <w:szCs w:val="22"/>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t>Reakcije povezane s infuzijom</w:t>
      </w:r>
    </w:p>
    <w:p w:rsidR="00496E03" w:rsidRPr="0055610F" w:rsidRDefault="00496E03" w:rsidP="004D5825">
      <w:pPr>
        <w:autoSpaceDE w:val="0"/>
        <w:autoSpaceDN w:val="0"/>
        <w:adjustRightInd w:val="0"/>
        <w:jc w:val="both"/>
        <w:outlineLvl w:val="0"/>
        <w:rPr>
          <w:sz w:val="22"/>
          <w:szCs w:val="22"/>
          <w:lang w:val="sr-Latn-ME"/>
        </w:rPr>
      </w:pPr>
      <w:r w:rsidRPr="0055610F">
        <w:rPr>
          <w:sz w:val="22"/>
          <w:szCs w:val="22"/>
          <w:lang w:val="sr-Latn-ME"/>
        </w:rPr>
        <w:t>Najčešće neželjene reakcije nakon primjene lijeka MabThera u kliničkim studijama bile su reakcije povezane sa infuzijom (vidjeti Tabelu 4). Od 3189 pacijenata liječenih lijekom MabThera, njih je 1135 (36%) imalo barem jednu reakciju povezanu sa infuzijom, a 733/3189 (23%) pacijenata imalo je reakciju povezanu sa infuzijom nakon prve infuzije pri prvom izlaganju lijeku MabThera. Učestalost pojave reakcija povezanih sa infuzijom smanjuje se u svim narednim infuzijama. Manje od 1% (17/3189) pacijenata u kliničkim studijama imalo je ozbiljnu reakciju povezanu sa infuzijom. U kliničkim studijama ni</w:t>
      </w:r>
      <w:r w:rsidR="00807455" w:rsidRPr="0055610F">
        <w:rPr>
          <w:sz w:val="22"/>
          <w:szCs w:val="22"/>
          <w:lang w:val="sr-Latn-ME"/>
        </w:rPr>
        <w:t>je</w:t>
      </w:r>
      <w:r w:rsidRPr="0055610F">
        <w:rPr>
          <w:sz w:val="22"/>
          <w:szCs w:val="22"/>
          <w:lang w:val="sr-Latn-ME"/>
        </w:rPr>
        <w:t>su zabilježene reakcije povezane sa infuzijom 4. stepena prema opštim kriterijima toksičnosti (engl. Common Toxicity Criteria, CTC) kao ni fatalni slučajevi povezani sa infuzijom. Udio događaja 3. stepena prema CTC kriterijima i reakcija povezanih sa infuzijom koje su dovele do prekida liječenja smanjivao se nakon svakog ciklusa i takvi su događaji bili su rijetki od 3. ciklusa nadalje. Prethodna intravenska primjena glukokortikoida značajno je smanjila učestalost i težinu reakcija povezanih sa infuzijom (vidjeti djelove 4.2 i 4.4). Nakon stavljanja lijeka u promet prijavljeni su slučajevi teških infuzijskih reakcija sa fatalnim ishodom.</w:t>
      </w:r>
    </w:p>
    <w:p w:rsidR="00496E03" w:rsidRPr="0055610F" w:rsidRDefault="00496E03" w:rsidP="004D5825">
      <w:pPr>
        <w:jc w:val="both"/>
        <w:rPr>
          <w:sz w:val="22"/>
          <w:szCs w:val="22"/>
          <w:lang w:val="sr-Latn-ME"/>
        </w:rPr>
      </w:pPr>
    </w:p>
    <w:p w:rsidR="00496E03" w:rsidRPr="0055610F" w:rsidRDefault="00496E03" w:rsidP="004D5825">
      <w:pPr>
        <w:autoSpaceDE w:val="0"/>
        <w:autoSpaceDN w:val="0"/>
        <w:adjustRightInd w:val="0"/>
        <w:jc w:val="both"/>
        <w:outlineLvl w:val="0"/>
        <w:rPr>
          <w:sz w:val="22"/>
          <w:szCs w:val="22"/>
          <w:lang w:val="sr-Latn-ME"/>
        </w:rPr>
      </w:pPr>
      <w:r w:rsidRPr="0055610F">
        <w:rPr>
          <w:sz w:val="22"/>
          <w:szCs w:val="22"/>
          <w:lang w:val="sr-Latn-ME"/>
        </w:rPr>
        <w:t xml:space="preserve">U </w:t>
      </w:r>
      <w:r w:rsidR="00807455" w:rsidRPr="0055610F">
        <w:rPr>
          <w:sz w:val="22"/>
          <w:szCs w:val="22"/>
          <w:lang w:val="sr-Latn-ME"/>
        </w:rPr>
        <w:t>s</w:t>
      </w:r>
      <w:r w:rsidRPr="0055610F">
        <w:rPr>
          <w:sz w:val="22"/>
          <w:szCs w:val="22"/>
          <w:lang w:val="sr-Latn-ME"/>
        </w:rPr>
        <w:t>tudji osmišljenoj da procijeni bezbjednost primjene brže infuzije lijeka MabThera kod pacijenata sa reumatoidnim artritisom, pacijenti sa umjerenim do teškim aktivnim reumatoidnim artritisom koji nisu imali ozbiljnu reakciju povezanu sa infuzijom tokom ili unutar 24 sata od prve ispitivane infuzije smjeli su da prime 2</w:t>
      </w:r>
      <w:r w:rsidRPr="0055610F">
        <w:rPr>
          <w:sz w:val="22"/>
          <w:szCs w:val="22"/>
          <w:lang w:val="sr-Latn-ME"/>
        </w:rPr>
        <w:noBreakHyphen/>
        <w:t xml:space="preserve">satnu intravensku  infuziju lijeka </w:t>
      </w:r>
      <w:r w:rsidR="00CA6E91" w:rsidRPr="0055610F">
        <w:rPr>
          <w:sz w:val="22"/>
          <w:szCs w:val="22"/>
          <w:lang w:val="sr-Latn-ME"/>
        </w:rPr>
        <w:t>MabThera. U s</w:t>
      </w:r>
      <w:r w:rsidRPr="0055610F">
        <w:rPr>
          <w:sz w:val="22"/>
          <w:szCs w:val="22"/>
          <w:lang w:val="sr-Latn-ME"/>
        </w:rPr>
        <w:t>tudiju nijesu mogli biti uključeni pacijenti koji su u anamnezi imali ozbiljnu infuzijsku reakciju na neki biološki lijek za reumatoidni artritis. Učestalost, vrsta i težina reakcija povezanih sa infuzijom bile su u skladu sa onim koje su prim</w:t>
      </w:r>
      <w:r w:rsidR="00C0552F">
        <w:rPr>
          <w:sz w:val="22"/>
          <w:szCs w:val="22"/>
          <w:lang w:val="sr-Latn-ME"/>
        </w:rPr>
        <w:t>i</w:t>
      </w:r>
      <w:r w:rsidRPr="0055610F">
        <w:rPr>
          <w:sz w:val="22"/>
          <w:szCs w:val="22"/>
          <w:lang w:val="sr-Latn-ME"/>
        </w:rPr>
        <w:t xml:space="preserve">jećene u ranijim </w:t>
      </w:r>
      <w:r w:rsidR="00CA6E91" w:rsidRPr="0055610F">
        <w:rPr>
          <w:sz w:val="22"/>
          <w:szCs w:val="22"/>
          <w:lang w:val="sr-Latn-ME"/>
        </w:rPr>
        <w:t>s</w:t>
      </w:r>
      <w:r w:rsidRPr="0055610F">
        <w:rPr>
          <w:sz w:val="22"/>
          <w:szCs w:val="22"/>
          <w:lang w:val="sr-Latn-ME"/>
        </w:rPr>
        <w:t>tudijama. Ni</w:t>
      </w:r>
      <w:r w:rsidR="00807455" w:rsidRPr="0055610F">
        <w:rPr>
          <w:sz w:val="22"/>
          <w:szCs w:val="22"/>
          <w:lang w:val="sr-Latn-ME"/>
        </w:rPr>
        <w:t>je</w:t>
      </w:r>
      <w:r w:rsidRPr="0055610F">
        <w:rPr>
          <w:sz w:val="22"/>
          <w:szCs w:val="22"/>
          <w:lang w:val="sr-Latn-ME"/>
        </w:rPr>
        <w:t>su zapažene ozbiljne reakcije povezane sa infuzijom.</w:t>
      </w:r>
    </w:p>
    <w:p w:rsidR="00496E03" w:rsidRPr="0055610F" w:rsidRDefault="00496E03" w:rsidP="004D5825">
      <w:pPr>
        <w:jc w:val="both"/>
        <w:rPr>
          <w:sz w:val="22"/>
          <w:szCs w:val="22"/>
          <w:lang w:val="sr-Latn-ME"/>
        </w:rPr>
      </w:pPr>
    </w:p>
    <w:p w:rsidR="00496E03" w:rsidRPr="0055610F" w:rsidRDefault="00496E03" w:rsidP="004D5825">
      <w:pPr>
        <w:jc w:val="both"/>
        <w:rPr>
          <w:i/>
          <w:sz w:val="22"/>
          <w:szCs w:val="22"/>
          <w:lang w:val="sr-Latn-ME"/>
        </w:rPr>
      </w:pPr>
      <w:r w:rsidRPr="0055610F">
        <w:rPr>
          <w:i/>
          <w:sz w:val="22"/>
          <w:szCs w:val="22"/>
          <w:lang w:val="sr-Latn-ME"/>
        </w:rPr>
        <w:t>Infekcije</w:t>
      </w:r>
    </w:p>
    <w:p w:rsidR="00496E03" w:rsidRDefault="00496E03" w:rsidP="004D5825">
      <w:pPr>
        <w:jc w:val="both"/>
        <w:outlineLvl w:val="0"/>
        <w:rPr>
          <w:sz w:val="22"/>
          <w:szCs w:val="22"/>
          <w:lang w:val="sr-Latn-ME"/>
        </w:rPr>
      </w:pPr>
      <w:r w:rsidRPr="0055610F">
        <w:rPr>
          <w:sz w:val="22"/>
          <w:szCs w:val="22"/>
          <w:lang w:val="sr-Latn-ME"/>
        </w:rPr>
        <w:lastRenderedPageBreak/>
        <w:t xml:space="preserve">Ukupna stopa infekcija </w:t>
      </w:r>
      <w:r w:rsidR="00FB34CE" w:rsidRPr="00174ADB">
        <w:rPr>
          <w:sz w:val="22"/>
          <w:szCs w:val="22"/>
          <w:lang w:val="pl-PL"/>
        </w:rPr>
        <w:t xml:space="preserve">prijavljena u kliničkim studijama </w:t>
      </w:r>
      <w:r w:rsidRPr="0055610F">
        <w:rPr>
          <w:sz w:val="22"/>
          <w:szCs w:val="22"/>
          <w:lang w:val="sr-Latn-ME"/>
        </w:rPr>
        <w:t>iznosila je približno 94 na 100 pacijent-godina kod pacijenata koji su primali lijek MabThera. Infekcije su obično bile blago do umjerene i uglavnom infekcije gornjih disajnih puteva i urinarnog trakta. Incidenca infekcija koje su bile ozbiljne ili zahtijevale i.v. primjenu antibiotika iznosila je otprilike 4 na 100 pacijent</w:t>
      </w:r>
      <w:r w:rsidRPr="0055610F">
        <w:rPr>
          <w:sz w:val="22"/>
          <w:szCs w:val="22"/>
          <w:lang w:val="sr-Latn-ME"/>
        </w:rPr>
        <w:noBreakHyphen/>
        <w:t>godina. Stopa ozbiljnih infekcija nije se značajno povećala nakon višestrukih ciklusa lijeka MabThera. Tokom kliničkih ispitivanja prijavljene su infekcije donjih disajnih puteva (uključujući upalu pluća), a incidenca im je bila slična u grupama koje su primale lijek MabThera i u kontrolnim grupama.</w:t>
      </w:r>
    </w:p>
    <w:p w:rsidR="00FB34CE" w:rsidRDefault="00FB34CE" w:rsidP="004D5825">
      <w:pPr>
        <w:jc w:val="both"/>
        <w:outlineLvl w:val="0"/>
        <w:rPr>
          <w:sz w:val="22"/>
          <w:szCs w:val="22"/>
          <w:lang w:val="sr-Latn-ME"/>
        </w:rPr>
      </w:pPr>
    </w:p>
    <w:p w:rsidR="00FB34CE" w:rsidRPr="009941F7" w:rsidRDefault="00FB34CE" w:rsidP="004D5825">
      <w:pPr>
        <w:jc w:val="both"/>
        <w:outlineLvl w:val="0"/>
        <w:rPr>
          <w:sz w:val="22"/>
          <w:szCs w:val="22"/>
          <w:lang w:val="pl-PL"/>
        </w:rPr>
      </w:pPr>
      <w:r w:rsidRPr="00FB34CE">
        <w:rPr>
          <w:sz w:val="22"/>
          <w:szCs w:val="22"/>
          <w:lang w:val="pl-PL"/>
        </w:rPr>
        <w:t>Nakon stavljanja lijeka u promet, zab</w:t>
      </w:r>
      <w:r w:rsidR="00B4139E">
        <w:rPr>
          <w:sz w:val="22"/>
          <w:szCs w:val="22"/>
          <w:lang w:val="pl-PL"/>
        </w:rPr>
        <w:t>i</w:t>
      </w:r>
      <w:r w:rsidRPr="00FB34CE">
        <w:rPr>
          <w:sz w:val="22"/>
          <w:szCs w:val="22"/>
          <w:lang w:val="pl-PL"/>
        </w:rPr>
        <w:t xml:space="preserve">lježene su ozbiljne virusne infekcije kod RA pacijenata koji su primali </w:t>
      </w:r>
      <w:r>
        <w:rPr>
          <w:sz w:val="22"/>
          <w:szCs w:val="22"/>
          <w:lang w:val="pl-PL"/>
        </w:rPr>
        <w:t xml:space="preserve">lijek </w:t>
      </w:r>
      <w:r w:rsidRPr="00FB34CE">
        <w:rPr>
          <w:sz w:val="22"/>
          <w:szCs w:val="22"/>
          <w:lang w:val="pl-PL"/>
        </w:rPr>
        <w:t>rituksimab.</w:t>
      </w:r>
    </w:p>
    <w:p w:rsidR="00496E03" w:rsidRPr="0055610F" w:rsidRDefault="00496E03" w:rsidP="004D5825">
      <w:pPr>
        <w:jc w:val="both"/>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t xml:space="preserve">Nakon primjene lijeka MabThera u liječenju autoimunih bolesti prijavljeni su slučajevi progresivne multifokalne leukoencefalopatije sa fatalnim ishodom. To uključuje primjenu u reumatoidnom artritisu i neodobrenim indikacijama za liječenje autoimunih bolesti kao što su sistemski </w:t>
      </w:r>
      <w:r w:rsidR="00EC738D">
        <w:rPr>
          <w:sz w:val="22"/>
          <w:szCs w:val="22"/>
          <w:lang w:val="sr-Latn-ME"/>
        </w:rPr>
        <w:t xml:space="preserve">eritemski </w:t>
      </w:r>
      <w:r w:rsidR="009F7E58">
        <w:rPr>
          <w:sz w:val="22"/>
          <w:szCs w:val="22"/>
          <w:lang w:val="sr-Latn-ME"/>
        </w:rPr>
        <w:t xml:space="preserve">lupus </w:t>
      </w:r>
      <w:r w:rsidRPr="0055610F">
        <w:rPr>
          <w:sz w:val="22"/>
          <w:szCs w:val="22"/>
          <w:lang w:val="sr-Latn-ME"/>
        </w:rPr>
        <w:t xml:space="preserve">i vaskulitis. </w:t>
      </w:r>
    </w:p>
    <w:p w:rsidR="00496E03" w:rsidRPr="0055610F" w:rsidRDefault="00496E03" w:rsidP="004D5825">
      <w:pPr>
        <w:jc w:val="both"/>
        <w:outlineLvl w:val="0"/>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t>Kod pacijenata sa non</w:t>
      </w:r>
      <w:r w:rsidRPr="0055610F">
        <w:rPr>
          <w:sz w:val="22"/>
          <w:szCs w:val="22"/>
          <w:lang w:val="sr-Latn-ME"/>
        </w:rPr>
        <w:noBreakHyphen/>
        <w:t>Hodgkinovim limfomom koji primaju lijek MabThera u kombinaciji sa citotoksičnom hemoterapijom prijavljeni su slučajevi reaktivacije hepatitisa B (vidjeti non</w:t>
      </w:r>
      <w:r w:rsidRPr="0055610F">
        <w:rPr>
          <w:sz w:val="22"/>
          <w:szCs w:val="22"/>
          <w:lang w:val="sr-Latn-ME"/>
        </w:rPr>
        <w:noBreakHyphen/>
        <w:t>Hodgkinov limfom). Reaktivacija infekcije hepatitisom B prijavljena je vrlo</w:t>
      </w:r>
      <w:r w:rsidR="00807455" w:rsidRPr="0055610F">
        <w:rPr>
          <w:sz w:val="22"/>
          <w:szCs w:val="22"/>
          <w:lang w:val="sr-Latn-ME"/>
        </w:rPr>
        <w:t xml:space="preserve"> </w:t>
      </w:r>
      <w:r w:rsidRPr="0055610F">
        <w:rPr>
          <w:sz w:val="22"/>
          <w:szCs w:val="22"/>
          <w:lang w:val="sr-Latn-ME"/>
        </w:rPr>
        <w:t>rijetko kod pacijenata sa reumatoidnim artritisom koji primaju lijek MabThera (vidjeti dio 4.4.).</w:t>
      </w:r>
    </w:p>
    <w:p w:rsidR="00496E03" w:rsidRPr="0055610F" w:rsidRDefault="00496E03" w:rsidP="004D5825">
      <w:pPr>
        <w:jc w:val="both"/>
        <w:rPr>
          <w:sz w:val="22"/>
          <w:szCs w:val="22"/>
          <w:lang w:val="sr-Latn-ME"/>
        </w:rPr>
      </w:pPr>
    </w:p>
    <w:p w:rsidR="00496E03" w:rsidRPr="0055610F" w:rsidRDefault="00496E03" w:rsidP="004D5825">
      <w:pPr>
        <w:jc w:val="both"/>
        <w:rPr>
          <w:i/>
          <w:sz w:val="22"/>
          <w:szCs w:val="22"/>
          <w:lang w:val="sr-Latn-ME"/>
        </w:rPr>
      </w:pPr>
      <w:r w:rsidRPr="0055610F">
        <w:rPr>
          <w:i/>
          <w:sz w:val="22"/>
          <w:szCs w:val="22"/>
          <w:lang w:val="sr-Latn-ME"/>
        </w:rPr>
        <w:t xml:space="preserve">Kardiovaskularna neželjena dejstva </w:t>
      </w:r>
    </w:p>
    <w:p w:rsidR="00496E03" w:rsidRPr="0055610F" w:rsidRDefault="00496E03" w:rsidP="004D5825">
      <w:pPr>
        <w:tabs>
          <w:tab w:val="left" w:pos="6804"/>
        </w:tabs>
        <w:jc w:val="both"/>
        <w:outlineLvl w:val="0"/>
        <w:rPr>
          <w:sz w:val="22"/>
          <w:szCs w:val="22"/>
          <w:lang w:val="sr-Latn-ME"/>
        </w:rPr>
      </w:pPr>
      <w:r w:rsidRPr="0055610F">
        <w:rPr>
          <w:sz w:val="22"/>
          <w:szCs w:val="22"/>
          <w:lang w:val="sr-Latn-ME"/>
        </w:rPr>
        <w:t>Ozbiljnai kardiološka neželjena dejstva prijavljena su po stopi od 1,3 na 100 pacijent</w:t>
      </w:r>
      <w:r w:rsidRPr="0055610F">
        <w:rPr>
          <w:sz w:val="22"/>
          <w:szCs w:val="22"/>
          <w:lang w:val="sr-Latn-ME"/>
        </w:rPr>
        <w:noBreakHyphen/>
        <w:t>godina kod pacijenata liječenih lijekom MabThera u poređenju sa 1,3 na 100 pacijent</w:t>
      </w:r>
      <w:r w:rsidRPr="0055610F">
        <w:rPr>
          <w:sz w:val="22"/>
          <w:szCs w:val="22"/>
          <w:lang w:val="sr-Latn-ME"/>
        </w:rPr>
        <w:noBreakHyphen/>
        <w:t>godina kod pacijenata koji su primali placebo. Udio pacijenata koji su doživjeli kardiološka neželjena dejstva (sve ili samo ozbiljne) nije se povećao tokom višestrukih ciklusa.</w:t>
      </w:r>
    </w:p>
    <w:p w:rsidR="00496E03" w:rsidRPr="0055610F" w:rsidRDefault="00496E03" w:rsidP="004D5825">
      <w:pPr>
        <w:tabs>
          <w:tab w:val="left" w:pos="284"/>
          <w:tab w:val="center" w:pos="4320"/>
          <w:tab w:val="right" w:pos="8640"/>
        </w:tabs>
        <w:jc w:val="both"/>
        <w:rPr>
          <w:sz w:val="22"/>
          <w:szCs w:val="22"/>
          <w:lang w:val="sr-Latn-ME"/>
        </w:rPr>
      </w:pPr>
    </w:p>
    <w:p w:rsidR="00496E03" w:rsidRPr="0055610F" w:rsidRDefault="00496E03" w:rsidP="004D5825">
      <w:pPr>
        <w:tabs>
          <w:tab w:val="left" w:pos="6804"/>
        </w:tabs>
        <w:jc w:val="both"/>
        <w:outlineLvl w:val="0"/>
        <w:rPr>
          <w:i/>
          <w:sz w:val="22"/>
          <w:szCs w:val="22"/>
          <w:lang w:val="sr-Latn-ME"/>
        </w:rPr>
      </w:pPr>
      <w:r w:rsidRPr="0055610F">
        <w:rPr>
          <w:i/>
          <w:sz w:val="22"/>
          <w:szCs w:val="22"/>
          <w:lang w:val="sr-Latn-ME"/>
        </w:rPr>
        <w:t>Neurološka neželjena dejstva</w:t>
      </w:r>
    </w:p>
    <w:p w:rsidR="00496E03" w:rsidRPr="0055610F" w:rsidRDefault="00496E03" w:rsidP="004D5825">
      <w:pPr>
        <w:tabs>
          <w:tab w:val="left" w:pos="6804"/>
        </w:tabs>
        <w:jc w:val="both"/>
        <w:outlineLvl w:val="0"/>
        <w:rPr>
          <w:sz w:val="22"/>
          <w:szCs w:val="22"/>
          <w:lang w:val="sr-Latn-ME"/>
        </w:rPr>
      </w:pPr>
      <w:r w:rsidRPr="0055610F">
        <w:rPr>
          <w:sz w:val="22"/>
          <w:szCs w:val="22"/>
          <w:lang w:val="sr-Latn-ME"/>
        </w:rPr>
        <w:t>Prijavljeni su slučajevi sindroma reverzibilne posteriorne encefalopatije (engl. posterior reversible encephalopathy syndrome, PRES) odnosno sindroma reverzibilne posteriorne leukoencefalopatije (engl. reversible posterior leukoencephalopathy syndrome, RPLS). Znaci i simptomi obuhvatali su smetnje vida, glavobolju, epileptičke napade i promijenjeno mentalno stanje, uz pridruženu hipertenziju ili bez nje. Dijagnozu PRES/RPLS treba potvrditi snimanjem mozga. U prijavljenim slučajevima postojali su faktori rizika za PRES/RPLS, uključujući osnovnu bolest pacijenta, hipertenziju, terapiju imunosupresivima i/ili hemioterapiju.</w:t>
      </w:r>
    </w:p>
    <w:p w:rsidR="00496E03" w:rsidRPr="0055610F" w:rsidRDefault="00496E03" w:rsidP="004D5825">
      <w:pPr>
        <w:keepNext/>
        <w:jc w:val="both"/>
        <w:outlineLvl w:val="0"/>
        <w:rPr>
          <w:i/>
          <w:sz w:val="22"/>
          <w:szCs w:val="22"/>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t>Neutropenija</w:t>
      </w:r>
    </w:p>
    <w:p w:rsidR="00496E03" w:rsidRPr="0055610F" w:rsidRDefault="00496E03" w:rsidP="004D5825">
      <w:pPr>
        <w:jc w:val="both"/>
        <w:outlineLvl w:val="0"/>
        <w:rPr>
          <w:sz w:val="22"/>
          <w:szCs w:val="22"/>
          <w:lang w:val="sr-Latn-ME"/>
        </w:rPr>
      </w:pPr>
      <w:r w:rsidRPr="0055610F">
        <w:rPr>
          <w:sz w:val="22"/>
          <w:szCs w:val="22"/>
          <w:lang w:val="sr-Latn-ME"/>
        </w:rPr>
        <w:t>Tokom liječenja lijekom MabThera zabilježeni su slučajevi neutropenije koji su većinom bili prolazni te blagog do umjerenog intenziteta. Neutropenija se može javiti i nekoliko mjeseci nakon primjene lijeka MabThera (vidjeti dio 4.4).</w:t>
      </w:r>
    </w:p>
    <w:p w:rsidR="00496E03" w:rsidRPr="0055610F" w:rsidRDefault="00496E03" w:rsidP="004D5825">
      <w:pPr>
        <w:jc w:val="both"/>
        <w:outlineLvl w:val="0"/>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t>U placebom kontrolisanim razdobljima kliničkih studija kod 0,94% (13/1382) pacijenata liječenih lijekom MabThera te 0,27% (2/731) pacijenata koji su primali placebo razvila se teška neutropenija.</w:t>
      </w:r>
    </w:p>
    <w:p w:rsidR="00496E03" w:rsidRPr="0055610F" w:rsidRDefault="00496E03" w:rsidP="004D5825">
      <w:pPr>
        <w:jc w:val="both"/>
        <w:outlineLvl w:val="0"/>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t>Neutropenija, uključujući slučajeve teške odgođene i perzistentne neutropenije, je prijavljena rijetko nakon stavljanja lijeka u promet, a neki od prijavljenih slučajeva bili su povezani sa fatalnim infekcijama.</w:t>
      </w:r>
    </w:p>
    <w:p w:rsidR="00496E03" w:rsidRPr="0055610F" w:rsidRDefault="00496E03" w:rsidP="004D5825">
      <w:pPr>
        <w:jc w:val="both"/>
        <w:outlineLvl w:val="0"/>
        <w:rPr>
          <w:sz w:val="22"/>
          <w:szCs w:val="22"/>
          <w:lang w:val="sr-Latn-ME"/>
        </w:rPr>
      </w:pPr>
    </w:p>
    <w:p w:rsidR="00496E03" w:rsidRPr="0055610F" w:rsidRDefault="00496E03" w:rsidP="004D5825">
      <w:pPr>
        <w:jc w:val="both"/>
        <w:outlineLvl w:val="0"/>
        <w:rPr>
          <w:i/>
          <w:sz w:val="22"/>
          <w:szCs w:val="22"/>
          <w:lang w:val="sr-Latn-ME"/>
        </w:rPr>
      </w:pPr>
      <w:r w:rsidRPr="0055610F">
        <w:rPr>
          <w:i/>
          <w:sz w:val="22"/>
          <w:szCs w:val="22"/>
          <w:lang w:val="sr-Latn-ME"/>
        </w:rPr>
        <w:t>Poremećaji kože i potkožnog tkiva</w:t>
      </w:r>
    </w:p>
    <w:p w:rsidR="00496E03" w:rsidRPr="0055610F" w:rsidRDefault="00496E03" w:rsidP="004D5825">
      <w:pPr>
        <w:jc w:val="both"/>
        <w:outlineLvl w:val="0"/>
        <w:rPr>
          <w:sz w:val="22"/>
          <w:szCs w:val="22"/>
          <w:lang w:val="sr-Latn-ME"/>
        </w:rPr>
      </w:pPr>
      <w:r w:rsidRPr="0055610F">
        <w:rPr>
          <w:sz w:val="22"/>
          <w:szCs w:val="22"/>
          <w:lang w:val="sr-Latn-ME"/>
        </w:rPr>
        <w:t>V</w:t>
      </w:r>
      <w:r w:rsidR="00B2002A">
        <w:rPr>
          <w:sz w:val="22"/>
          <w:szCs w:val="22"/>
          <w:lang w:val="sr-Latn-ME"/>
        </w:rPr>
        <w:t>eoma</w:t>
      </w:r>
      <w:r w:rsidRPr="0055610F">
        <w:rPr>
          <w:sz w:val="22"/>
          <w:szCs w:val="22"/>
          <w:lang w:val="sr-Latn-ME"/>
        </w:rPr>
        <w:t xml:space="preserve"> rijetko </w:t>
      </w:r>
      <w:r w:rsidR="00B2002A">
        <w:rPr>
          <w:sz w:val="22"/>
          <w:szCs w:val="22"/>
          <w:lang w:val="sr-Latn-ME"/>
        </w:rPr>
        <w:t xml:space="preserve">su </w:t>
      </w:r>
      <w:r w:rsidRPr="0055610F">
        <w:rPr>
          <w:sz w:val="22"/>
          <w:szCs w:val="22"/>
          <w:lang w:val="sr-Latn-ME"/>
        </w:rPr>
        <w:t>prijavljeni toksična epidermalna nekroliza (Lyellov sindrom) i Stevens-Johnsonov sindrom, ponekad sa fatalnim ishodom.</w:t>
      </w:r>
    </w:p>
    <w:p w:rsidR="00496E03" w:rsidRPr="0055610F" w:rsidRDefault="00496E03" w:rsidP="004D5825">
      <w:pPr>
        <w:jc w:val="both"/>
        <w:outlineLvl w:val="0"/>
        <w:rPr>
          <w:sz w:val="22"/>
          <w:szCs w:val="22"/>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t>Odstupanja laboratorijskih nalaza</w:t>
      </w:r>
    </w:p>
    <w:p w:rsidR="00496E03" w:rsidRPr="0055610F" w:rsidRDefault="00496E03" w:rsidP="004D5825">
      <w:pPr>
        <w:jc w:val="both"/>
        <w:outlineLvl w:val="0"/>
        <w:rPr>
          <w:sz w:val="22"/>
          <w:szCs w:val="22"/>
          <w:lang w:val="sr-Latn-ME"/>
        </w:rPr>
      </w:pPr>
      <w:r w:rsidRPr="0055610F">
        <w:rPr>
          <w:sz w:val="22"/>
          <w:szCs w:val="22"/>
          <w:lang w:val="sr-Latn-ME"/>
        </w:rPr>
        <w:t>Kod pacijenata sa reumatoidnim artritisom liječenih lijekom MabThera zabilježena je hipogamaglobulinemija (IgG ili IgM ispod donje granice normalnih vrijednosti). Nakon sniženja nivoa IgG</w:t>
      </w:r>
      <w:r w:rsidRPr="0055610F">
        <w:rPr>
          <w:sz w:val="22"/>
          <w:szCs w:val="22"/>
          <w:lang w:val="sr-Latn-ME"/>
        </w:rPr>
        <w:noBreakHyphen/>
        <w:t>a ili IgM</w:t>
      </w:r>
      <w:r w:rsidRPr="0055610F">
        <w:rPr>
          <w:sz w:val="22"/>
          <w:szCs w:val="22"/>
          <w:lang w:val="sr-Latn-ME"/>
        </w:rPr>
        <w:noBreakHyphen/>
        <w:t>a nije se povećala stopa ukupnih infekcija niti ozbiljnih infekcija (vidjeti dio 4.4).</w:t>
      </w:r>
    </w:p>
    <w:p w:rsidR="00496E03" w:rsidRPr="0055610F" w:rsidRDefault="00496E03" w:rsidP="004D5825">
      <w:pPr>
        <w:jc w:val="both"/>
        <w:outlineLvl w:val="0"/>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lastRenderedPageBreak/>
        <w:t>Zabilježen je mali broj spontanih i u literaturi opisanih slučajeva hipogamaglobulinemije kod pedijatrijskih pacijenata liječenih lijekom MabThera, od kojih su neki bili teški i zahtijevali dugotrajnu supstitucijsku terapiju imunoglobulinima. Posljedice dugotrajne deplecije B ćelija kod pedijatrijskih pacijenata ni</w:t>
      </w:r>
      <w:r w:rsidR="00807455" w:rsidRPr="0055610F">
        <w:rPr>
          <w:sz w:val="22"/>
          <w:szCs w:val="22"/>
          <w:lang w:val="sr-Latn-ME"/>
        </w:rPr>
        <w:t>je</w:t>
      </w:r>
      <w:r w:rsidRPr="0055610F">
        <w:rPr>
          <w:sz w:val="22"/>
          <w:szCs w:val="22"/>
          <w:lang w:val="sr-Latn-ME"/>
        </w:rPr>
        <w:t>su poznate.</w:t>
      </w:r>
    </w:p>
    <w:p w:rsidR="00496E03" w:rsidRPr="0055610F" w:rsidRDefault="00496E03" w:rsidP="004D5825">
      <w:pPr>
        <w:jc w:val="both"/>
        <w:outlineLvl w:val="0"/>
        <w:rPr>
          <w:sz w:val="22"/>
          <w:szCs w:val="22"/>
          <w:lang w:val="sr-Latn-ME"/>
        </w:rPr>
      </w:pPr>
    </w:p>
    <w:p w:rsidR="00496E03" w:rsidRPr="0055610F" w:rsidRDefault="00496E03" w:rsidP="004D5825">
      <w:pPr>
        <w:tabs>
          <w:tab w:val="left" w:pos="6804"/>
        </w:tabs>
        <w:jc w:val="both"/>
        <w:outlineLvl w:val="0"/>
        <w:rPr>
          <w:sz w:val="22"/>
          <w:szCs w:val="22"/>
          <w:u w:val="single"/>
          <w:lang w:val="sr-Latn-ME"/>
        </w:rPr>
      </w:pPr>
      <w:r w:rsidRPr="0055610F">
        <w:rPr>
          <w:sz w:val="22"/>
          <w:szCs w:val="22"/>
          <w:u w:val="single"/>
          <w:lang w:val="sr-Latn-ME"/>
        </w:rPr>
        <w:t>Iskustva sa primjenom kod granulomatoze sa poliangitisom (GPA) i mikroskopskog poliangitisa (MPA)</w:t>
      </w:r>
    </w:p>
    <w:p w:rsidR="00496E03" w:rsidRDefault="00496E03" w:rsidP="004D5825">
      <w:pPr>
        <w:tabs>
          <w:tab w:val="left" w:pos="6804"/>
        </w:tabs>
        <w:jc w:val="both"/>
        <w:outlineLvl w:val="0"/>
        <w:rPr>
          <w:sz w:val="22"/>
          <w:szCs w:val="22"/>
          <w:lang w:val="sr-Latn-ME"/>
        </w:rPr>
      </w:pPr>
    </w:p>
    <w:p w:rsidR="00EC738D" w:rsidRPr="00EC738D" w:rsidRDefault="00EC738D" w:rsidP="00C510AB">
      <w:pPr>
        <w:jc w:val="both"/>
        <w:outlineLvl w:val="0"/>
        <w:rPr>
          <w:sz w:val="22"/>
          <w:szCs w:val="22"/>
          <w:lang w:val="hr-HR" w:eastAsia="ja-JP"/>
        </w:rPr>
      </w:pPr>
      <w:r>
        <w:rPr>
          <w:sz w:val="22"/>
          <w:szCs w:val="22"/>
          <w:lang w:val="hr-HR" w:eastAsia="ja-JP"/>
        </w:rPr>
        <w:t>Ukupan bezb</w:t>
      </w:r>
      <w:r w:rsidR="001F1EC4">
        <w:rPr>
          <w:sz w:val="22"/>
          <w:szCs w:val="22"/>
          <w:lang w:val="hr-HR" w:eastAsia="ja-JP"/>
        </w:rPr>
        <w:t>j</w:t>
      </w:r>
      <w:r>
        <w:rPr>
          <w:sz w:val="22"/>
          <w:szCs w:val="22"/>
          <w:lang w:val="hr-HR" w:eastAsia="ja-JP"/>
        </w:rPr>
        <w:t>ednosni profil lijeka MabThera kod</w:t>
      </w:r>
      <w:r w:rsidRPr="00EC738D">
        <w:rPr>
          <w:sz w:val="22"/>
          <w:szCs w:val="22"/>
          <w:lang w:val="hr-HR" w:eastAsia="ja-JP"/>
        </w:rPr>
        <w:t xml:space="preserve"> od</w:t>
      </w:r>
      <w:r>
        <w:rPr>
          <w:sz w:val="22"/>
          <w:szCs w:val="22"/>
          <w:lang w:val="hr-HR" w:eastAsia="ja-JP"/>
        </w:rPr>
        <w:t>raslih i pedijatrijskih pacijenat</w:t>
      </w:r>
      <w:r w:rsidRPr="00EC738D">
        <w:rPr>
          <w:sz w:val="22"/>
          <w:szCs w:val="22"/>
          <w:lang w:val="hr-HR" w:eastAsia="ja-JP"/>
        </w:rPr>
        <w:t xml:space="preserve">a koji imaju GPA/MPA </w:t>
      </w:r>
      <w:r>
        <w:rPr>
          <w:sz w:val="22"/>
          <w:szCs w:val="22"/>
          <w:lang w:val="hr-HR" w:eastAsia="ja-JP"/>
        </w:rPr>
        <w:t>bazira se na podacima o pacijentima</w:t>
      </w:r>
      <w:r w:rsidRPr="00EC738D">
        <w:rPr>
          <w:sz w:val="22"/>
          <w:szCs w:val="22"/>
          <w:lang w:val="hr-HR" w:eastAsia="ja-JP"/>
        </w:rPr>
        <w:t xml:space="preserve"> iz 3 klinička ispitivanja i na praćenju nakon stavljanja lijeka u promet.</w:t>
      </w:r>
    </w:p>
    <w:p w:rsidR="00EC738D" w:rsidRPr="0055610F" w:rsidRDefault="00EC738D" w:rsidP="004D5825">
      <w:pPr>
        <w:tabs>
          <w:tab w:val="left" w:pos="6804"/>
        </w:tabs>
        <w:jc w:val="both"/>
        <w:outlineLvl w:val="0"/>
        <w:rPr>
          <w:sz w:val="22"/>
          <w:szCs w:val="22"/>
          <w:lang w:val="sr-Latn-ME"/>
        </w:rPr>
      </w:pPr>
    </w:p>
    <w:p w:rsidR="00496E03" w:rsidRPr="0055610F" w:rsidRDefault="00496E03" w:rsidP="004D5825">
      <w:pPr>
        <w:tabs>
          <w:tab w:val="left" w:pos="6804"/>
        </w:tabs>
        <w:jc w:val="both"/>
        <w:outlineLvl w:val="0"/>
        <w:rPr>
          <w:i/>
          <w:sz w:val="22"/>
          <w:szCs w:val="22"/>
          <w:lang w:val="sr-Latn-ME"/>
        </w:rPr>
      </w:pPr>
      <w:r w:rsidRPr="0055610F">
        <w:rPr>
          <w:i/>
          <w:sz w:val="22"/>
          <w:szCs w:val="22"/>
          <w:lang w:val="sr-Latn-ME"/>
        </w:rPr>
        <w:t>Indukcija remisije kod odraslih pacijenata (</w:t>
      </w:r>
      <w:r w:rsidR="00CA6E91" w:rsidRPr="0055610F">
        <w:rPr>
          <w:i/>
          <w:sz w:val="22"/>
          <w:szCs w:val="22"/>
          <w:lang w:val="sr-Latn-ME"/>
        </w:rPr>
        <w:t>1. studija kod</w:t>
      </w:r>
      <w:r w:rsidRPr="0055610F">
        <w:rPr>
          <w:i/>
          <w:sz w:val="22"/>
          <w:szCs w:val="22"/>
          <w:lang w:val="sr-Latn-ME"/>
        </w:rPr>
        <w:t xml:space="preserve"> GPA/MPA)</w:t>
      </w:r>
    </w:p>
    <w:p w:rsidR="00496E03" w:rsidRPr="0055610F" w:rsidRDefault="00496E03" w:rsidP="004D5825">
      <w:pPr>
        <w:tabs>
          <w:tab w:val="left" w:pos="6804"/>
        </w:tabs>
        <w:jc w:val="both"/>
        <w:outlineLvl w:val="0"/>
        <w:rPr>
          <w:sz w:val="22"/>
          <w:szCs w:val="22"/>
          <w:lang w:val="sr-Latn-ME"/>
        </w:rPr>
      </w:pPr>
      <w:r w:rsidRPr="0055610F">
        <w:rPr>
          <w:sz w:val="22"/>
          <w:szCs w:val="22"/>
          <w:lang w:val="sr-Latn-ME"/>
        </w:rPr>
        <w:t xml:space="preserve">U </w:t>
      </w:r>
      <w:r w:rsidR="00CA6E91" w:rsidRPr="0055610F">
        <w:rPr>
          <w:sz w:val="22"/>
          <w:szCs w:val="22"/>
          <w:lang w:val="sr-Latn-ME"/>
        </w:rPr>
        <w:t>1. studiji kod</w:t>
      </w:r>
      <w:r w:rsidRPr="0055610F">
        <w:rPr>
          <w:sz w:val="22"/>
          <w:szCs w:val="22"/>
          <w:lang w:val="sr-Latn-ME"/>
        </w:rPr>
        <w:t xml:space="preserve"> GPA/MPA, 99 odraslih je bilo liječeno lijekom MabThera za indukciju remisije GPA i MPA u kliničkoj studiji (375 mg/m2, jedanput nedjeljno tokom 4 nedjelje) i glukokortikoidima (vidjeti dio 5.1).</w:t>
      </w:r>
    </w:p>
    <w:p w:rsidR="00496E03" w:rsidRPr="0055610F" w:rsidRDefault="00496E03" w:rsidP="004D5825">
      <w:pPr>
        <w:tabs>
          <w:tab w:val="left" w:pos="6804"/>
        </w:tabs>
        <w:jc w:val="both"/>
        <w:outlineLvl w:val="0"/>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Neželjen</w:t>
      </w:r>
      <w:r w:rsidR="00EC738D">
        <w:rPr>
          <w:sz w:val="22"/>
          <w:szCs w:val="22"/>
          <w:lang w:val="sr-Latn-ME"/>
        </w:rPr>
        <w:t>a</w:t>
      </w:r>
      <w:r w:rsidRPr="0055610F">
        <w:rPr>
          <w:sz w:val="22"/>
          <w:szCs w:val="22"/>
          <w:lang w:val="sr-Latn-ME"/>
        </w:rPr>
        <w:t xml:space="preserve"> dejstva </w:t>
      </w:r>
      <w:r w:rsidR="00EC738D">
        <w:rPr>
          <w:sz w:val="22"/>
          <w:szCs w:val="22"/>
          <w:lang w:val="sr-Latn-ME"/>
        </w:rPr>
        <w:t xml:space="preserve">iz 1. studije kod GPA/MPA </w:t>
      </w:r>
      <w:r w:rsidRPr="0055610F">
        <w:rPr>
          <w:sz w:val="22"/>
          <w:szCs w:val="22"/>
          <w:lang w:val="sr-Latn-ME"/>
        </w:rPr>
        <w:t>navedena u Tabeli 5</w:t>
      </w:r>
      <w:r w:rsidR="00EC738D">
        <w:rPr>
          <w:sz w:val="22"/>
          <w:szCs w:val="22"/>
          <w:lang w:val="sr-Latn-ME"/>
        </w:rPr>
        <w:t xml:space="preserve"> u kategoriji učestalosti „često“ ili „veoma često“ sva</w:t>
      </w:r>
      <w:r w:rsidRPr="0055610F">
        <w:rPr>
          <w:sz w:val="22"/>
          <w:szCs w:val="22"/>
          <w:lang w:val="sr-Latn-ME"/>
        </w:rPr>
        <w:t xml:space="preserve"> su neželjena d</w:t>
      </w:r>
      <w:r w:rsidR="00EC738D">
        <w:rPr>
          <w:sz w:val="22"/>
          <w:szCs w:val="22"/>
          <w:lang w:val="sr-Latn-ME"/>
        </w:rPr>
        <w:t>ejstv</w:t>
      </w:r>
      <w:r w:rsidRPr="0055610F">
        <w:rPr>
          <w:sz w:val="22"/>
          <w:szCs w:val="22"/>
          <w:lang w:val="sr-Latn-ME"/>
        </w:rPr>
        <w:t>a koja su se javila sa incidencom od ≥ 5% u grupi odraslih pacijenata koja je primala lijek MabThera kao i većom učestalošću u odnosu na grupu koja je primala komparator.</w:t>
      </w:r>
    </w:p>
    <w:p w:rsidR="00496E03" w:rsidRDefault="00496E03" w:rsidP="004D5825">
      <w:pPr>
        <w:tabs>
          <w:tab w:val="left" w:pos="284"/>
          <w:tab w:val="center" w:pos="4320"/>
          <w:tab w:val="right" w:pos="8640"/>
        </w:tabs>
        <w:jc w:val="both"/>
        <w:rPr>
          <w:sz w:val="22"/>
          <w:szCs w:val="22"/>
          <w:lang w:val="sr-Latn-ME"/>
        </w:rPr>
      </w:pPr>
    </w:p>
    <w:p w:rsidR="00EC738D" w:rsidRDefault="00EC738D" w:rsidP="00EC738D">
      <w:pPr>
        <w:jc w:val="both"/>
        <w:rPr>
          <w:sz w:val="22"/>
          <w:szCs w:val="22"/>
          <w:lang w:val="sr-Latn-ME"/>
        </w:rPr>
      </w:pPr>
      <w:r>
        <w:rPr>
          <w:sz w:val="22"/>
          <w:szCs w:val="22"/>
          <w:lang w:val="sr-Latn-ME"/>
        </w:rPr>
        <w:t>Neželjene reakcije koje su uočene samo to</w:t>
      </w:r>
      <w:r w:rsidRPr="00EC738D">
        <w:rPr>
          <w:sz w:val="22"/>
          <w:szCs w:val="22"/>
          <w:lang w:val="sr-Latn-ME"/>
        </w:rPr>
        <w:t>kom praćenja nakon stavljanja lijeka u promet i za koje nije moguće procijeniti učestalost svrstane su u kategori</w:t>
      </w:r>
      <w:r>
        <w:rPr>
          <w:sz w:val="22"/>
          <w:szCs w:val="22"/>
          <w:lang w:val="sr-Latn-ME"/>
        </w:rPr>
        <w:t>ju „nepoznato“, vidjeti fusnote</w:t>
      </w:r>
      <w:r w:rsidRPr="00EC738D">
        <w:rPr>
          <w:sz w:val="22"/>
          <w:szCs w:val="22"/>
          <w:lang w:val="sr-Latn-ME"/>
        </w:rPr>
        <w:t>.</w:t>
      </w:r>
    </w:p>
    <w:p w:rsidR="00EC738D" w:rsidRPr="0055610F" w:rsidRDefault="00EC738D" w:rsidP="004D5825">
      <w:pPr>
        <w:tabs>
          <w:tab w:val="left" w:pos="284"/>
          <w:tab w:val="center" w:pos="4320"/>
          <w:tab w:val="right" w:pos="8640"/>
        </w:tabs>
        <w:jc w:val="both"/>
        <w:rPr>
          <w:sz w:val="22"/>
          <w:szCs w:val="22"/>
          <w:lang w:val="sr-Latn-ME"/>
        </w:rPr>
      </w:pPr>
    </w:p>
    <w:p w:rsidR="00496E03" w:rsidRPr="0055610F" w:rsidRDefault="00496E03" w:rsidP="004D5825">
      <w:pPr>
        <w:ind w:left="1134" w:hanging="1134"/>
        <w:jc w:val="both"/>
        <w:outlineLvl w:val="0"/>
        <w:rPr>
          <w:b/>
          <w:sz w:val="22"/>
          <w:szCs w:val="22"/>
          <w:lang w:val="sr-Latn-ME"/>
        </w:rPr>
      </w:pPr>
      <w:r w:rsidRPr="0055610F">
        <w:rPr>
          <w:b/>
          <w:sz w:val="22"/>
          <w:szCs w:val="22"/>
          <w:lang w:val="sr-Latn-ME"/>
        </w:rPr>
        <w:t>Tabela  5</w:t>
      </w:r>
      <w:r w:rsidRPr="0055610F">
        <w:rPr>
          <w:b/>
          <w:sz w:val="22"/>
          <w:szCs w:val="22"/>
          <w:lang w:val="sr-Latn-ME"/>
        </w:rPr>
        <w:tab/>
        <w:t>Neželjena dejstva koja su u 6 mjeseci nastupila kod ≥ 5% odraslih pacijenata koji su primali lijek MabThera</w:t>
      </w:r>
      <w:r w:rsidR="00CA6E91" w:rsidRPr="0055610F">
        <w:rPr>
          <w:b/>
          <w:sz w:val="22"/>
          <w:szCs w:val="22"/>
          <w:lang w:val="sr-Latn-ME"/>
        </w:rPr>
        <w:t xml:space="preserve"> u</w:t>
      </w:r>
      <w:r w:rsidRPr="0055610F">
        <w:rPr>
          <w:b/>
          <w:sz w:val="22"/>
          <w:szCs w:val="22"/>
          <w:lang w:val="sr-Latn-ME"/>
        </w:rPr>
        <w:t xml:space="preserve"> </w:t>
      </w:r>
      <w:r w:rsidR="00CA6E91" w:rsidRPr="0055610F">
        <w:rPr>
          <w:b/>
          <w:sz w:val="22"/>
          <w:szCs w:val="22"/>
          <w:lang w:val="sr-Latn-ME"/>
        </w:rPr>
        <w:t>1. studiji kod</w:t>
      </w:r>
      <w:r w:rsidRPr="0055610F">
        <w:rPr>
          <w:b/>
          <w:sz w:val="22"/>
          <w:szCs w:val="22"/>
          <w:lang w:val="sr-Latn-ME"/>
        </w:rPr>
        <w:t xml:space="preserve"> GPA/MPA</w:t>
      </w:r>
      <w:r w:rsidR="00FB34CE">
        <w:rPr>
          <w:b/>
          <w:sz w:val="22"/>
          <w:szCs w:val="22"/>
          <w:lang w:val="sr-Latn-ME"/>
        </w:rPr>
        <w:t xml:space="preserve"> </w:t>
      </w:r>
      <w:r w:rsidR="00FB34CE" w:rsidRPr="00FB34CE">
        <w:rPr>
          <w:b/>
          <w:sz w:val="22"/>
          <w:szCs w:val="22"/>
          <w:lang w:val="sr-Latn-ME"/>
        </w:rPr>
        <w:t>(Rituksimab n=99</w:t>
      </w:r>
      <w:r w:rsidRPr="0055610F">
        <w:rPr>
          <w:b/>
          <w:sz w:val="22"/>
          <w:szCs w:val="22"/>
          <w:lang w:val="sr-Latn-ME"/>
        </w:rPr>
        <w:t>, i sa većom učestalošću nego u kontrolnoj grupi</w:t>
      </w:r>
      <w:r w:rsidR="00FB34CE">
        <w:rPr>
          <w:b/>
          <w:sz w:val="22"/>
          <w:szCs w:val="22"/>
          <w:lang w:val="sr-Latn-ME"/>
        </w:rPr>
        <w:t>)</w:t>
      </w:r>
      <w:r w:rsidR="00FB34CE" w:rsidRPr="009941F7">
        <w:rPr>
          <w:lang w:val="sr-Latn-ME"/>
        </w:rPr>
        <w:t xml:space="preserve"> </w:t>
      </w:r>
      <w:r w:rsidR="00FB34CE" w:rsidRPr="00FB34CE">
        <w:rPr>
          <w:b/>
          <w:sz w:val="22"/>
          <w:szCs w:val="22"/>
          <w:lang w:val="sr-Latn-ME"/>
        </w:rPr>
        <w:t>ili tokom praćenja nakon stavljanja lijeka u promet</w:t>
      </w:r>
    </w:p>
    <w:p w:rsidR="00496E03" w:rsidRDefault="00496E03" w:rsidP="004D5825">
      <w:pPr>
        <w:ind w:left="1134" w:hanging="1134"/>
        <w:jc w:val="both"/>
        <w:outlineLvl w:val="0"/>
        <w:rPr>
          <w:b/>
          <w:sz w:val="22"/>
          <w:szCs w:val="22"/>
          <w:lang w:val="sr-Latn-ME"/>
        </w:rPr>
      </w:pPr>
    </w:p>
    <w:tbl>
      <w:tblPr>
        <w:tblW w:w="90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7"/>
        <w:gridCol w:w="2262"/>
        <w:gridCol w:w="2598"/>
        <w:gridCol w:w="1693"/>
      </w:tblGrid>
      <w:tr w:rsidR="00EC738D" w:rsidRPr="009F7E58" w:rsidTr="00831702">
        <w:trPr>
          <w:trHeight w:val="234"/>
        </w:trPr>
        <w:tc>
          <w:tcPr>
            <w:tcW w:w="2447" w:type="dxa"/>
          </w:tcPr>
          <w:p w:rsidR="00EC738D" w:rsidRPr="009F7E58" w:rsidRDefault="00EC738D" w:rsidP="00EC738D">
            <w:pPr>
              <w:pStyle w:val="TableParagraph"/>
              <w:keepNext/>
              <w:spacing w:before="18"/>
              <w:jc w:val="center"/>
              <w:rPr>
                <w:b/>
                <w:szCs w:val="22"/>
                <w:lang w:val="hr-HR"/>
              </w:rPr>
            </w:pPr>
            <w:r w:rsidRPr="009F7E58">
              <w:rPr>
                <w:b/>
                <w:szCs w:val="22"/>
                <w:lang w:val="hr-HR"/>
              </w:rPr>
              <w:t>MedDRA klasifikacija sistema organa</w:t>
            </w:r>
          </w:p>
        </w:tc>
        <w:tc>
          <w:tcPr>
            <w:tcW w:w="2262" w:type="dxa"/>
          </w:tcPr>
          <w:p w:rsidR="00EC738D" w:rsidRPr="009F7E58" w:rsidRDefault="00EC738D" w:rsidP="00EC738D">
            <w:pPr>
              <w:pStyle w:val="TableParagraph"/>
              <w:keepNext/>
              <w:spacing w:before="18"/>
              <w:jc w:val="center"/>
              <w:rPr>
                <w:b/>
                <w:szCs w:val="22"/>
                <w:lang w:val="hr-HR"/>
              </w:rPr>
            </w:pPr>
            <w:r w:rsidRPr="009F7E58">
              <w:rPr>
                <w:b/>
                <w:szCs w:val="22"/>
                <w:lang w:val="hr-HR"/>
              </w:rPr>
              <w:t>Veoma često</w:t>
            </w:r>
          </w:p>
        </w:tc>
        <w:tc>
          <w:tcPr>
            <w:tcW w:w="2598" w:type="dxa"/>
          </w:tcPr>
          <w:p w:rsidR="00EC738D" w:rsidRPr="009F7E58" w:rsidRDefault="00EC738D" w:rsidP="00EC738D">
            <w:pPr>
              <w:pStyle w:val="TableParagraph"/>
              <w:keepNext/>
              <w:spacing w:before="18"/>
              <w:jc w:val="center"/>
              <w:rPr>
                <w:b/>
                <w:szCs w:val="22"/>
                <w:lang w:val="hr-HR"/>
              </w:rPr>
            </w:pPr>
            <w:r w:rsidRPr="009F7E58">
              <w:rPr>
                <w:b/>
                <w:szCs w:val="22"/>
                <w:lang w:val="hr-HR"/>
              </w:rPr>
              <w:t>Često</w:t>
            </w:r>
          </w:p>
        </w:tc>
        <w:tc>
          <w:tcPr>
            <w:tcW w:w="1693" w:type="dxa"/>
          </w:tcPr>
          <w:p w:rsidR="00EC738D" w:rsidRPr="009F7E58" w:rsidRDefault="00EC738D" w:rsidP="00EC738D">
            <w:pPr>
              <w:pStyle w:val="TableParagraph"/>
              <w:keepNext/>
              <w:spacing w:before="18"/>
              <w:jc w:val="center"/>
              <w:rPr>
                <w:b/>
                <w:szCs w:val="22"/>
                <w:lang w:val="hr-HR"/>
              </w:rPr>
            </w:pPr>
            <w:r w:rsidRPr="009F7E58">
              <w:rPr>
                <w:b/>
                <w:szCs w:val="22"/>
                <w:lang w:val="hr-HR"/>
              </w:rPr>
              <w:t>Nepoznato</w:t>
            </w:r>
          </w:p>
        </w:tc>
      </w:tr>
      <w:tr w:rsidR="00EC738D" w:rsidRPr="009F7E58" w:rsidTr="00831702">
        <w:trPr>
          <w:trHeight w:val="575"/>
        </w:trPr>
        <w:tc>
          <w:tcPr>
            <w:tcW w:w="2447" w:type="dxa"/>
          </w:tcPr>
          <w:p w:rsidR="00EC738D" w:rsidRPr="009F7E58" w:rsidRDefault="00EC738D" w:rsidP="00EC738D">
            <w:pPr>
              <w:pStyle w:val="TableParagraph"/>
              <w:spacing w:line="206" w:lineRule="exact"/>
              <w:ind w:left="107"/>
              <w:rPr>
                <w:b/>
                <w:szCs w:val="22"/>
                <w:lang w:val="hr-HR"/>
              </w:rPr>
            </w:pPr>
            <w:r w:rsidRPr="009F7E58">
              <w:rPr>
                <w:b/>
                <w:szCs w:val="22"/>
                <w:lang w:val="hr-HR"/>
              </w:rPr>
              <w:t>Infekcije i infestacije</w:t>
            </w:r>
          </w:p>
        </w:tc>
        <w:tc>
          <w:tcPr>
            <w:tcW w:w="2262" w:type="dxa"/>
          </w:tcPr>
          <w:p w:rsidR="00EC738D" w:rsidRPr="009F7E58" w:rsidRDefault="00EC738D" w:rsidP="00EC738D">
            <w:pPr>
              <w:pStyle w:val="TableParagraph"/>
              <w:spacing w:line="202" w:lineRule="exact"/>
              <w:ind w:left="107"/>
              <w:rPr>
                <w:szCs w:val="22"/>
                <w:lang w:val="hr-HR"/>
              </w:rPr>
            </w:pPr>
          </w:p>
        </w:tc>
        <w:tc>
          <w:tcPr>
            <w:tcW w:w="2598" w:type="dxa"/>
          </w:tcPr>
          <w:p w:rsidR="00EC738D" w:rsidRPr="009F7E58" w:rsidRDefault="00EC738D" w:rsidP="00EC738D">
            <w:pPr>
              <w:pStyle w:val="TableParagraph"/>
              <w:ind w:left="107" w:right="91"/>
              <w:rPr>
                <w:szCs w:val="22"/>
                <w:lang w:val="hr-HR"/>
              </w:rPr>
            </w:pPr>
            <w:r w:rsidRPr="009F7E58">
              <w:rPr>
                <w:szCs w:val="22"/>
                <w:lang w:val="hr-HR"/>
              </w:rPr>
              <w:t>Infekcije urinarnog trakta,</w:t>
            </w:r>
          </w:p>
          <w:p w:rsidR="00EC738D" w:rsidRPr="009F7E58" w:rsidRDefault="00EC738D" w:rsidP="00EC738D">
            <w:pPr>
              <w:pStyle w:val="TableParagraph"/>
              <w:ind w:left="107" w:right="91"/>
              <w:rPr>
                <w:szCs w:val="22"/>
                <w:lang w:val="hr-HR"/>
              </w:rPr>
            </w:pPr>
            <w:r w:rsidRPr="009F7E58">
              <w:rPr>
                <w:szCs w:val="22"/>
                <w:lang w:val="hr-HR"/>
              </w:rPr>
              <w:t>bronhitis,</w:t>
            </w:r>
          </w:p>
          <w:p w:rsidR="00EC738D" w:rsidRPr="009F7E58" w:rsidRDefault="00EC738D" w:rsidP="00EC738D">
            <w:pPr>
              <w:pStyle w:val="TableParagraph"/>
              <w:ind w:left="107" w:right="91"/>
              <w:rPr>
                <w:szCs w:val="22"/>
                <w:lang w:val="hr-HR"/>
              </w:rPr>
            </w:pPr>
            <w:r w:rsidRPr="009F7E58">
              <w:rPr>
                <w:szCs w:val="22"/>
                <w:lang w:val="hr-HR"/>
              </w:rPr>
              <w:t>herpes zoster,</w:t>
            </w:r>
          </w:p>
          <w:p w:rsidR="00EC738D" w:rsidRPr="009F7E58" w:rsidRDefault="00EC738D" w:rsidP="00EC738D">
            <w:pPr>
              <w:pStyle w:val="TableParagraph"/>
              <w:ind w:left="107" w:right="91"/>
              <w:rPr>
                <w:szCs w:val="22"/>
                <w:lang w:val="hr-HR"/>
              </w:rPr>
            </w:pPr>
            <w:r w:rsidRPr="009F7E58">
              <w:rPr>
                <w:szCs w:val="22"/>
                <w:lang w:val="hr-HR"/>
              </w:rPr>
              <w:t>nazofaringitis</w:t>
            </w:r>
          </w:p>
        </w:tc>
        <w:tc>
          <w:tcPr>
            <w:tcW w:w="1693" w:type="dxa"/>
          </w:tcPr>
          <w:p w:rsidR="00EC738D" w:rsidRPr="009F7E58" w:rsidRDefault="00EC738D" w:rsidP="00EC738D">
            <w:pPr>
              <w:pStyle w:val="TableParagraph"/>
              <w:ind w:left="107" w:right="91"/>
              <w:rPr>
                <w:szCs w:val="22"/>
                <w:lang w:val="hr-HR"/>
              </w:rPr>
            </w:pPr>
            <w:r w:rsidRPr="009F7E58">
              <w:rPr>
                <w:szCs w:val="22"/>
                <w:lang w:val="hr-HR"/>
              </w:rPr>
              <w:t>ozbiljne virusne infekcije</w:t>
            </w:r>
            <w:r w:rsidRPr="009F7E58">
              <w:rPr>
                <w:szCs w:val="22"/>
                <w:vertAlign w:val="superscript"/>
                <w:lang w:val="hr-HR"/>
              </w:rPr>
              <w:t>1,2</w:t>
            </w:r>
            <w:r w:rsidRPr="009F7E58">
              <w:rPr>
                <w:szCs w:val="22"/>
                <w:lang w:val="hr-HR"/>
              </w:rPr>
              <w:t>,</w:t>
            </w:r>
          </w:p>
          <w:p w:rsidR="00EC738D" w:rsidRPr="009F7E58" w:rsidRDefault="00EC738D" w:rsidP="00EC738D">
            <w:pPr>
              <w:pStyle w:val="TableParagraph"/>
              <w:ind w:left="107" w:right="91"/>
              <w:rPr>
                <w:szCs w:val="22"/>
                <w:lang w:val="hr-HR"/>
              </w:rPr>
            </w:pPr>
            <w:r w:rsidRPr="009F7E58">
              <w:rPr>
                <w:szCs w:val="22"/>
                <w:lang w:val="hr-HR"/>
              </w:rPr>
              <w:t>enterovirusni meningoencefalitis</w:t>
            </w:r>
            <w:r w:rsidRPr="009F7E58">
              <w:rPr>
                <w:szCs w:val="22"/>
                <w:vertAlign w:val="superscript"/>
                <w:lang w:val="hr-HR"/>
              </w:rPr>
              <w:t>1</w:t>
            </w:r>
          </w:p>
        </w:tc>
      </w:tr>
      <w:tr w:rsidR="00EC738D" w:rsidRPr="009F7E58" w:rsidTr="00831702">
        <w:trPr>
          <w:trHeight w:val="445"/>
        </w:trPr>
        <w:tc>
          <w:tcPr>
            <w:tcW w:w="2447" w:type="dxa"/>
          </w:tcPr>
          <w:p w:rsidR="00EC738D" w:rsidRPr="009F7E58" w:rsidRDefault="00EC738D" w:rsidP="00EC738D">
            <w:pPr>
              <w:pStyle w:val="TableParagraph"/>
              <w:spacing w:line="206" w:lineRule="exact"/>
              <w:ind w:left="107"/>
              <w:rPr>
                <w:b/>
                <w:szCs w:val="22"/>
                <w:lang w:val="hr-HR"/>
              </w:rPr>
            </w:pPr>
            <w:r w:rsidRPr="009F7E58">
              <w:rPr>
                <w:b/>
                <w:szCs w:val="22"/>
                <w:lang w:val="hr-HR"/>
              </w:rPr>
              <w:t>Poremećaji krvi i limfnog sistema</w:t>
            </w:r>
          </w:p>
        </w:tc>
        <w:tc>
          <w:tcPr>
            <w:tcW w:w="2262" w:type="dxa"/>
          </w:tcPr>
          <w:p w:rsidR="00EC738D" w:rsidRPr="009F7E58" w:rsidRDefault="00EC738D" w:rsidP="00EC738D">
            <w:pPr>
              <w:pStyle w:val="TableParagraph"/>
              <w:spacing w:line="202" w:lineRule="exact"/>
              <w:ind w:left="107"/>
              <w:rPr>
                <w:szCs w:val="22"/>
                <w:lang w:val="hr-HR"/>
              </w:rPr>
            </w:pPr>
          </w:p>
        </w:tc>
        <w:tc>
          <w:tcPr>
            <w:tcW w:w="2598" w:type="dxa"/>
          </w:tcPr>
          <w:p w:rsidR="00EC738D" w:rsidRPr="009F7E58" w:rsidRDefault="00EC738D" w:rsidP="00EC738D">
            <w:pPr>
              <w:pStyle w:val="TableParagraph"/>
              <w:ind w:left="107"/>
              <w:rPr>
                <w:szCs w:val="22"/>
                <w:lang w:val="hr-HR"/>
              </w:rPr>
            </w:pPr>
            <w:r w:rsidRPr="009F7E58">
              <w:rPr>
                <w:szCs w:val="22"/>
                <w:lang w:val="hr-HR"/>
              </w:rPr>
              <w:t>trombocitopenija</w:t>
            </w:r>
          </w:p>
        </w:tc>
        <w:tc>
          <w:tcPr>
            <w:tcW w:w="1693" w:type="dxa"/>
          </w:tcPr>
          <w:p w:rsidR="00EC738D" w:rsidRPr="009F7E58" w:rsidRDefault="00EC738D" w:rsidP="00EC738D">
            <w:pPr>
              <w:pStyle w:val="TableParagraph"/>
              <w:ind w:left="107" w:right="91"/>
              <w:rPr>
                <w:szCs w:val="22"/>
                <w:lang w:val="hr-HR"/>
              </w:rPr>
            </w:pPr>
          </w:p>
        </w:tc>
      </w:tr>
      <w:tr w:rsidR="00EC738D" w:rsidRPr="009F7E58" w:rsidTr="00831702">
        <w:trPr>
          <w:trHeight w:val="282"/>
        </w:trPr>
        <w:tc>
          <w:tcPr>
            <w:tcW w:w="2447" w:type="dxa"/>
          </w:tcPr>
          <w:p w:rsidR="00EC738D" w:rsidRPr="009F7E58" w:rsidRDefault="00EC738D" w:rsidP="00EC738D">
            <w:pPr>
              <w:pStyle w:val="TableParagraph"/>
              <w:spacing w:line="206" w:lineRule="exact"/>
              <w:ind w:left="107"/>
              <w:rPr>
                <w:b/>
                <w:szCs w:val="22"/>
                <w:lang w:val="hr-HR"/>
              </w:rPr>
            </w:pPr>
            <w:r w:rsidRPr="009F7E58">
              <w:rPr>
                <w:b/>
                <w:szCs w:val="22"/>
                <w:lang w:val="hr-HR"/>
              </w:rPr>
              <w:t>Poremećaji imunskog sustava</w:t>
            </w:r>
          </w:p>
        </w:tc>
        <w:tc>
          <w:tcPr>
            <w:tcW w:w="2262" w:type="dxa"/>
          </w:tcPr>
          <w:p w:rsidR="00EC738D" w:rsidRPr="009F7E58" w:rsidRDefault="00EC738D" w:rsidP="00EC738D">
            <w:pPr>
              <w:pStyle w:val="TableParagraph"/>
              <w:spacing w:line="202" w:lineRule="exact"/>
              <w:ind w:left="107"/>
              <w:rPr>
                <w:szCs w:val="22"/>
                <w:lang w:val="hr-HR"/>
              </w:rPr>
            </w:pPr>
          </w:p>
        </w:tc>
        <w:tc>
          <w:tcPr>
            <w:tcW w:w="2598" w:type="dxa"/>
          </w:tcPr>
          <w:p w:rsidR="00EC738D" w:rsidRPr="009F7E58" w:rsidRDefault="00EC738D" w:rsidP="00EC738D">
            <w:pPr>
              <w:pStyle w:val="TableParagraph"/>
              <w:ind w:left="107"/>
              <w:rPr>
                <w:szCs w:val="22"/>
                <w:lang w:val="hr-HR"/>
              </w:rPr>
            </w:pPr>
            <w:r w:rsidRPr="009F7E58">
              <w:rPr>
                <w:szCs w:val="22"/>
                <w:lang w:val="hr-HR"/>
              </w:rPr>
              <w:t>sindrom oslobađanja citokina</w:t>
            </w:r>
          </w:p>
        </w:tc>
        <w:tc>
          <w:tcPr>
            <w:tcW w:w="1693" w:type="dxa"/>
          </w:tcPr>
          <w:p w:rsidR="00EC738D" w:rsidRPr="009F7E58" w:rsidRDefault="00EC738D" w:rsidP="00EC738D">
            <w:pPr>
              <w:pStyle w:val="TableParagraph"/>
              <w:ind w:left="107" w:right="91"/>
              <w:rPr>
                <w:szCs w:val="22"/>
                <w:lang w:val="hr-HR"/>
              </w:rPr>
            </w:pPr>
          </w:p>
        </w:tc>
      </w:tr>
      <w:tr w:rsidR="00EC738D" w:rsidRPr="009F7E58" w:rsidTr="00831702">
        <w:trPr>
          <w:trHeight w:val="329"/>
        </w:trPr>
        <w:tc>
          <w:tcPr>
            <w:tcW w:w="2447" w:type="dxa"/>
          </w:tcPr>
          <w:p w:rsidR="00EC738D" w:rsidRPr="009F7E58" w:rsidRDefault="00EC738D" w:rsidP="00EC738D">
            <w:pPr>
              <w:pStyle w:val="TableParagraph"/>
              <w:spacing w:line="206" w:lineRule="exact"/>
              <w:ind w:left="107"/>
              <w:rPr>
                <w:b/>
                <w:szCs w:val="22"/>
                <w:lang w:val="hr-HR"/>
              </w:rPr>
            </w:pPr>
            <w:r w:rsidRPr="009F7E58">
              <w:rPr>
                <w:b/>
                <w:szCs w:val="22"/>
                <w:lang w:val="hr-HR"/>
              </w:rPr>
              <w:t>Poremećaji metabolizma i ishrane</w:t>
            </w:r>
          </w:p>
        </w:tc>
        <w:tc>
          <w:tcPr>
            <w:tcW w:w="2262" w:type="dxa"/>
          </w:tcPr>
          <w:p w:rsidR="00EC738D" w:rsidRPr="009F7E58" w:rsidRDefault="00EC738D" w:rsidP="00EC738D">
            <w:pPr>
              <w:pStyle w:val="TableParagraph"/>
              <w:spacing w:line="202" w:lineRule="exact"/>
              <w:ind w:left="107"/>
              <w:rPr>
                <w:szCs w:val="22"/>
                <w:lang w:val="hr-HR"/>
              </w:rPr>
            </w:pPr>
          </w:p>
        </w:tc>
        <w:tc>
          <w:tcPr>
            <w:tcW w:w="2598" w:type="dxa"/>
          </w:tcPr>
          <w:p w:rsidR="00EC738D" w:rsidRPr="009F7E58" w:rsidRDefault="00EC738D" w:rsidP="00EC738D">
            <w:pPr>
              <w:pStyle w:val="TableParagraph"/>
              <w:ind w:left="107"/>
              <w:rPr>
                <w:szCs w:val="22"/>
                <w:lang w:val="hr-HR"/>
              </w:rPr>
            </w:pPr>
            <w:r w:rsidRPr="009F7E58">
              <w:rPr>
                <w:szCs w:val="22"/>
                <w:lang w:val="hr-HR"/>
              </w:rPr>
              <w:t>hiperkalijemija</w:t>
            </w:r>
          </w:p>
        </w:tc>
        <w:tc>
          <w:tcPr>
            <w:tcW w:w="1693" w:type="dxa"/>
          </w:tcPr>
          <w:p w:rsidR="00EC738D" w:rsidRPr="009F7E58" w:rsidRDefault="00EC738D" w:rsidP="00EC738D">
            <w:pPr>
              <w:pStyle w:val="TableParagraph"/>
              <w:ind w:left="107" w:right="91"/>
              <w:rPr>
                <w:szCs w:val="22"/>
                <w:lang w:val="hr-HR"/>
              </w:rPr>
            </w:pPr>
          </w:p>
        </w:tc>
      </w:tr>
      <w:tr w:rsidR="00EC738D" w:rsidRPr="009F7E58" w:rsidTr="00831702">
        <w:trPr>
          <w:trHeight w:val="70"/>
        </w:trPr>
        <w:tc>
          <w:tcPr>
            <w:tcW w:w="2447" w:type="dxa"/>
          </w:tcPr>
          <w:p w:rsidR="00EC738D" w:rsidRPr="009F7E58" w:rsidRDefault="00EC738D" w:rsidP="00EC738D">
            <w:pPr>
              <w:pStyle w:val="TableParagraph"/>
              <w:spacing w:line="206" w:lineRule="exact"/>
              <w:ind w:left="107"/>
              <w:rPr>
                <w:b/>
                <w:szCs w:val="22"/>
                <w:lang w:val="hr-HR"/>
              </w:rPr>
            </w:pPr>
            <w:r w:rsidRPr="009F7E58">
              <w:rPr>
                <w:b/>
                <w:szCs w:val="22"/>
                <w:lang w:val="hr-HR"/>
              </w:rPr>
              <w:t>Psihijatrijski poremećaji</w:t>
            </w:r>
          </w:p>
        </w:tc>
        <w:tc>
          <w:tcPr>
            <w:tcW w:w="2262" w:type="dxa"/>
          </w:tcPr>
          <w:p w:rsidR="00EC738D" w:rsidRPr="009F7E58" w:rsidRDefault="00EC738D" w:rsidP="00EC738D">
            <w:pPr>
              <w:pStyle w:val="TableParagraph"/>
              <w:spacing w:line="202" w:lineRule="exact"/>
              <w:ind w:left="107"/>
              <w:rPr>
                <w:szCs w:val="22"/>
                <w:lang w:val="hr-HR"/>
              </w:rPr>
            </w:pPr>
            <w:r w:rsidRPr="009F7E58">
              <w:rPr>
                <w:szCs w:val="22"/>
                <w:lang w:val="hr-HR"/>
              </w:rPr>
              <w:t>nesanica</w:t>
            </w:r>
          </w:p>
        </w:tc>
        <w:tc>
          <w:tcPr>
            <w:tcW w:w="2598" w:type="dxa"/>
          </w:tcPr>
          <w:p w:rsidR="00EC738D" w:rsidRPr="009F7E58" w:rsidRDefault="00EC738D" w:rsidP="00EC738D">
            <w:pPr>
              <w:pStyle w:val="TableParagraph"/>
              <w:ind w:left="107"/>
              <w:rPr>
                <w:szCs w:val="22"/>
                <w:lang w:val="hr-HR"/>
              </w:rPr>
            </w:pPr>
          </w:p>
        </w:tc>
        <w:tc>
          <w:tcPr>
            <w:tcW w:w="1693" w:type="dxa"/>
          </w:tcPr>
          <w:p w:rsidR="00EC738D" w:rsidRPr="009F7E58" w:rsidRDefault="00EC738D" w:rsidP="00EC738D">
            <w:pPr>
              <w:pStyle w:val="TableParagraph"/>
              <w:ind w:left="107" w:right="91"/>
              <w:rPr>
                <w:szCs w:val="22"/>
                <w:lang w:val="hr-HR"/>
              </w:rPr>
            </w:pPr>
          </w:p>
        </w:tc>
      </w:tr>
      <w:tr w:rsidR="00EC738D" w:rsidRPr="009F7E58" w:rsidTr="00831702">
        <w:trPr>
          <w:trHeight w:val="409"/>
        </w:trPr>
        <w:tc>
          <w:tcPr>
            <w:tcW w:w="2447" w:type="dxa"/>
          </w:tcPr>
          <w:p w:rsidR="00EC738D" w:rsidRPr="009F7E58" w:rsidRDefault="00EC738D" w:rsidP="00EC738D">
            <w:pPr>
              <w:pStyle w:val="TableParagraph"/>
              <w:spacing w:line="206" w:lineRule="exact"/>
              <w:ind w:left="107"/>
              <w:rPr>
                <w:b/>
                <w:szCs w:val="22"/>
                <w:lang w:val="hr-HR"/>
              </w:rPr>
            </w:pPr>
            <w:r w:rsidRPr="009F7E58">
              <w:rPr>
                <w:b/>
                <w:szCs w:val="22"/>
                <w:lang w:val="hr-HR"/>
              </w:rPr>
              <w:t>Poremećaji nervnog sistema</w:t>
            </w:r>
          </w:p>
        </w:tc>
        <w:tc>
          <w:tcPr>
            <w:tcW w:w="2262" w:type="dxa"/>
          </w:tcPr>
          <w:p w:rsidR="00EC738D" w:rsidRPr="009F7E58" w:rsidRDefault="00EC738D" w:rsidP="00EC738D">
            <w:pPr>
              <w:pStyle w:val="TableParagraph"/>
              <w:spacing w:line="202" w:lineRule="exact"/>
              <w:ind w:left="107"/>
              <w:rPr>
                <w:szCs w:val="22"/>
                <w:lang w:val="hr-HR"/>
              </w:rPr>
            </w:pPr>
            <w:r w:rsidRPr="009F7E58">
              <w:rPr>
                <w:szCs w:val="22"/>
                <w:lang w:val="hr-HR"/>
              </w:rPr>
              <w:t>vrtoglavica,</w:t>
            </w:r>
          </w:p>
          <w:p w:rsidR="00EC738D" w:rsidRPr="009F7E58" w:rsidRDefault="00EC738D" w:rsidP="00EC738D">
            <w:pPr>
              <w:pStyle w:val="TableParagraph"/>
              <w:spacing w:line="202" w:lineRule="exact"/>
              <w:ind w:left="107"/>
              <w:rPr>
                <w:szCs w:val="22"/>
                <w:lang w:val="hr-HR"/>
              </w:rPr>
            </w:pPr>
            <w:r w:rsidRPr="009F7E58">
              <w:rPr>
                <w:szCs w:val="22"/>
                <w:lang w:val="hr-HR"/>
              </w:rPr>
              <w:t>tremor</w:t>
            </w:r>
          </w:p>
        </w:tc>
        <w:tc>
          <w:tcPr>
            <w:tcW w:w="2598" w:type="dxa"/>
          </w:tcPr>
          <w:p w:rsidR="00EC738D" w:rsidRPr="009F7E58" w:rsidRDefault="00EC738D" w:rsidP="00EC738D">
            <w:pPr>
              <w:pStyle w:val="TableParagraph"/>
              <w:ind w:left="107"/>
              <w:rPr>
                <w:szCs w:val="22"/>
                <w:lang w:val="hr-HR"/>
              </w:rPr>
            </w:pPr>
          </w:p>
        </w:tc>
        <w:tc>
          <w:tcPr>
            <w:tcW w:w="1693" w:type="dxa"/>
          </w:tcPr>
          <w:p w:rsidR="00EC738D" w:rsidRPr="009F7E58" w:rsidRDefault="00EC738D" w:rsidP="00EC738D">
            <w:pPr>
              <w:pStyle w:val="TableParagraph"/>
              <w:ind w:left="107" w:right="91"/>
              <w:rPr>
                <w:szCs w:val="22"/>
                <w:lang w:val="hr-HR"/>
              </w:rPr>
            </w:pPr>
          </w:p>
        </w:tc>
      </w:tr>
      <w:tr w:rsidR="00EC738D" w:rsidRPr="009F7E58" w:rsidTr="00831702">
        <w:trPr>
          <w:trHeight w:val="152"/>
        </w:trPr>
        <w:tc>
          <w:tcPr>
            <w:tcW w:w="2447" w:type="dxa"/>
          </w:tcPr>
          <w:p w:rsidR="00EC738D" w:rsidRPr="009F7E58" w:rsidRDefault="00EC738D" w:rsidP="00EC738D">
            <w:pPr>
              <w:pStyle w:val="TableParagraph"/>
              <w:spacing w:line="206" w:lineRule="exact"/>
              <w:ind w:left="107"/>
              <w:rPr>
                <w:b/>
                <w:szCs w:val="22"/>
                <w:lang w:val="hr-HR"/>
              </w:rPr>
            </w:pPr>
            <w:r w:rsidRPr="009F7E58">
              <w:rPr>
                <w:b/>
                <w:szCs w:val="22"/>
                <w:lang w:val="hr-HR"/>
              </w:rPr>
              <w:t>Vaskularni poremećaji</w:t>
            </w:r>
          </w:p>
        </w:tc>
        <w:tc>
          <w:tcPr>
            <w:tcW w:w="2262" w:type="dxa"/>
          </w:tcPr>
          <w:p w:rsidR="00EC738D" w:rsidRPr="009F7E58" w:rsidRDefault="00EC738D" w:rsidP="00EC738D">
            <w:pPr>
              <w:pStyle w:val="TableParagraph"/>
              <w:spacing w:line="202" w:lineRule="exact"/>
              <w:ind w:left="107"/>
              <w:rPr>
                <w:szCs w:val="22"/>
                <w:lang w:val="hr-HR"/>
              </w:rPr>
            </w:pPr>
            <w:r w:rsidRPr="009F7E58">
              <w:rPr>
                <w:szCs w:val="22"/>
                <w:lang w:val="hr-HR"/>
              </w:rPr>
              <w:t>hipertenzija</w:t>
            </w:r>
          </w:p>
        </w:tc>
        <w:tc>
          <w:tcPr>
            <w:tcW w:w="2598" w:type="dxa"/>
          </w:tcPr>
          <w:p w:rsidR="00EC738D" w:rsidRPr="009F7E58" w:rsidRDefault="00EC738D" w:rsidP="00EC738D">
            <w:pPr>
              <w:pStyle w:val="TableParagraph"/>
              <w:ind w:left="107"/>
              <w:rPr>
                <w:szCs w:val="22"/>
                <w:lang w:val="hr-HR"/>
              </w:rPr>
            </w:pPr>
            <w:r w:rsidRPr="009F7E58">
              <w:rPr>
                <w:szCs w:val="22"/>
                <w:lang w:val="hr-HR"/>
              </w:rPr>
              <w:t>navale crvenila</w:t>
            </w:r>
          </w:p>
        </w:tc>
        <w:tc>
          <w:tcPr>
            <w:tcW w:w="1693" w:type="dxa"/>
          </w:tcPr>
          <w:p w:rsidR="00EC738D" w:rsidRPr="009F7E58" w:rsidRDefault="00EC738D" w:rsidP="00EC738D">
            <w:pPr>
              <w:pStyle w:val="TableParagraph"/>
              <w:ind w:left="107" w:right="91"/>
              <w:rPr>
                <w:szCs w:val="22"/>
                <w:lang w:val="hr-HR"/>
              </w:rPr>
            </w:pPr>
          </w:p>
        </w:tc>
      </w:tr>
      <w:tr w:rsidR="00EC738D" w:rsidRPr="009F7E58" w:rsidTr="00831702">
        <w:trPr>
          <w:trHeight w:val="583"/>
        </w:trPr>
        <w:tc>
          <w:tcPr>
            <w:tcW w:w="2447" w:type="dxa"/>
          </w:tcPr>
          <w:p w:rsidR="00EC738D" w:rsidRPr="009F7E58" w:rsidRDefault="00EC738D" w:rsidP="00EC738D">
            <w:pPr>
              <w:pStyle w:val="TableParagraph"/>
              <w:spacing w:line="206" w:lineRule="exact"/>
              <w:ind w:left="107"/>
              <w:rPr>
                <w:b/>
                <w:szCs w:val="22"/>
                <w:lang w:val="hr-HR"/>
              </w:rPr>
            </w:pPr>
            <w:r w:rsidRPr="009F7E58">
              <w:rPr>
                <w:b/>
                <w:szCs w:val="22"/>
                <w:lang w:val="hr-HR"/>
              </w:rPr>
              <w:t>Respiratorni, torakalni i medijastinalni poremećaji</w:t>
            </w:r>
          </w:p>
        </w:tc>
        <w:tc>
          <w:tcPr>
            <w:tcW w:w="2262" w:type="dxa"/>
          </w:tcPr>
          <w:p w:rsidR="00EC738D" w:rsidRPr="009F7E58" w:rsidRDefault="00EC738D" w:rsidP="00EC738D">
            <w:pPr>
              <w:pStyle w:val="TableParagraph"/>
              <w:spacing w:line="202" w:lineRule="exact"/>
              <w:ind w:left="107"/>
              <w:rPr>
                <w:szCs w:val="22"/>
                <w:lang w:val="hr-HR"/>
              </w:rPr>
            </w:pPr>
            <w:r w:rsidRPr="009F7E58">
              <w:rPr>
                <w:szCs w:val="22"/>
                <w:lang w:val="hr-HR"/>
              </w:rPr>
              <w:t>kašalj,</w:t>
            </w:r>
          </w:p>
          <w:p w:rsidR="00EC738D" w:rsidRPr="009F7E58" w:rsidRDefault="00EC738D" w:rsidP="00EC738D">
            <w:pPr>
              <w:pStyle w:val="TableParagraph"/>
              <w:spacing w:line="202" w:lineRule="exact"/>
              <w:ind w:left="107"/>
              <w:rPr>
                <w:szCs w:val="22"/>
                <w:lang w:val="hr-HR"/>
              </w:rPr>
            </w:pPr>
            <w:r w:rsidRPr="009F7E58">
              <w:rPr>
                <w:szCs w:val="22"/>
                <w:lang w:val="hr-HR"/>
              </w:rPr>
              <w:t>dispneja,</w:t>
            </w:r>
          </w:p>
          <w:p w:rsidR="00EC738D" w:rsidRPr="009F7E58" w:rsidRDefault="00EC738D" w:rsidP="00EC738D">
            <w:pPr>
              <w:pStyle w:val="TableParagraph"/>
              <w:spacing w:line="202" w:lineRule="exact"/>
              <w:ind w:left="107"/>
              <w:rPr>
                <w:szCs w:val="22"/>
                <w:lang w:val="hr-HR"/>
              </w:rPr>
            </w:pPr>
            <w:r w:rsidRPr="009F7E58">
              <w:rPr>
                <w:szCs w:val="22"/>
                <w:lang w:val="hr-HR"/>
              </w:rPr>
              <w:t>epistaksa</w:t>
            </w:r>
          </w:p>
        </w:tc>
        <w:tc>
          <w:tcPr>
            <w:tcW w:w="2598" w:type="dxa"/>
          </w:tcPr>
          <w:p w:rsidR="00EC738D" w:rsidRPr="009F7E58" w:rsidRDefault="00EC738D" w:rsidP="00EC738D">
            <w:pPr>
              <w:pStyle w:val="TableParagraph"/>
              <w:ind w:left="107"/>
              <w:rPr>
                <w:szCs w:val="22"/>
                <w:lang w:val="hr-HR"/>
              </w:rPr>
            </w:pPr>
            <w:r w:rsidRPr="009F7E58">
              <w:rPr>
                <w:szCs w:val="22"/>
                <w:lang w:val="hr-HR"/>
              </w:rPr>
              <w:t>zapušen nos</w:t>
            </w:r>
          </w:p>
        </w:tc>
        <w:tc>
          <w:tcPr>
            <w:tcW w:w="1693" w:type="dxa"/>
          </w:tcPr>
          <w:p w:rsidR="00EC738D" w:rsidRPr="009F7E58" w:rsidRDefault="00EC738D" w:rsidP="00EC738D">
            <w:pPr>
              <w:pStyle w:val="TableParagraph"/>
              <w:ind w:left="107" w:right="91"/>
              <w:rPr>
                <w:szCs w:val="22"/>
                <w:lang w:val="hr-HR"/>
              </w:rPr>
            </w:pPr>
          </w:p>
        </w:tc>
      </w:tr>
      <w:tr w:rsidR="00EC738D" w:rsidRPr="009F7E58" w:rsidTr="00831702">
        <w:trPr>
          <w:trHeight w:val="198"/>
        </w:trPr>
        <w:tc>
          <w:tcPr>
            <w:tcW w:w="2447" w:type="dxa"/>
          </w:tcPr>
          <w:p w:rsidR="00EC738D" w:rsidRPr="009F7E58" w:rsidRDefault="00EC738D" w:rsidP="00EC738D">
            <w:pPr>
              <w:pStyle w:val="TableParagraph"/>
              <w:spacing w:line="206" w:lineRule="exact"/>
              <w:ind w:left="107"/>
              <w:rPr>
                <w:b/>
                <w:szCs w:val="22"/>
                <w:lang w:val="hr-HR"/>
              </w:rPr>
            </w:pPr>
            <w:r w:rsidRPr="009F7E58">
              <w:rPr>
                <w:b/>
                <w:szCs w:val="22"/>
                <w:lang w:val="hr-HR"/>
              </w:rPr>
              <w:t>Gastrointestinalni poremećaji</w:t>
            </w:r>
          </w:p>
        </w:tc>
        <w:tc>
          <w:tcPr>
            <w:tcW w:w="2262" w:type="dxa"/>
          </w:tcPr>
          <w:p w:rsidR="00EC738D" w:rsidRPr="009F7E58" w:rsidRDefault="00EC738D" w:rsidP="00EC738D">
            <w:pPr>
              <w:pStyle w:val="TableParagraph"/>
              <w:spacing w:line="202" w:lineRule="exact"/>
              <w:ind w:left="107"/>
              <w:rPr>
                <w:szCs w:val="22"/>
                <w:lang w:val="hr-HR"/>
              </w:rPr>
            </w:pPr>
            <w:r w:rsidRPr="009F7E58">
              <w:rPr>
                <w:szCs w:val="22"/>
                <w:lang w:val="hr-HR"/>
              </w:rPr>
              <w:t>dijareja</w:t>
            </w:r>
          </w:p>
        </w:tc>
        <w:tc>
          <w:tcPr>
            <w:tcW w:w="2598" w:type="dxa"/>
          </w:tcPr>
          <w:p w:rsidR="00EC738D" w:rsidRPr="009F7E58" w:rsidRDefault="00EC738D" w:rsidP="00EC738D">
            <w:pPr>
              <w:pStyle w:val="TableParagraph"/>
              <w:ind w:left="107"/>
              <w:rPr>
                <w:szCs w:val="22"/>
                <w:lang w:val="hr-HR"/>
              </w:rPr>
            </w:pPr>
            <w:r w:rsidRPr="009F7E58">
              <w:rPr>
                <w:szCs w:val="22"/>
                <w:lang w:val="hr-HR"/>
              </w:rPr>
              <w:t>dispepsija,</w:t>
            </w:r>
          </w:p>
          <w:p w:rsidR="00EC738D" w:rsidRPr="009F7E58" w:rsidRDefault="00EC738D" w:rsidP="00EC738D">
            <w:pPr>
              <w:pStyle w:val="TableParagraph"/>
              <w:ind w:left="107"/>
              <w:rPr>
                <w:szCs w:val="22"/>
                <w:lang w:val="hr-HR"/>
              </w:rPr>
            </w:pPr>
            <w:r w:rsidRPr="009F7E58">
              <w:rPr>
                <w:szCs w:val="22"/>
                <w:lang w:val="hr-HR"/>
              </w:rPr>
              <w:t>zatvor</w:t>
            </w:r>
          </w:p>
        </w:tc>
        <w:tc>
          <w:tcPr>
            <w:tcW w:w="1693" w:type="dxa"/>
          </w:tcPr>
          <w:p w:rsidR="00EC738D" w:rsidRPr="009F7E58" w:rsidRDefault="00EC738D" w:rsidP="00EC738D">
            <w:pPr>
              <w:pStyle w:val="TableParagraph"/>
              <w:ind w:left="107" w:right="91"/>
              <w:rPr>
                <w:szCs w:val="22"/>
                <w:lang w:val="hr-HR"/>
              </w:rPr>
            </w:pPr>
          </w:p>
        </w:tc>
      </w:tr>
      <w:tr w:rsidR="00EC738D" w:rsidRPr="009F7E58" w:rsidTr="00831702">
        <w:trPr>
          <w:trHeight w:val="406"/>
        </w:trPr>
        <w:tc>
          <w:tcPr>
            <w:tcW w:w="2447" w:type="dxa"/>
          </w:tcPr>
          <w:p w:rsidR="00EC738D" w:rsidRPr="009F7E58" w:rsidRDefault="00EC738D" w:rsidP="00EC738D">
            <w:pPr>
              <w:pStyle w:val="TableParagraph"/>
              <w:spacing w:line="206" w:lineRule="exact"/>
              <w:ind w:left="107"/>
              <w:rPr>
                <w:b/>
                <w:szCs w:val="22"/>
                <w:lang w:val="hr-HR"/>
              </w:rPr>
            </w:pPr>
            <w:r w:rsidRPr="009F7E58">
              <w:rPr>
                <w:b/>
                <w:szCs w:val="22"/>
                <w:lang w:val="hr-HR"/>
              </w:rPr>
              <w:t>Poremećaji kože i potkožnog tkiva</w:t>
            </w:r>
          </w:p>
        </w:tc>
        <w:tc>
          <w:tcPr>
            <w:tcW w:w="2262" w:type="dxa"/>
          </w:tcPr>
          <w:p w:rsidR="00EC738D" w:rsidRPr="009F7E58" w:rsidRDefault="00EC738D" w:rsidP="00EC738D">
            <w:pPr>
              <w:pStyle w:val="TableParagraph"/>
              <w:spacing w:line="202" w:lineRule="exact"/>
              <w:ind w:left="107"/>
              <w:rPr>
                <w:szCs w:val="22"/>
                <w:lang w:val="hr-HR"/>
              </w:rPr>
            </w:pPr>
          </w:p>
        </w:tc>
        <w:tc>
          <w:tcPr>
            <w:tcW w:w="2598" w:type="dxa"/>
          </w:tcPr>
          <w:p w:rsidR="00EC738D" w:rsidRPr="009F7E58" w:rsidRDefault="00EC738D" w:rsidP="00EC738D">
            <w:pPr>
              <w:pStyle w:val="TableParagraph"/>
              <w:ind w:left="107"/>
              <w:rPr>
                <w:szCs w:val="22"/>
                <w:lang w:val="hr-HR"/>
              </w:rPr>
            </w:pPr>
            <w:r w:rsidRPr="009F7E58">
              <w:rPr>
                <w:szCs w:val="22"/>
                <w:lang w:val="hr-HR"/>
              </w:rPr>
              <w:t>akne</w:t>
            </w:r>
          </w:p>
          <w:p w:rsidR="00EC738D" w:rsidRPr="009F7E58" w:rsidRDefault="00EC738D" w:rsidP="00EC738D">
            <w:pPr>
              <w:pStyle w:val="TableParagraph"/>
              <w:ind w:left="107"/>
              <w:rPr>
                <w:szCs w:val="22"/>
                <w:lang w:val="hr-HR"/>
              </w:rPr>
            </w:pPr>
          </w:p>
        </w:tc>
        <w:tc>
          <w:tcPr>
            <w:tcW w:w="1693" w:type="dxa"/>
          </w:tcPr>
          <w:p w:rsidR="00EC738D" w:rsidRPr="009F7E58" w:rsidRDefault="00EC738D" w:rsidP="00EC738D">
            <w:pPr>
              <w:pStyle w:val="TableParagraph"/>
              <w:ind w:left="107" w:right="91"/>
              <w:rPr>
                <w:szCs w:val="22"/>
                <w:lang w:val="hr-HR"/>
              </w:rPr>
            </w:pPr>
          </w:p>
        </w:tc>
      </w:tr>
      <w:tr w:rsidR="00EC738D" w:rsidRPr="009F7E58" w:rsidTr="00831702">
        <w:trPr>
          <w:trHeight w:val="553"/>
        </w:trPr>
        <w:tc>
          <w:tcPr>
            <w:tcW w:w="2447" w:type="dxa"/>
          </w:tcPr>
          <w:p w:rsidR="00EC738D" w:rsidRPr="009F7E58" w:rsidRDefault="00EC738D" w:rsidP="00EC738D">
            <w:pPr>
              <w:pStyle w:val="TableParagraph"/>
              <w:spacing w:line="206" w:lineRule="exact"/>
              <w:ind w:left="107"/>
              <w:rPr>
                <w:b/>
                <w:szCs w:val="22"/>
                <w:lang w:val="hr-HR"/>
              </w:rPr>
            </w:pPr>
            <w:r w:rsidRPr="009F7E58">
              <w:rPr>
                <w:b/>
                <w:szCs w:val="22"/>
                <w:lang w:val="hr-HR"/>
              </w:rPr>
              <w:t>Poremećaji mišićno</w:t>
            </w:r>
            <w:r w:rsidRPr="009F7E58">
              <w:rPr>
                <w:b/>
                <w:szCs w:val="22"/>
                <w:lang w:val="hr-HR"/>
              </w:rPr>
              <w:noBreakHyphen/>
              <w:t>koštanog sistema i vezivnog tkiva</w:t>
            </w:r>
          </w:p>
        </w:tc>
        <w:tc>
          <w:tcPr>
            <w:tcW w:w="2262" w:type="dxa"/>
          </w:tcPr>
          <w:p w:rsidR="00EC738D" w:rsidRPr="009F7E58" w:rsidRDefault="00EC738D" w:rsidP="00EC738D">
            <w:pPr>
              <w:pStyle w:val="TableParagraph"/>
              <w:spacing w:line="202" w:lineRule="exact"/>
              <w:ind w:left="107"/>
              <w:rPr>
                <w:szCs w:val="22"/>
                <w:lang w:val="hr-HR"/>
              </w:rPr>
            </w:pPr>
            <w:r w:rsidRPr="009F7E58">
              <w:rPr>
                <w:szCs w:val="22"/>
                <w:lang w:val="hr-HR"/>
              </w:rPr>
              <w:t>grčevi mišića,</w:t>
            </w:r>
          </w:p>
          <w:p w:rsidR="00EC738D" w:rsidRPr="009F7E58" w:rsidRDefault="00EC738D" w:rsidP="00EC738D">
            <w:pPr>
              <w:pStyle w:val="TableParagraph"/>
              <w:spacing w:line="202" w:lineRule="exact"/>
              <w:ind w:left="107"/>
              <w:rPr>
                <w:szCs w:val="22"/>
                <w:lang w:val="hr-HR"/>
              </w:rPr>
            </w:pPr>
            <w:r w:rsidRPr="009F7E58">
              <w:rPr>
                <w:szCs w:val="22"/>
                <w:lang w:val="hr-HR"/>
              </w:rPr>
              <w:t>artralgija,</w:t>
            </w:r>
          </w:p>
          <w:p w:rsidR="00EC738D" w:rsidRPr="009F7E58" w:rsidRDefault="00EC738D" w:rsidP="00EC738D">
            <w:pPr>
              <w:pStyle w:val="TableParagraph"/>
              <w:spacing w:line="202" w:lineRule="exact"/>
              <w:ind w:left="107"/>
              <w:rPr>
                <w:szCs w:val="22"/>
                <w:lang w:val="hr-HR"/>
              </w:rPr>
            </w:pPr>
            <w:r w:rsidRPr="009F7E58">
              <w:rPr>
                <w:szCs w:val="22"/>
                <w:lang w:val="hr-HR"/>
              </w:rPr>
              <w:t>bol u leđima</w:t>
            </w:r>
          </w:p>
        </w:tc>
        <w:tc>
          <w:tcPr>
            <w:tcW w:w="2598" w:type="dxa"/>
          </w:tcPr>
          <w:p w:rsidR="00EC738D" w:rsidRPr="009F7E58" w:rsidRDefault="00EC738D" w:rsidP="00EC738D">
            <w:pPr>
              <w:pStyle w:val="TableParagraph"/>
              <w:ind w:left="107"/>
              <w:rPr>
                <w:szCs w:val="22"/>
                <w:lang w:val="hr-HR"/>
              </w:rPr>
            </w:pPr>
            <w:r w:rsidRPr="009F7E58">
              <w:rPr>
                <w:szCs w:val="22"/>
                <w:lang w:val="hr-HR"/>
              </w:rPr>
              <w:t>slabost mišića,</w:t>
            </w:r>
          </w:p>
          <w:p w:rsidR="00EC738D" w:rsidRPr="009F7E58" w:rsidRDefault="00EC738D" w:rsidP="00EC738D">
            <w:pPr>
              <w:pStyle w:val="TableParagraph"/>
              <w:ind w:left="107"/>
              <w:rPr>
                <w:szCs w:val="22"/>
                <w:lang w:val="hr-HR"/>
              </w:rPr>
            </w:pPr>
            <w:r w:rsidRPr="009F7E58">
              <w:rPr>
                <w:szCs w:val="22"/>
                <w:lang w:val="hr-HR"/>
              </w:rPr>
              <w:t>bol u mišićima i kostima,</w:t>
            </w:r>
          </w:p>
          <w:p w:rsidR="00EC738D" w:rsidRPr="009F7E58" w:rsidRDefault="00EC738D" w:rsidP="00EC738D">
            <w:pPr>
              <w:pStyle w:val="TableParagraph"/>
              <w:ind w:left="107"/>
              <w:rPr>
                <w:szCs w:val="22"/>
                <w:lang w:val="hr-HR"/>
              </w:rPr>
            </w:pPr>
            <w:r w:rsidRPr="009F7E58">
              <w:rPr>
                <w:szCs w:val="22"/>
                <w:lang w:val="hr-HR"/>
              </w:rPr>
              <w:t>bol u ekstremitetima</w:t>
            </w:r>
          </w:p>
        </w:tc>
        <w:tc>
          <w:tcPr>
            <w:tcW w:w="1693" w:type="dxa"/>
          </w:tcPr>
          <w:p w:rsidR="00EC738D" w:rsidRPr="009F7E58" w:rsidRDefault="00EC738D" w:rsidP="00EC738D">
            <w:pPr>
              <w:pStyle w:val="TableParagraph"/>
              <w:ind w:left="107" w:right="91"/>
              <w:rPr>
                <w:szCs w:val="22"/>
                <w:lang w:val="hr-HR"/>
              </w:rPr>
            </w:pPr>
          </w:p>
        </w:tc>
      </w:tr>
      <w:tr w:rsidR="00EC738D" w:rsidRPr="009F7E58" w:rsidTr="00831702">
        <w:trPr>
          <w:trHeight w:val="437"/>
        </w:trPr>
        <w:tc>
          <w:tcPr>
            <w:tcW w:w="2447" w:type="dxa"/>
          </w:tcPr>
          <w:p w:rsidR="00EC738D" w:rsidRPr="009F7E58" w:rsidRDefault="00EC738D" w:rsidP="00EC738D">
            <w:pPr>
              <w:pStyle w:val="TableParagraph"/>
              <w:spacing w:line="206" w:lineRule="exact"/>
              <w:ind w:left="107"/>
              <w:rPr>
                <w:b/>
                <w:szCs w:val="22"/>
                <w:lang w:val="hr-HR"/>
              </w:rPr>
            </w:pPr>
            <w:r w:rsidRPr="009F7E58">
              <w:rPr>
                <w:b/>
                <w:szCs w:val="22"/>
                <w:lang w:val="hr-HR"/>
              </w:rPr>
              <w:lastRenderedPageBreak/>
              <w:t>Opći poremećaji i reakcije na mjestu primjene</w:t>
            </w:r>
          </w:p>
        </w:tc>
        <w:tc>
          <w:tcPr>
            <w:tcW w:w="2262" w:type="dxa"/>
          </w:tcPr>
          <w:p w:rsidR="00EC738D" w:rsidRPr="009F7E58" w:rsidRDefault="00EC738D" w:rsidP="00EC738D">
            <w:pPr>
              <w:pStyle w:val="TableParagraph"/>
              <w:spacing w:line="202" w:lineRule="exact"/>
              <w:ind w:left="107"/>
              <w:rPr>
                <w:szCs w:val="22"/>
                <w:lang w:val="hr-HR"/>
              </w:rPr>
            </w:pPr>
            <w:r w:rsidRPr="009F7E58">
              <w:rPr>
                <w:szCs w:val="22"/>
                <w:lang w:val="hr-HR"/>
              </w:rPr>
              <w:t>periferni edem</w:t>
            </w:r>
          </w:p>
        </w:tc>
        <w:tc>
          <w:tcPr>
            <w:tcW w:w="2598" w:type="dxa"/>
          </w:tcPr>
          <w:p w:rsidR="00EC738D" w:rsidRPr="009F7E58" w:rsidRDefault="00EC738D" w:rsidP="00EC738D">
            <w:pPr>
              <w:pStyle w:val="TableParagraph"/>
              <w:ind w:left="107"/>
              <w:rPr>
                <w:szCs w:val="22"/>
                <w:lang w:val="hr-HR"/>
              </w:rPr>
            </w:pPr>
          </w:p>
        </w:tc>
        <w:tc>
          <w:tcPr>
            <w:tcW w:w="1693" w:type="dxa"/>
          </w:tcPr>
          <w:p w:rsidR="00EC738D" w:rsidRPr="009F7E58" w:rsidRDefault="00EC738D" w:rsidP="00EC738D">
            <w:pPr>
              <w:pStyle w:val="TableParagraph"/>
              <w:ind w:left="107" w:right="91"/>
              <w:rPr>
                <w:szCs w:val="22"/>
                <w:lang w:val="hr-HR"/>
              </w:rPr>
            </w:pPr>
          </w:p>
        </w:tc>
      </w:tr>
      <w:tr w:rsidR="00EC738D" w:rsidRPr="009F7E58" w:rsidTr="00831702">
        <w:trPr>
          <w:trHeight w:val="70"/>
        </w:trPr>
        <w:tc>
          <w:tcPr>
            <w:tcW w:w="2447" w:type="dxa"/>
          </w:tcPr>
          <w:p w:rsidR="00EC738D" w:rsidRPr="009F7E58" w:rsidRDefault="00EC738D" w:rsidP="00EC738D">
            <w:pPr>
              <w:pStyle w:val="TableParagraph"/>
              <w:spacing w:line="206" w:lineRule="exact"/>
              <w:ind w:left="107"/>
              <w:rPr>
                <w:b/>
                <w:szCs w:val="22"/>
                <w:lang w:val="hr-HR"/>
              </w:rPr>
            </w:pPr>
            <w:r w:rsidRPr="009F7E58">
              <w:rPr>
                <w:b/>
                <w:szCs w:val="22"/>
                <w:lang w:val="hr-HR"/>
              </w:rPr>
              <w:t>Nalazi</w:t>
            </w:r>
          </w:p>
        </w:tc>
        <w:tc>
          <w:tcPr>
            <w:tcW w:w="2262" w:type="dxa"/>
          </w:tcPr>
          <w:p w:rsidR="00EC738D" w:rsidRPr="009F7E58" w:rsidRDefault="00EC738D" w:rsidP="00EC738D">
            <w:pPr>
              <w:pStyle w:val="TableParagraph"/>
              <w:spacing w:line="202" w:lineRule="exact"/>
              <w:ind w:left="107"/>
              <w:rPr>
                <w:szCs w:val="22"/>
                <w:lang w:val="hr-HR"/>
              </w:rPr>
            </w:pPr>
          </w:p>
        </w:tc>
        <w:tc>
          <w:tcPr>
            <w:tcW w:w="2598" w:type="dxa"/>
          </w:tcPr>
          <w:p w:rsidR="00EC738D" w:rsidRPr="009F7E58" w:rsidRDefault="00EC738D" w:rsidP="00EC738D">
            <w:pPr>
              <w:pStyle w:val="TableParagraph"/>
              <w:ind w:left="107"/>
              <w:rPr>
                <w:szCs w:val="22"/>
                <w:lang w:val="hr-HR"/>
              </w:rPr>
            </w:pPr>
            <w:r w:rsidRPr="009F7E58">
              <w:rPr>
                <w:szCs w:val="22"/>
                <w:lang w:val="hr-HR"/>
              </w:rPr>
              <w:t>Sniženi nivoi hemoglobina</w:t>
            </w:r>
          </w:p>
        </w:tc>
        <w:tc>
          <w:tcPr>
            <w:tcW w:w="1693" w:type="dxa"/>
          </w:tcPr>
          <w:p w:rsidR="00EC738D" w:rsidRPr="009F7E58" w:rsidRDefault="00EC738D" w:rsidP="00EC738D">
            <w:pPr>
              <w:pStyle w:val="TableParagraph"/>
              <w:ind w:left="107" w:right="91"/>
              <w:rPr>
                <w:szCs w:val="22"/>
                <w:lang w:val="hr-HR"/>
              </w:rPr>
            </w:pPr>
          </w:p>
        </w:tc>
      </w:tr>
      <w:tr w:rsidR="00EC738D" w:rsidRPr="009F7E58" w:rsidTr="00831702">
        <w:trPr>
          <w:trHeight w:val="443"/>
        </w:trPr>
        <w:tc>
          <w:tcPr>
            <w:tcW w:w="9000" w:type="dxa"/>
            <w:gridSpan w:val="4"/>
          </w:tcPr>
          <w:p w:rsidR="00EC738D" w:rsidRPr="009F7E58" w:rsidRDefault="009F7E58" w:rsidP="00EC738D">
            <w:pPr>
              <w:pStyle w:val="TableParagraph"/>
              <w:spacing w:line="194" w:lineRule="exact"/>
              <w:ind w:left="107"/>
              <w:rPr>
                <w:sz w:val="20"/>
                <w:szCs w:val="22"/>
                <w:lang w:val="hr-HR"/>
              </w:rPr>
            </w:pPr>
            <w:r w:rsidRPr="00831702">
              <w:rPr>
                <w:position w:val="6"/>
                <w:sz w:val="18"/>
                <w:szCs w:val="22"/>
                <w:lang w:val="hr-HR"/>
              </w:rPr>
              <w:t>1</w:t>
            </w:r>
            <w:r w:rsidR="00831702">
              <w:rPr>
                <w:spacing w:val="13"/>
                <w:position w:val="6"/>
                <w:sz w:val="20"/>
                <w:szCs w:val="22"/>
                <w:lang w:val="hr-HR"/>
              </w:rPr>
              <w:t xml:space="preserve"> </w:t>
            </w:r>
            <w:r w:rsidR="00EC738D" w:rsidRPr="009F7E58">
              <w:rPr>
                <w:sz w:val="20"/>
                <w:szCs w:val="22"/>
                <w:lang w:val="hr-HR"/>
              </w:rPr>
              <w:t>Primijećeno tokom praćenja lijeka nakon stavljanja lijeka u promet.</w:t>
            </w:r>
          </w:p>
          <w:p w:rsidR="00EC738D" w:rsidRPr="009F7E58" w:rsidRDefault="00EC738D" w:rsidP="00EC738D">
            <w:pPr>
              <w:pStyle w:val="TableParagraph"/>
              <w:spacing w:line="194" w:lineRule="exact"/>
              <w:ind w:left="107"/>
              <w:rPr>
                <w:szCs w:val="22"/>
                <w:lang w:val="hr-HR"/>
              </w:rPr>
            </w:pPr>
            <w:r w:rsidRPr="00831702">
              <w:rPr>
                <w:position w:val="6"/>
                <w:sz w:val="18"/>
                <w:szCs w:val="22"/>
                <w:lang w:val="hr-HR"/>
              </w:rPr>
              <w:t>2</w:t>
            </w:r>
            <w:r w:rsidRPr="009F7E58">
              <w:rPr>
                <w:position w:val="6"/>
                <w:sz w:val="20"/>
                <w:szCs w:val="22"/>
                <w:lang w:val="hr-HR"/>
              </w:rPr>
              <w:t xml:space="preserve"> </w:t>
            </w:r>
            <w:r w:rsidRPr="009F7E58">
              <w:rPr>
                <w:sz w:val="20"/>
                <w:szCs w:val="22"/>
                <w:lang w:val="hr-HR"/>
              </w:rPr>
              <w:t>Vidjeti i dio o infekcijama u nastavku.</w:t>
            </w:r>
          </w:p>
        </w:tc>
      </w:tr>
    </w:tbl>
    <w:p w:rsidR="00EC738D" w:rsidRDefault="00EC738D" w:rsidP="004D5825">
      <w:pPr>
        <w:ind w:left="1134" w:hanging="1134"/>
        <w:jc w:val="both"/>
        <w:outlineLvl w:val="0"/>
        <w:rPr>
          <w:b/>
          <w:sz w:val="22"/>
          <w:szCs w:val="22"/>
          <w:lang w:val="sr-Latn-ME"/>
        </w:rPr>
      </w:pPr>
    </w:p>
    <w:p w:rsidR="00FB34CE" w:rsidRDefault="00FB34CE" w:rsidP="004D5825">
      <w:pPr>
        <w:tabs>
          <w:tab w:val="left" w:pos="284"/>
        </w:tabs>
        <w:jc w:val="both"/>
        <w:rPr>
          <w:i/>
          <w:noProof/>
          <w:sz w:val="22"/>
          <w:szCs w:val="22"/>
          <w:u w:val="single"/>
          <w:lang w:val="sr-Latn-ME"/>
        </w:rPr>
      </w:pPr>
    </w:p>
    <w:p w:rsidR="00496E03" w:rsidRPr="0055610F" w:rsidRDefault="00496E03" w:rsidP="004D5825">
      <w:pPr>
        <w:tabs>
          <w:tab w:val="left" w:pos="284"/>
        </w:tabs>
        <w:jc w:val="both"/>
        <w:rPr>
          <w:i/>
          <w:noProof/>
          <w:sz w:val="22"/>
          <w:szCs w:val="22"/>
          <w:u w:val="single"/>
          <w:lang w:val="sr-Latn-ME"/>
        </w:rPr>
      </w:pPr>
      <w:r w:rsidRPr="0055610F">
        <w:rPr>
          <w:i/>
          <w:noProof/>
          <w:sz w:val="22"/>
          <w:szCs w:val="22"/>
          <w:u w:val="single"/>
          <w:lang w:val="sr-Latn-ME"/>
        </w:rPr>
        <w:t>Terapija održavanja kod odraslih pacijenata (</w:t>
      </w:r>
      <w:r w:rsidR="00CA6E91" w:rsidRPr="0055610F">
        <w:rPr>
          <w:bCs/>
          <w:i/>
          <w:noProof/>
          <w:sz w:val="22"/>
          <w:szCs w:val="22"/>
          <w:u w:val="single"/>
          <w:lang w:val="sr-Latn-ME"/>
        </w:rPr>
        <w:t>2. studija kod</w:t>
      </w:r>
      <w:r w:rsidRPr="0055610F">
        <w:rPr>
          <w:bCs/>
          <w:i/>
          <w:noProof/>
          <w:sz w:val="22"/>
          <w:szCs w:val="22"/>
          <w:u w:val="single"/>
          <w:lang w:val="sr-Latn-ME"/>
        </w:rPr>
        <w:t xml:space="preserve"> GPA/MPA)</w:t>
      </w:r>
    </w:p>
    <w:p w:rsidR="00496E03" w:rsidRPr="0055610F" w:rsidRDefault="00496E03" w:rsidP="004D5825">
      <w:pPr>
        <w:tabs>
          <w:tab w:val="left" w:pos="284"/>
        </w:tabs>
        <w:jc w:val="both"/>
        <w:rPr>
          <w:i/>
          <w:noProof/>
          <w:sz w:val="22"/>
          <w:szCs w:val="22"/>
          <w:u w:val="single"/>
          <w:lang w:val="sr-Latn-ME"/>
        </w:rPr>
      </w:pPr>
    </w:p>
    <w:p w:rsidR="00496E03" w:rsidRDefault="00496E03" w:rsidP="004D5825">
      <w:pPr>
        <w:tabs>
          <w:tab w:val="left" w:pos="284"/>
        </w:tabs>
        <w:jc w:val="both"/>
        <w:rPr>
          <w:noProof/>
          <w:sz w:val="22"/>
          <w:szCs w:val="22"/>
          <w:lang w:val="sr-Latn-ME"/>
        </w:rPr>
      </w:pPr>
      <w:r w:rsidRPr="0055610F">
        <w:rPr>
          <w:noProof/>
          <w:sz w:val="22"/>
          <w:szCs w:val="22"/>
          <w:lang w:val="sr-Latn-ME"/>
        </w:rPr>
        <w:t xml:space="preserve">U </w:t>
      </w:r>
      <w:r w:rsidR="00CA6E91" w:rsidRPr="0055610F">
        <w:rPr>
          <w:noProof/>
          <w:sz w:val="22"/>
          <w:szCs w:val="22"/>
          <w:lang w:val="sr-Latn-ME"/>
        </w:rPr>
        <w:t>2. studiji</w:t>
      </w:r>
      <w:r w:rsidRPr="0055610F">
        <w:rPr>
          <w:noProof/>
          <w:sz w:val="22"/>
          <w:szCs w:val="22"/>
          <w:lang w:val="sr-Latn-ME"/>
        </w:rPr>
        <w:t xml:space="preserve"> kod GPA/MPA, ukupan broj od 57 odraslih pacijenata sa teškim, aktivnim GPA i MPA je liječeno  lijekom MabThera radi održavanja remisije (vid</w:t>
      </w:r>
      <w:r w:rsidR="0074611C">
        <w:rPr>
          <w:noProof/>
          <w:sz w:val="22"/>
          <w:szCs w:val="22"/>
          <w:lang w:val="sr-Latn-ME"/>
        </w:rPr>
        <w:t>j</w:t>
      </w:r>
      <w:r w:rsidRPr="0055610F">
        <w:rPr>
          <w:noProof/>
          <w:sz w:val="22"/>
          <w:szCs w:val="22"/>
          <w:lang w:val="sr-Latn-ME"/>
        </w:rPr>
        <w:t>eti dio 5.1)</w:t>
      </w:r>
    </w:p>
    <w:p w:rsidR="006F7465" w:rsidRPr="0055610F" w:rsidRDefault="006F7465" w:rsidP="004D5825">
      <w:pPr>
        <w:tabs>
          <w:tab w:val="left" w:pos="284"/>
        </w:tabs>
        <w:jc w:val="both"/>
        <w:rPr>
          <w:noProof/>
          <w:sz w:val="22"/>
          <w:szCs w:val="22"/>
          <w:lang w:val="sr-Latn-ME"/>
        </w:rPr>
      </w:pPr>
    </w:p>
    <w:p w:rsidR="00496E03" w:rsidRPr="009941F7" w:rsidRDefault="00496E03" w:rsidP="004D5825">
      <w:pPr>
        <w:keepNext/>
        <w:keepLines/>
        <w:tabs>
          <w:tab w:val="left" w:pos="284"/>
        </w:tabs>
        <w:ind w:left="1077" w:hanging="1077"/>
        <w:jc w:val="both"/>
        <w:rPr>
          <w:rFonts w:eastAsia="Calibri"/>
          <w:b/>
          <w:bCs/>
          <w:sz w:val="22"/>
          <w:szCs w:val="22"/>
          <w:lang w:val="hr-HR"/>
        </w:rPr>
      </w:pPr>
      <w:r w:rsidRPr="0055610F">
        <w:rPr>
          <w:rFonts w:eastAsia="Calibri"/>
          <w:b/>
          <w:bCs/>
          <w:sz w:val="22"/>
          <w:szCs w:val="22"/>
          <w:lang w:val="sr-Latn-ME"/>
        </w:rPr>
        <w:t>Tabela 6</w:t>
      </w:r>
      <w:r w:rsidRPr="0055610F">
        <w:rPr>
          <w:b/>
          <w:sz w:val="22"/>
          <w:szCs w:val="22"/>
          <w:lang w:val="sr-Latn-ME"/>
        </w:rPr>
        <w:tab/>
        <w:t xml:space="preserve">Neželjene reakcije koj su se javljale kod  </w:t>
      </w:r>
      <w:r w:rsidRPr="0055610F">
        <w:rPr>
          <w:rFonts w:eastAsia="Calibri"/>
          <w:b/>
          <w:bCs/>
          <w:sz w:val="22"/>
          <w:szCs w:val="22"/>
          <w:lang w:val="sr-Latn-ME"/>
        </w:rPr>
        <w:t xml:space="preserve">≥ 5% odraslih pacijenata koji su primali lijek MabThera u </w:t>
      </w:r>
      <w:r w:rsidR="00CA6E91" w:rsidRPr="0055610F">
        <w:rPr>
          <w:rFonts w:eastAsia="Calibri"/>
          <w:b/>
          <w:bCs/>
          <w:sz w:val="22"/>
          <w:szCs w:val="22"/>
          <w:lang w:val="sr-Latn-ME"/>
        </w:rPr>
        <w:t>2. studiji kod</w:t>
      </w:r>
      <w:r w:rsidRPr="0055610F">
        <w:rPr>
          <w:rFonts w:eastAsia="Calibri"/>
          <w:b/>
          <w:bCs/>
          <w:sz w:val="22"/>
          <w:szCs w:val="22"/>
          <w:lang w:val="sr-Latn-ME"/>
        </w:rPr>
        <w:t xml:space="preserve"> GPA/MPA</w:t>
      </w:r>
      <w:r w:rsidR="00FB34CE" w:rsidRPr="00174ADB">
        <w:rPr>
          <w:rFonts w:eastAsia="Calibri"/>
          <w:b/>
          <w:bCs/>
          <w:szCs w:val="22"/>
          <w:lang w:val="hr-HR"/>
        </w:rPr>
        <w:t>(Rituksimab n=57)</w:t>
      </w:r>
      <w:r w:rsidR="00FB34CE" w:rsidRPr="00EC2B1D">
        <w:rPr>
          <w:rFonts w:eastAsia="Calibri"/>
          <w:b/>
          <w:bCs/>
          <w:sz w:val="22"/>
          <w:szCs w:val="22"/>
          <w:lang w:val="hr-HR"/>
        </w:rPr>
        <w:t xml:space="preserve">, </w:t>
      </w:r>
      <w:r w:rsidRPr="0055610F">
        <w:rPr>
          <w:rFonts w:eastAsia="Calibri"/>
          <w:b/>
          <w:bCs/>
          <w:sz w:val="22"/>
          <w:szCs w:val="22"/>
          <w:lang w:val="sr-Latn-ME"/>
        </w:rPr>
        <w:t xml:space="preserve"> i sa većom učestalošću u odnosu na grupu koja je primala komparator </w:t>
      </w:r>
      <w:r w:rsidR="00FB34CE" w:rsidRPr="00FB34CE">
        <w:rPr>
          <w:rFonts w:eastAsia="Calibri"/>
          <w:b/>
          <w:bCs/>
          <w:sz w:val="22"/>
          <w:szCs w:val="22"/>
          <w:lang w:val="sr-Latn-ME"/>
        </w:rPr>
        <w:t>ili tokom praćenja nakon stavljanja lijeka u promet</w:t>
      </w:r>
    </w:p>
    <w:p w:rsidR="00496E03" w:rsidRDefault="00496E03" w:rsidP="004D5825">
      <w:pPr>
        <w:keepNext/>
        <w:keepLines/>
        <w:tabs>
          <w:tab w:val="left" w:pos="284"/>
        </w:tabs>
        <w:spacing w:line="280" w:lineRule="atLeast"/>
        <w:jc w:val="both"/>
        <w:rPr>
          <w:sz w:val="22"/>
          <w:szCs w:val="22"/>
          <w:lang w:val="sr-Latn-ME"/>
        </w:rPr>
      </w:pPr>
    </w:p>
    <w:p w:rsidR="00EC738D" w:rsidRDefault="00EC738D" w:rsidP="004D5825">
      <w:pPr>
        <w:keepNext/>
        <w:keepLines/>
        <w:tabs>
          <w:tab w:val="left" w:pos="284"/>
        </w:tabs>
        <w:spacing w:line="280" w:lineRule="atLeast"/>
        <w:jc w:val="both"/>
        <w:rPr>
          <w:sz w:val="22"/>
          <w:szCs w:val="22"/>
          <w:lang w:val="sr-Latn-ME"/>
        </w:rPr>
      </w:pPr>
    </w:p>
    <w:tbl>
      <w:tblPr>
        <w:tblW w:w="89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7"/>
        <w:gridCol w:w="2262"/>
        <w:gridCol w:w="2598"/>
        <w:gridCol w:w="1603"/>
      </w:tblGrid>
      <w:tr w:rsidR="00EC738D" w:rsidRPr="00831702" w:rsidTr="00831702">
        <w:trPr>
          <w:trHeight w:val="234"/>
        </w:trPr>
        <w:tc>
          <w:tcPr>
            <w:tcW w:w="2447" w:type="dxa"/>
          </w:tcPr>
          <w:p w:rsidR="00EC738D" w:rsidRPr="00831702" w:rsidRDefault="00EC738D" w:rsidP="00EC738D">
            <w:pPr>
              <w:pStyle w:val="TableParagraph"/>
              <w:keepNext/>
              <w:spacing w:before="18"/>
              <w:jc w:val="center"/>
              <w:rPr>
                <w:b/>
                <w:szCs w:val="22"/>
                <w:lang w:val="hr-HR"/>
              </w:rPr>
            </w:pPr>
            <w:r w:rsidRPr="00831702">
              <w:rPr>
                <w:b/>
                <w:szCs w:val="22"/>
                <w:lang w:val="hr-HR"/>
              </w:rPr>
              <w:t>MedDRA klasifikacija sistema organa</w:t>
            </w:r>
          </w:p>
        </w:tc>
        <w:tc>
          <w:tcPr>
            <w:tcW w:w="2262" w:type="dxa"/>
          </w:tcPr>
          <w:p w:rsidR="00EC738D" w:rsidRPr="00831702" w:rsidRDefault="00EC738D" w:rsidP="00EC738D">
            <w:pPr>
              <w:pStyle w:val="TableParagraph"/>
              <w:keepNext/>
              <w:spacing w:before="18"/>
              <w:jc w:val="center"/>
              <w:rPr>
                <w:b/>
                <w:szCs w:val="22"/>
                <w:lang w:val="hr-HR"/>
              </w:rPr>
            </w:pPr>
            <w:r w:rsidRPr="00831702">
              <w:rPr>
                <w:b/>
                <w:szCs w:val="22"/>
                <w:lang w:val="hr-HR"/>
              </w:rPr>
              <w:t>Veoma često</w:t>
            </w:r>
          </w:p>
        </w:tc>
        <w:tc>
          <w:tcPr>
            <w:tcW w:w="2598" w:type="dxa"/>
          </w:tcPr>
          <w:p w:rsidR="00EC738D" w:rsidRPr="00831702" w:rsidRDefault="00EC738D" w:rsidP="00EC738D">
            <w:pPr>
              <w:pStyle w:val="TableParagraph"/>
              <w:keepNext/>
              <w:spacing w:before="18"/>
              <w:jc w:val="center"/>
              <w:rPr>
                <w:b/>
                <w:szCs w:val="22"/>
                <w:lang w:val="hr-HR"/>
              </w:rPr>
            </w:pPr>
            <w:r w:rsidRPr="00831702">
              <w:rPr>
                <w:b/>
                <w:szCs w:val="22"/>
                <w:lang w:val="hr-HR"/>
              </w:rPr>
              <w:t>Često</w:t>
            </w:r>
          </w:p>
        </w:tc>
        <w:tc>
          <w:tcPr>
            <w:tcW w:w="1603" w:type="dxa"/>
          </w:tcPr>
          <w:p w:rsidR="00EC738D" w:rsidRPr="00831702" w:rsidRDefault="00EC738D" w:rsidP="00EC738D">
            <w:pPr>
              <w:pStyle w:val="TableParagraph"/>
              <w:keepNext/>
              <w:spacing w:before="18"/>
              <w:jc w:val="center"/>
              <w:rPr>
                <w:b/>
                <w:szCs w:val="22"/>
                <w:lang w:val="hr-HR"/>
              </w:rPr>
            </w:pPr>
            <w:r w:rsidRPr="00831702">
              <w:rPr>
                <w:b/>
                <w:szCs w:val="22"/>
                <w:lang w:val="hr-HR"/>
              </w:rPr>
              <w:t>Nepoznato</w:t>
            </w:r>
          </w:p>
        </w:tc>
      </w:tr>
      <w:tr w:rsidR="00EC738D" w:rsidRPr="00831702" w:rsidTr="00831702">
        <w:trPr>
          <w:trHeight w:val="575"/>
        </w:trPr>
        <w:tc>
          <w:tcPr>
            <w:tcW w:w="2447" w:type="dxa"/>
          </w:tcPr>
          <w:p w:rsidR="00EC738D" w:rsidRPr="00831702" w:rsidRDefault="00EC738D" w:rsidP="00EC738D">
            <w:pPr>
              <w:pStyle w:val="TableParagraph"/>
              <w:spacing w:line="206" w:lineRule="exact"/>
              <w:ind w:left="107"/>
              <w:rPr>
                <w:b/>
                <w:szCs w:val="22"/>
                <w:lang w:val="hr-HR"/>
              </w:rPr>
            </w:pPr>
            <w:r w:rsidRPr="00831702">
              <w:rPr>
                <w:b/>
                <w:szCs w:val="22"/>
                <w:lang w:val="hr-HR"/>
              </w:rPr>
              <w:t>Infekcije i infestacije</w:t>
            </w:r>
          </w:p>
        </w:tc>
        <w:tc>
          <w:tcPr>
            <w:tcW w:w="2262" w:type="dxa"/>
          </w:tcPr>
          <w:p w:rsidR="00EC738D" w:rsidRPr="00831702" w:rsidRDefault="00EC738D" w:rsidP="00EC738D">
            <w:pPr>
              <w:pStyle w:val="TableParagraph"/>
              <w:spacing w:line="202" w:lineRule="exact"/>
              <w:ind w:left="107"/>
              <w:rPr>
                <w:szCs w:val="22"/>
                <w:lang w:val="hr-HR"/>
              </w:rPr>
            </w:pPr>
            <w:r w:rsidRPr="00831702">
              <w:rPr>
                <w:szCs w:val="22"/>
                <w:lang w:val="hr-HR"/>
              </w:rPr>
              <w:t>bronhitis</w:t>
            </w:r>
          </w:p>
        </w:tc>
        <w:tc>
          <w:tcPr>
            <w:tcW w:w="2598" w:type="dxa"/>
          </w:tcPr>
          <w:p w:rsidR="00EC738D" w:rsidRPr="00831702" w:rsidRDefault="00EC738D" w:rsidP="00EC738D">
            <w:pPr>
              <w:pStyle w:val="TableParagraph"/>
              <w:ind w:left="107"/>
              <w:rPr>
                <w:szCs w:val="22"/>
                <w:lang w:val="hr-HR"/>
              </w:rPr>
            </w:pPr>
            <w:r w:rsidRPr="00831702">
              <w:rPr>
                <w:szCs w:val="22"/>
                <w:lang w:val="hr-HR"/>
              </w:rPr>
              <w:t>rinitis</w:t>
            </w:r>
          </w:p>
        </w:tc>
        <w:tc>
          <w:tcPr>
            <w:tcW w:w="1603" w:type="dxa"/>
          </w:tcPr>
          <w:p w:rsidR="00EC738D" w:rsidRPr="00831702" w:rsidRDefault="00EC738D" w:rsidP="00EC738D">
            <w:pPr>
              <w:pStyle w:val="TableParagraph"/>
              <w:ind w:left="107" w:right="91"/>
              <w:rPr>
                <w:szCs w:val="22"/>
                <w:lang w:val="hr-HR"/>
              </w:rPr>
            </w:pPr>
            <w:r w:rsidRPr="00831702">
              <w:rPr>
                <w:szCs w:val="22"/>
                <w:lang w:val="hr-HR"/>
              </w:rPr>
              <w:t>ozbiljne virusne infekcije</w:t>
            </w:r>
            <w:r w:rsidRPr="00831702">
              <w:rPr>
                <w:szCs w:val="22"/>
                <w:vertAlign w:val="superscript"/>
                <w:lang w:val="hr-HR"/>
              </w:rPr>
              <w:t>1,2</w:t>
            </w:r>
            <w:r w:rsidRPr="00831702">
              <w:rPr>
                <w:szCs w:val="22"/>
                <w:lang w:val="hr-HR"/>
              </w:rPr>
              <w:t>,</w:t>
            </w:r>
          </w:p>
          <w:p w:rsidR="00EC738D" w:rsidRPr="00831702" w:rsidRDefault="00EC738D" w:rsidP="00EC738D">
            <w:pPr>
              <w:pStyle w:val="TableParagraph"/>
              <w:ind w:left="107" w:right="91"/>
              <w:rPr>
                <w:szCs w:val="22"/>
                <w:lang w:val="hr-HR"/>
              </w:rPr>
            </w:pPr>
            <w:r w:rsidRPr="00831702">
              <w:rPr>
                <w:szCs w:val="22"/>
                <w:lang w:val="hr-HR"/>
              </w:rPr>
              <w:t>enterovirusni meningoencefalitis</w:t>
            </w:r>
            <w:r w:rsidRPr="00831702">
              <w:rPr>
                <w:szCs w:val="22"/>
                <w:vertAlign w:val="superscript"/>
                <w:lang w:val="hr-HR"/>
              </w:rPr>
              <w:t>1</w:t>
            </w:r>
          </w:p>
        </w:tc>
      </w:tr>
      <w:tr w:rsidR="00EC738D" w:rsidRPr="00831702" w:rsidTr="00831702">
        <w:trPr>
          <w:trHeight w:val="223"/>
        </w:trPr>
        <w:tc>
          <w:tcPr>
            <w:tcW w:w="2447" w:type="dxa"/>
          </w:tcPr>
          <w:p w:rsidR="00EC738D" w:rsidRPr="00831702" w:rsidRDefault="00EC738D" w:rsidP="00EC738D">
            <w:pPr>
              <w:pStyle w:val="TableParagraph"/>
              <w:spacing w:line="206" w:lineRule="exact"/>
              <w:ind w:left="107"/>
              <w:rPr>
                <w:b/>
                <w:szCs w:val="22"/>
                <w:lang w:val="hr-HR"/>
              </w:rPr>
            </w:pPr>
            <w:r w:rsidRPr="00831702">
              <w:rPr>
                <w:b/>
                <w:szCs w:val="22"/>
                <w:lang w:val="hr-HR"/>
              </w:rPr>
              <w:t>Respiratorni, torakalni i medijastinalni poremećaji</w:t>
            </w:r>
          </w:p>
        </w:tc>
        <w:tc>
          <w:tcPr>
            <w:tcW w:w="2262" w:type="dxa"/>
          </w:tcPr>
          <w:p w:rsidR="00EC738D" w:rsidRPr="00831702" w:rsidRDefault="00EC738D" w:rsidP="00EC738D">
            <w:pPr>
              <w:pStyle w:val="TableParagraph"/>
              <w:spacing w:line="202" w:lineRule="exact"/>
              <w:ind w:left="107"/>
              <w:rPr>
                <w:szCs w:val="22"/>
                <w:lang w:val="hr-HR"/>
              </w:rPr>
            </w:pPr>
          </w:p>
        </w:tc>
        <w:tc>
          <w:tcPr>
            <w:tcW w:w="2598" w:type="dxa"/>
          </w:tcPr>
          <w:p w:rsidR="00EC738D" w:rsidRPr="00831702" w:rsidRDefault="00EC738D" w:rsidP="00EC738D">
            <w:pPr>
              <w:pStyle w:val="TableParagraph"/>
              <w:ind w:left="107"/>
              <w:rPr>
                <w:szCs w:val="22"/>
                <w:lang w:val="hr-HR"/>
              </w:rPr>
            </w:pPr>
            <w:r w:rsidRPr="00831702">
              <w:rPr>
                <w:szCs w:val="22"/>
                <w:lang w:val="hr-HR"/>
              </w:rPr>
              <w:t>dispneja</w:t>
            </w:r>
          </w:p>
        </w:tc>
        <w:tc>
          <w:tcPr>
            <w:tcW w:w="1603" w:type="dxa"/>
          </w:tcPr>
          <w:p w:rsidR="00EC738D" w:rsidRPr="00831702" w:rsidRDefault="00EC738D" w:rsidP="00EC738D">
            <w:pPr>
              <w:pStyle w:val="TableParagraph"/>
              <w:ind w:left="107" w:right="91"/>
              <w:rPr>
                <w:szCs w:val="22"/>
                <w:lang w:val="hr-HR"/>
              </w:rPr>
            </w:pPr>
          </w:p>
        </w:tc>
      </w:tr>
      <w:tr w:rsidR="00EC738D" w:rsidRPr="00831702" w:rsidTr="00831702">
        <w:trPr>
          <w:trHeight w:val="198"/>
        </w:trPr>
        <w:tc>
          <w:tcPr>
            <w:tcW w:w="2447" w:type="dxa"/>
          </w:tcPr>
          <w:p w:rsidR="00EC738D" w:rsidRPr="00831702" w:rsidRDefault="00EC738D" w:rsidP="00EC738D">
            <w:pPr>
              <w:pStyle w:val="TableParagraph"/>
              <w:spacing w:line="206" w:lineRule="exact"/>
              <w:ind w:left="107"/>
              <w:rPr>
                <w:b/>
                <w:szCs w:val="22"/>
                <w:lang w:val="hr-HR"/>
              </w:rPr>
            </w:pPr>
            <w:r w:rsidRPr="00831702">
              <w:rPr>
                <w:b/>
                <w:szCs w:val="22"/>
                <w:lang w:val="hr-HR"/>
              </w:rPr>
              <w:t>Gastrointestinalni poremećaji</w:t>
            </w:r>
          </w:p>
        </w:tc>
        <w:tc>
          <w:tcPr>
            <w:tcW w:w="2262" w:type="dxa"/>
          </w:tcPr>
          <w:p w:rsidR="00EC738D" w:rsidRPr="00831702" w:rsidRDefault="00EC738D" w:rsidP="00EC738D">
            <w:pPr>
              <w:pStyle w:val="TableParagraph"/>
              <w:spacing w:line="202" w:lineRule="exact"/>
              <w:ind w:left="107"/>
              <w:rPr>
                <w:szCs w:val="22"/>
                <w:lang w:val="hr-HR"/>
              </w:rPr>
            </w:pPr>
          </w:p>
        </w:tc>
        <w:tc>
          <w:tcPr>
            <w:tcW w:w="2598" w:type="dxa"/>
          </w:tcPr>
          <w:p w:rsidR="00EC738D" w:rsidRPr="00831702" w:rsidRDefault="00EC738D" w:rsidP="00EC738D">
            <w:pPr>
              <w:pStyle w:val="TableParagraph"/>
              <w:ind w:left="107"/>
              <w:rPr>
                <w:szCs w:val="22"/>
                <w:lang w:val="hr-HR"/>
              </w:rPr>
            </w:pPr>
            <w:r w:rsidRPr="00831702">
              <w:rPr>
                <w:szCs w:val="22"/>
                <w:lang w:val="hr-HR"/>
              </w:rPr>
              <w:t>dijareja</w:t>
            </w:r>
          </w:p>
        </w:tc>
        <w:tc>
          <w:tcPr>
            <w:tcW w:w="1603" w:type="dxa"/>
          </w:tcPr>
          <w:p w:rsidR="00EC738D" w:rsidRPr="00831702" w:rsidRDefault="00EC738D" w:rsidP="00EC738D">
            <w:pPr>
              <w:pStyle w:val="TableParagraph"/>
              <w:ind w:left="107" w:right="91"/>
              <w:rPr>
                <w:szCs w:val="22"/>
                <w:lang w:val="hr-HR"/>
              </w:rPr>
            </w:pPr>
          </w:p>
        </w:tc>
      </w:tr>
      <w:tr w:rsidR="00EC738D" w:rsidRPr="00831702" w:rsidTr="00831702">
        <w:trPr>
          <w:trHeight w:val="437"/>
        </w:trPr>
        <w:tc>
          <w:tcPr>
            <w:tcW w:w="2447" w:type="dxa"/>
          </w:tcPr>
          <w:p w:rsidR="00EC738D" w:rsidRPr="00831702" w:rsidRDefault="00EC738D" w:rsidP="00EC738D">
            <w:pPr>
              <w:pStyle w:val="TableParagraph"/>
              <w:spacing w:line="206" w:lineRule="exact"/>
              <w:ind w:left="107"/>
              <w:rPr>
                <w:b/>
                <w:szCs w:val="22"/>
                <w:lang w:val="hr-HR"/>
              </w:rPr>
            </w:pPr>
            <w:r w:rsidRPr="00831702">
              <w:rPr>
                <w:b/>
                <w:szCs w:val="22"/>
                <w:lang w:val="hr-HR"/>
              </w:rPr>
              <w:t>Opći poremećaji i reakcije na mjestu primjene</w:t>
            </w:r>
          </w:p>
        </w:tc>
        <w:tc>
          <w:tcPr>
            <w:tcW w:w="2262" w:type="dxa"/>
          </w:tcPr>
          <w:p w:rsidR="00EC738D" w:rsidRPr="00831702" w:rsidRDefault="00EC738D" w:rsidP="00EC738D">
            <w:pPr>
              <w:pStyle w:val="TableParagraph"/>
              <w:spacing w:line="202" w:lineRule="exact"/>
              <w:ind w:left="107"/>
              <w:rPr>
                <w:szCs w:val="22"/>
                <w:lang w:val="hr-HR"/>
              </w:rPr>
            </w:pPr>
          </w:p>
        </w:tc>
        <w:tc>
          <w:tcPr>
            <w:tcW w:w="2598" w:type="dxa"/>
          </w:tcPr>
          <w:p w:rsidR="00EC738D" w:rsidRPr="00831702" w:rsidRDefault="00EC738D" w:rsidP="00EC738D">
            <w:pPr>
              <w:pStyle w:val="TableParagraph"/>
              <w:ind w:left="107"/>
              <w:rPr>
                <w:szCs w:val="22"/>
                <w:lang w:val="hr-HR"/>
              </w:rPr>
            </w:pPr>
            <w:r w:rsidRPr="00831702">
              <w:rPr>
                <w:szCs w:val="22"/>
                <w:lang w:val="hr-HR"/>
              </w:rPr>
              <w:t>pireksija,</w:t>
            </w:r>
          </w:p>
          <w:p w:rsidR="00EC738D" w:rsidRPr="00831702" w:rsidRDefault="00EC738D" w:rsidP="00EC738D">
            <w:pPr>
              <w:pStyle w:val="TableParagraph"/>
              <w:ind w:left="107"/>
              <w:rPr>
                <w:szCs w:val="22"/>
                <w:lang w:val="hr-HR"/>
              </w:rPr>
            </w:pPr>
            <w:r w:rsidRPr="00831702">
              <w:rPr>
                <w:szCs w:val="22"/>
                <w:lang w:val="hr-HR"/>
              </w:rPr>
              <w:t>stanje slično gripu,</w:t>
            </w:r>
          </w:p>
          <w:p w:rsidR="00EC738D" w:rsidRPr="00831702" w:rsidRDefault="00EC738D" w:rsidP="00EC738D">
            <w:pPr>
              <w:pStyle w:val="TableParagraph"/>
              <w:ind w:left="107"/>
              <w:rPr>
                <w:szCs w:val="22"/>
                <w:lang w:val="hr-HR"/>
              </w:rPr>
            </w:pPr>
            <w:r w:rsidRPr="00831702">
              <w:rPr>
                <w:szCs w:val="22"/>
                <w:lang w:val="hr-HR"/>
              </w:rPr>
              <w:t>periferni edem</w:t>
            </w:r>
          </w:p>
        </w:tc>
        <w:tc>
          <w:tcPr>
            <w:tcW w:w="1603" w:type="dxa"/>
          </w:tcPr>
          <w:p w:rsidR="00EC738D" w:rsidRPr="00831702" w:rsidRDefault="00EC738D" w:rsidP="00EC738D">
            <w:pPr>
              <w:pStyle w:val="TableParagraph"/>
              <w:ind w:left="107" w:right="91"/>
              <w:rPr>
                <w:szCs w:val="22"/>
                <w:lang w:val="hr-HR"/>
              </w:rPr>
            </w:pPr>
          </w:p>
        </w:tc>
      </w:tr>
      <w:tr w:rsidR="00EC738D" w:rsidRPr="00831702" w:rsidTr="00831702">
        <w:trPr>
          <w:trHeight w:val="70"/>
        </w:trPr>
        <w:tc>
          <w:tcPr>
            <w:tcW w:w="2447" w:type="dxa"/>
          </w:tcPr>
          <w:p w:rsidR="00EC738D" w:rsidRPr="00831702" w:rsidRDefault="00EC738D" w:rsidP="00EC738D">
            <w:pPr>
              <w:pStyle w:val="TableParagraph"/>
              <w:spacing w:line="206" w:lineRule="exact"/>
              <w:ind w:left="107"/>
              <w:rPr>
                <w:b/>
                <w:szCs w:val="22"/>
                <w:lang w:val="hr-HR"/>
              </w:rPr>
            </w:pPr>
            <w:r w:rsidRPr="00831702">
              <w:rPr>
                <w:b/>
                <w:szCs w:val="22"/>
                <w:lang w:val="hr-HR"/>
              </w:rPr>
              <w:t>Povrede, trovanja i proceduralne komplikacije</w:t>
            </w:r>
          </w:p>
        </w:tc>
        <w:tc>
          <w:tcPr>
            <w:tcW w:w="2262" w:type="dxa"/>
          </w:tcPr>
          <w:p w:rsidR="00EC738D" w:rsidRPr="00831702" w:rsidRDefault="00EC738D" w:rsidP="00EC738D">
            <w:pPr>
              <w:pStyle w:val="TableParagraph"/>
              <w:spacing w:line="202" w:lineRule="exact"/>
              <w:ind w:left="107"/>
              <w:rPr>
                <w:szCs w:val="22"/>
                <w:vertAlign w:val="superscript"/>
                <w:lang w:val="hr-HR"/>
              </w:rPr>
            </w:pPr>
            <w:r w:rsidRPr="00831702">
              <w:rPr>
                <w:szCs w:val="22"/>
                <w:lang w:val="hr-HR"/>
              </w:rPr>
              <w:t>reakcije povezane sa infuzije</w:t>
            </w:r>
            <w:r w:rsidRPr="00831702">
              <w:rPr>
                <w:szCs w:val="22"/>
                <w:vertAlign w:val="superscript"/>
                <w:lang w:val="hr-HR"/>
              </w:rPr>
              <w:t>3</w:t>
            </w:r>
          </w:p>
        </w:tc>
        <w:tc>
          <w:tcPr>
            <w:tcW w:w="2598" w:type="dxa"/>
          </w:tcPr>
          <w:p w:rsidR="00EC738D" w:rsidRPr="00831702" w:rsidRDefault="00EC738D" w:rsidP="00EC738D">
            <w:pPr>
              <w:pStyle w:val="TableParagraph"/>
              <w:ind w:left="107"/>
              <w:rPr>
                <w:szCs w:val="22"/>
                <w:lang w:val="hr-HR"/>
              </w:rPr>
            </w:pPr>
          </w:p>
        </w:tc>
        <w:tc>
          <w:tcPr>
            <w:tcW w:w="1603" w:type="dxa"/>
          </w:tcPr>
          <w:p w:rsidR="00EC738D" w:rsidRPr="00831702" w:rsidRDefault="00EC738D" w:rsidP="00EC738D">
            <w:pPr>
              <w:pStyle w:val="TableParagraph"/>
              <w:ind w:left="107" w:right="91"/>
              <w:rPr>
                <w:szCs w:val="22"/>
                <w:lang w:val="hr-HR"/>
              </w:rPr>
            </w:pPr>
          </w:p>
        </w:tc>
      </w:tr>
      <w:tr w:rsidR="00EC738D" w:rsidRPr="00831702" w:rsidTr="00831702">
        <w:trPr>
          <w:trHeight w:val="70"/>
        </w:trPr>
        <w:tc>
          <w:tcPr>
            <w:tcW w:w="8910" w:type="dxa"/>
            <w:gridSpan w:val="4"/>
          </w:tcPr>
          <w:p w:rsidR="00EC738D" w:rsidRPr="00831702" w:rsidRDefault="00EC738D" w:rsidP="00EC738D">
            <w:pPr>
              <w:pStyle w:val="TableParagraph"/>
              <w:spacing w:line="194" w:lineRule="exact"/>
              <w:ind w:left="107"/>
              <w:rPr>
                <w:sz w:val="20"/>
                <w:szCs w:val="22"/>
                <w:lang w:val="hr-HR"/>
              </w:rPr>
            </w:pPr>
            <w:r w:rsidRPr="00831702">
              <w:rPr>
                <w:position w:val="6"/>
                <w:sz w:val="18"/>
                <w:szCs w:val="22"/>
                <w:lang w:val="hr-HR"/>
              </w:rPr>
              <w:t>1</w:t>
            </w:r>
            <w:r w:rsidRPr="00831702">
              <w:rPr>
                <w:spacing w:val="13"/>
                <w:position w:val="6"/>
                <w:sz w:val="20"/>
                <w:szCs w:val="22"/>
                <w:lang w:val="hr-HR"/>
              </w:rPr>
              <w:t xml:space="preserve"> </w:t>
            </w:r>
            <w:r w:rsidRPr="00831702">
              <w:rPr>
                <w:sz w:val="20"/>
                <w:szCs w:val="22"/>
                <w:lang w:val="hr-HR"/>
              </w:rPr>
              <w:t>Primijećeno tokom praćenja nakon stavljanja lijeka u promet.</w:t>
            </w:r>
          </w:p>
          <w:p w:rsidR="00EC738D" w:rsidRPr="00831702" w:rsidRDefault="00EC738D" w:rsidP="00EC738D">
            <w:pPr>
              <w:pStyle w:val="TableParagraph"/>
              <w:spacing w:line="194" w:lineRule="exact"/>
              <w:ind w:left="107"/>
              <w:rPr>
                <w:sz w:val="20"/>
                <w:szCs w:val="22"/>
                <w:lang w:val="hr-HR"/>
              </w:rPr>
            </w:pPr>
            <w:r w:rsidRPr="00831702">
              <w:rPr>
                <w:position w:val="6"/>
                <w:sz w:val="16"/>
                <w:szCs w:val="22"/>
                <w:lang w:val="hr-HR"/>
              </w:rPr>
              <w:t>2</w:t>
            </w:r>
            <w:r w:rsidRPr="00831702">
              <w:rPr>
                <w:position w:val="6"/>
                <w:sz w:val="20"/>
                <w:szCs w:val="22"/>
                <w:lang w:val="hr-HR"/>
              </w:rPr>
              <w:t xml:space="preserve"> </w:t>
            </w:r>
            <w:r w:rsidRPr="00831702">
              <w:rPr>
                <w:sz w:val="20"/>
                <w:szCs w:val="22"/>
                <w:lang w:val="hr-HR"/>
              </w:rPr>
              <w:t>Vidjeti i dio o infekcijama u nastavku.</w:t>
            </w:r>
          </w:p>
          <w:p w:rsidR="00EC738D" w:rsidRPr="00831702" w:rsidRDefault="00EC738D" w:rsidP="00EC738D">
            <w:pPr>
              <w:pStyle w:val="TableParagraph"/>
              <w:spacing w:line="194" w:lineRule="exact"/>
              <w:ind w:left="107"/>
              <w:rPr>
                <w:szCs w:val="22"/>
                <w:lang w:val="hr-HR"/>
              </w:rPr>
            </w:pPr>
            <w:r w:rsidRPr="00831702">
              <w:rPr>
                <w:position w:val="6"/>
                <w:sz w:val="16"/>
                <w:szCs w:val="22"/>
                <w:lang w:val="hr-HR"/>
              </w:rPr>
              <w:t>3</w:t>
            </w:r>
            <w:r w:rsidRPr="00831702">
              <w:rPr>
                <w:spacing w:val="13"/>
                <w:position w:val="6"/>
                <w:sz w:val="20"/>
                <w:szCs w:val="22"/>
                <w:lang w:val="hr-HR"/>
              </w:rPr>
              <w:t xml:space="preserve"> </w:t>
            </w:r>
            <w:r w:rsidRPr="00831702">
              <w:rPr>
                <w:sz w:val="20"/>
                <w:szCs w:val="22"/>
                <w:lang w:val="hr-HR"/>
              </w:rPr>
              <w:t>Detalji o reakcijama povezanim sa primjenom infuzije navedene su dostupni u dijelu „Odabrane neželjene reakcije“.</w:t>
            </w:r>
          </w:p>
        </w:tc>
      </w:tr>
    </w:tbl>
    <w:p w:rsidR="00EC738D" w:rsidRPr="0055610F" w:rsidRDefault="00EC738D" w:rsidP="004D5825">
      <w:pPr>
        <w:keepNext/>
        <w:keepLines/>
        <w:tabs>
          <w:tab w:val="left" w:pos="284"/>
        </w:tabs>
        <w:spacing w:line="280" w:lineRule="atLeast"/>
        <w:jc w:val="both"/>
        <w:rPr>
          <w:sz w:val="22"/>
          <w:szCs w:val="22"/>
          <w:lang w:val="sr-Latn-ME"/>
        </w:rPr>
      </w:pPr>
    </w:p>
    <w:p w:rsidR="00496E03" w:rsidRPr="0055610F" w:rsidRDefault="00496E03" w:rsidP="004D5825">
      <w:pPr>
        <w:tabs>
          <w:tab w:val="left" w:pos="284"/>
        </w:tabs>
        <w:jc w:val="both"/>
        <w:rPr>
          <w:sz w:val="22"/>
          <w:szCs w:val="22"/>
          <w:lang w:val="sr-Latn-ME"/>
        </w:rPr>
      </w:pPr>
      <w:r w:rsidRPr="0055610F">
        <w:rPr>
          <w:sz w:val="22"/>
          <w:szCs w:val="22"/>
          <w:lang w:val="sr-Latn-ME"/>
        </w:rPr>
        <w:br/>
        <w:t xml:space="preserve">Ukupan bezbjednosni profil je bio konzistentan sa već dobro utvrđenih bezbjednosnim profilom za lijek MabThera u odobrenim indikacijama za autoimunske bolesti, uključujući i GPA/MPA. Ukupno, 4% pacijenata u grupi koja je liječena lijekom MabThera je iskusila neželjene događaje koji su doveli do prekida terapije. Većina neželjenih događaja u grupi pacijenata liječenih lijekom MabThera je bila slabog do umjerenog intenziteta. Nijedan pacijent na terapiji lijekom MabThera nije imao fatalni neželjeni događaj. </w:t>
      </w:r>
    </w:p>
    <w:p w:rsidR="00496E03" w:rsidRPr="0055610F" w:rsidRDefault="00496E03" w:rsidP="004D5825">
      <w:pPr>
        <w:tabs>
          <w:tab w:val="left" w:pos="284"/>
        </w:tabs>
        <w:jc w:val="both"/>
        <w:rPr>
          <w:sz w:val="22"/>
          <w:szCs w:val="22"/>
          <w:lang w:val="sr-Latn-ME"/>
        </w:rPr>
      </w:pPr>
    </w:p>
    <w:p w:rsidR="00496E03" w:rsidRPr="0055610F" w:rsidRDefault="00496E03" w:rsidP="004D5825">
      <w:pPr>
        <w:tabs>
          <w:tab w:val="left" w:pos="284"/>
        </w:tabs>
        <w:jc w:val="both"/>
        <w:rPr>
          <w:sz w:val="22"/>
          <w:szCs w:val="22"/>
          <w:lang w:val="sr-Latn-ME"/>
        </w:rPr>
      </w:pPr>
      <w:r w:rsidRPr="0055610F">
        <w:rPr>
          <w:sz w:val="22"/>
          <w:szCs w:val="22"/>
          <w:lang w:val="sr-Latn-ME"/>
        </w:rPr>
        <w:t xml:space="preserve">Najčešće prijavljivani događaji koji su smatrani neželjenim reakcijama na lijek su bile reakcije povezane sa primjenom infuzije i infekcije. </w:t>
      </w:r>
    </w:p>
    <w:p w:rsidR="00496E03" w:rsidRPr="0055610F" w:rsidRDefault="00496E03" w:rsidP="004D5825">
      <w:pPr>
        <w:tabs>
          <w:tab w:val="left" w:pos="284"/>
        </w:tabs>
        <w:jc w:val="both"/>
        <w:rPr>
          <w:sz w:val="22"/>
          <w:szCs w:val="22"/>
          <w:lang w:val="sr-Latn-ME"/>
        </w:rPr>
      </w:pPr>
    </w:p>
    <w:p w:rsidR="00496E03" w:rsidRPr="0055610F" w:rsidRDefault="00496E03" w:rsidP="004D5825">
      <w:pPr>
        <w:tabs>
          <w:tab w:val="left" w:pos="284"/>
        </w:tabs>
        <w:jc w:val="both"/>
        <w:rPr>
          <w:i/>
          <w:sz w:val="22"/>
          <w:szCs w:val="22"/>
          <w:lang w:val="sr-Latn-ME"/>
        </w:rPr>
      </w:pPr>
      <w:r w:rsidRPr="0055610F">
        <w:rPr>
          <w:i/>
          <w:sz w:val="22"/>
          <w:szCs w:val="22"/>
          <w:lang w:val="sr-Latn-ME"/>
        </w:rPr>
        <w:t>Dugotrajno praćenje (</w:t>
      </w:r>
      <w:r w:rsidR="00CA6E91" w:rsidRPr="0055610F">
        <w:rPr>
          <w:i/>
          <w:sz w:val="22"/>
          <w:szCs w:val="22"/>
          <w:lang w:val="sr-Latn-ME"/>
        </w:rPr>
        <w:t>3. studija kod GPA/MPA</w:t>
      </w:r>
      <w:r w:rsidRPr="0055610F">
        <w:rPr>
          <w:i/>
          <w:sz w:val="22"/>
          <w:szCs w:val="22"/>
          <w:lang w:val="sr-Latn-ME"/>
        </w:rPr>
        <w:t>)</w:t>
      </w:r>
    </w:p>
    <w:p w:rsidR="00496E03" w:rsidRPr="0055610F" w:rsidRDefault="00496E03" w:rsidP="004D5825">
      <w:pPr>
        <w:tabs>
          <w:tab w:val="left" w:pos="284"/>
        </w:tabs>
        <w:jc w:val="both"/>
        <w:rPr>
          <w:sz w:val="22"/>
          <w:szCs w:val="22"/>
          <w:lang w:val="sr-Latn-ME"/>
        </w:rPr>
      </w:pPr>
      <w:r w:rsidRPr="0055610F">
        <w:rPr>
          <w:sz w:val="22"/>
          <w:szCs w:val="22"/>
          <w:lang w:val="sr-Latn-ME"/>
        </w:rPr>
        <w:t>U dugotrajnim opservacionim studijama bezbjednosti, 97 GPA/MPA pacijenata je primalo lijek MabThera (u prosjeku osam infuzija [opseg 1-28]) tokom četiri godine, prema standardnoj praksi i odluci njihovih l</w:t>
      </w:r>
      <w:r w:rsidR="002D3938" w:rsidRPr="0055610F">
        <w:rPr>
          <w:sz w:val="22"/>
          <w:szCs w:val="22"/>
          <w:lang w:val="sr-Latn-ME"/>
        </w:rPr>
        <w:t>j</w:t>
      </w:r>
      <w:r w:rsidRPr="0055610F">
        <w:rPr>
          <w:sz w:val="22"/>
          <w:szCs w:val="22"/>
          <w:lang w:val="sr-Latn-ME"/>
        </w:rPr>
        <w:t xml:space="preserve">ekara.  Ukupan bezbjednosni profil je bio konzistentan sa već dobro utvrđenim </w:t>
      </w:r>
      <w:r w:rsidRPr="0055610F">
        <w:rPr>
          <w:sz w:val="22"/>
          <w:szCs w:val="22"/>
          <w:lang w:val="sr-Latn-ME"/>
        </w:rPr>
        <w:lastRenderedPageBreak/>
        <w:t>bezbjednosnim profilom za lijek MabThera u indikacijama za RA i GPA/MPA a nove neželjene reakcije ni</w:t>
      </w:r>
      <w:r w:rsidR="002D3938" w:rsidRPr="0055610F">
        <w:rPr>
          <w:sz w:val="22"/>
          <w:szCs w:val="22"/>
          <w:lang w:val="sr-Latn-ME"/>
        </w:rPr>
        <w:t>je</w:t>
      </w:r>
      <w:r w:rsidRPr="0055610F">
        <w:rPr>
          <w:sz w:val="22"/>
          <w:szCs w:val="22"/>
          <w:lang w:val="sr-Latn-ME"/>
        </w:rPr>
        <w:t xml:space="preserve">su prijavljene. </w:t>
      </w:r>
    </w:p>
    <w:p w:rsidR="00496E03" w:rsidRPr="0055610F" w:rsidRDefault="00496E03" w:rsidP="004D5825">
      <w:pPr>
        <w:tabs>
          <w:tab w:val="left" w:pos="284"/>
          <w:tab w:val="center" w:pos="4320"/>
          <w:tab w:val="right" w:pos="8640"/>
        </w:tabs>
        <w:jc w:val="both"/>
        <w:rPr>
          <w:sz w:val="22"/>
          <w:szCs w:val="22"/>
          <w:lang w:val="sr-Latn-ME"/>
        </w:rPr>
      </w:pPr>
    </w:p>
    <w:p w:rsidR="00496E03" w:rsidRPr="0055610F" w:rsidRDefault="00496E03" w:rsidP="004D5825">
      <w:pPr>
        <w:jc w:val="both"/>
        <w:rPr>
          <w:i/>
          <w:noProof/>
          <w:sz w:val="22"/>
          <w:szCs w:val="22"/>
          <w:lang w:val="sr-Latn-ME"/>
        </w:rPr>
      </w:pPr>
      <w:r w:rsidRPr="0055610F">
        <w:rPr>
          <w:i/>
          <w:noProof/>
          <w:sz w:val="22"/>
          <w:szCs w:val="22"/>
          <w:lang w:val="sr-Latn-ME"/>
        </w:rPr>
        <w:t>Pedijatrijska populacija</w:t>
      </w:r>
    </w:p>
    <w:p w:rsidR="00496E03" w:rsidRPr="0055610F" w:rsidRDefault="00496E03" w:rsidP="004D5825">
      <w:pPr>
        <w:jc w:val="both"/>
        <w:rPr>
          <w:sz w:val="22"/>
          <w:szCs w:val="22"/>
          <w:lang w:val="sr-Latn-ME"/>
        </w:rPr>
      </w:pPr>
      <w:r w:rsidRPr="0055610F">
        <w:rPr>
          <w:sz w:val="22"/>
          <w:szCs w:val="22"/>
          <w:lang w:val="sr-Latn-ME"/>
        </w:rPr>
        <w:t>Sprovedeno je otvoreno, neusporedno ispitivanje koje je obuhvatalo 25 pedijatrijskih pacijenata s teškim, aktivnim GPA ili MPA. Cjelokupan period ispitivanja sastojao se od 6</w:t>
      </w:r>
      <w:r w:rsidRPr="0055610F">
        <w:rPr>
          <w:sz w:val="22"/>
          <w:szCs w:val="22"/>
          <w:lang w:val="sr-Latn-ME"/>
        </w:rPr>
        <w:noBreakHyphen/>
        <w:t>mjesečne faze indukcije remisije uz minimalno 18 mjeseci praćenja te je ukupno trajalo do 4,5 godina. Tokom faze praćenja lijek MabThera se prim</w:t>
      </w:r>
      <w:r w:rsidR="002D3938" w:rsidRPr="0055610F">
        <w:rPr>
          <w:sz w:val="22"/>
          <w:szCs w:val="22"/>
          <w:lang w:val="sr-Latn-ME"/>
        </w:rPr>
        <w:t>j</w:t>
      </w:r>
      <w:r w:rsidRPr="0055610F">
        <w:rPr>
          <w:sz w:val="22"/>
          <w:szCs w:val="22"/>
          <w:lang w:val="sr-Latn-ME"/>
        </w:rPr>
        <w:t>enjivao prema odluci ispitivača (17 od 25 pacijenata primilo je dodatno l</w:t>
      </w:r>
      <w:r w:rsidR="002D3938" w:rsidRPr="0055610F">
        <w:rPr>
          <w:sz w:val="22"/>
          <w:szCs w:val="22"/>
          <w:lang w:val="sr-Latn-ME"/>
        </w:rPr>
        <w:t>i</w:t>
      </w:r>
      <w:r w:rsidRPr="0055610F">
        <w:rPr>
          <w:sz w:val="22"/>
          <w:szCs w:val="22"/>
          <w:lang w:val="sr-Latn-ME"/>
        </w:rPr>
        <w:t xml:space="preserve">ječenje lijekom MabThera). Pacijenti su mogli istovremeno primati i drugu imunosupresivnu terapiju (vidjeti dio 5.1). </w:t>
      </w:r>
    </w:p>
    <w:p w:rsidR="00B21971" w:rsidRPr="0055610F" w:rsidRDefault="00B21971"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Neželjenim reakcijama su se smatrali štetni događaji čija je incidenca bila ≥ 10%, a koji su uključivali: infekcije (17 pacijenata [68%] u fazi indukcije remisije; 23 pacijenta [92%] tokom c</w:t>
      </w:r>
      <w:r w:rsidR="002D3938" w:rsidRPr="0055610F">
        <w:rPr>
          <w:sz w:val="22"/>
          <w:szCs w:val="22"/>
          <w:lang w:val="sr-Latn-ME"/>
        </w:rPr>
        <w:t>j</w:t>
      </w:r>
      <w:r w:rsidRPr="0055610F">
        <w:rPr>
          <w:sz w:val="22"/>
          <w:szCs w:val="22"/>
          <w:lang w:val="sr-Latn-ME"/>
        </w:rPr>
        <w:t>elokupnog razdoblja ispitivanja), reakcije na infuziju (15 pacijenata [60%] u fazi indukcije remisije; 17 pacijenata [68%] tokom c</w:t>
      </w:r>
      <w:r w:rsidR="002D3938" w:rsidRPr="0055610F">
        <w:rPr>
          <w:sz w:val="22"/>
          <w:szCs w:val="22"/>
          <w:lang w:val="sr-Latn-ME"/>
        </w:rPr>
        <w:t>j</w:t>
      </w:r>
      <w:r w:rsidRPr="0055610F">
        <w:rPr>
          <w:sz w:val="22"/>
          <w:szCs w:val="22"/>
          <w:lang w:val="sr-Latn-ME"/>
        </w:rPr>
        <w:t>elokupnog razdoblja ispitivanja) i mučnina (4 pacijenata [16%] u fazi indukcije remisije; 5 pacijenata [20%] tokom c</w:t>
      </w:r>
      <w:r w:rsidR="002D3938" w:rsidRPr="0055610F">
        <w:rPr>
          <w:sz w:val="22"/>
          <w:szCs w:val="22"/>
          <w:lang w:val="sr-Latn-ME"/>
        </w:rPr>
        <w:t>j</w:t>
      </w:r>
      <w:r w:rsidRPr="0055610F">
        <w:rPr>
          <w:sz w:val="22"/>
          <w:szCs w:val="22"/>
          <w:lang w:val="sr-Latn-ME"/>
        </w:rPr>
        <w:t xml:space="preserve">elokupnog razdoblja ispitivanja).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Bezb</w:t>
      </w:r>
      <w:r w:rsidR="002D3938" w:rsidRPr="0055610F">
        <w:rPr>
          <w:sz w:val="22"/>
          <w:szCs w:val="22"/>
          <w:lang w:val="sr-Latn-ME"/>
        </w:rPr>
        <w:t>j</w:t>
      </w:r>
      <w:r w:rsidRPr="0055610F">
        <w:rPr>
          <w:sz w:val="22"/>
          <w:szCs w:val="22"/>
          <w:lang w:val="sr-Latn-ME"/>
        </w:rPr>
        <w:t>ednosni profil lijeka MabThera tokom c</w:t>
      </w:r>
      <w:r w:rsidR="002D3938" w:rsidRPr="0055610F">
        <w:rPr>
          <w:sz w:val="22"/>
          <w:szCs w:val="22"/>
          <w:lang w:val="sr-Latn-ME"/>
        </w:rPr>
        <w:t>j</w:t>
      </w:r>
      <w:r w:rsidRPr="0055610F">
        <w:rPr>
          <w:sz w:val="22"/>
          <w:szCs w:val="22"/>
          <w:lang w:val="sr-Latn-ME"/>
        </w:rPr>
        <w:t xml:space="preserve">elokupnog razdoblja ispitivanja bio je u skladu s onim prijavljenim tokom faze indukcije remisije. </w:t>
      </w:r>
    </w:p>
    <w:p w:rsidR="00496E03" w:rsidRPr="0055610F" w:rsidRDefault="00496E03" w:rsidP="004D5825">
      <w:pPr>
        <w:jc w:val="both"/>
        <w:rPr>
          <w:sz w:val="22"/>
          <w:szCs w:val="22"/>
          <w:lang w:val="sr-Latn-ME"/>
        </w:rPr>
      </w:pPr>
    </w:p>
    <w:p w:rsidR="00496E03" w:rsidRPr="0055610F" w:rsidRDefault="00496E03" w:rsidP="004D5825">
      <w:pPr>
        <w:jc w:val="both"/>
        <w:rPr>
          <w:sz w:val="22"/>
          <w:szCs w:val="22"/>
          <w:lang w:val="sr-Latn-ME"/>
        </w:rPr>
      </w:pPr>
      <w:r w:rsidRPr="0055610F">
        <w:rPr>
          <w:sz w:val="22"/>
          <w:szCs w:val="22"/>
          <w:lang w:val="sr-Latn-ME"/>
        </w:rPr>
        <w:t>Bezb</w:t>
      </w:r>
      <w:r w:rsidR="002D3938" w:rsidRPr="0055610F">
        <w:rPr>
          <w:sz w:val="22"/>
          <w:szCs w:val="22"/>
          <w:lang w:val="sr-Latn-ME"/>
        </w:rPr>
        <w:t>j</w:t>
      </w:r>
      <w:r w:rsidRPr="0055610F">
        <w:rPr>
          <w:sz w:val="22"/>
          <w:szCs w:val="22"/>
          <w:lang w:val="sr-Latn-ME"/>
        </w:rPr>
        <w:t>ednosni profil lijeka MabThera kod pedijatrijskih pacijenata s GPA ili MPA odgovarao je vrstom, prirodom i težinom neželjenih reakcija poznatom bezbjednosnom profilu kod odraslih pacijenata utvrđenim u odobrenim indikacijama za lječenje autoimunskih bolesti, uključujući GPA ili MPA kod odraslih.</w:t>
      </w:r>
    </w:p>
    <w:p w:rsidR="00496E03" w:rsidRPr="0055610F" w:rsidRDefault="00496E03" w:rsidP="004D5825">
      <w:pPr>
        <w:tabs>
          <w:tab w:val="left" w:pos="284"/>
          <w:tab w:val="center" w:pos="4320"/>
          <w:tab w:val="right" w:pos="8640"/>
        </w:tabs>
        <w:jc w:val="both"/>
        <w:rPr>
          <w:sz w:val="22"/>
          <w:szCs w:val="22"/>
          <w:lang w:val="sr-Latn-ME"/>
        </w:rPr>
      </w:pPr>
    </w:p>
    <w:p w:rsidR="00496E03" w:rsidRPr="0055610F" w:rsidRDefault="00496E03" w:rsidP="004D5825">
      <w:pPr>
        <w:tabs>
          <w:tab w:val="left" w:pos="6804"/>
        </w:tabs>
        <w:jc w:val="both"/>
        <w:outlineLvl w:val="0"/>
        <w:rPr>
          <w:i/>
          <w:sz w:val="22"/>
          <w:szCs w:val="22"/>
          <w:u w:val="single"/>
          <w:lang w:val="sr-Latn-ME"/>
        </w:rPr>
      </w:pPr>
      <w:r w:rsidRPr="0055610F">
        <w:rPr>
          <w:i/>
          <w:sz w:val="22"/>
          <w:szCs w:val="22"/>
          <w:u w:val="single"/>
          <w:lang w:val="sr-Latn-ME"/>
        </w:rPr>
        <w:t>Odabrana neželjena dejstva:</w:t>
      </w:r>
    </w:p>
    <w:p w:rsidR="00496E03" w:rsidRPr="0055610F" w:rsidRDefault="00496E03" w:rsidP="004D5825">
      <w:pPr>
        <w:keepNext/>
        <w:jc w:val="both"/>
        <w:outlineLvl w:val="0"/>
        <w:rPr>
          <w:i/>
          <w:sz w:val="22"/>
          <w:szCs w:val="22"/>
          <w:highlight w:val="yellow"/>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t>Reakcije povezane sa infuzijom</w:t>
      </w:r>
    </w:p>
    <w:p w:rsidR="00496E03" w:rsidRPr="0055610F" w:rsidRDefault="00496E03" w:rsidP="004D5825">
      <w:pPr>
        <w:autoSpaceDE w:val="0"/>
        <w:autoSpaceDN w:val="0"/>
        <w:adjustRightInd w:val="0"/>
        <w:jc w:val="both"/>
        <w:outlineLvl w:val="0"/>
        <w:rPr>
          <w:sz w:val="22"/>
          <w:szCs w:val="22"/>
          <w:lang w:val="sr-Latn-ME"/>
        </w:rPr>
      </w:pPr>
      <w:r w:rsidRPr="0055610F">
        <w:rPr>
          <w:sz w:val="22"/>
          <w:szCs w:val="22"/>
          <w:lang w:val="sr-Latn-ME"/>
        </w:rPr>
        <w:t xml:space="preserve">U </w:t>
      </w:r>
      <w:r w:rsidR="00CA6E91" w:rsidRPr="0055610F">
        <w:rPr>
          <w:sz w:val="22"/>
          <w:szCs w:val="22"/>
          <w:lang w:val="sr-Latn-ME"/>
        </w:rPr>
        <w:t>1. studiji kod GPA/MPA</w:t>
      </w:r>
      <w:r w:rsidRPr="0055610F">
        <w:rPr>
          <w:sz w:val="22"/>
          <w:szCs w:val="22"/>
          <w:lang w:val="sr-Latn-ME"/>
        </w:rPr>
        <w:t xml:space="preserve"> (studija indukcije remisije kod odraslih pacijenata), reakcije povezane sa primjenom infuzije su definisane kao bilo koji neželjeni događaj koji je nastupio u okviru 24 sata od infuzije i koji je istraživač populacije u ispitivanju bezbjednosti lijeka smatrao povezanim sa infuzijom. Od devedeset i devet pacijenata koji su liječeni lijekom MabThera kod 12% ih je imalo barem jednu reakciju povezanu sa infuzijom. Sve su infuzijske reakcije bile 1. ili 2. stepena prema CTC kriterijima. Najčešće infuzione reakcije bile su sindrom otpuštanja citokina, crvenilo praćeno osjećajem vrućine, iritacija grla i tremor. MabThera se primjenjivala u kombinaciji s intravenskim glukokortikoidima, što može smanjiti incidencu i težinu tih događaja.</w:t>
      </w:r>
    </w:p>
    <w:p w:rsidR="00496E03" w:rsidRPr="0055610F" w:rsidRDefault="00496E03" w:rsidP="004D5825">
      <w:pPr>
        <w:autoSpaceDE w:val="0"/>
        <w:autoSpaceDN w:val="0"/>
        <w:adjustRightInd w:val="0"/>
        <w:jc w:val="both"/>
        <w:outlineLvl w:val="0"/>
        <w:rPr>
          <w:sz w:val="22"/>
          <w:szCs w:val="22"/>
          <w:lang w:val="sr-Latn-ME"/>
        </w:rPr>
      </w:pPr>
    </w:p>
    <w:p w:rsidR="00496E03" w:rsidRPr="0055610F" w:rsidRDefault="00496E03" w:rsidP="004D5825">
      <w:pPr>
        <w:autoSpaceDE w:val="0"/>
        <w:autoSpaceDN w:val="0"/>
        <w:adjustRightInd w:val="0"/>
        <w:jc w:val="both"/>
        <w:outlineLvl w:val="0"/>
        <w:rPr>
          <w:sz w:val="22"/>
          <w:szCs w:val="22"/>
          <w:lang w:val="sr-Latn-ME"/>
        </w:rPr>
      </w:pPr>
      <w:r w:rsidRPr="0055610F">
        <w:rPr>
          <w:sz w:val="22"/>
          <w:szCs w:val="22"/>
          <w:lang w:val="sr-Latn-ME"/>
        </w:rPr>
        <w:t xml:space="preserve">U </w:t>
      </w:r>
      <w:r w:rsidR="00CA6E91" w:rsidRPr="0055610F">
        <w:rPr>
          <w:sz w:val="22"/>
          <w:szCs w:val="22"/>
          <w:lang w:val="sr-Latn-ME"/>
        </w:rPr>
        <w:t>2. studiji kod GPA/MPA</w:t>
      </w:r>
      <w:r w:rsidRPr="0055610F">
        <w:rPr>
          <w:sz w:val="22"/>
          <w:szCs w:val="22"/>
          <w:lang w:val="sr-Latn-ME"/>
        </w:rPr>
        <w:t xml:space="preserve"> (studija terapije održavanja kod odraslih pacijenata), 7/57 (12%) odraslih pacijenata u grupi kod koje je primjenjivan lijek MabThera je iskusilo najmanje jednu reakciju povezanu sa primjenom infuzije. Incidenca simptoma reakcija povezanih sa primjenom infuzije (9%) su bile najveće tokom i nakon prve infuzije i smanjivale su se sa svakom narednom infuzijom (4%). Svi simptomi reakcija povezanih sa primjenom infuzije su bili blagi do um</w:t>
      </w:r>
      <w:r w:rsidR="00D66C9F" w:rsidRPr="0055610F">
        <w:rPr>
          <w:sz w:val="22"/>
          <w:szCs w:val="22"/>
          <w:lang w:val="sr-Latn-ME"/>
        </w:rPr>
        <w:t>j</w:t>
      </w:r>
      <w:r w:rsidRPr="0055610F">
        <w:rPr>
          <w:sz w:val="22"/>
          <w:szCs w:val="22"/>
          <w:lang w:val="sr-Latn-ME"/>
        </w:rPr>
        <w:t>ereni i većina su po Klasifikacije sistema organa (SOC) respiratorni, torakalni i medijastinalni poremećaji i kožni i supkutani tkivni poremećaji.</w:t>
      </w:r>
    </w:p>
    <w:p w:rsidR="00496E03" w:rsidRPr="0055610F" w:rsidRDefault="00496E03" w:rsidP="004D5825">
      <w:pPr>
        <w:autoSpaceDE w:val="0"/>
        <w:autoSpaceDN w:val="0"/>
        <w:adjustRightInd w:val="0"/>
        <w:jc w:val="both"/>
        <w:outlineLvl w:val="0"/>
        <w:rPr>
          <w:sz w:val="22"/>
          <w:szCs w:val="22"/>
          <w:lang w:val="sr-Latn-ME"/>
        </w:rPr>
      </w:pPr>
    </w:p>
    <w:p w:rsidR="00496E03" w:rsidRPr="0055610F" w:rsidRDefault="00496E03" w:rsidP="004D5825">
      <w:pPr>
        <w:autoSpaceDE w:val="0"/>
        <w:autoSpaceDN w:val="0"/>
        <w:adjustRightInd w:val="0"/>
        <w:jc w:val="both"/>
        <w:outlineLvl w:val="0"/>
        <w:rPr>
          <w:sz w:val="22"/>
          <w:szCs w:val="22"/>
          <w:lang w:val="sr-Latn-ME"/>
        </w:rPr>
      </w:pPr>
      <w:r w:rsidRPr="0055610F">
        <w:rPr>
          <w:rFonts w:eastAsia="MS Mincho"/>
          <w:sz w:val="22"/>
          <w:szCs w:val="22"/>
          <w:lang w:val="sr-Latn-ME"/>
        </w:rPr>
        <w:t>U kliničkom ispitivanju sprovedenom kod pedijatrijskih pacijenata s GPA ili MPA reakcije na infuziju prvenstveno su zabilježene kod prve infuzije (8 pacijenata [32%]), da bi se sa sl</w:t>
      </w:r>
      <w:r w:rsidR="00D66C9F" w:rsidRPr="0055610F">
        <w:rPr>
          <w:rFonts w:eastAsia="MS Mincho"/>
          <w:sz w:val="22"/>
          <w:szCs w:val="22"/>
          <w:lang w:val="sr-Latn-ME"/>
        </w:rPr>
        <w:t>j</w:t>
      </w:r>
      <w:r w:rsidRPr="0055610F">
        <w:rPr>
          <w:rFonts w:eastAsia="MS Mincho"/>
          <w:sz w:val="22"/>
          <w:szCs w:val="22"/>
          <w:lang w:val="sr-Latn-ME"/>
        </w:rPr>
        <w:t>edećim infuzijama lijeka MabThera njihova učestalost smanjivala (20% kod druge infuzije, 12% kod treće infuzije te 8% kod četvrte infuzije). Najčešći simptomi reakcija na infuziju prijavljeni tokom faze indukcije remisije bili su: glavobolja, osip, rinoreja i pireksija (8% za svaki simptom). Opaženi simptomi reakcija na infuziju bili su slični poznatim simptomima kod odraslih pacijenata s GPA ili MPA lječenih lijekom MabThera. Većina reakcija na infuziju je bila 1. i 2. stepena težine, a prijavljene su i dvije reakcije na infuziju 3. stepena koje ni</w:t>
      </w:r>
      <w:r w:rsidR="00D66C9F" w:rsidRPr="0055610F">
        <w:rPr>
          <w:rFonts w:eastAsia="MS Mincho"/>
          <w:sz w:val="22"/>
          <w:szCs w:val="22"/>
          <w:lang w:val="sr-Latn-ME"/>
        </w:rPr>
        <w:t>je</w:t>
      </w:r>
      <w:r w:rsidRPr="0055610F">
        <w:rPr>
          <w:rFonts w:eastAsia="MS Mincho"/>
          <w:sz w:val="22"/>
          <w:szCs w:val="22"/>
          <w:lang w:val="sr-Latn-ME"/>
        </w:rPr>
        <w:t>su bile ozbiljne. Nije zabilježena nijedna reakcija na infuziju 4. ili 5. stepena. Kod jednog pacijenta je prijavljena jedna ozbiljna reakcija na infuziju 2. stepena težine (generalizovani edem koji se povukao uz l</w:t>
      </w:r>
      <w:r w:rsidR="00D66C9F" w:rsidRPr="0055610F">
        <w:rPr>
          <w:rFonts w:eastAsia="MS Mincho"/>
          <w:sz w:val="22"/>
          <w:szCs w:val="22"/>
          <w:lang w:val="sr-Latn-ME"/>
        </w:rPr>
        <w:t>i</w:t>
      </w:r>
      <w:r w:rsidRPr="0055610F">
        <w:rPr>
          <w:rFonts w:eastAsia="MS Mincho"/>
          <w:sz w:val="22"/>
          <w:szCs w:val="22"/>
          <w:lang w:val="sr-Latn-ME"/>
        </w:rPr>
        <w:t>ječenje) (vid</w:t>
      </w:r>
      <w:r w:rsidR="0074611C">
        <w:rPr>
          <w:rFonts w:eastAsia="MS Mincho"/>
          <w:sz w:val="22"/>
          <w:szCs w:val="22"/>
          <w:lang w:val="sr-Latn-ME"/>
        </w:rPr>
        <w:t>j</w:t>
      </w:r>
      <w:r w:rsidRPr="0055610F">
        <w:rPr>
          <w:rFonts w:eastAsia="MS Mincho"/>
          <w:sz w:val="22"/>
          <w:szCs w:val="22"/>
          <w:lang w:val="sr-Latn-ME"/>
        </w:rPr>
        <w:t>eti dio 4.4).</w:t>
      </w:r>
    </w:p>
    <w:p w:rsidR="00496E03" w:rsidRPr="0055610F" w:rsidRDefault="00496E03" w:rsidP="004D5825">
      <w:pPr>
        <w:autoSpaceDE w:val="0"/>
        <w:autoSpaceDN w:val="0"/>
        <w:adjustRightInd w:val="0"/>
        <w:jc w:val="both"/>
        <w:outlineLvl w:val="0"/>
        <w:rPr>
          <w:sz w:val="22"/>
          <w:szCs w:val="22"/>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lastRenderedPageBreak/>
        <w:t xml:space="preserve">Infekcije </w:t>
      </w:r>
    </w:p>
    <w:p w:rsidR="00496E03" w:rsidRPr="0055610F" w:rsidRDefault="00496E03" w:rsidP="004D5825">
      <w:pPr>
        <w:tabs>
          <w:tab w:val="left" w:pos="6804"/>
        </w:tabs>
        <w:jc w:val="both"/>
        <w:outlineLvl w:val="0"/>
        <w:rPr>
          <w:sz w:val="22"/>
          <w:szCs w:val="22"/>
          <w:lang w:val="sr-Latn-ME"/>
        </w:rPr>
      </w:pPr>
      <w:r w:rsidRPr="0055610F">
        <w:rPr>
          <w:sz w:val="22"/>
          <w:szCs w:val="22"/>
          <w:lang w:val="sr-Latn-ME"/>
        </w:rPr>
        <w:t xml:space="preserve">U </w:t>
      </w:r>
      <w:r w:rsidR="00CA6E91" w:rsidRPr="0055610F">
        <w:rPr>
          <w:sz w:val="22"/>
          <w:szCs w:val="22"/>
          <w:lang w:val="sr-Latn-ME"/>
        </w:rPr>
        <w:t>1. studiji kod GPA/MPA</w:t>
      </w:r>
      <w:r w:rsidRPr="0055610F">
        <w:rPr>
          <w:sz w:val="22"/>
          <w:szCs w:val="22"/>
          <w:lang w:val="sr-Latn-ME"/>
        </w:rPr>
        <w:t>, koja je uključivala 99 pacijenata sa teškim oblikom GPA i MPA ukupna stopa infekcija iznosila je približno 237 na 100 pacijent</w:t>
      </w:r>
      <w:r w:rsidRPr="0055610F">
        <w:rPr>
          <w:sz w:val="22"/>
          <w:szCs w:val="22"/>
          <w:lang w:val="sr-Latn-ME"/>
        </w:rPr>
        <w:noBreakHyphen/>
        <w:t>godina (95% CI 197 - 285) u trenutku primarne mjere ishoda nakon 6 mjeseci. Infekcije su pretežno bile blage do umjerene i uglavnom su obuhvatale infekcije gornjih disajnih puteva, herpes zoster i infekcije mokraćnih puteva. Stopa ozbiljnih infekcija iznosila je približno 25 na 100 pacijent</w:t>
      </w:r>
      <w:r w:rsidRPr="0055610F">
        <w:rPr>
          <w:sz w:val="22"/>
          <w:szCs w:val="22"/>
          <w:lang w:val="sr-Latn-ME"/>
        </w:rPr>
        <w:noBreakHyphen/>
        <w:t xml:space="preserve">godina. Najčešće prijavljena ozbiljna infekcija u grupi koja je primala lijek MabThera bila je upala pluća, sa učestalošću od 4%. </w:t>
      </w:r>
    </w:p>
    <w:p w:rsidR="00496E03" w:rsidRPr="0055610F" w:rsidRDefault="00496E03" w:rsidP="004D5825">
      <w:pPr>
        <w:tabs>
          <w:tab w:val="left" w:pos="6804"/>
        </w:tabs>
        <w:jc w:val="both"/>
        <w:outlineLvl w:val="0"/>
        <w:rPr>
          <w:sz w:val="22"/>
          <w:szCs w:val="22"/>
          <w:lang w:val="sr-Latn-ME"/>
        </w:rPr>
      </w:pPr>
    </w:p>
    <w:p w:rsidR="00496E03" w:rsidRPr="0055610F" w:rsidRDefault="00496E03" w:rsidP="004D5825">
      <w:pPr>
        <w:tabs>
          <w:tab w:val="left" w:pos="6804"/>
        </w:tabs>
        <w:jc w:val="both"/>
        <w:outlineLvl w:val="0"/>
        <w:rPr>
          <w:sz w:val="22"/>
          <w:szCs w:val="22"/>
          <w:lang w:val="sr-Latn-ME"/>
        </w:rPr>
      </w:pPr>
      <w:r w:rsidRPr="0055610F">
        <w:rPr>
          <w:sz w:val="22"/>
          <w:szCs w:val="22"/>
          <w:lang w:val="sr-Latn-ME"/>
        </w:rPr>
        <w:t xml:space="preserve">U </w:t>
      </w:r>
      <w:r w:rsidR="00CA6E91" w:rsidRPr="0055610F">
        <w:rPr>
          <w:sz w:val="22"/>
          <w:szCs w:val="22"/>
          <w:lang w:val="sr-Latn-ME"/>
        </w:rPr>
        <w:t>2. studiji kod GPA/MPA</w:t>
      </w:r>
      <w:r w:rsidRPr="0055610F">
        <w:rPr>
          <w:sz w:val="22"/>
          <w:szCs w:val="22"/>
          <w:lang w:val="sr-Latn-ME"/>
        </w:rPr>
        <w:t>, 30/57 (53%) odraslih pacijenata u grupi koja je primala lijek Mabthera je imalo infekciju. Incidenca svih gradusa infekcija je bila slična između grupa. Infekcije su bile predominantno blage do umjerene. Najćešće infekcije u grupi kod koje je primjenjivan lijek MabThera su infekcije gornjeg respiratornog trakta, gastroenteritis, infekcije urinarnog trakta i herpes zoster. Incidenca ozbiljnih infekcija je bila slična u obe grupe (prosečno 12%). Najščešće prijavljivanja ozbiljna infekcija u grupi koja je primala lijek MabThera je bio blag do umjeren bronhitis.</w:t>
      </w:r>
    </w:p>
    <w:p w:rsidR="00496E03" w:rsidRPr="0055610F" w:rsidRDefault="00496E03" w:rsidP="004D5825">
      <w:pPr>
        <w:tabs>
          <w:tab w:val="left" w:pos="6804"/>
        </w:tabs>
        <w:jc w:val="both"/>
        <w:outlineLvl w:val="0"/>
        <w:rPr>
          <w:sz w:val="22"/>
          <w:szCs w:val="22"/>
          <w:lang w:val="sr-Latn-ME"/>
        </w:rPr>
      </w:pPr>
    </w:p>
    <w:p w:rsidR="00496E03" w:rsidRPr="0055610F" w:rsidRDefault="00496E03" w:rsidP="004D5825">
      <w:pPr>
        <w:tabs>
          <w:tab w:val="left" w:pos="6804"/>
        </w:tabs>
        <w:jc w:val="both"/>
        <w:outlineLvl w:val="0"/>
        <w:rPr>
          <w:sz w:val="22"/>
          <w:szCs w:val="22"/>
          <w:lang w:val="sr-Latn-ME"/>
        </w:rPr>
      </w:pPr>
      <w:r w:rsidRPr="0055610F">
        <w:rPr>
          <w:sz w:val="22"/>
          <w:szCs w:val="22"/>
          <w:lang w:val="sr-Latn-ME"/>
        </w:rPr>
        <w:t xml:space="preserve">U kliničkom ispitivanju koje je obuhvatilo pedijatrijske pacijente s teškim, aktivnim GPA i MPA, 91% prijavljenih infekcija nije bilo ozbiljno, a njih 90% bilo je blage do umerene težine. </w:t>
      </w:r>
    </w:p>
    <w:p w:rsidR="00496E03" w:rsidRPr="0055610F" w:rsidRDefault="00496E03" w:rsidP="004D5825">
      <w:pPr>
        <w:tabs>
          <w:tab w:val="left" w:pos="6804"/>
        </w:tabs>
        <w:jc w:val="both"/>
        <w:outlineLvl w:val="0"/>
        <w:rPr>
          <w:sz w:val="22"/>
          <w:szCs w:val="22"/>
          <w:lang w:val="sr-Latn-ME"/>
        </w:rPr>
      </w:pPr>
    </w:p>
    <w:p w:rsidR="00496E03" w:rsidRDefault="00496E03" w:rsidP="004D5825">
      <w:pPr>
        <w:tabs>
          <w:tab w:val="left" w:pos="6804"/>
        </w:tabs>
        <w:jc w:val="both"/>
        <w:outlineLvl w:val="0"/>
        <w:rPr>
          <w:sz w:val="22"/>
          <w:szCs w:val="22"/>
          <w:lang w:val="sr-Latn-ME"/>
        </w:rPr>
      </w:pPr>
      <w:r w:rsidRPr="0055610F">
        <w:rPr>
          <w:sz w:val="22"/>
          <w:szCs w:val="22"/>
          <w:lang w:val="sr-Latn-ME"/>
        </w:rPr>
        <w:t xml:space="preserve">Najčešće infekcije tokom cijelog razdoblja ispitivanja bile su: infekcije gornjih disajnih puteva (48%), grip (24%), konjunktivitis (20%), nazofaringitis (20%), infekcije donjih disajnih puteva (16%), sinuzitis (16%), virusne infekcije gornjih disajnih puteva (16%), infekcija uha (12%), gastroenteritis (12%), faringitis (12%) i infekcija mokraćnih puteva (12%). Ozbiljne infekcije prijavljene su u 7 pacijenata (28%), a uključivale su: grip (2 pacijenta [8%]) i infekciju donjih disajnih puteva (2 pacijenata [8%]), kao najčešće prijavljene događaje.  </w:t>
      </w:r>
    </w:p>
    <w:p w:rsidR="006F7465" w:rsidRDefault="006F7465" w:rsidP="004D5825">
      <w:pPr>
        <w:tabs>
          <w:tab w:val="left" w:pos="6804"/>
        </w:tabs>
        <w:jc w:val="both"/>
        <w:outlineLvl w:val="0"/>
        <w:rPr>
          <w:sz w:val="22"/>
          <w:szCs w:val="22"/>
          <w:lang w:val="sr-Latn-ME"/>
        </w:rPr>
      </w:pPr>
    </w:p>
    <w:p w:rsidR="006F7465" w:rsidRPr="009941F7" w:rsidRDefault="006F7465" w:rsidP="004D5825">
      <w:pPr>
        <w:tabs>
          <w:tab w:val="left" w:pos="6804"/>
        </w:tabs>
        <w:jc w:val="both"/>
        <w:outlineLvl w:val="0"/>
        <w:rPr>
          <w:sz w:val="22"/>
          <w:szCs w:val="22"/>
          <w:lang w:val="sr-Latn-ME"/>
        </w:rPr>
      </w:pPr>
      <w:r w:rsidRPr="009941F7">
        <w:rPr>
          <w:sz w:val="22"/>
          <w:szCs w:val="22"/>
          <w:lang w:val="sr-Latn-ME"/>
        </w:rPr>
        <w:t>Nakon stavljanja lijeka u promet zabilježene su ozbiljne virusne infekcije kod GPA/MPA pacijenata koji su primali lijek rituksimab.</w:t>
      </w:r>
    </w:p>
    <w:p w:rsidR="00496E03" w:rsidRPr="0055610F" w:rsidRDefault="00496E03" w:rsidP="004D5825">
      <w:pPr>
        <w:tabs>
          <w:tab w:val="left" w:pos="6804"/>
        </w:tabs>
        <w:jc w:val="both"/>
        <w:outlineLvl w:val="0"/>
        <w:rPr>
          <w:sz w:val="22"/>
          <w:szCs w:val="22"/>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t>Maligniteti</w:t>
      </w:r>
    </w:p>
    <w:p w:rsidR="00496E03" w:rsidRPr="0055610F" w:rsidRDefault="00496E03" w:rsidP="004D5825">
      <w:pPr>
        <w:jc w:val="both"/>
        <w:outlineLvl w:val="0"/>
        <w:rPr>
          <w:sz w:val="22"/>
          <w:szCs w:val="22"/>
          <w:lang w:val="sr-Latn-ME"/>
        </w:rPr>
      </w:pPr>
      <w:r w:rsidRPr="0055610F">
        <w:rPr>
          <w:sz w:val="22"/>
          <w:szCs w:val="22"/>
          <w:lang w:val="sr-Latn-ME"/>
        </w:rPr>
        <w:t xml:space="preserve">U </w:t>
      </w:r>
      <w:r w:rsidR="00CA6E91" w:rsidRPr="0055610F">
        <w:rPr>
          <w:sz w:val="22"/>
          <w:szCs w:val="22"/>
          <w:lang w:val="sr-Latn-ME"/>
        </w:rPr>
        <w:t>1. studiji kod GPA/MPA</w:t>
      </w:r>
      <w:r w:rsidRPr="0055610F">
        <w:rPr>
          <w:sz w:val="22"/>
          <w:szCs w:val="22"/>
          <w:lang w:val="sr-Latn-ME"/>
        </w:rPr>
        <w:t>, incidenca maligniteta kod odraslih pacijenata liječenih lijekom MabThera u kliničkom studijama u indikacijama GPA i MPA iznosila je 2,00 na 100 pacijent</w:t>
      </w:r>
      <w:r w:rsidRPr="0055610F">
        <w:rPr>
          <w:sz w:val="22"/>
          <w:szCs w:val="22"/>
          <w:lang w:val="sr-Latn-ME"/>
        </w:rPr>
        <w:noBreakHyphen/>
        <w:t>godina na dan završetka ispitivanja (kada je posljednji pacijent dovršio razdoblje praćenja). Na osnovu standardiziranih mjera incidence, čini se da je incidenca maligniteta podjednaka prethodno zabilježenoj incidenci kod pacijenata sa ANCA vaskulitisom.</w:t>
      </w:r>
    </w:p>
    <w:p w:rsidR="00496E03" w:rsidRPr="0055610F" w:rsidRDefault="00496E03" w:rsidP="004D5825">
      <w:pPr>
        <w:jc w:val="both"/>
        <w:outlineLvl w:val="0"/>
        <w:rPr>
          <w:sz w:val="22"/>
          <w:szCs w:val="22"/>
          <w:lang w:val="sr-Latn-ME"/>
        </w:rPr>
      </w:pPr>
      <w:r w:rsidRPr="0055610F">
        <w:rPr>
          <w:sz w:val="22"/>
          <w:szCs w:val="22"/>
          <w:lang w:val="sr-Latn-ME"/>
        </w:rPr>
        <w:t>U kliničkom ispitivanju sprovedenom među pedijatrijskim pacijentima, koje je uključivalo razdoblje praćenja u trajanju do 54 m</w:t>
      </w:r>
      <w:r w:rsidR="00117E76" w:rsidRPr="0055610F">
        <w:rPr>
          <w:sz w:val="22"/>
          <w:szCs w:val="22"/>
          <w:lang w:val="sr-Latn-ME"/>
        </w:rPr>
        <w:t>j</w:t>
      </w:r>
      <w:r w:rsidRPr="0055610F">
        <w:rPr>
          <w:sz w:val="22"/>
          <w:szCs w:val="22"/>
          <w:lang w:val="sr-Latn-ME"/>
        </w:rPr>
        <w:t>eseca, nije prijavljen nijedan slučaj maligniteta.</w:t>
      </w:r>
    </w:p>
    <w:p w:rsidR="00496E03" w:rsidRPr="0055610F" w:rsidRDefault="00496E03" w:rsidP="004D5825">
      <w:pPr>
        <w:jc w:val="both"/>
        <w:outlineLvl w:val="0"/>
        <w:rPr>
          <w:sz w:val="22"/>
          <w:szCs w:val="22"/>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t>Kardiovaskularna neželjena dejstva</w:t>
      </w:r>
    </w:p>
    <w:p w:rsidR="00496E03" w:rsidRPr="0055610F" w:rsidRDefault="00496E03" w:rsidP="004D5825">
      <w:pPr>
        <w:tabs>
          <w:tab w:val="left" w:pos="284"/>
          <w:tab w:val="center" w:pos="4320"/>
          <w:tab w:val="right" w:pos="8640"/>
        </w:tabs>
        <w:jc w:val="both"/>
        <w:rPr>
          <w:sz w:val="22"/>
          <w:szCs w:val="22"/>
          <w:lang w:val="sr-Latn-ME"/>
        </w:rPr>
      </w:pPr>
      <w:r w:rsidRPr="0055610F">
        <w:rPr>
          <w:sz w:val="22"/>
          <w:szCs w:val="22"/>
          <w:lang w:val="sr-Latn-ME"/>
        </w:rPr>
        <w:t xml:space="preserve">U </w:t>
      </w:r>
      <w:r w:rsidR="00CA6E91" w:rsidRPr="0055610F">
        <w:rPr>
          <w:sz w:val="22"/>
          <w:szCs w:val="22"/>
          <w:lang w:val="sr-Latn-ME"/>
        </w:rPr>
        <w:t>1. studiji kod GPA/MPA</w:t>
      </w:r>
      <w:r w:rsidRPr="0055610F">
        <w:rPr>
          <w:sz w:val="22"/>
          <w:szCs w:val="22"/>
          <w:lang w:val="sr-Latn-ME"/>
        </w:rPr>
        <w:t>, kardiološki događaji prijavljeni su po stopi od 273 na 100 pacijent</w:t>
      </w:r>
      <w:r w:rsidRPr="0055610F">
        <w:rPr>
          <w:sz w:val="22"/>
          <w:szCs w:val="22"/>
          <w:lang w:val="sr-Latn-ME"/>
        </w:rPr>
        <w:noBreakHyphen/>
        <w:t>godina (95% CI 149-470) u trenutku primarne mjere ishoda nakon 6 mjeseci. Stopa ozbiljnih kardioloških događaja iznosila je 2,1 na</w:t>
      </w:r>
      <w:r w:rsidR="00B21971" w:rsidRPr="0055610F">
        <w:rPr>
          <w:sz w:val="22"/>
          <w:szCs w:val="22"/>
          <w:lang w:val="sr-Latn-ME"/>
        </w:rPr>
        <w:t xml:space="preserve"> </w:t>
      </w:r>
      <w:r w:rsidRPr="0055610F">
        <w:rPr>
          <w:sz w:val="22"/>
          <w:szCs w:val="22"/>
          <w:lang w:val="sr-Latn-ME"/>
        </w:rPr>
        <w:t>100 </w:t>
      </w:r>
      <w:r w:rsidR="00B16626" w:rsidRPr="0055610F">
        <w:rPr>
          <w:sz w:val="22"/>
          <w:szCs w:val="22"/>
          <w:lang w:val="sr-Latn-ME"/>
        </w:rPr>
        <w:t xml:space="preserve">pacijent </w:t>
      </w:r>
      <w:r w:rsidRPr="0055610F">
        <w:rPr>
          <w:sz w:val="22"/>
          <w:szCs w:val="22"/>
          <w:lang w:val="sr-Latn-ME"/>
        </w:rPr>
        <w:noBreakHyphen/>
      </w:r>
      <w:r w:rsidR="00B16626" w:rsidRPr="0055610F">
        <w:rPr>
          <w:sz w:val="22"/>
          <w:szCs w:val="22"/>
          <w:lang w:val="sr-Latn-ME"/>
        </w:rPr>
        <w:t xml:space="preserve"> </w:t>
      </w:r>
      <w:r w:rsidRPr="0055610F">
        <w:rPr>
          <w:sz w:val="22"/>
          <w:szCs w:val="22"/>
          <w:lang w:val="sr-Latn-ME"/>
        </w:rPr>
        <w:t>godina (95% CI 3 -15).  Najčešće prijavljeni događaji bili su tahikardija (4%) i fibrilacija atrija (3%) (vidjeti dio 4.4).</w:t>
      </w:r>
    </w:p>
    <w:p w:rsidR="00496E03" w:rsidRPr="0055610F" w:rsidRDefault="00496E03" w:rsidP="004D5825">
      <w:pPr>
        <w:tabs>
          <w:tab w:val="left" w:pos="6804"/>
        </w:tabs>
        <w:jc w:val="both"/>
        <w:outlineLvl w:val="0"/>
        <w:rPr>
          <w:sz w:val="22"/>
          <w:szCs w:val="22"/>
          <w:lang w:val="sr-Latn-ME"/>
        </w:rPr>
      </w:pPr>
      <w:r w:rsidRPr="0055610F">
        <w:rPr>
          <w:sz w:val="22"/>
          <w:szCs w:val="22"/>
          <w:lang w:val="sr-Latn-ME"/>
        </w:rPr>
        <w:t xml:space="preserve"> </w:t>
      </w:r>
    </w:p>
    <w:p w:rsidR="00496E03" w:rsidRPr="0055610F" w:rsidRDefault="00496E03" w:rsidP="004D5825">
      <w:pPr>
        <w:tabs>
          <w:tab w:val="left" w:pos="284"/>
          <w:tab w:val="center" w:pos="4320"/>
          <w:tab w:val="right" w:pos="8640"/>
        </w:tabs>
        <w:jc w:val="both"/>
        <w:rPr>
          <w:i/>
          <w:sz w:val="22"/>
          <w:szCs w:val="22"/>
          <w:lang w:val="sr-Latn-ME"/>
        </w:rPr>
      </w:pPr>
      <w:r w:rsidRPr="0055610F">
        <w:rPr>
          <w:i/>
          <w:sz w:val="22"/>
          <w:szCs w:val="22"/>
          <w:lang w:val="sr-Latn-ME"/>
        </w:rPr>
        <w:t>Neurološka neželjena dejstva</w:t>
      </w:r>
    </w:p>
    <w:p w:rsidR="00496E03" w:rsidRPr="0055610F" w:rsidRDefault="00496E03" w:rsidP="004D5825">
      <w:pPr>
        <w:tabs>
          <w:tab w:val="left" w:pos="284"/>
          <w:tab w:val="center" w:pos="4320"/>
          <w:tab w:val="right" w:pos="8640"/>
        </w:tabs>
        <w:jc w:val="both"/>
        <w:rPr>
          <w:sz w:val="22"/>
          <w:szCs w:val="22"/>
          <w:lang w:val="sr-Latn-ME"/>
        </w:rPr>
      </w:pPr>
      <w:r w:rsidRPr="0055610F">
        <w:rPr>
          <w:sz w:val="22"/>
          <w:szCs w:val="22"/>
          <w:lang w:val="sr-Latn-ME"/>
        </w:rPr>
        <w:t>Prijavljeni su slučajevi sindroma reverzibilne posteriorne encefalopatije (engl. posterior reversible encephalopathy syndrome, PRES) odnosno sindroma reverzibilne posteriorne leukoencefalopatije (engl. reversible posterior leukoencephalopathy syndrome, RPLS) u autoimunim stanjima. Znaci i simptomi obuhvatali su smetnje vida, glavobolju, epileptičke napade i promijenjeno mentalno stanje, uz pridruženu hipertenziju ili bez nje. Dijagnozu PRES/RPLS treba potvrditi snimanjem mozga. U prijavljenim slučajevima postojali su faktori rizika za PRES/RPLS, uključujući osnovnu bolest pacijenta, hipertenziju, terapiju imunosupresivima i/ili hemioterapiju.</w:t>
      </w:r>
    </w:p>
    <w:p w:rsidR="00496E03" w:rsidRPr="0055610F" w:rsidRDefault="00496E03" w:rsidP="004D5825">
      <w:pPr>
        <w:tabs>
          <w:tab w:val="left" w:pos="6804"/>
        </w:tabs>
        <w:jc w:val="both"/>
        <w:outlineLvl w:val="0"/>
        <w:rPr>
          <w:sz w:val="22"/>
          <w:szCs w:val="22"/>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t xml:space="preserve">Reaktivacija hepatitisa B </w:t>
      </w:r>
    </w:p>
    <w:p w:rsidR="00496E03" w:rsidRPr="0055610F" w:rsidRDefault="00496E03" w:rsidP="004D5825">
      <w:pPr>
        <w:jc w:val="both"/>
        <w:outlineLvl w:val="0"/>
        <w:rPr>
          <w:sz w:val="22"/>
          <w:szCs w:val="22"/>
          <w:lang w:val="sr-Latn-ME"/>
        </w:rPr>
      </w:pPr>
      <w:r w:rsidRPr="0055610F">
        <w:rPr>
          <w:sz w:val="22"/>
          <w:szCs w:val="22"/>
          <w:lang w:val="sr-Latn-ME"/>
        </w:rPr>
        <w:t>Kod pacijenata sa granulomatozom sa poliangitisom i mikroskopskim poliangitisom koji su primali lijek MabThera nakon njegovog stavljanja u promet prijavljen je mali broj slučajeva reaktivacije hepatitisa B, ponekad sa fatalnim ishodom.</w:t>
      </w:r>
    </w:p>
    <w:p w:rsidR="00496E03" w:rsidRPr="0055610F" w:rsidRDefault="00496E03" w:rsidP="004D5825">
      <w:pPr>
        <w:keepNext/>
        <w:jc w:val="both"/>
        <w:outlineLvl w:val="0"/>
        <w:rPr>
          <w:sz w:val="22"/>
          <w:szCs w:val="22"/>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t>Hipogamaglobulinemija</w:t>
      </w:r>
    </w:p>
    <w:p w:rsidR="00496E03" w:rsidRPr="0055610F" w:rsidRDefault="00496E03" w:rsidP="004D5825">
      <w:pPr>
        <w:keepNext/>
        <w:jc w:val="both"/>
        <w:outlineLvl w:val="0"/>
        <w:rPr>
          <w:sz w:val="22"/>
          <w:szCs w:val="22"/>
          <w:lang w:val="sr-Latn-ME"/>
        </w:rPr>
      </w:pPr>
      <w:r w:rsidRPr="0055610F">
        <w:rPr>
          <w:sz w:val="22"/>
          <w:szCs w:val="22"/>
          <w:lang w:val="sr-Latn-ME"/>
        </w:rPr>
        <w:t xml:space="preserve">Kod odraslih pacijenata sa GPA i MPA liječenih lijekom MabThera zapažena je hipogamaglobulinemija (IgA, IgG ili IgM ispod donje granice normalnih vrijednosti). </w:t>
      </w:r>
    </w:p>
    <w:p w:rsidR="00496E03" w:rsidRPr="0055610F" w:rsidRDefault="00496E03" w:rsidP="004D5825">
      <w:pPr>
        <w:keepNext/>
        <w:jc w:val="both"/>
        <w:outlineLvl w:val="0"/>
        <w:rPr>
          <w:sz w:val="22"/>
          <w:szCs w:val="22"/>
          <w:lang w:val="sr-Latn-ME"/>
        </w:rPr>
      </w:pPr>
    </w:p>
    <w:p w:rsidR="00496E03" w:rsidRPr="0055610F" w:rsidRDefault="00496E03" w:rsidP="004D5825">
      <w:pPr>
        <w:keepNext/>
        <w:jc w:val="both"/>
        <w:outlineLvl w:val="0"/>
        <w:rPr>
          <w:sz w:val="22"/>
          <w:szCs w:val="22"/>
          <w:lang w:val="sr-Latn-ME"/>
        </w:rPr>
      </w:pPr>
      <w:r w:rsidRPr="0055610F">
        <w:rPr>
          <w:sz w:val="22"/>
          <w:szCs w:val="22"/>
          <w:lang w:val="sr-Latn-ME"/>
        </w:rPr>
        <w:t xml:space="preserve">U </w:t>
      </w:r>
      <w:r w:rsidR="00CA6E91" w:rsidRPr="0055610F">
        <w:rPr>
          <w:sz w:val="22"/>
          <w:szCs w:val="22"/>
          <w:lang w:val="sr-Latn-ME"/>
        </w:rPr>
        <w:t>1. studiji kod GPA/MPA, vri</w:t>
      </w:r>
      <w:r w:rsidRPr="0055610F">
        <w:rPr>
          <w:sz w:val="22"/>
          <w:szCs w:val="22"/>
          <w:lang w:val="sr-Latn-ME"/>
        </w:rPr>
        <w:t xml:space="preserve">jednosti IgA, IgG i IgM </w:t>
      </w:r>
      <w:r w:rsidR="00CA6E91" w:rsidRPr="0055610F">
        <w:rPr>
          <w:sz w:val="22"/>
          <w:szCs w:val="22"/>
          <w:lang w:val="sr-Latn-ME"/>
        </w:rPr>
        <w:t xml:space="preserve">su </w:t>
      </w:r>
      <w:r w:rsidRPr="0055610F">
        <w:rPr>
          <w:sz w:val="22"/>
          <w:szCs w:val="22"/>
          <w:lang w:val="sr-Latn-ME"/>
        </w:rPr>
        <w:t>bile snižene u 27%, 58% odnosno 51% pacijenata koji su na početku ispitivanja imali normalne vrijednosti imunoglobulina, u poređenju sa 25%, 50% odnosno 46% pacijenta u grupi koja je primala ciklofosfamid. Stepen ukupnih infekcija i ozbiljnih infekcija nije bio povišen nakon pojave niskih vr</w:t>
      </w:r>
      <w:r w:rsidR="00117E76" w:rsidRPr="0055610F">
        <w:rPr>
          <w:sz w:val="22"/>
          <w:szCs w:val="22"/>
          <w:lang w:val="sr-Latn-ME"/>
        </w:rPr>
        <w:t>ij</w:t>
      </w:r>
      <w:r w:rsidRPr="0055610F">
        <w:rPr>
          <w:sz w:val="22"/>
          <w:szCs w:val="22"/>
          <w:lang w:val="sr-Latn-ME"/>
        </w:rPr>
        <w:t>ednosti IgA, IgG ili IgM.</w:t>
      </w:r>
    </w:p>
    <w:p w:rsidR="00496E03" w:rsidRPr="0055610F" w:rsidRDefault="00496E03" w:rsidP="004D5825">
      <w:pPr>
        <w:keepNext/>
        <w:jc w:val="both"/>
        <w:outlineLvl w:val="0"/>
        <w:rPr>
          <w:sz w:val="22"/>
          <w:szCs w:val="22"/>
          <w:lang w:val="sr-Latn-ME"/>
        </w:rPr>
      </w:pPr>
    </w:p>
    <w:p w:rsidR="00496E03" w:rsidRPr="0055610F" w:rsidRDefault="00496E03" w:rsidP="004D5825">
      <w:pPr>
        <w:keepNext/>
        <w:jc w:val="both"/>
        <w:outlineLvl w:val="0"/>
        <w:rPr>
          <w:sz w:val="22"/>
          <w:szCs w:val="22"/>
          <w:lang w:val="sr-Latn-ME"/>
        </w:rPr>
      </w:pPr>
      <w:r w:rsidRPr="0055610F">
        <w:rPr>
          <w:sz w:val="22"/>
          <w:szCs w:val="22"/>
          <w:lang w:val="sr-Latn-ME"/>
        </w:rPr>
        <w:t xml:space="preserve">U </w:t>
      </w:r>
      <w:r w:rsidR="00CA6E91" w:rsidRPr="0055610F">
        <w:rPr>
          <w:sz w:val="22"/>
          <w:szCs w:val="22"/>
          <w:lang w:val="sr-Latn-ME"/>
        </w:rPr>
        <w:t>2. studiji kod GPA/MPA</w:t>
      </w:r>
      <w:r w:rsidRPr="0055610F">
        <w:rPr>
          <w:sz w:val="22"/>
          <w:szCs w:val="22"/>
          <w:lang w:val="sr-Latn-ME"/>
        </w:rPr>
        <w:t>, ni</w:t>
      </w:r>
      <w:r w:rsidR="00117E76" w:rsidRPr="0055610F">
        <w:rPr>
          <w:sz w:val="22"/>
          <w:szCs w:val="22"/>
          <w:lang w:val="sr-Latn-ME"/>
        </w:rPr>
        <w:t>je</w:t>
      </w:r>
      <w:r w:rsidRPr="0055610F">
        <w:rPr>
          <w:sz w:val="22"/>
          <w:szCs w:val="22"/>
          <w:lang w:val="sr-Latn-ME"/>
        </w:rPr>
        <w:t>su uočene značajne razlike između dve grupe ili smanjenje nivoa ukupnih imunoglobulina, IgG, IgM ili IgA tokom ispitivanja.</w:t>
      </w:r>
    </w:p>
    <w:p w:rsidR="00496E03" w:rsidRPr="0055610F" w:rsidRDefault="00496E03" w:rsidP="004D5825">
      <w:pPr>
        <w:keepNext/>
        <w:jc w:val="both"/>
        <w:outlineLvl w:val="0"/>
        <w:rPr>
          <w:sz w:val="22"/>
          <w:szCs w:val="22"/>
          <w:lang w:val="sr-Latn-ME"/>
        </w:rPr>
      </w:pPr>
    </w:p>
    <w:p w:rsidR="00496E03" w:rsidRPr="0055610F" w:rsidRDefault="00496E03" w:rsidP="004D5825">
      <w:pPr>
        <w:jc w:val="both"/>
        <w:outlineLvl w:val="0"/>
        <w:rPr>
          <w:rFonts w:eastAsia="PMingLiU"/>
          <w:sz w:val="22"/>
          <w:szCs w:val="22"/>
          <w:lang w:val="sr-Latn-ME" w:eastAsia="zh-TW"/>
        </w:rPr>
      </w:pPr>
      <w:r w:rsidRPr="0055610F">
        <w:rPr>
          <w:rFonts w:eastAsia="PMingLiU"/>
          <w:sz w:val="22"/>
          <w:szCs w:val="22"/>
          <w:lang w:val="sr-Latn-ME" w:eastAsia="zh-TW"/>
        </w:rPr>
        <w:t>U kliničkom ispitivanju sprovedenom kod pedijatrijskih pacijenata tokom cjelokupnog perioda ispitivanja 3/25 (12%) pacijenata prijavilo je hipogamaglobulinemiju, a 18 pacijenata (72%) imalo je dugotrajno (koje su se definisali kao nivoe Ig</w:t>
      </w:r>
      <w:r w:rsidRPr="0055610F">
        <w:rPr>
          <w:rFonts w:eastAsia="PMingLiU"/>
          <w:sz w:val="22"/>
          <w:szCs w:val="22"/>
          <w:lang w:val="sr-Latn-ME" w:eastAsia="zh-TW"/>
        </w:rPr>
        <w:noBreakHyphen/>
        <w:t>a ispod donje granice normale tokom najmanje 4 mjeseca) niske nivoe IgG</w:t>
      </w:r>
      <w:r w:rsidRPr="0055610F">
        <w:rPr>
          <w:rFonts w:eastAsia="PMingLiU"/>
          <w:sz w:val="22"/>
          <w:szCs w:val="22"/>
          <w:lang w:val="sr-Latn-ME" w:eastAsia="zh-TW"/>
        </w:rPr>
        <w:noBreakHyphen/>
        <w:t>a (među njima je 15 pacijenata imalo i dugotrajno niske nivoe IgM</w:t>
      </w:r>
      <w:r w:rsidRPr="0055610F">
        <w:rPr>
          <w:rFonts w:eastAsia="PMingLiU"/>
          <w:sz w:val="22"/>
          <w:szCs w:val="22"/>
          <w:lang w:val="sr-Latn-ME" w:eastAsia="zh-TW"/>
        </w:rPr>
        <w:noBreakHyphen/>
        <w:t>a). Tri pacijenta su primila intravensku terapiju imunoglobulinima. Na temelju ograničenih podataka ne mogu se don</w:t>
      </w:r>
      <w:r w:rsidR="00117E76" w:rsidRPr="0055610F">
        <w:rPr>
          <w:rFonts w:eastAsia="PMingLiU"/>
          <w:sz w:val="22"/>
          <w:szCs w:val="22"/>
          <w:lang w:val="sr-Latn-ME" w:eastAsia="zh-TW"/>
        </w:rPr>
        <w:t>ij</w:t>
      </w:r>
      <w:r w:rsidRPr="0055610F">
        <w:rPr>
          <w:rFonts w:eastAsia="PMingLiU"/>
          <w:sz w:val="22"/>
          <w:szCs w:val="22"/>
          <w:lang w:val="sr-Latn-ME" w:eastAsia="zh-TW"/>
        </w:rPr>
        <w:t>eti čvrsti zaključci o tome jesu li dugotrajno niski nivoi IgG</w:t>
      </w:r>
      <w:r w:rsidRPr="0055610F">
        <w:rPr>
          <w:rFonts w:eastAsia="PMingLiU"/>
          <w:sz w:val="22"/>
          <w:szCs w:val="22"/>
          <w:lang w:val="sr-Latn-ME" w:eastAsia="zh-TW"/>
        </w:rPr>
        <w:noBreakHyphen/>
        <w:t>a i IgM</w:t>
      </w:r>
      <w:r w:rsidRPr="0055610F">
        <w:rPr>
          <w:rFonts w:eastAsia="PMingLiU"/>
          <w:sz w:val="22"/>
          <w:szCs w:val="22"/>
          <w:lang w:val="sr-Latn-ME" w:eastAsia="zh-TW"/>
        </w:rPr>
        <w:noBreakHyphen/>
        <w:t>a i dovele do povjećanog rizika od ozbiljne infekcije kod tih pacijenata. Ni</w:t>
      </w:r>
      <w:r w:rsidR="00117E76" w:rsidRPr="0055610F">
        <w:rPr>
          <w:rFonts w:eastAsia="PMingLiU"/>
          <w:sz w:val="22"/>
          <w:szCs w:val="22"/>
          <w:lang w:val="sr-Latn-ME" w:eastAsia="zh-TW"/>
        </w:rPr>
        <w:t>je</w:t>
      </w:r>
      <w:r w:rsidRPr="0055610F">
        <w:rPr>
          <w:rFonts w:eastAsia="PMingLiU"/>
          <w:sz w:val="22"/>
          <w:szCs w:val="22"/>
          <w:lang w:val="sr-Latn-ME" w:eastAsia="zh-TW"/>
        </w:rPr>
        <w:t>su poznate posl</w:t>
      </w:r>
      <w:r w:rsidR="00117E76" w:rsidRPr="0055610F">
        <w:rPr>
          <w:rFonts w:eastAsia="PMingLiU"/>
          <w:sz w:val="22"/>
          <w:szCs w:val="22"/>
          <w:lang w:val="sr-Latn-ME" w:eastAsia="zh-TW"/>
        </w:rPr>
        <w:t>j</w:t>
      </w:r>
      <w:r w:rsidRPr="0055610F">
        <w:rPr>
          <w:rFonts w:eastAsia="PMingLiU"/>
          <w:sz w:val="22"/>
          <w:szCs w:val="22"/>
          <w:lang w:val="sr-Latn-ME" w:eastAsia="zh-TW"/>
        </w:rPr>
        <w:t>edice dugotrajne deplecije B</w:t>
      </w:r>
      <w:r w:rsidRPr="0055610F">
        <w:rPr>
          <w:rFonts w:eastAsia="PMingLiU"/>
          <w:sz w:val="22"/>
          <w:szCs w:val="22"/>
          <w:lang w:val="sr-Latn-ME" w:eastAsia="zh-TW"/>
        </w:rPr>
        <w:noBreakHyphen/>
        <w:t>ćelija kod pedijatrijskih pacijenata.</w:t>
      </w:r>
    </w:p>
    <w:p w:rsidR="00496E03" w:rsidRPr="0055610F" w:rsidRDefault="00496E03" w:rsidP="004D5825">
      <w:pPr>
        <w:keepNext/>
        <w:jc w:val="both"/>
        <w:outlineLvl w:val="0"/>
        <w:rPr>
          <w:sz w:val="22"/>
          <w:szCs w:val="22"/>
          <w:lang w:val="sr-Latn-ME"/>
        </w:rPr>
      </w:pPr>
    </w:p>
    <w:p w:rsidR="00496E03" w:rsidRPr="0055610F" w:rsidRDefault="00496E03" w:rsidP="004D5825">
      <w:pPr>
        <w:keepNext/>
        <w:jc w:val="both"/>
        <w:outlineLvl w:val="0"/>
        <w:rPr>
          <w:i/>
          <w:sz w:val="22"/>
          <w:szCs w:val="22"/>
          <w:lang w:val="sr-Latn-ME"/>
        </w:rPr>
      </w:pPr>
      <w:r w:rsidRPr="0055610F">
        <w:rPr>
          <w:i/>
          <w:sz w:val="22"/>
          <w:szCs w:val="22"/>
          <w:lang w:val="sr-Latn-ME"/>
        </w:rPr>
        <w:t>Neutropenija</w:t>
      </w:r>
    </w:p>
    <w:p w:rsidR="00496E03" w:rsidRPr="0055610F" w:rsidRDefault="00496E03" w:rsidP="004D5825">
      <w:pPr>
        <w:jc w:val="both"/>
        <w:outlineLvl w:val="0"/>
        <w:rPr>
          <w:sz w:val="22"/>
          <w:szCs w:val="22"/>
          <w:lang w:val="sr-Latn-ME"/>
        </w:rPr>
      </w:pPr>
      <w:r w:rsidRPr="0055610F">
        <w:rPr>
          <w:sz w:val="22"/>
          <w:szCs w:val="22"/>
          <w:lang w:val="sr-Latn-ME"/>
        </w:rPr>
        <w:t xml:space="preserve">U </w:t>
      </w:r>
      <w:r w:rsidR="00CA6E91" w:rsidRPr="0055610F">
        <w:rPr>
          <w:sz w:val="22"/>
          <w:szCs w:val="22"/>
          <w:lang w:val="sr-Latn-ME"/>
        </w:rPr>
        <w:t>1. studiji kod GPA/MPA</w:t>
      </w:r>
      <w:r w:rsidRPr="0055610F">
        <w:rPr>
          <w:sz w:val="22"/>
          <w:szCs w:val="22"/>
          <w:lang w:val="sr-Latn-ME"/>
        </w:rPr>
        <w:t xml:space="preserve">, 24% pacijenata koji su primali lijek MabThera (jedan ciklus) i 23% pacijenata u grupi liječenoj ciklofosfamidom razvila se neutropenija 3. ili višeg stepena prema CTC kriterijima. Neutropenija nije bila povezana sa zapaženim porastom ozbiljnih infekcija kod pacijenata liječenih lijekom MabThera. </w:t>
      </w:r>
    </w:p>
    <w:p w:rsidR="00496E03" w:rsidRPr="0055610F" w:rsidRDefault="00496E03" w:rsidP="004D5825">
      <w:pPr>
        <w:jc w:val="both"/>
        <w:outlineLvl w:val="0"/>
        <w:rPr>
          <w:sz w:val="22"/>
          <w:szCs w:val="22"/>
          <w:lang w:val="sr-Latn-ME"/>
        </w:rPr>
      </w:pPr>
    </w:p>
    <w:p w:rsidR="00496E03" w:rsidRPr="0055610F" w:rsidRDefault="00496E03" w:rsidP="004D5825">
      <w:pPr>
        <w:jc w:val="both"/>
        <w:outlineLvl w:val="0"/>
        <w:rPr>
          <w:sz w:val="22"/>
          <w:szCs w:val="22"/>
          <w:lang w:val="sr-Latn-ME"/>
        </w:rPr>
      </w:pPr>
      <w:r w:rsidRPr="0055610F">
        <w:rPr>
          <w:sz w:val="22"/>
          <w:szCs w:val="22"/>
          <w:lang w:val="sr-Latn-ME"/>
        </w:rPr>
        <w:t xml:space="preserve">U </w:t>
      </w:r>
      <w:r w:rsidR="00CA6E91" w:rsidRPr="0055610F">
        <w:rPr>
          <w:sz w:val="22"/>
          <w:szCs w:val="22"/>
          <w:lang w:val="sr-Latn-ME"/>
        </w:rPr>
        <w:t>2. studiji kod GPA/MPA</w:t>
      </w:r>
      <w:r w:rsidRPr="0055610F">
        <w:rPr>
          <w:sz w:val="22"/>
          <w:szCs w:val="22"/>
          <w:lang w:val="sr-Latn-ME"/>
        </w:rPr>
        <w:t>, incidence neutropenije svih gradusa je bila 0% u grupi koja je primala lijek MabThera u odnosu na 5% u grupi koja je primala azatioprin.</w:t>
      </w:r>
    </w:p>
    <w:p w:rsidR="00496E03" w:rsidRPr="0055610F" w:rsidRDefault="00496E03" w:rsidP="004D5825">
      <w:pPr>
        <w:jc w:val="both"/>
        <w:outlineLvl w:val="0"/>
        <w:rPr>
          <w:sz w:val="22"/>
          <w:szCs w:val="22"/>
          <w:lang w:val="sr-Latn-ME"/>
        </w:rPr>
      </w:pPr>
    </w:p>
    <w:p w:rsidR="00496E03" w:rsidRPr="0055610F" w:rsidRDefault="00496E03" w:rsidP="004D5825">
      <w:pPr>
        <w:jc w:val="both"/>
        <w:outlineLvl w:val="0"/>
        <w:rPr>
          <w:i/>
          <w:sz w:val="22"/>
          <w:szCs w:val="22"/>
          <w:lang w:val="sr-Latn-ME"/>
        </w:rPr>
      </w:pPr>
      <w:r w:rsidRPr="0055610F">
        <w:rPr>
          <w:i/>
          <w:sz w:val="22"/>
          <w:szCs w:val="22"/>
          <w:lang w:val="sr-Latn-ME"/>
        </w:rPr>
        <w:t>Poremećaji kože i potkožnog tkiva</w:t>
      </w:r>
    </w:p>
    <w:p w:rsidR="00496E03" w:rsidRPr="0055610F" w:rsidRDefault="00496E03" w:rsidP="004D5825">
      <w:pPr>
        <w:tabs>
          <w:tab w:val="left" w:pos="540"/>
          <w:tab w:val="left" w:pos="569"/>
        </w:tabs>
        <w:jc w:val="both"/>
        <w:rPr>
          <w:sz w:val="22"/>
          <w:szCs w:val="22"/>
          <w:lang w:val="sr-Latn-ME"/>
        </w:rPr>
      </w:pPr>
      <w:r w:rsidRPr="0055610F">
        <w:rPr>
          <w:sz w:val="22"/>
          <w:szCs w:val="22"/>
          <w:lang w:val="sr-Latn-ME"/>
        </w:rPr>
        <w:t>V</w:t>
      </w:r>
      <w:r w:rsidR="00B2002A">
        <w:rPr>
          <w:sz w:val="22"/>
          <w:szCs w:val="22"/>
          <w:lang w:val="sr-Latn-ME"/>
        </w:rPr>
        <w:t>eoma</w:t>
      </w:r>
      <w:r w:rsidRPr="0055610F">
        <w:rPr>
          <w:sz w:val="22"/>
          <w:szCs w:val="22"/>
          <w:lang w:val="sr-Latn-ME"/>
        </w:rPr>
        <w:t xml:space="preserve"> rijetko </w:t>
      </w:r>
      <w:r w:rsidR="00B2002A">
        <w:rPr>
          <w:sz w:val="22"/>
          <w:szCs w:val="22"/>
          <w:lang w:val="sr-Latn-ME"/>
        </w:rPr>
        <w:t xml:space="preserve">su </w:t>
      </w:r>
      <w:r w:rsidRPr="0055610F">
        <w:rPr>
          <w:sz w:val="22"/>
          <w:szCs w:val="22"/>
          <w:lang w:val="sr-Latn-ME"/>
        </w:rPr>
        <w:t>prijavljeni toksična epidermalna nekroliza (Lyellov sindrom) i Stevens-Johnsonov sindrom, ponekad sa fatalnim ishodom.</w:t>
      </w:r>
    </w:p>
    <w:p w:rsidR="00496E03" w:rsidRPr="0055610F" w:rsidRDefault="00496E03" w:rsidP="004D5825">
      <w:pPr>
        <w:tabs>
          <w:tab w:val="left" w:pos="540"/>
          <w:tab w:val="left" w:pos="569"/>
        </w:tabs>
        <w:jc w:val="both"/>
        <w:rPr>
          <w:sz w:val="22"/>
          <w:szCs w:val="22"/>
          <w:lang w:val="sr-Latn-ME"/>
        </w:rPr>
      </w:pPr>
    </w:p>
    <w:p w:rsidR="00496E03" w:rsidRPr="0055610F" w:rsidRDefault="00496E03" w:rsidP="004D5825">
      <w:pPr>
        <w:keepNext/>
        <w:keepLines/>
        <w:jc w:val="both"/>
        <w:rPr>
          <w:sz w:val="22"/>
          <w:szCs w:val="22"/>
          <w:u w:val="single"/>
          <w:lang w:val="sr-Latn-ME"/>
        </w:rPr>
      </w:pPr>
      <w:r w:rsidRPr="0055610F">
        <w:rPr>
          <w:sz w:val="22"/>
          <w:szCs w:val="22"/>
          <w:u w:val="single"/>
          <w:lang w:val="sr-Latn-ME"/>
        </w:rPr>
        <w:t>Iskustva sa primjenom kod običnog pemfigusa</w:t>
      </w:r>
    </w:p>
    <w:p w:rsidR="00496E03" w:rsidRDefault="00496E03" w:rsidP="004D5825">
      <w:pPr>
        <w:keepNext/>
        <w:keepLines/>
        <w:jc w:val="both"/>
        <w:rPr>
          <w:sz w:val="22"/>
          <w:szCs w:val="22"/>
          <w:u w:val="single"/>
          <w:lang w:val="sr-Latn-ME"/>
        </w:rPr>
      </w:pPr>
    </w:p>
    <w:p w:rsidR="001F1EC4" w:rsidRDefault="001F1EC4" w:rsidP="004D5825">
      <w:pPr>
        <w:keepNext/>
        <w:keepLines/>
        <w:jc w:val="both"/>
        <w:rPr>
          <w:sz w:val="22"/>
          <w:szCs w:val="22"/>
          <w:u w:val="single"/>
          <w:lang w:val="sr-Latn-ME"/>
        </w:rPr>
      </w:pPr>
      <w:r>
        <w:rPr>
          <w:sz w:val="22"/>
          <w:szCs w:val="22"/>
          <w:u w:val="single"/>
          <w:lang w:val="sr-Latn-ME"/>
        </w:rPr>
        <w:t>Ukupan bezbjednos</w:t>
      </w:r>
      <w:r w:rsidRPr="001F1EC4">
        <w:rPr>
          <w:sz w:val="22"/>
          <w:szCs w:val="22"/>
          <w:u w:val="single"/>
          <w:lang w:val="sr-Latn-ME"/>
        </w:rPr>
        <w:t>ni profil lijeka MabThe</w:t>
      </w:r>
      <w:r>
        <w:rPr>
          <w:sz w:val="22"/>
          <w:szCs w:val="22"/>
          <w:u w:val="single"/>
          <w:lang w:val="sr-Latn-ME"/>
        </w:rPr>
        <w:t>ra kod običnog pemfigusa bazira se na podacima o pacijent</w:t>
      </w:r>
      <w:r w:rsidRPr="001F1EC4">
        <w:rPr>
          <w:sz w:val="22"/>
          <w:szCs w:val="22"/>
          <w:u w:val="single"/>
          <w:lang w:val="sr-Latn-ME"/>
        </w:rPr>
        <w:t xml:space="preserve">ima iz 2 </w:t>
      </w:r>
      <w:r>
        <w:rPr>
          <w:sz w:val="22"/>
          <w:szCs w:val="22"/>
          <w:u w:val="single"/>
          <w:lang w:val="sr-Latn-ME"/>
        </w:rPr>
        <w:t>klinička ispitivanja i praćenja</w:t>
      </w:r>
      <w:r w:rsidRPr="001F1EC4">
        <w:rPr>
          <w:sz w:val="22"/>
          <w:szCs w:val="22"/>
          <w:u w:val="single"/>
          <w:lang w:val="sr-Latn-ME"/>
        </w:rPr>
        <w:t xml:space="preserve"> nakon stavljanja lijeka u promet.</w:t>
      </w:r>
    </w:p>
    <w:p w:rsidR="001F1EC4" w:rsidRPr="0055610F" w:rsidRDefault="001F1EC4" w:rsidP="004D5825">
      <w:pPr>
        <w:keepNext/>
        <w:keepLines/>
        <w:jc w:val="both"/>
        <w:rPr>
          <w:sz w:val="22"/>
          <w:szCs w:val="22"/>
          <w:u w:val="single"/>
          <w:lang w:val="sr-Latn-ME"/>
        </w:rPr>
      </w:pPr>
    </w:p>
    <w:p w:rsidR="00496E03" w:rsidRPr="0055610F" w:rsidRDefault="00496E03" w:rsidP="0055610F">
      <w:pPr>
        <w:pStyle w:val="TextTi12"/>
        <w:keepNext/>
        <w:spacing w:after="0" w:line="240" w:lineRule="auto"/>
        <w:rPr>
          <w:szCs w:val="22"/>
          <w:lang w:val="sr-Latn-ME"/>
        </w:rPr>
      </w:pPr>
      <w:r w:rsidRPr="0055610F">
        <w:rPr>
          <w:i/>
          <w:szCs w:val="22"/>
          <w:u w:val="single"/>
          <w:lang w:val="sr-Latn-ME"/>
        </w:rPr>
        <w:t>Sažetak bezb</w:t>
      </w:r>
      <w:r w:rsidR="00117E76" w:rsidRPr="0055610F">
        <w:rPr>
          <w:i/>
          <w:szCs w:val="22"/>
          <w:u w:val="single"/>
          <w:lang w:val="sr-Latn-ME"/>
        </w:rPr>
        <w:t>j</w:t>
      </w:r>
      <w:r w:rsidRPr="0055610F">
        <w:rPr>
          <w:i/>
          <w:szCs w:val="22"/>
          <w:u w:val="single"/>
          <w:lang w:val="sr-Latn-ME"/>
        </w:rPr>
        <w:t xml:space="preserve">edonosnog profila u </w:t>
      </w:r>
      <w:r w:rsidR="00CA6E91" w:rsidRPr="0055610F">
        <w:rPr>
          <w:i/>
          <w:szCs w:val="22"/>
          <w:u w:val="single"/>
          <w:lang w:val="sr-Latn-ME"/>
        </w:rPr>
        <w:t>1. studiji kod PV</w:t>
      </w:r>
      <w:r w:rsidRPr="0055610F">
        <w:rPr>
          <w:i/>
          <w:szCs w:val="22"/>
          <w:u w:val="single"/>
          <w:lang w:val="sr-Latn-ME"/>
        </w:rPr>
        <w:t xml:space="preserve"> (studija </w:t>
      </w:r>
      <w:r w:rsidR="007642DC">
        <w:rPr>
          <w:i/>
          <w:szCs w:val="22"/>
          <w:u w:val="single"/>
          <w:lang w:val="sr-Latn-ME"/>
        </w:rPr>
        <w:t>ML</w:t>
      </w:r>
      <w:r w:rsidRPr="0055610F">
        <w:rPr>
          <w:i/>
          <w:szCs w:val="22"/>
          <w:u w:val="single"/>
          <w:lang w:val="sr-Latn-ME"/>
        </w:rPr>
        <w:t xml:space="preserve">22196) i </w:t>
      </w:r>
      <w:r w:rsidR="00CA6E91" w:rsidRPr="0055610F">
        <w:rPr>
          <w:i/>
          <w:szCs w:val="22"/>
          <w:u w:val="single"/>
          <w:lang w:val="sr-Latn-ME"/>
        </w:rPr>
        <w:t>2. studiji kod PV</w:t>
      </w:r>
      <w:r w:rsidRPr="0055610F">
        <w:rPr>
          <w:i/>
          <w:szCs w:val="22"/>
          <w:u w:val="single"/>
          <w:lang w:val="sr-Latn-ME"/>
        </w:rPr>
        <w:t xml:space="preserve"> (studija WA29330)</w:t>
      </w:r>
    </w:p>
    <w:p w:rsidR="00496E03" w:rsidRPr="0055610F" w:rsidRDefault="00496E03" w:rsidP="004D5825">
      <w:pPr>
        <w:ind w:right="1"/>
        <w:jc w:val="both"/>
        <w:rPr>
          <w:sz w:val="22"/>
          <w:szCs w:val="22"/>
          <w:lang w:val="sr-Latn-ME"/>
        </w:rPr>
      </w:pPr>
      <w:r w:rsidRPr="0055610F">
        <w:rPr>
          <w:sz w:val="22"/>
          <w:szCs w:val="22"/>
          <w:lang w:val="sr-Latn-ME"/>
        </w:rPr>
        <w:t>Bezbjedonosni profil lijeka MabThera u kombinaciji sa kratkoročnom terapijom niskim dozama glukokortikoida u terapiji pacijenata sa običnim pemfigusom ispitivao se u randomizovanoj, kontrolisanoj, multicentričnoj studiji otvorenog tipa faze 3 kod pacijenata sa pemfigusom, u kojoj je 38 pacijenata sa običnim pemfigusom (PV) bilo randomizovano u grupu liječenu lijekom MabThera (</w:t>
      </w:r>
      <w:r w:rsidR="00CA6E91" w:rsidRPr="0055610F">
        <w:rPr>
          <w:sz w:val="22"/>
          <w:szCs w:val="22"/>
          <w:u w:val="single"/>
          <w:lang w:val="sr-Latn-ME"/>
        </w:rPr>
        <w:t>1. studija kod PV</w:t>
      </w:r>
      <w:r w:rsidRPr="0055610F">
        <w:rPr>
          <w:sz w:val="22"/>
          <w:szCs w:val="22"/>
          <w:lang w:val="sr-Latn-ME"/>
        </w:rPr>
        <w:t>). Pacijenti koji su randomizovani u grupu liječenu lijekom MabThera primili su početnu dozu od 1000 mg i.v. prvog dana ispitivanja i drugu dozu od 1000 mg i.v. 15-og dana ispitivanja. Doz</w:t>
      </w:r>
      <w:r w:rsidR="001F1EC4">
        <w:rPr>
          <w:sz w:val="22"/>
          <w:szCs w:val="22"/>
          <w:lang w:val="sr-Latn-ME"/>
        </w:rPr>
        <w:t>e</w:t>
      </w:r>
      <w:r w:rsidRPr="0055610F">
        <w:rPr>
          <w:sz w:val="22"/>
          <w:szCs w:val="22"/>
          <w:lang w:val="sr-Latn-ME"/>
        </w:rPr>
        <w:t xml:space="preserve"> održavanja od 500 mg i.v. prim</w:t>
      </w:r>
      <w:r w:rsidR="00117E76" w:rsidRPr="0055610F">
        <w:rPr>
          <w:sz w:val="22"/>
          <w:szCs w:val="22"/>
          <w:lang w:val="sr-Latn-ME"/>
        </w:rPr>
        <w:t>i</w:t>
      </w:r>
      <w:r w:rsidRPr="0055610F">
        <w:rPr>
          <w:sz w:val="22"/>
          <w:szCs w:val="22"/>
          <w:lang w:val="sr-Latn-ME"/>
        </w:rPr>
        <w:t>jenjen</w:t>
      </w:r>
      <w:r w:rsidR="001F1EC4">
        <w:rPr>
          <w:sz w:val="22"/>
          <w:szCs w:val="22"/>
          <w:lang w:val="sr-Latn-ME"/>
        </w:rPr>
        <w:t>e su</w:t>
      </w:r>
      <w:r w:rsidRPr="0055610F">
        <w:rPr>
          <w:sz w:val="22"/>
          <w:szCs w:val="22"/>
          <w:lang w:val="sr-Latn-ME"/>
        </w:rPr>
        <w:t xml:space="preserve"> u 12</w:t>
      </w:r>
      <w:r w:rsidR="00117E76" w:rsidRPr="0055610F">
        <w:rPr>
          <w:sz w:val="22"/>
          <w:szCs w:val="22"/>
          <w:lang w:val="sr-Latn-ME"/>
        </w:rPr>
        <w:t>-</w:t>
      </w:r>
      <w:r w:rsidRPr="0055610F">
        <w:rPr>
          <w:sz w:val="22"/>
          <w:szCs w:val="22"/>
          <w:lang w:val="sr-Latn-ME"/>
        </w:rPr>
        <w:t xml:space="preserve">om i 18-om mjesecu. Pacijenti su mogli da prime dozu od 1000 mg i.v. u trenutku relapsa </w:t>
      </w:r>
      <w:r w:rsidRPr="0055610F">
        <w:rPr>
          <w:rFonts w:eastAsia="Calibri"/>
          <w:sz w:val="22"/>
          <w:szCs w:val="22"/>
          <w:lang w:val="sr-Latn-ME"/>
        </w:rPr>
        <w:t>(vijeti dio 5.1)</w:t>
      </w:r>
      <w:r w:rsidRPr="0055610F">
        <w:rPr>
          <w:sz w:val="22"/>
          <w:szCs w:val="22"/>
          <w:lang w:val="sr-Latn-ME"/>
        </w:rPr>
        <w:t>.</w:t>
      </w:r>
    </w:p>
    <w:p w:rsidR="00496E03" w:rsidRPr="0055610F" w:rsidRDefault="00496E03" w:rsidP="004D5825">
      <w:pPr>
        <w:ind w:right="1"/>
        <w:jc w:val="both"/>
        <w:rPr>
          <w:sz w:val="22"/>
          <w:szCs w:val="22"/>
          <w:lang w:val="sr-Latn-ME"/>
        </w:rPr>
      </w:pPr>
      <w:r w:rsidRPr="0055610F">
        <w:rPr>
          <w:sz w:val="22"/>
          <w:szCs w:val="22"/>
          <w:lang w:val="sr-Latn-ME"/>
        </w:rPr>
        <w:t xml:space="preserve">  </w:t>
      </w:r>
    </w:p>
    <w:p w:rsidR="00496E03" w:rsidRPr="0055610F" w:rsidRDefault="00496E03" w:rsidP="004D5825">
      <w:pPr>
        <w:pStyle w:val="TextTi12"/>
        <w:spacing w:after="0" w:line="240" w:lineRule="auto"/>
        <w:rPr>
          <w:szCs w:val="22"/>
          <w:lang w:val="sr-Latn-ME"/>
        </w:rPr>
      </w:pPr>
      <w:r w:rsidRPr="0055610F">
        <w:rPr>
          <w:szCs w:val="22"/>
          <w:lang w:val="sr-Latn-ME"/>
        </w:rPr>
        <w:t xml:space="preserve">U </w:t>
      </w:r>
      <w:r w:rsidR="00CA6E91" w:rsidRPr="0055610F">
        <w:rPr>
          <w:szCs w:val="22"/>
          <w:lang w:val="sr-Latn-ME"/>
        </w:rPr>
        <w:t>2. studiji kod PV</w:t>
      </w:r>
      <w:r w:rsidRPr="0055610F">
        <w:rPr>
          <w:szCs w:val="22"/>
          <w:lang w:val="sr-Latn-ME"/>
        </w:rPr>
        <w:t>, randomizovanoj, dvostruko-slijepoj, dvostruko placebo, aktivno-komparatorskoj, multicentričnoj studiji koja je procjenjivala efikasnost i bezbjednost lijeka MabThera u poređenju sa mikofenolat mofetilom (MMF) kod pacijenata sa umjerenim do ozbiljnim PV koji zahtijeva primjenu oralnih kortikosteroida, 67 PV pacijenata je primilo terapiju lijekom MabThera (inicijalno 1000 mg IV prvog studijskog dana i drugu dozu od 1000 mg IV u 15 studijskom danu ponovljeno u 24 i 26 ned</w:t>
      </w:r>
      <w:r w:rsidR="00117E76" w:rsidRPr="0055610F">
        <w:rPr>
          <w:szCs w:val="22"/>
          <w:lang w:val="sr-Latn-ME"/>
        </w:rPr>
        <w:t>j</w:t>
      </w:r>
      <w:r w:rsidRPr="0055610F">
        <w:rPr>
          <w:szCs w:val="22"/>
          <w:lang w:val="sr-Latn-ME"/>
        </w:rPr>
        <w:t>elji) tokom 52 ned</w:t>
      </w:r>
      <w:r w:rsidR="00117E76" w:rsidRPr="0055610F">
        <w:rPr>
          <w:szCs w:val="22"/>
          <w:lang w:val="sr-Latn-ME"/>
        </w:rPr>
        <w:t>j</w:t>
      </w:r>
      <w:r w:rsidRPr="0055610F">
        <w:rPr>
          <w:szCs w:val="22"/>
          <w:lang w:val="sr-Latn-ME"/>
        </w:rPr>
        <w:t xml:space="preserve">elje (vidjeti </w:t>
      </w:r>
      <w:r w:rsidR="00117E76" w:rsidRPr="0055610F">
        <w:rPr>
          <w:szCs w:val="22"/>
          <w:lang w:val="sr-Latn-ME"/>
        </w:rPr>
        <w:t>dio</w:t>
      </w:r>
      <w:r w:rsidRPr="0055610F">
        <w:rPr>
          <w:szCs w:val="22"/>
          <w:lang w:val="sr-Latn-ME"/>
        </w:rPr>
        <w:t xml:space="preserve"> 5.1).</w:t>
      </w:r>
    </w:p>
    <w:p w:rsidR="00496E03" w:rsidRPr="0055610F" w:rsidRDefault="00496E03" w:rsidP="004D5825">
      <w:pPr>
        <w:pStyle w:val="TextTi12"/>
        <w:spacing w:after="0" w:line="240" w:lineRule="auto"/>
        <w:rPr>
          <w:szCs w:val="22"/>
          <w:lang w:val="sr-Latn-ME"/>
        </w:rPr>
      </w:pPr>
    </w:p>
    <w:p w:rsidR="00496E03" w:rsidRPr="0055610F" w:rsidRDefault="00496E03" w:rsidP="004D5825">
      <w:pPr>
        <w:pStyle w:val="TextTi12"/>
        <w:spacing w:after="0" w:line="240" w:lineRule="auto"/>
        <w:rPr>
          <w:szCs w:val="22"/>
          <w:lang w:val="sr-Latn-ME"/>
        </w:rPr>
      </w:pPr>
      <w:r w:rsidRPr="0055610F">
        <w:rPr>
          <w:szCs w:val="22"/>
          <w:lang w:val="sr-Latn-ME"/>
        </w:rPr>
        <w:t>Bezbjednosni profil lijeka MabThera kod pacijenata sa PV je bio konzistentan sa poznatim bezbjednosnim profilom u drugim odobrenim autoimunskim indikacijama.</w:t>
      </w:r>
      <w:r w:rsidRPr="0055610F" w:rsidDel="000F44D1">
        <w:rPr>
          <w:szCs w:val="22"/>
          <w:lang w:val="sr-Latn-ME"/>
        </w:rPr>
        <w:t xml:space="preserve"> </w:t>
      </w:r>
    </w:p>
    <w:p w:rsidR="00B21971" w:rsidRPr="0055610F" w:rsidRDefault="00B21971" w:rsidP="004D5825">
      <w:pPr>
        <w:pStyle w:val="TextTi12"/>
        <w:spacing w:after="0" w:line="240" w:lineRule="auto"/>
        <w:rPr>
          <w:szCs w:val="22"/>
          <w:lang w:val="sr-Latn-ME"/>
        </w:rPr>
      </w:pPr>
    </w:p>
    <w:p w:rsidR="00496E03" w:rsidRDefault="00496E03" w:rsidP="004D5825">
      <w:pPr>
        <w:pStyle w:val="Header"/>
        <w:tabs>
          <w:tab w:val="left" w:pos="284"/>
        </w:tabs>
        <w:jc w:val="both"/>
        <w:rPr>
          <w:i/>
          <w:sz w:val="22"/>
          <w:szCs w:val="22"/>
          <w:u w:val="single"/>
          <w:lang w:val="sr-Latn-ME"/>
        </w:rPr>
      </w:pPr>
      <w:r w:rsidRPr="0055610F">
        <w:rPr>
          <w:i/>
          <w:sz w:val="22"/>
          <w:szCs w:val="22"/>
          <w:u w:val="single"/>
          <w:lang w:val="sr-Latn-ME"/>
        </w:rPr>
        <w:t>Tabelarni prikaz neželjenih reakcija</w:t>
      </w:r>
      <w:r w:rsidR="001F1EC4">
        <w:rPr>
          <w:i/>
          <w:sz w:val="22"/>
          <w:szCs w:val="22"/>
          <w:u w:val="single"/>
          <w:lang w:val="sr-Latn-ME"/>
        </w:rPr>
        <w:t xml:space="preserve"> zabilježenih u</w:t>
      </w:r>
      <w:r w:rsidRPr="0055610F">
        <w:rPr>
          <w:i/>
          <w:sz w:val="22"/>
          <w:szCs w:val="22"/>
          <w:u w:val="single"/>
          <w:lang w:val="sr-Latn-ME"/>
        </w:rPr>
        <w:t xml:space="preserve"> </w:t>
      </w:r>
      <w:r w:rsidR="00CA6E91" w:rsidRPr="0055610F">
        <w:rPr>
          <w:i/>
          <w:sz w:val="22"/>
          <w:szCs w:val="22"/>
          <w:u w:val="single"/>
          <w:lang w:val="sr-Latn-ME"/>
        </w:rPr>
        <w:t>1. i 2. studij</w:t>
      </w:r>
      <w:r w:rsidR="001F1EC4">
        <w:rPr>
          <w:i/>
          <w:sz w:val="22"/>
          <w:szCs w:val="22"/>
          <w:u w:val="single"/>
          <w:lang w:val="sr-Latn-ME"/>
        </w:rPr>
        <w:t>i</w:t>
      </w:r>
      <w:r w:rsidR="00CA6E91" w:rsidRPr="0055610F">
        <w:rPr>
          <w:i/>
          <w:sz w:val="22"/>
          <w:szCs w:val="22"/>
          <w:u w:val="single"/>
          <w:lang w:val="sr-Latn-ME"/>
        </w:rPr>
        <w:t xml:space="preserve"> kod PV</w:t>
      </w:r>
      <w:r w:rsidR="001F1EC4">
        <w:rPr>
          <w:i/>
          <w:sz w:val="22"/>
          <w:szCs w:val="22"/>
          <w:u w:val="single"/>
          <w:lang w:val="sr-Latn-ME"/>
        </w:rPr>
        <w:t xml:space="preserve"> ili tokom praćenja nakon stavljanja lijeka u promet</w:t>
      </w:r>
    </w:p>
    <w:p w:rsidR="001F1EC4" w:rsidRPr="0055610F" w:rsidRDefault="001F1EC4" w:rsidP="004D5825">
      <w:pPr>
        <w:pStyle w:val="Header"/>
        <w:tabs>
          <w:tab w:val="left" w:pos="284"/>
        </w:tabs>
        <w:jc w:val="both"/>
        <w:rPr>
          <w:i/>
          <w:sz w:val="22"/>
          <w:szCs w:val="22"/>
          <w:u w:val="single"/>
          <w:lang w:val="sr-Latn-ME"/>
        </w:rPr>
      </w:pPr>
    </w:p>
    <w:p w:rsidR="00496E03" w:rsidRPr="0055610F" w:rsidRDefault="00496E03" w:rsidP="004D5825">
      <w:pPr>
        <w:ind w:right="1"/>
        <w:jc w:val="both"/>
        <w:rPr>
          <w:sz w:val="22"/>
          <w:szCs w:val="22"/>
          <w:lang w:val="sr-Latn-ME"/>
        </w:rPr>
      </w:pPr>
      <w:r w:rsidRPr="0055610F">
        <w:rPr>
          <w:sz w:val="22"/>
          <w:szCs w:val="22"/>
          <w:lang w:val="sr-Latn-ME"/>
        </w:rPr>
        <w:t xml:space="preserve">Neželjene reakcije iz </w:t>
      </w:r>
      <w:r w:rsidR="00CA6E91" w:rsidRPr="0055610F">
        <w:rPr>
          <w:sz w:val="22"/>
          <w:szCs w:val="22"/>
          <w:lang w:val="sr-Latn-ME"/>
        </w:rPr>
        <w:t>1. i 2. studije kod PV</w:t>
      </w:r>
      <w:r w:rsidRPr="0055610F">
        <w:rPr>
          <w:sz w:val="22"/>
          <w:szCs w:val="22"/>
          <w:lang w:val="sr-Latn-ME"/>
        </w:rPr>
        <w:t xml:space="preserve"> </w:t>
      </w:r>
      <w:r w:rsidR="001F1EC4" w:rsidRPr="001F1EC4">
        <w:rPr>
          <w:sz w:val="22"/>
          <w:szCs w:val="22"/>
          <w:lang w:val="sr-Latn-ME"/>
        </w:rPr>
        <w:t>svrstane u kategori</w:t>
      </w:r>
      <w:r w:rsidR="001F1EC4">
        <w:rPr>
          <w:sz w:val="22"/>
          <w:szCs w:val="22"/>
          <w:lang w:val="sr-Latn-ME"/>
        </w:rPr>
        <w:t>ju učestalosti „često“ ili „veoma</w:t>
      </w:r>
      <w:r w:rsidR="001F1EC4" w:rsidRPr="001F1EC4">
        <w:rPr>
          <w:sz w:val="22"/>
          <w:szCs w:val="22"/>
          <w:lang w:val="sr-Latn-ME"/>
        </w:rPr>
        <w:t xml:space="preserve"> često“</w:t>
      </w:r>
      <w:r w:rsidR="001F1EC4">
        <w:rPr>
          <w:sz w:val="22"/>
          <w:szCs w:val="22"/>
          <w:lang w:val="sr-Latn-ME"/>
        </w:rPr>
        <w:t xml:space="preserve"> </w:t>
      </w:r>
      <w:r w:rsidRPr="0055610F">
        <w:rPr>
          <w:sz w:val="22"/>
          <w:szCs w:val="22"/>
          <w:lang w:val="sr-Latn-ME"/>
        </w:rPr>
        <w:t xml:space="preserve">navedene su u Tabeli 7 U </w:t>
      </w:r>
      <w:r w:rsidR="00CA6E91" w:rsidRPr="0055610F">
        <w:rPr>
          <w:sz w:val="22"/>
          <w:szCs w:val="22"/>
          <w:lang w:val="sr-Latn-ME"/>
        </w:rPr>
        <w:t>1. studiji kod PV</w:t>
      </w:r>
      <w:r w:rsidRPr="0055610F">
        <w:rPr>
          <w:sz w:val="22"/>
          <w:szCs w:val="22"/>
          <w:lang w:val="sr-Latn-ME"/>
        </w:rPr>
        <w:t xml:space="preserve">, NRL  predstavljaju neželjene događaje čija je učestalost kod pacijenata sa indikacijom PV na terapiji lijekom MabThera iznosila </w:t>
      </w:r>
      <w:r w:rsidRPr="0055610F">
        <w:rPr>
          <w:sz w:val="22"/>
          <w:szCs w:val="22"/>
          <w:lang w:val="sr-Latn-ME"/>
        </w:rPr>
        <w:sym w:font="Symbol" w:char="F0B3"/>
      </w:r>
      <w:r w:rsidRPr="0055610F">
        <w:rPr>
          <w:sz w:val="22"/>
          <w:szCs w:val="22"/>
          <w:lang w:val="sr-Latn-ME"/>
        </w:rPr>
        <w:t xml:space="preserve"> 5% i za koje je apsolutna razlika u incidenci između grupe liječene lijekom MabThera i grupe liječene standardnom dozom prednizona iznosila </w:t>
      </w:r>
      <w:r w:rsidRPr="0055610F">
        <w:rPr>
          <w:sz w:val="22"/>
          <w:szCs w:val="22"/>
          <w:lang w:val="sr-Latn-ME"/>
        </w:rPr>
        <w:sym w:font="Symbol" w:char="F0B3"/>
      </w:r>
      <w:r w:rsidRPr="0055610F">
        <w:rPr>
          <w:sz w:val="22"/>
          <w:szCs w:val="22"/>
          <w:lang w:val="sr-Latn-ME"/>
        </w:rPr>
        <w:t xml:space="preserve"> 2% do 24-og mjeseca. </w:t>
      </w:r>
      <w:r w:rsidR="00CA6E91" w:rsidRPr="0055610F">
        <w:rPr>
          <w:sz w:val="22"/>
          <w:szCs w:val="22"/>
          <w:lang w:val="sr-Latn-ME"/>
        </w:rPr>
        <w:t>U 1. studiji kod PV nijedan pacijent nije prekinuo liječenje zbog neželjenih događaja. U 2. studiji kod PV NRL su definisane kao neželjeni događaji koji su se javili kod ≥ 5% pacijenata u grupi liječenoj lijekom MabThera za koje je ocijenjeno da su povezani s liječenjem.</w:t>
      </w:r>
    </w:p>
    <w:p w:rsidR="00496E03" w:rsidRDefault="00496E03" w:rsidP="004D5825">
      <w:pPr>
        <w:ind w:right="1"/>
        <w:jc w:val="both"/>
        <w:rPr>
          <w:sz w:val="22"/>
          <w:szCs w:val="22"/>
          <w:u w:val="single"/>
          <w:lang w:val="sr-Latn-ME"/>
        </w:rPr>
      </w:pPr>
    </w:p>
    <w:p w:rsidR="001F1EC4" w:rsidRPr="0055610F" w:rsidRDefault="001F1EC4" w:rsidP="004D5825">
      <w:pPr>
        <w:ind w:right="1"/>
        <w:jc w:val="both"/>
        <w:rPr>
          <w:sz w:val="22"/>
          <w:szCs w:val="22"/>
          <w:u w:val="single"/>
          <w:lang w:val="sr-Latn-ME"/>
        </w:rPr>
      </w:pPr>
      <w:r w:rsidRPr="001F1EC4">
        <w:rPr>
          <w:sz w:val="22"/>
          <w:szCs w:val="22"/>
          <w:u w:val="single"/>
          <w:lang w:val="sr-Latn-ME"/>
        </w:rPr>
        <w:t>Neželjene reakcije koje su uočene samo tokom praćenja nakon stavljanja lijeka u promet i za koje nije moguće procijeniti učestalost svrstane su u kategoriju „nepoznato“, vidjeti fusnote.</w:t>
      </w:r>
    </w:p>
    <w:p w:rsidR="00496E03" w:rsidRPr="0055610F" w:rsidRDefault="00496E03" w:rsidP="004D5825">
      <w:pPr>
        <w:keepNext/>
        <w:keepLines/>
        <w:ind w:left="1134" w:hanging="1134"/>
        <w:jc w:val="both"/>
        <w:rPr>
          <w:rFonts w:eastAsia="Calibri"/>
          <w:b/>
          <w:bCs/>
          <w:sz w:val="22"/>
          <w:szCs w:val="22"/>
          <w:lang w:val="sr-Latn-ME"/>
        </w:rPr>
      </w:pPr>
      <w:r w:rsidRPr="0055610F">
        <w:rPr>
          <w:rFonts w:eastAsia="Calibri"/>
          <w:b/>
          <w:bCs/>
          <w:sz w:val="22"/>
          <w:szCs w:val="22"/>
          <w:lang w:val="sr-Latn-ME"/>
        </w:rPr>
        <w:lastRenderedPageBreak/>
        <w:t>Tabela 7</w:t>
      </w:r>
      <w:r w:rsidRPr="0055610F">
        <w:rPr>
          <w:b/>
          <w:sz w:val="22"/>
          <w:szCs w:val="22"/>
          <w:lang w:val="sr-Latn-ME"/>
        </w:rPr>
        <w:tab/>
      </w:r>
      <w:r w:rsidRPr="0055610F">
        <w:rPr>
          <w:rFonts w:eastAsia="Calibri"/>
          <w:b/>
          <w:bCs/>
          <w:sz w:val="22"/>
          <w:szCs w:val="22"/>
          <w:lang w:val="sr-Latn-ME"/>
        </w:rPr>
        <w:t>Neželjene reakcije zabil</w:t>
      </w:r>
      <w:r w:rsidR="00B4139E">
        <w:rPr>
          <w:rFonts w:eastAsia="Calibri"/>
          <w:b/>
          <w:bCs/>
          <w:sz w:val="22"/>
          <w:szCs w:val="22"/>
          <w:lang w:val="sr-Latn-ME"/>
        </w:rPr>
        <w:t>j</w:t>
      </w:r>
      <w:r w:rsidRPr="0055610F">
        <w:rPr>
          <w:rFonts w:eastAsia="Calibri"/>
          <w:b/>
          <w:bCs/>
          <w:sz w:val="22"/>
          <w:szCs w:val="22"/>
          <w:lang w:val="sr-Latn-ME"/>
        </w:rPr>
        <w:t>ežene kod pacijenata sa indikacijom običnog</w:t>
      </w:r>
      <w:r w:rsidR="00CA6E91" w:rsidRPr="0055610F">
        <w:rPr>
          <w:rFonts w:eastAsia="Calibri"/>
          <w:b/>
          <w:bCs/>
          <w:sz w:val="22"/>
          <w:szCs w:val="22"/>
          <w:lang w:val="sr-Latn-ME"/>
        </w:rPr>
        <w:t xml:space="preserve"> </w:t>
      </w:r>
      <w:r w:rsidRPr="0055610F">
        <w:rPr>
          <w:rFonts w:eastAsia="Calibri"/>
          <w:b/>
          <w:bCs/>
          <w:sz w:val="22"/>
          <w:szCs w:val="22"/>
          <w:lang w:val="sr-Latn-ME"/>
        </w:rPr>
        <w:t xml:space="preserve">pemfigusa na terapiji lijekom MabThera </w:t>
      </w:r>
      <w:r w:rsidR="00B21971" w:rsidRPr="0055610F">
        <w:rPr>
          <w:rFonts w:eastAsia="Calibri"/>
          <w:b/>
          <w:bCs/>
          <w:sz w:val="22"/>
          <w:szCs w:val="22"/>
          <w:lang w:val="sr-Latn-ME"/>
        </w:rPr>
        <w:t xml:space="preserve"> </w:t>
      </w:r>
      <w:r w:rsidR="00CA6E91" w:rsidRPr="0055610F">
        <w:rPr>
          <w:rFonts w:eastAsia="Calibri"/>
          <w:b/>
          <w:bCs/>
          <w:sz w:val="22"/>
          <w:szCs w:val="22"/>
          <w:lang w:val="sr-Latn-ME"/>
        </w:rPr>
        <w:t>1. studiji kod PV</w:t>
      </w:r>
      <w:r w:rsidRPr="0055610F">
        <w:rPr>
          <w:rFonts w:eastAsia="Calibri"/>
          <w:b/>
          <w:bCs/>
          <w:sz w:val="22"/>
          <w:szCs w:val="22"/>
          <w:lang w:val="sr-Latn-ME"/>
        </w:rPr>
        <w:t xml:space="preserve"> (do 24-og mjeseca) i </w:t>
      </w:r>
      <w:r w:rsidR="00CA6E91" w:rsidRPr="0055610F">
        <w:rPr>
          <w:rFonts w:eastAsia="Calibri"/>
          <w:b/>
          <w:bCs/>
          <w:sz w:val="22"/>
          <w:szCs w:val="22"/>
          <w:lang w:val="sr-Latn-ME"/>
        </w:rPr>
        <w:t>2. studiji kod PV</w:t>
      </w:r>
      <w:r w:rsidRPr="0055610F">
        <w:rPr>
          <w:rFonts w:eastAsia="Calibri"/>
          <w:b/>
          <w:bCs/>
          <w:sz w:val="22"/>
          <w:szCs w:val="22"/>
          <w:lang w:val="sr-Latn-ME"/>
        </w:rPr>
        <w:t xml:space="preserve"> (do 52 ned</w:t>
      </w:r>
      <w:r w:rsidR="00117E76" w:rsidRPr="0055610F">
        <w:rPr>
          <w:rFonts w:eastAsia="Calibri"/>
          <w:b/>
          <w:bCs/>
          <w:sz w:val="22"/>
          <w:szCs w:val="22"/>
          <w:lang w:val="sr-Latn-ME"/>
        </w:rPr>
        <w:t>j</w:t>
      </w:r>
      <w:r w:rsidRPr="0055610F">
        <w:rPr>
          <w:rFonts w:eastAsia="Calibri"/>
          <w:b/>
          <w:bCs/>
          <w:sz w:val="22"/>
          <w:szCs w:val="22"/>
          <w:lang w:val="sr-Latn-ME"/>
        </w:rPr>
        <w:t>elje)</w:t>
      </w:r>
      <w:r w:rsidR="006F7465" w:rsidRPr="006F7465">
        <w:rPr>
          <w:rFonts w:eastAsia="Calibri"/>
          <w:b/>
          <w:bCs/>
          <w:sz w:val="22"/>
          <w:szCs w:val="22"/>
          <w:lang w:val="sr-Latn-ME"/>
        </w:rPr>
        <w:t xml:space="preserve"> ili tokom praćenja nakon stavljanja l</w:t>
      </w:r>
      <w:r w:rsidR="006F7465">
        <w:rPr>
          <w:rFonts w:eastAsia="Calibri"/>
          <w:b/>
          <w:bCs/>
          <w:sz w:val="22"/>
          <w:szCs w:val="22"/>
          <w:lang w:val="sr-Latn-ME"/>
        </w:rPr>
        <w:t>ij</w:t>
      </w:r>
      <w:r w:rsidR="006F7465" w:rsidRPr="006F7465">
        <w:rPr>
          <w:rFonts w:eastAsia="Calibri"/>
          <w:b/>
          <w:bCs/>
          <w:sz w:val="22"/>
          <w:szCs w:val="22"/>
          <w:lang w:val="sr-Latn-ME"/>
        </w:rPr>
        <w:t>eka u promet</w:t>
      </w:r>
    </w:p>
    <w:p w:rsidR="00496E03" w:rsidRPr="0055610F" w:rsidRDefault="00496E03" w:rsidP="004D5825">
      <w:pPr>
        <w:keepNext/>
        <w:keepLines/>
        <w:ind w:left="1134" w:hanging="1134"/>
        <w:jc w:val="both"/>
        <w:rPr>
          <w:rFonts w:eastAsia="Calibri"/>
          <w:b/>
          <w:b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2328"/>
        <w:gridCol w:w="1592"/>
        <w:gridCol w:w="1960"/>
      </w:tblGrid>
      <w:tr w:rsidR="00FB34CE" w:rsidRPr="007642DC" w:rsidTr="009941F7">
        <w:trPr>
          <w:cantSplit/>
          <w:tblHeader/>
        </w:trPr>
        <w:tc>
          <w:tcPr>
            <w:tcW w:w="1759" w:type="pct"/>
            <w:tcBorders>
              <w:top w:val="single" w:sz="4" w:space="0" w:color="auto"/>
              <w:left w:val="single" w:sz="4" w:space="0" w:color="auto"/>
              <w:bottom w:val="single" w:sz="4" w:space="0" w:color="auto"/>
              <w:right w:val="single" w:sz="4" w:space="0" w:color="auto"/>
            </w:tcBorders>
            <w:vAlign w:val="center"/>
            <w:hideMark/>
          </w:tcPr>
          <w:p w:rsidR="00FB34CE" w:rsidRPr="0055610F" w:rsidRDefault="00FB34CE" w:rsidP="004D5825">
            <w:pPr>
              <w:keepNext/>
              <w:tabs>
                <w:tab w:val="left" w:pos="720"/>
              </w:tabs>
              <w:spacing w:before="100" w:beforeAutospacing="1" w:after="100" w:afterAutospacing="1"/>
              <w:jc w:val="both"/>
              <w:rPr>
                <w:rFonts w:eastAsia="MS Mincho"/>
                <w:sz w:val="22"/>
                <w:szCs w:val="22"/>
                <w:lang w:val="sr-Latn-ME" w:eastAsia="zh-CN" w:bidi="th-TH"/>
              </w:rPr>
            </w:pPr>
            <w:r w:rsidRPr="0055610F">
              <w:rPr>
                <w:rFonts w:eastAsia="MS Mincho"/>
                <w:b/>
                <w:bCs/>
                <w:sz w:val="22"/>
                <w:szCs w:val="22"/>
                <w:lang w:val="sr-Latn-ME" w:eastAsia="zh-CN" w:bidi="th-TH"/>
              </w:rPr>
              <w:t>MedDRA</w:t>
            </w:r>
            <w:r w:rsidRPr="0055610F">
              <w:rPr>
                <w:sz w:val="22"/>
                <w:szCs w:val="22"/>
                <w:lang w:val="sr-Latn-ME" w:eastAsia="ja-JP"/>
              </w:rPr>
              <w:t xml:space="preserve"> </w:t>
            </w:r>
            <w:r w:rsidRPr="0055610F">
              <w:rPr>
                <w:rFonts w:eastAsia="MS Mincho"/>
                <w:b/>
                <w:bCs/>
                <w:sz w:val="22"/>
                <w:szCs w:val="22"/>
                <w:lang w:val="sr-Latn-ME" w:eastAsia="zh-CN" w:bidi="th-TH"/>
              </w:rPr>
              <w:t>klasifikacija sistema organa</w:t>
            </w:r>
          </w:p>
        </w:tc>
        <w:tc>
          <w:tcPr>
            <w:tcW w:w="1356" w:type="pct"/>
            <w:tcBorders>
              <w:top w:val="single" w:sz="4" w:space="0" w:color="auto"/>
              <w:left w:val="single" w:sz="4" w:space="0" w:color="auto"/>
              <w:bottom w:val="single" w:sz="4" w:space="0" w:color="auto"/>
              <w:right w:val="single" w:sz="4" w:space="0" w:color="auto"/>
            </w:tcBorders>
            <w:vAlign w:val="center"/>
            <w:hideMark/>
          </w:tcPr>
          <w:p w:rsidR="00FB34CE" w:rsidRPr="0055610F" w:rsidRDefault="00FB34CE" w:rsidP="00B2002A">
            <w:pPr>
              <w:keepNext/>
              <w:tabs>
                <w:tab w:val="left" w:pos="720"/>
              </w:tabs>
              <w:jc w:val="both"/>
              <w:rPr>
                <w:b/>
                <w:sz w:val="22"/>
                <w:szCs w:val="22"/>
                <w:lang w:val="sr-Latn-ME" w:eastAsia="ja-JP"/>
              </w:rPr>
            </w:pPr>
            <w:r w:rsidRPr="0055610F">
              <w:rPr>
                <w:b/>
                <w:sz w:val="22"/>
                <w:szCs w:val="22"/>
                <w:lang w:val="sr-Latn-ME" w:eastAsia="ja-JP"/>
              </w:rPr>
              <w:t>V</w:t>
            </w:r>
            <w:r w:rsidR="00B2002A">
              <w:rPr>
                <w:b/>
                <w:sz w:val="22"/>
                <w:szCs w:val="22"/>
                <w:lang w:val="sr-Latn-ME" w:eastAsia="ja-JP"/>
              </w:rPr>
              <w:t>eoma</w:t>
            </w:r>
            <w:r w:rsidRPr="0055610F">
              <w:rPr>
                <w:b/>
                <w:sz w:val="22"/>
                <w:szCs w:val="22"/>
                <w:lang w:val="sr-Latn-ME" w:eastAsia="ja-JP"/>
              </w:rPr>
              <w:t xml:space="preserve"> često</w:t>
            </w:r>
          </w:p>
        </w:tc>
        <w:tc>
          <w:tcPr>
            <w:tcW w:w="943" w:type="pct"/>
            <w:tcBorders>
              <w:top w:val="single" w:sz="4" w:space="0" w:color="auto"/>
              <w:left w:val="single" w:sz="4" w:space="0" w:color="auto"/>
              <w:bottom w:val="single" w:sz="4" w:space="0" w:color="auto"/>
              <w:right w:val="single" w:sz="4" w:space="0" w:color="auto"/>
            </w:tcBorders>
            <w:vAlign w:val="center"/>
            <w:hideMark/>
          </w:tcPr>
          <w:p w:rsidR="00FB34CE" w:rsidRPr="0055610F" w:rsidRDefault="00FB34CE" w:rsidP="004D5825">
            <w:pPr>
              <w:keepNext/>
              <w:tabs>
                <w:tab w:val="left" w:pos="720"/>
              </w:tabs>
              <w:jc w:val="both"/>
              <w:rPr>
                <w:b/>
                <w:sz w:val="22"/>
                <w:szCs w:val="22"/>
                <w:lang w:val="sr-Latn-ME" w:eastAsia="ja-JP"/>
              </w:rPr>
            </w:pPr>
            <w:r w:rsidRPr="0055610F">
              <w:rPr>
                <w:b/>
                <w:sz w:val="22"/>
                <w:szCs w:val="22"/>
                <w:lang w:val="sr-Latn-ME" w:eastAsia="ja-JP"/>
              </w:rPr>
              <w:t>Često</w:t>
            </w:r>
          </w:p>
        </w:tc>
        <w:tc>
          <w:tcPr>
            <w:tcW w:w="942"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jc w:val="both"/>
              <w:rPr>
                <w:b/>
                <w:sz w:val="22"/>
                <w:szCs w:val="22"/>
                <w:lang w:val="sr-Latn-ME" w:eastAsia="ja-JP"/>
              </w:rPr>
            </w:pPr>
            <w:r>
              <w:rPr>
                <w:b/>
                <w:sz w:val="22"/>
                <w:szCs w:val="22"/>
                <w:lang w:val="sr-Latn-ME" w:eastAsia="ja-JP"/>
              </w:rPr>
              <w:t>Nepoznato</w:t>
            </w:r>
          </w:p>
        </w:tc>
      </w:tr>
      <w:tr w:rsidR="00FB34CE" w:rsidRPr="00FB34CE" w:rsidTr="009941F7">
        <w:trPr>
          <w:cantSplit/>
        </w:trPr>
        <w:tc>
          <w:tcPr>
            <w:tcW w:w="1759"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b/>
                <w:sz w:val="22"/>
                <w:szCs w:val="22"/>
                <w:lang w:val="sr-Latn-ME" w:eastAsia="ja-JP"/>
              </w:rPr>
              <w:t>Infekcije i infestacije</w:t>
            </w:r>
          </w:p>
        </w:tc>
        <w:tc>
          <w:tcPr>
            <w:tcW w:w="1356"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sz w:val="22"/>
                <w:szCs w:val="22"/>
                <w:lang w:val="sr-Latn-ME" w:eastAsia="ja-JP"/>
              </w:rPr>
              <w:t>infekcija gornjih disajnih puteva</w:t>
            </w:r>
          </w:p>
        </w:tc>
        <w:tc>
          <w:tcPr>
            <w:tcW w:w="943"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rFonts w:eastAsia="SimSun"/>
                <w:sz w:val="22"/>
                <w:szCs w:val="22"/>
                <w:lang w:val="sr-Latn-ME" w:eastAsia="zh-CN"/>
              </w:rPr>
            </w:pPr>
            <w:r w:rsidRPr="0055610F">
              <w:rPr>
                <w:rFonts w:eastAsia="SimSun"/>
                <w:sz w:val="22"/>
                <w:szCs w:val="22"/>
                <w:lang w:val="sr-Latn-ME" w:eastAsia="zh-CN"/>
              </w:rPr>
              <w:t>infekcija virusom herpesa</w:t>
            </w:r>
            <w:r w:rsidR="001F1EC4">
              <w:rPr>
                <w:rFonts w:eastAsia="SimSun"/>
                <w:sz w:val="22"/>
                <w:szCs w:val="22"/>
                <w:lang w:val="sr-Latn-ME" w:eastAsia="zh-CN"/>
              </w:rPr>
              <w:t>,</w:t>
            </w:r>
          </w:p>
          <w:p w:rsidR="00FB34CE" w:rsidRPr="0055610F" w:rsidRDefault="00FB34CE" w:rsidP="004D5825">
            <w:pPr>
              <w:keepNext/>
              <w:tabs>
                <w:tab w:val="left" w:pos="720"/>
              </w:tabs>
              <w:rPr>
                <w:sz w:val="22"/>
                <w:szCs w:val="22"/>
                <w:lang w:val="sr-Latn-ME" w:eastAsia="ja-JP"/>
              </w:rPr>
            </w:pPr>
            <w:r w:rsidRPr="0055610F">
              <w:rPr>
                <w:sz w:val="22"/>
                <w:szCs w:val="22"/>
                <w:lang w:val="sr-Latn-ME" w:eastAsia="ja-JP"/>
              </w:rPr>
              <w:t>herpes zoster</w:t>
            </w:r>
            <w:r w:rsidR="001F1EC4">
              <w:rPr>
                <w:sz w:val="22"/>
                <w:szCs w:val="22"/>
                <w:lang w:val="sr-Latn-ME" w:eastAsia="ja-JP"/>
              </w:rPr>
              <w:t>,</w:t>
            </w:r>
          </w:p>
          <w:p w:rsidR="00FB34CE" w:rsidRPr="0055610F" w:rsidRDefault="00FB34CE" w:rsidP="004D5825">
            <w:pPr>
              <w:keepNext/>
              <w:tabs>
                <w:tab w:val="left" w:pos="720"/>
              </w:tabs>
              <w:rPr>
                <w:sz w:val="22"/>
                <w:szCs w:val="22"/>
                <w:lang w:val="sr-Latn-ME" w:eastAsia="ja-JP"/>
              </w:rPr>
            </w:pPr>
            <w:r w:rsidRPr="0055610F">
              <w:rPr>
                <w:sz w:val="22"/>
                <w:szCs w:val="22"/>
                <w:lang w:val="sr-Latn-ME" w:eastAsia="ja-JP"/>
              </w:rPr>
              <w:t>oralni herpes</w:t>
            </w:r>
            <w:r w:rsidR="001F1EC4">
              <w:rPr>
                <w:sz w:val="22"/>
                <w:szCs w:val="22"/>
                <w:lang w:val="sr-Latn-ME" w:eastAsia="ja-JP"/>
              </w:rPr>
              <w:t>,</w:t>
            </w:r>
          </w:p>
          <w:p w:rsidR="00FB34CE" w:rsidRPr="0055610F" w:rsidRDefault="00FB34CE" w:rsidP="004D5825">
            <w:pPr>
              <w:keepNext/>
              <w:tabs>
                <w:tab w:val="left" w:pos="720"/>
              </w:tabs>
              <w:rPr>
                <w:sz w:val="22"/>
                <w:szCs w:val="22"/>
                <w:lang w:val="sr-Latn-ME" w:eastAsia="ja-JP"/>
              </w:rPr>
            </w:pPr>
            <w:r w:rsidRPr="0055610F">
              <w:rPr>
                <w:sz w:val="22"/>
                <w:szCs w:val="22"/>
                <w:lang w:val="sr-Latn-ME" w:eastAsia="ja-JP"/>
              </w:rPr>
              <w:t>konjunktivitis</w:t>
            </w:r>
            <w:r w:rsidR="001F1EC4">
              <w:rPr>
                <w:sz w:val="22"/>
                <w:szCs w:val="22"/>
                <w:lang w:val="sr-Latn-ME" w:eastAsia="ja-JP"/>
              </w:rPr>
              <w:t>,</w:t>
            </w:r>
          </w:p>
          <w:p w:rsidR="00FB34CE" w:rsidRPr="0055610F" w:rsidRDefault="00FB34CE" w:rsidP="004D5825">
            <w:pPr>
              <w:keepNext/>
              <w:tabs>
                <w:tab w:val="left" w:pos="720"/>
              </w:tabs>
              <w:rPr>
                <w:sz w:val="22"/>
                <w:szCs w:val="22"/>
                <w:lang w:val="sr-Latn-ME" w:eastAsia="ja-JP"/>
              </w:rPr>
            </w:pPr>
            <w:r w:rsidRPr="0055610F">
              <w:rPr>
                <w:sz w:val="22"/>
                <w:szCs w:val="22"/>
                <w:lang w:val="sr-Latn-ME" w:eastAsia="ja-JP"/>
              </w:rPr>
              <w:t>nazofaringitis</w:t>
            </w:r>
            <w:r w:rsidR="001F1EC4">
              <w:rPr>
                <w:sz w:val="22"/>
                <w:szCs w:val="22"/>
                <w:lang w:val="sr-Latn-ME" w:eastAsia="ja-JP"/>
              </w:rPr>
              <w:t>,</w:t>
            </w:r>
          </w:p>
          <w:p w:rsidR="00FB34CE" w:rsidRPr="0055610F" w:rsidRDefault="00FB34CE" w:rsidP="004D5825">
            <w:pPr>
              <w:keepNext/>
              <w:tabs>
                <w:tab w:val="left" w:pos="720"/>
              </w:tabs>
              <w:rPr>
                <w:sz w:val="22"/>
                <w:szCs w:val="22"/>
                <w:lang w:val="sr-Latn-ME" w:eastAsia="ja-JP"/>
              </w:rPr>
            </w:pPr>
            <w:r w:rsidRPr="0055610F">
              <w:rPr>
                <w:sz w:val="22"/>
                <w:szCs w:val="22"/>
                <w:lang w:val="sr-Latn-ME" w:eastAsia="ja-JP"/>
              </w:rPr>
              <w:t>oralna kandidijaza</w:t>
            </w:r>
            <w:r w:rsidR="001F1EC4">
              <w:rPr>
                <w:sz w:val="22"/>
                <w:szCs w:val="22"/>
                <w:lang w:val="sr-Latn-ME" w:eastAsia="ja-JP"/>
              </w:rPr>
              <w:t>,</w:t>
            </w:r>
          </w:p>
          <w:p w:rsidR="00FB34CE" w:rsidRPr="0055610F" w:rsidRDefault="00FB34CE" w:rsidP="004D5825">
            <w:pPr>
              <w:keepNext/>
              <w:tabs>
                <w:tab w:val="left" w:pos="720"/>
              </w:tabs>
              <w:rPr>
                <w:sz w:val="22"/>
                <w:szCs w:val="22"/>
                <w:lang w:val="sr-Latn-ME" w:eastAsia="ja-JP"/>
              </w:rPr>
            </w:pPr>
            <w:r w:rsidRPr="0055610F">
              <w:rPr>
                <w:sz w:val="22"/>
                <w:szCs w:val="22"/>
                <w:lang w:val="sr-Latn-ME" w:eastAsia="ja-JP"/>
              </w:rPr>
              <w:t>infekcija mokraćnih puteva</w:t>
            </w:r>
          </w:p>
        </w:tc>
        <w:tc>
          <w:tcPr>
            <w:tcW w:w="942" w:type="pct"/>
            <w:tcBorders>
              <w:top w:val="single" w:sz="4" w:space="0" w:color="auto"/>
              <w:left w:val="single" w:sz="4" w:space="0" w:color="auto"/>
              <w:bottom w:val="single" w:sz="4" w:space="0" w:color="auto"/>
              <w:right w:val="single" w:sz="4" w:space="0" w:color="auto"/>
            </w:tcBorders>
          </w:tcPr>
          <w:p w:rsidR="00FB34CE" w:rsidRPr="00252B3B" w:rsidRDefault="00FB34CE" w:rsidP="004D5825">
            <w:pPr>
              <w:keepNext/>
              <w:tabs>
                <w:tab w:val="left" w:pos="720"/>
              </w:tabs>
              <w:rPr>
                <w:rFonts w:eastAsia="SimSun"/>
                <w:sz w:val="22"/>
                <w:szCs w:val="22"/>
                <w:lang w:val="sr-Latn-ME" w:eastAsia="zh-CN"/>
              </w:rPr>
            </w:pPr>
            <w:r>
              <w:rPr>
                <w:rFonts w:eastAsia="SimSun"/>
                <w:szCs w:val="22"/>
                <w:lang w:val="hr-HR" w:eastAsia="zh-CN"/>
              </w:rPr>
              <w:t>ozbiljne virusne infekcije</w:t>
            </w:r>
            <w:r>
              <w:rPr>
                <w:sz w:val="18"/>
                <w:vertAlign w:val="superscript"/>
              </w:rPr>
              <w:t>1</w:t>
            </w:r>
            <w:r w:rsidR="00252B3B">
              <w:rPr>
                <w:sz w:val="18"/>
                <w:vertAlign w:val="superscript"/>
              </w:rPr>
              <w:t>,2</w:t>
            </w:r>
            <w:r w:rsidR="00252B3B">
              <w:rPr>
                <w:sz w:val="18"/>
              </w:rPr>
              <w:t xml:space="preserve">, </w:t>
            </w:r>
            <w:r w:rsidR="00252B3B" w:rsidRPr="00A44BB7">
              <w:rPr>
                <w:rFonts w:eastAsia="SimSun"/>
                <w:sz w:val="22"/>
                <w:szCs w:val="22"/>
                <w:lang w:val="hr-HR" w:eastAsia="zh-CN"/>
              </w:rPr>
              <w:t>enterovirusni meningoencefalitis</w:t>
            </w:r>
            <w:r w:rsidR="00252B3B" w:rsidRPr="00A44BB7">
              <w:rPr>
                <w:rFonts w:eastAsia="SimSun"/>
                <w:sz w:val="22"/>
                <w:szCs w:val="22"/>
                <w:vertAlign w:val="superscript"/>
                <w:lang w:val="hr-HR" w:eastAsia="zh-CN"/>
              </w:rPr>
              <w:t>1</w:t>
            </w:r>
          </w:p>
        </w:tc>
      </w:tr>
      <w:tr w:rsidR="00FB34CE" w:rsidRPr="007642DC" w:rsidTr="009941F7">
        <w:trPr>
          <w:cantSplit/>
        </w:trPr>
        <w:tc>
          <w:tcPr>
            <w:tcW w:w="1759"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b/>
                <w:sz w:val="22"/>
                <w:szCs w:val="22"/>
                <w:lang w:val="sr-Latn-ME" w:eastAsia="ja-JP"/>
              </w:rPr>
            </w:pPr>
            <w:r w:rsidRPr="0055610F">
              <w:rPr>
                <w:b/>
                <w:sz w:val="22"/>
                <w:szCs w:val="22"/>
                <w:lang w:val="sr-Latn-ME" w:eastAsia="ja-JP"/>
              </w:rPr>
              <w:t>Dobroćudne, zloćudne i nespecificirane neoplazme (uključujući ciste i polipe)</w:t>
            </w:r>
          </w:p>
        </w:tc>
        <w:tc>
          <w:tcPr>
            <w:tcW w:w="1356"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sz w:val="22"/>
                <w:szCs w:val="22"/>
                <w:lang w:val="sr-Latn-ME" w:eastAsia="ja-JP"/>
              </w:rPr>
            </w:pPr>
          </w:p>
        </w:tc>
        <w:tc>
          <w:tcPr>
            <w:tcW w:w="943"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rFonts w:eastAsia="SimSun"/>
                <w:sz w:val="22"/>
                <w:szCs w:val="22"/>
                <w:lang w:val="sr-Latn-ME" w:eastAsia="zh-CN"/>
              </w:rPr>
              <w:t>kožni papilom</w:t>
            </w:r>
          </w:p>
        </w:tc>
        <w:tc>
          <w:tcPr>
            <w:tcW w:w="942"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rFonts w:eastAsia="SimSun"/>
                <w:sz w:val="22"/>
                <w:szCs w:val="22"/>
                <w:lang w:val="sr-Latn-ME" w:eastAsia="zh-CN"/>
              </w:rPr>
            </w:pPr>
          </w:p>
        </w:tc>
      </w:tr>
      <w:tr w:rsidR="00FB34CE" w:rsidRPr="007642DC" w:rsidTr="009941F7">
        <w:trPr>
          <w:cantSplit/>
        </w:trPr>
        <w:tc>
          <w:tcPr>
            <w:tcW w:w="1759"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rFonts w:eastAsia="SimSun"/>
                <w:b/>
                <w:sz w:val="22"/>
                <w:szCs w:val="22"/>
                <w:lang w:val="sr-Latn-ME" w:eastAsia="zh-CN"/>
              </w:rPr>
              <w:t>Psihijatrijski poremećaji</w:t>
            </w:r>
          </w:p>
        </w:tc>
        <w:tc>
          <w:tcPr>
            <w:tcW w:w="1356"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rFonts w:eastAsia="SimSun"/>
                <w:sz w:val="22"/>
                <w:szCs w:val="22"/>
                <w:lang w:val="sr-Latn-ME" w:eastAsia="zh-CN"/>
              </w:rPr>
              <w:t>perzistentan depresivni poremećaj</w:t>
            </w:r>
          </w:p>
        </w:tc>
        <w:tc>
          <w:tcPr>
            <w:tcW w:w="943"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rFonts w:eastAsia="SimSun"/>
                <w:sz w:val="22"/>
                <w:szCs w:val="22"/>
                <w:lang w:val="sr-Latn-ME" w:eastAsia="zh-CN"/>
              </w:rPr>
              <w:t>velika depresija</w:t>
            </w:r>
            <w:r w:rsidR="001F1EC4">
              <w:rPr>
                <w:rFonts w:eastAsia="SimSun"/>
                <w:sz w:val="22"/>
                <w:szCs w:val="22"/>
                <w:lang w:val="sr-Latn-ME" w:eastAsia="zh-CN"/>
              </w:rPr>
              <w:t>,</w:t>
            </w:r>
            <w:r w:rsidRPr="0055610F">
              <w:rPr>
                <w:sz w:val="22"/>
                <w:szCs w:val="22"/>
                <w:lang w:val="sr-Latn-ME" w:eastAsia="ja-JP"/>
              </w:rPr>
              <w:t xml:space="preserve"> </w:t>
            </w:r>
          </w:p>
          <w:p w:rsidR="00FB34CE" w:rsidRPr="0055610F" w:rsidRDefault="00FB34CE" w:rsidP="004D5825">
            <w:pPr>
              <w:keepNext/>
              <w:tabs>
                <w:tab w:val="left" w:pos="720"/>
              </w:tabs>
              <w:rPr>
                <w:sz w:val="22"/>
                <w:szCs w:val="22"/>
                <w:lang w:val="sr-Latn-ME" w:eastAsia="ja-JP"/>
              </w:rPr>
            </w:pPr>
            <w:r w:rsidRPr="0055610F">
              <w:rPr>
                <w:rFonts w:eastAsia="SimSun"/>
                <w:sz w:val="22"/>
                <w:szCs w:val="22"/>
                <w:lang w:val="sr-Latn-ME" w:eastAsia="zh-CN"/>
              </w:rPr>
              <w:t>razdražljivost</w:t>
            </w:r>
          </w:p>
        </w:tc>
        <w:tc>
          <w:tcPr>
            <w:tcW w:w="942"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rFonts w:eastAsia="SimSun"/>
                <w:sz w:val="22"/>
                <w:szCs w:val="22"/>
                <w:lang w:val="sr-Latn-ME" w:eastAsia="zh-CN"/>
              </w:rPr>
            </w:pPr>
          </w:p>
        </w:tc>
      </w:tr>
      <w:tr w:rsidR="00FB34CE" w:rsidRPr="007642DC" w:rsidTr="009941F7">
        <w:trPr>
          <w:cantSplit/>
        </w:trPr>
        <w:tc>
          <w:tcPr>
            <w:tcW w:w="1759"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b/>
                <w:sz w:val="22"/>
                <w:szCs w:val="22"/>
                <w:lang w:val="sr-Latn-ME" w:eastAsia="ja-JP"/>
              </w:rPr>
            </w:pPr>
            <w:r w:rsidRPr="0055610F">
              <w:rPr>
                <w:rFonts w:eastAsia="SimSun"/>
                <w:b/>
                <w:sz w:val="22"/>
                <w:szCs w:val="22"/>
                <w:lang w:val="sr-Latn-ME" w:eastAsia="zh-CN"/>
              </w:rPr>
              <w:t>Poremećaji nervnog sistema</w:t>
            </w:r>
          </w:p>
        </w:tc>
        <w:tc>
          <w:tcPr>
            <w:tcW w:w="1356"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rFonts w:eastAsia="SimSun"/>
                <w:sz w:val="22"/>
                <w:szCs w:val="22"/>
                <w:lang w:val="sr-Latn-ME" w:eastAsia="zh-CN"/>
              </w:rPr>
              <w:t>glavobolja</w:t>
            </w:r>
          </w:p>
        </w:tc>
        <w:tc>
          <w:tcPr>
            <w:tcW w:w="943"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rFonts w:eastAsia="SimSun"/>
                <w:sz w:val="22"/>
                <w:szCs w:val="22"/>
                <w:lang w:val="sr-Latn-ME" w:eastAsia="zh-CN"/>
              </w:rPr>
              <w:t>omaglica</w:t>
            </w:r>
          </w:p>
        </w:tc>
        <w:tc>
          <w:tcPr>
            <w:tcW w:w="942"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rFonts w:eastAsia="SimSun"/>
                <w:sz w:val="22"/>
                <w:szCs w:val="22"/>
                <w:lang w:val="sr-Latn-ME" w:eastAsia="zh-CN"/>
              </w:rPr>
            </w:pPr>
          </w:p>
        </w:tc>
      </w:tr>
      <w:tr w:rsidR="00FB34CE" w:rsidRPr="007642DC" w:rsidTr="009941F7">
        <w:trPr>
          <w:cantSplit/>
        </w:trPr>
        <w:tc>
          <w:tcPr>
            <w:tcW w:w="1759"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b/>
                <w:sz w:val="22"/>
                <w:szCs w:val="22"/>
                <w:lang w:val="sr-Latn-ME" w:eastAsia="ja-JP"/>
              </w:rPr>
            </w:pPr>
            <w:r w:rsidRPr="0055610F">
              <w:rPr>
                <w:rFonts w:eastAsia="SimSun"/>
                <w:b/>
                <w:sz w:val="22"/>
                <w:szCs w:val="22"/>
                <w:lang w:val="sr-Latn-ME" w:eastAsia="zh-CN"/>
              </w:rPr>
              <w:t>Srčani poremećaji</w:t>
            </w:r>
          </w:p>
        </w:tc>
        <w:tc>
          <w:tcPr>
            <w:tcW w:w="1356"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sz w:val="22"/>
                <w:szCs w:val="22"/>
                <w:lang w:val="sr-Latn-ME" w:eastAsia="ja-JP"/>
              </w:rPr>
            </w:pPr>
          </w:p>
        </w:tc>
        <w:tc>
          <w:tcPr>
            <w:tcW w:w="943"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rFonts w:eastAsia="SimSun"/>
                <w:sz w:val="22"/>
                <w:szCs w:val="22"/>
                <w:lang w:val="sr-Latn-ME" w:eastAsia="zh-CN"/>
              </w:rPr>
              <w:t>tahikardija</w:t>
            </w:r>
          </w:p>
        </w:tc>
        <w:tc>
          <w:tcPr>
            <w:tcW w:w="942"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rFonts w:eastAsia="SimSun"/>
                <w:sz w:val="22"/>
                <w:szCs w:val="22"/>
                <w:lang w:val="sr-Latn-ME" w:eastAsia="zh-CN"/>
              </w:rPr>
            </w:pPr>
          </w:p>
        </w:tc>
      </w:tr>
      <w:tr w:rsidR="00FB34CE" w:rsidRPr="00FB34CE" w:rsidTr="009941F7">
        <w:trPr>
          <w:cantSplit/>
        </w:trPr>
        <w:tc>
          <w:tcPr>
            <w:tcW w:w="1759"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b/>
                <w:sz w:val="22"/>
                <w:szCs w:val="22"/>
                <w:lang w:val="sr-Latn-ME" w:eastAsia="ja-JP"/>
              </w:rPr>
            </w:pPr>
            <w:r w:rsidRPr="0055610F">
              <w:rPr>
                <w:rFonts w:eastAsia="SimSun"/>
                <w:b/>
                <w:sz w:val="22"/>
                <w:szCs w:val="22"/>
                <w:lang w:val="sr-Latn-ME" w:eastAsia="zh-CN"/>
              </w:rPr>
              <w:t>Poremećaji gastrointestinalnog trakta</w:t>
            </w:r>
          </w:p>
        </w:tc>
        <w:tc>
          <w:tcPr>
            <w:tcW w:w="1356"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sz w:val="22"/>
                <w:szCs w:val="22"/>
                <w:lang w:val="sr-Latn-ME" w:eastAsia="ja-JP"/>
              </w:rPr>
            </w:pPr>
          </w:p>
        </w:tc>
        <w:tc>
          <w:tcPr>
            <w:tcW w:w="943"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rFonts w:eastAsia="SimSun"/>
                <w:sz w:val="22"/>
                <w:szCs w:val="22"/>
                <w:lang w:val="sr-Latn-ME" w:eastAsia="zh-CN"/>
              </w:rPr>
              <w:t>bol u gornjem dijelu abdomena</w:t>
            </w:r>
          </w:p>
        </w:tc>
        <w:tc>
          <w:tcPr>
            <w:tcW w:w="942"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rFonts w:eastAsia="SimSun"/>
                <w:sz w:val="22"/>
                <w:szCs w:val="22"/>
                <w:lang w:val="sr-Latn-ME" w:eastAsia="zh-CN"/>
              </w:rPr>
            </w:pPr>
          </w:p>
        </w:tc>
      </w:tr>
      <w:tr w:rsidR="00FB34CE" w:rsidRPr="007642DC" w:rsidTr="009941F7">
        <w:trPr>
          <w:cantSplit/>
        </w:trPr>
        <w:tc>
          <w:tcPr>
            <w:tcW w:w="1759"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b/>
                <w:sz w:val="22"/>
                <w:szCs w:val="22"/>
                <w:lang w:val="sr-Latn-ME" w:eastAsia="ja-JP"/>
              </w:rPr>
            </w:pPr>
            <w:r w:rsidRPr="0055610F">
              <w:rPr>
                <w:rFonts w:eastAsia="SimSun"/>
                <w:b/>
                <w:sz w:val="22"/>
                <w:szCs w:val="22"/>
                <w:lang w:val="sr-Latn-ME" w:eastAsia="zh-CN"/>
              </w:rPr>
              <w:t>Poremećaji kože i potkožnog tkiva</w:t>
            </w:r>
          </w:p>
        </w:tc>
        <w:tc>
          <w:tcPr>
            <w:tcW w:w="1356"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sz w:val="22"/>
                <w:szCs w:val="22"/>
                <w:lang w:val="sr-Latn-ME" w:eastAsia="ja-JP"/>
              </w:rPr>
              <w:t>alopecija</w:t>
            </w:r>
          </w:p>
        </w:tc>
        <w:tc>
          <w:tcPr>
            <w:tcW w:w="943" w:type="pct"/>
            <w:tcBorders>
              <w:top w:val="single" w:sz="4" w:space="0" w:color="auto"/>
              <w:left w:val="single" w:sz="4" w:space="0" w:color="auto"/>
              <w:bottom w:val="single" w:sz="4" w:space="0" w:color="auto"/>
              <w:right w:val="single" w:sz="4" w:space="0" w:color="auto"/>
            </w:tcBorders>
            <w:hideMark/>
          </w:tcPr>
          <w:p w:rsidR="00FB34CE" w:rsidRPr="0055610F" w:rsidRDefault="001F1EC4" w:rsidP="004D5825">
            <w:pPr>
              <w:keepNext/>
              <w:tabs>
                <w:tab w:val="left" w:pos="720"/>
              </w:tabs>
              <w:rPr>
                <w:sz w:val="22"/>
                <w:szCs w:val="22"/>
                <w:lang w:val="sr-Latn-ME" w:eastAsia="ja-JP"/>
              </w:rPr>
            </w:pPr>
            <w:r>
              <w:rPr>
                <w:sz w:val="22"/>
                <w:szCs w:val="22"/>
                <w:lang w:val="sr-Latn-ME" w:eastAsia="ja-JP"/>
              </w:rPr>
              <w:t>p</w:t>
            </w:r>
            <w:r w:rsidR="00FB34CE" w:rsidRPr="0055610F">
              <w:rPr>
                <w:sz w:val="22"/>
                <w:szCs w:val="22"/>
                <w:lang w:val="sr-Latn-ME" w:eastAsia="ja-JP"/>
              </w:rPr>
              <w:t>ruritus</w:t>
            </w:r>
            <w:r>
              <w:rPr>
                <w:sz w:val="22"/>
                <w:szCs w:val="22"/>
                <w:lang w:val="sr-Latn-ME" w:eastAsia="ja-JP"/>
              </w:rPr>
              <w:t>,</w:t>
            </w:r>
          </w:p>
          <w:p w:rsidR="00FB34CE" w:rsidRPr="0055610F" w:rsidRDefault="001F1EC4" w:rsidP="004D5825">
            <w:pPr>
              <w:keepNext/>
              <w:tabs>
                <w:tab w:val="left" w:pos="720"/>
              </w:tabs>
              <w:rPr>
                <w:sz w:val="22"/>
                <w:szCs w:val="22"/>
                <w:lang w:val="sr-Latn-ME" w:eastAsia="ja-JP"/>
              </w:rPr>
            </w:pPr>
            <w:r>
              <w:rPr>
                <w:sz w:val="22"/>
                <w:szCs w:val="22"/>
                <w:lang w:val="sr-Latn-ME" w:eastAsia="ja-JP"/>
              </w:rPr>
              <w:t>u</w:t>
            </w:r>
            <w:r w:rsidR="00FB34CE" w:rsidRPr="0055610F">
              <w:rPr>
                <w:sz w:val="22"/>
                <w:szCs w:val="22"/>
                <w:lang w:val="sr-Latn-ME" w:eastAsia="ja-JP"/>
              </w:rPr>
              <w:t>rtikarija</w:t>
            </w:r>
            <w:r>
              <w:rPr>
                <w:sz w:val="22"/>
                <w:szCs w:val="22"/>
                <w:lang w:val="sr-Latn-ME" w:eastAsia="ja-JP"/>
              </w:rPr>
              <w:t>,</w:t>
            </w:r>
          </w:p>
          <w:p w:rsidR="00FB34CE" w:rsidRPr="0055610F" w:rsidRDefault="00FB34CE" w:rsidP="004D5825">
            <w:pPr>
              <w:keepNext/>
              <w:tabs>
                <w:tab w:val="left" w:pos="720"/>
              </w:tabs>
              <w:rPr>
                <w:sz w:val="22"/>
                <w:szCs w:val="22"/>
                <w:lang w:val="sr-Latn-ME" w:eastAsia="ja-JP"/>
              </w:rPr>
            </w:pPr>
            <w:r w:rsidRPr="0055610F">
              <w:rPr>
                <w:rFonts w:eastAsia="SimSun"/>
                <w:sz w:val="22"/>
                <w:szCs w:val="22"/>
                <w:lang w:val="sr-Latn-ME" w:eastAsia="zh-CN"/>
              </w:rPr>
              <w:t>poremećaj kože</w:t>
            </w:r>
          </w:p>
        </w:tc>
        <w:tc>
          <w:tcPr>
            <w:tcW w:w="942"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sz w:val="22"/>
                <w:szCs w:val="22"/>
                <w:lang w:val="sr-Latn-ME" w:eastAsia="ja-JP"/>
              </w:rPr>
            </w:pPr>
          </w:p>
        </w:tc>
      </w:tr>
      <w:tr w:rsidR="00FB34CE" w:rsidRPr="007642DC" w:rsidTr="009941F7">
        <w:trPr>
          <w:cantSplit/>
        </w:trPr>
        <w:tc>
          <w:tcPr>
            <w:tcW w:w="1759"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rFonts w:eastAsia="SimSun"/>
                <w:b/>
                <w:sz w:val="22"/>
                <w:szCs w:val="22"/>
                <w:lang w:val="sr-Latn-ME" w:eastAsia="zh-CN"/>
              </w:rPr>
              <w:t>Poremećaji mišićno-koštanog sistema i vezivnog tkiva</w:t>
            </w:r>
          </w:p>
        </w:tc>
        <w:tc>
          <w:tcPr>
            <w:tcW w:w="1356"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sz w:val="22"/>
                <w:szCs w:val="22"/>
                <w:lang w:val="sr-Latn-ME" w:eastAsia="ja-JP"/>
              </w:rPr>
            </w:pPr>
          </w:p>
        </w:tc>
        <w:tc>
          <w:tcPr>
            <w:tcW w:w="943"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rFonts w:eastAsia="SimSun"/>
                <w:sz w:val="22"/>
                <w:szCs w:val="22"/>
                <w:lang w:val="sr-Latn-ME" w:eastAsia="zh-CN"/>
              </w:rPr>
              <w:t>bol u kostima i mišićima</w:t>
            </w:r>
            <w:r w:rsidR="001F1EC4">
              <w:rPr>
                <w:rFonts w:eastAsia="SimSun"/>
                <w:sz w:val="22"/>
                <w:szCs w:val="22"/>
                <w:lang w:val="sr-Latn-ME" w:eastAsia="zh-CN"/>
              </w:rPr>
              <w:t>,</w:t>
            </w:r>
            <w:r w:rsidRPr="0055610F">
              <w:rPr>
                <w:sz w:val="22"/>
                <w:szCs w:val="22"/>
                <w:lang w:val="sr-Latn-ME" w:eastAsia="ja-JP"/>
              </w:rPr>
              <w:t xml:space="preserve"> </w:t>
            </w:r>
          </w:p>
          <w:p w:rsidR="00FB34CE" w:rsidRPr="0055610F" w:rsidRDefault="00FB34CE" w:rsidP="004D5825">
            <w:pPr>
              <w:keepNext/>
              <w:tabs>
                <w:tab w:val="left" w:pos="720"/>
              </w:tabs>
              <w:rPr>
                <w:sz w:val="22"/>
                <w:szCs w:val="22"/>
                <w:lang w:val="sr-Latn-ME" w:eastAsia="ja-JP"/>
              </w:rPr>
            </w:pPr>
            <w:r w:rsidRPr="0055610F">
              <w:rPr>
                <w:sz w:val="22"/>
                <w:szCs w:val="22"/>
                <w:lang w:val="sr-Latn-ME" w:eastAsia="ja-JP"/>
              </w:rPr>
              <w:t>artralgija</w:t>
            </w:r>
            <w:r w:rsidR="001F1EC4">
              <w:rPr>
                <w:sz w:val="22"/>
                <w:szCs w:val="22"/>
                <w:lang w:val="sr-Latn-ME" w:eastAsia="ja-JP"/>
              </w:rPr>
              <w:t>,</w:t>
            </w:r>
          </w:p>
          <w:p w:rsidR="00FB34CE" w:rsidRPr="0055610F" w:rsidRDefault="00FB34CE" w:rsidP="004D5825">
            <w:pPr>
              <w:keepNext/>
              <w:tabs>
                <w:tab w:val="left" w:pos="720"/>
              </w:tabs>
              <w:rPr>
                <w:sz w:val="22"/>
                <w:szCs w:val="22"/>
                <w:lang w:val="sr-Latn-ME" w:eastAsia="ja-JP"/>
              </w:rPr>
            </w:pPr>
            <w:r w:rsidRPr="0055610F">
              <w:rPr>
                <w:sz w:val="22"/>
                <w:szCs w:val="22"/>
                <w:lang w:val="sr-Latn-ME" w:eastAsia="ja-JP"/>
              </w:rPr>
              <w:t>bol u leđima</w:t>
            </w:r>
          </w:p>
        </w:tc>
        <w:tc>
          <w:tcPr>
            <w:tcW w:w="942"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rFonts w:eastAsia="SimSun"/>
                <w:sz w:val="22"/>
                <w:szCs w:val="22"/>
                <w:lang w:val="sr-Latn-ME" w:eastAsia="zh-CN"/>
              </w:rPr>
            </w:pPr>
          </w:p>
        </w:tc>
      </w:tr>
      <w:tr w:rsidR="00FB34CE" w:rsidRPr="007642DC" w:rsidTr="009941F7">
        <w:trPr>
          <w:cantSplit/>
        </w:trPr>
        <w:tc>
          <w:tcPr>
            <w:tcW w:w="1759"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sz w:val="22"/>
                <w:szCs w:val="22"/>
                <w:lang w:val="sr-Latn-ME" w:eastAsia="ja-JP"/>
              </w:rPr>
            </w:pPr>
            <w:r w:rsidRPr="0055610F">
              <w:rPr>
                <w:rFonts w:eastAsia="SimSun"/>
                <w:b/>
                <w:sz w:val="22"/>
                <w:szCs w:val="22"/>
                <w:lang w:val="sr-Latn-ME" w:eastAsia="zh-CN"/>
              </w:rPr>
              <w:t>Opšti poremećaji i reakcije na mjestu primjene</w:t>
            </w:r>
          </w:p>
        </w:tc>
        <w:tc>
          <w:tcPr>
            <w:tcW w:w="1356"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sz w:val="22"/>
                <w:szCs w:val="22"/>
                <w:lang w:val="sr-Latn-ME" w:eastAsia="ja-JP"/>
              </w:rPr>
            </w:pPr>
          </w:p>
        </w:tc>
        <w:tc>
          <w:tcPr>
            <w:tcW w:w="943" w:type="pct"/>
            <w:tcBorders>
              <w:top w:val="single" w:sz="4" w:space="0" w:color="auto"/>
              <w:left w:val="single" w:sz="4" w:space="0" w:color="auto"/>
              <w:bottom w:val="single" w:sz="4" w:space="0" w:color="auto"/>
              <w:right w:val="single" w:sz="4" w:space="0" w:color="auto"/>
            </w:tcBorders>
            <w:hideMark/>
          </w:tcPr>
          <w:p w:rsidR="00FB34CE" w:rsidRPr="0055610F" w:rsidRDefault="001F1EC4" w:rsidP="004D5825">
            <w:pPr>
              <w:keepNext/>
              <w:tabs>
                <w:tab w:val="left" w:pos="720"/>
              </w:tabs>
              <w:rPr>
                <w:sz w:val="22"/>
                <w:szCs w:val="22"/>
                <w:lang w:val="sr-Latn-ME" w:eastAsia="ja-JP"/>
              </w:rPr>
            </w:pPr>
            <w:r>
              <w:rPr>
                <w:sz w:val="22"/>
                <w:szCs w:val="22"/>
                <w:lang w:val="sr-Latn-ME" w:eastAsia="ja-JP"/>
              </w:rPr>
              <w:t>u</w:t>
            </w:r>
            <w:r w:rsidR="00FB34CE" w:rsidRPr="0055610F">
              <w:rPr>
                <w:sz w:val="22"/>
                <w:szCs w:val="22"/>
                <w:lang w:val="sr-Latn-ME" w:eastAsia="ja-JP"/>
              </w:rPr>
              <w:t>mor</w:t>
            </w:r>
            <w:r>
              <w:rPr>
                <w:sz w:val="22"/>
                <w:szCs w:val="22"/>
                <w:lang w:val="sr-Latn-ME" w:eastAsia="ja-JP"/>
              </w:rPr>
              <w:t>,</w:t>
            </w:r>
          </w:p>
          <w:p w:rsidR="00FB34CE" w:rsidRPr="0055610F" w:rsidRDefault="001F1EC4" w:rsidP="004D5825">
            <w:pPr>
              <w:keepNext/>
              <w:tabs>
                <w:tab w:val="left" w:pos="720"/>
              </w:tabs>
              <w:rPr>
                <w:sz w:val="22"/>
                <w:szCs w:val="22"/>
                <w:lang w:val="sr-Latn-ME" w:eastAsia="ja-JP"/>
              </w:rPr>
            </w:pPr>
            <w:r>
              <w:rPr>
                <w:sz w:val="22"/>
                <w:szCs w:val="22"/>
                <w:lang w:val="sr-Latn-ME" w:eastAsia="ja-JP"/>
              </w:rPr>
              <w:t>a</w:t>
            </w:r>
            <w:r w:rsidR="00FB34CE" w:rsidRPr="0055610F">
              <w:rPr>
                <w:sz w:val="22"/>
                <w:szCs w:val="22"/>
                <w:lang w:val="sr-Latn-ME" w:eastAsia="ja-JP"/>
              </w:rPr>
              <w:t>stenija</w:t>
            </w:r>
            <w:r>
              <w:rPr>
                <w:sz w:val="22"/>
                <w:szCs w:val="22"/>
                <w:lang w:val="sr-Latn-ME" w:eastAsia="ja-JP"/>
              </w:rPr>
              <w:t>,</w:t>
            </w:r>
          </w:p>
          <w:p w:rsidR="00FB34CE" w:rsidRPr="0055610F" w:rsidRDefault="00FB34CE" w:rsidP="004D5825">
            <w:pPr>
              <w:keepNext/>
              <w:tabs>
                <w:tab w:val="left" w:pos="720"/>
              </w:tabs>
              <w:rPr>
                <w:sz w:val="22"/>
                <w:szCs w:val="22"/>
                <w:lang w:val="sr-Latn-ME" w:eastAsia="ja-JP"/>
              </w:rPr>
            </w:pPr>
            <w:r w:rsidRPr="0055610F">
              <w:rPr>
                <w:sz w:val="22"/>
                <w:szCs w:val="22"/>
                <w:lang w:val="sr-Latn-ME" w:eastAsia="ja-JP"/>
              </w:rPr>
              <w:t>pireksija</w:t>
            </w:r>
          </w:p>
        </w:tc>
        <w:tc>
          <w:tcPr>
            <w:tcW w:w="942"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sz w:val="22"/>
                <w:szCs w:val="22"/>
                <w:lang w:val="sr-Latn-ME" w:eastAsia="ja-JP"/>
              </w:rPr>
            </w:pPr>
          </w:p>
        </w:tc>
      </w:tr>
      <w:tr w:rsidR="00FB34CE" w:rsidRPr="007642DC" w:rsidTr="009941F7">
        <w:trPr>
          <w:cantSplit/>
        </w:trPr>
        <w:tc>
          <w:tcPr>
            <w:tcW w:w="1759" w:type="pct"/>
            <w:tcBorders>
              <w:top w:val="single" w:sz="4" w:space="0" w:color="auto"/>
              <w:left w:val="single" w:sz="4" w:space="0" w:color="auto"/>
              <w:bottom w:val="single" w:sz="4" w:space="0" w:color="auto"/>
              <w:right w:val="single" w:sz="4" w:space="0" w:color="auto"/>
            </w:tcBorders>
            <w:hideMark/>
          </w:tcPr>
          <w:p w:rsidR="00FB34CE" w:rsidRPr="0055610F" w:rsidRDefault="00FB34CE" w:rsidP="004D5825">
            <w:pPr>
              <w:keepNext/>
              <w:tabs>
                <w:tab w:val="left" w:pos="720"/>
              </w:tabs>
              <w:rPr>
                <w:b/>
                <w:sz w:val="22"/>
                <w:szCs w:val="22"/>
                <w:lang w:val="sr-Latn-ME" w:eastAsia="ja-JP"/>
              </w:rPr>
            </w:pPr>
            <w:r w:rsidRPr="0055610F">
              <w:rPr>
                <w:rFonts w:eastAsia="SimSun"/>
                <w:b/>
                <w:sz w:val="22"/>
                <w:szCs w:val="22"/>
                <w:lang w:val="sr-Latn-ME" w:eastAsia="zh-CN"/>
              </w:rPr>
              <w:t>Povrede, trovanja i proceduralne komplikacije</w:t>
            </w:r>
          </w:p>
        </w:tc>
        <w:tc>
          <w:tcPr>
            <w:tcW w:w="1356" w:type="pct"/>
            <w:tcBorders>
              <w:top w:val="single" w:sz="4" w:space="0" w:color="auto"/>
              <w:left w:val="single" w:sz="4" w:space="0" w:color="auto"/>
              <w:bottom w:val="single" w:sz="4" w:space="0" w:color="auto"/>
              <w:right w:val="single" w:sz="4" w:space="0" w:color="auto"/>
            </w:tcBorders>
            <w:hideMark/>
          </w:tcPr>
          <w:p w:rsidR="00FB34CE" w:rsidRPr="0055610F" w:rsidRDefault="00FB34CE" w:rsidP="00252B3B">
            <w:pPr>
              <w:keepNext/>
              <w:tabs>
                <w:tab w:val="left" w:pos="720"/>
              </w:tabs>
              <w:rPr>
                <w:sz w:val="22"/>
                <w:szCs w:val="22"/>
                <w:lang w:val="sr-Latn-ME" w:eastAsia="ja-JP"/>
              </w:rPr>
            </w:pPr>
            <w:r w:rsidRPr="0055610F">
              <w:rPr>
                <w:rFonts w:eastAsia="SimSun"/>
                <w:sz w:val="22"/>
                <w:szCs w:val="22"/>
                <w:lang w:val="sr-Latn-ME" w:eastAsia="zh-CN"/>
              </w:rPr>
              <w:t>reakcije povezane s infuzijom</w:t>
            </w:r>
            <w:r w:rsidR="00252B3B">
              <w:rPr>
                <w:sz w:val="18"/>
                <w:vertAlign w:val="superscript"/>
              </w:rPr>
              <w:t>3</w:t>
            </w:r>
          </w:p>
        </w:tc>
        <w:tc>
          <w:tcPr>
            <w:tcW w:w="943"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sz w:val="22"/>
                <w:szCs w:val="22"/>
                <w:lang w:val="sr-Latn-ME" w:eastAsia="ja-JP"/>
              </w:rPr>
            </w:pPr>
          </w:p>
        </w:tc>
        <w:tc>
          <w:tcPr>
            <w:tcW w:w="942"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rPr>
                <w:sz w:val="22"/>
                <w:szCs w:val="22"/>
                <w:lang w:val="sr-Latn-ME" w:eastAsia="ja-JP"/>
              </w:rPr>
            </w:pPr>
          </w:p>
        </w:tc>
      </w:tr>
      <w:tr w:rsidR="00FB34CE" w:rsidRPr="00FB34CE" w:rsidTr="009941F7">
        <w:trPr>
          <w:cantSplit/>
        </w:trPr>
        <w:tc>
          <w:tcPr>
            <w:tcW w:w="4058" w:type="pct"/>
            <w:gridSpan w:val="3"/>
            <w:tcBorders>
              <w:top w:val="single" w:sz="4" w:space="0" w:color="auto"/>
              <w:left w:val="single" w:sz="4" w:space="0" w:color="auto"/>
              <w:bottom w:val="single" w:sz="4" w:space="0" w:color="auto"/>
              <w:right w:val="single" w:sz="4" w:space="0" w:color="auto"/>
            </w:tcBorders>
          </w:tcPr>
          <w:p w:rsidR="00252B3B" w:rsidRDefault="00FB34CE" w:rsidP="009941F7">
            <w:pPr>
              <w:keepNext/>
              <w:keepLines/>
              <w:snapToGrid w:val="0"/>
              <w:outlineLvl w:val="0"/>
              <w:rPr>
                <w:sz w:val="18"/>
                <w:szCs w:val="18"/>
                <w:lang w:val="hr-HR"/>
              </w:rPr>
            </w:pPr>
            <w:r w:rsidRPr="00C5410C">
              <w:rPr>
                <w:sz w:val="18"/>
                <w:szCs w:val="18"/>
                <w:vertAlign w:val="superscript"/>
                <w:lang w:val="hr-HR"/>
              </w:rPr>
              <w:t>1</w:t>
            </w:r>
            <w:r w:rsidRPr="00EB294B">
              <w:rPr>
                <w:sz w:val="18"/>
                <w:szCs w:val="18"/>
                <w:vertAlign w:val="superscript"/>
                <w:lang w:val="hr-HR"/>
              </w:rPr>
              <w:t xml:space="preserve"> </w:t>
            </w:r>
            <w:r>
              <w:rPr>
                <w:sz w:val="18"/>
                <w:szCs w:val="18"/>
                <w:lang w:val="hr-HR"/>
              </w:rPr>
              <w:t>Prim</w:t>
            </w:r>
            <w:r w:rsidR="00C0552F">
              <w:rPr>
                <w:sz w:val="18"/>
                <w:szCs w:val="18"/>
                <w:lang w:val="hr-HR"/>
              </w:rPr>
              <w:t>i</w:t>
            </w:r>
            <w:r w:rsidR="0074611C">
              <w:rPr>
                <w:sz w:val="18"/>
                <w:szCs w:val="18"/>
                <w:lang w:val="hr-HR"/>
              </w:rPr>
              <w:t>j</w:t>
            </w:r>
            <w:r>
              <w:rPr>
                <w:sz w:val="18"/>
                <w:szCs w:val="18"/>
                <w:lang w:val="hr-HR"/>
              </w:rPr>
              <w:t xml:space="preserve">ećeno tokom praćenja nakon stavljanja lijeka u promet. </w:t>
            </w:r>
          </w:p>
          <w:p w:rsidR="00FB34CE" w:rsidRPr="009941F7" w:rsidRDefault="00252B3B" w:rsidP="009941F7">
            <w:pPr>
              <w:keepNext/>
              <w:keepLines/>
              <w:snapToGrid w:val="0"/>
              <w:outlineLvl w:val="0"/>
              <w:rPr>
                <w:sz w:val="18"/>
                <w:szCs w:val="18"/>
                <w:lang w:val="hr-HR"/>
              </w:rPr>
            </w:pPr>
            <w:r w:rsidRPr="004B5023">
              <w:rPr>
                <w:sz w:val="18"/>
                <w:szCs w:val="18"/>
                <w:vertAlign w:val="superscript"/>
                <w:lang w:val="hr-HR"/>
              </w:rPr>
              <w:t xml:space="preserve">2 </w:t>
            </w:r>
            <w:r w:rsidR="00FB34CE">
              <w:rPr>
                <w:sz w:val="18"/>
                <w:szCs w:val="18"/>
                <w:lang w:val="hr-HR"/>
              </w:rPr>
              <w:t>Vid</w:t>
            </w:r>
            <w:r w:rsidR="0074611C">
              <w:rPr>
                <w:sz w:val="18"/>
                <w:szCs w:val="18"/>
                <w:lang w:val="hr-HR"/>
              </w:rPr>
              <w:t>j</w:t>
            </w:r>
            <w:r w:rsidR="00FB34CE" w:rsidRPr="0027577D">
              <w:rPr>
                <w:sz w:val="18"/>
                <w:szCs w:val="18"/>
                <w:lang w:val="hr-HR"/>
              </w:rPr>
              <w:t xml:space="preserve">eti </w:t>
            </w:r>
            <w:r>
              <w:rPr>
                <w:sz w:val="18"/>
                <w:szCs w:val="18"/>
                <w:lang w:val="hr-HR"/>
              </w:rPr>
              <w:t xml:space="preserve">i </w:t>
            </w:r>
            <w:r w:rsidR="00FB34CE">
              <w:rPr>
                <w:sz w:val="18"/>
                <w:szCs w:val="18"/>
                <w:lang w:val="hr-HR"/>
              </w:rPr>
              <w:t>dio</w:t>
            </w:r>
            <w:r w:rsidR="00FB34CE" w:rsidRPr="0027577D">
              <w:rPr>
                <w:sz w:val="18"/>
                <w:szCs w:val="18"/>
                <w:lang w:val="hr-HR"/>
              </w:rPr>
              <w:t xml:space="preserve"> o infekcijama u nastavku.</w:t>
            </w:r>
          </w:p>
          <w:p w:rsidR="00FB34CE" w:rsidRPr="009941F7" w:rsidRDefault="00252B3B" w:rsidP="004D5825">
            <w:pPr>
              <w:keepNext/>
              <w:tabs>
                <w:tab w:val="left" w:pos="720"/>
              </w:tabs>
              <w:jc w:val="both"/>
              <w:rPr>
                <w:rFonts w:eastAsia="SimSun"/>
                <w:sz w:val="18"/>
                <w:szCs w:val="22"/>
                <w:lang w:val="sr-Latn-ME" w:eastAsia="zh-CN"/>
              </w:rPr>
            </w:pPr>
            <w:r>
              <w:rPr>
                <w:sz w:val="18"/>
                <w:vertAlign w:val="superscript"/>
              </w:rPr>
              <w:t>3</w:t>
            </w:r>
            <w:r w:rsidR="00FB34CE" w:rsidRPr="009941F7">
              <w:rPr>
                <w:rFonts w:eastAsia="SimSun"/>
                <w:sz w:val="18"/>
                <w:szCs w:val="22"/>
                <w:lang w:val="sr-Latn-ME" w:eastAsia="zh-CN"/>
              </w:rPr>
              <w:t xml:space="preserve">Reakcije povezane s infuzijom u PV </w:t>
            </w:r>
            <w:r w:rsidR="006F7465">
              <w:rPr>
                <w:rFonts w:eastAsia="SimSun"/>
                <w:sz w:val="18"/>
                <w:szCs w:val="22"/>
                <w:lang w:val="sr-Latn-ME" w:eastAsia="zh-CN"/>
              </w:rPr>
              <w:t xml:space="preserve">studiji 1 </w:t>
            </w:r>
            <w:r w:rsidR="00FB34CE" w:rsidRPr="009941F7">
              <w:rPr>
                <w:rFonts w:eastAsia="SimSun"/>
                <w:sz w:val="18"/>
                <w:szCs w:val="22"/>
                <w:lang w:val="sr-Latn-ME" w:eastAsia="zh-CN"/>
              </w:rPr>
              <w:t>uključivale su simptome prijavljene pri</w:t>
            </w:r>
            <w:r w:rsidR="006F7465">
              <w:rPr>
                <w:rFonts w:eastAsia="SimSun"/>
                <w:sz w:val="18"/>
                <w:szCs w:val="22"/>
                <w:lang w:val="sr-Latn-ME" w:eastAsia="zh-CN"/>
              </w:rPr>
              <w:t>likom</w:t>
            </w:r>
            <w:r w:rsidR="00FB34CE" w:rsidRPr="009941F7">
              <w:rPr>
                <w:rFonts w:eastAsia="SimSun"/>
                <w:sz w:val="18"/>
                <w:szCs w:val="22"/>
                <w:lang w:val="sr-Latn-ME" w:eastAsia="zh-CN"/>
              </w:rPr>
              <w:t xml:space="preserve"> sljedeće planiran</w:t>
            </w:r>
            <w:r w:rsidR="006F7465">
              <w:rPr>
                <w:rFonts w:eastAsia="SimSun"/>
                <w:sz w:val="18"/>
                <w:szCs w:val="22"/>
                <w:lang w:val="sr-Latn-ME" w:eastAsia="zh-CN"/>
              </w:rPr>
              <w:t>e</w:t>
            </w:r>
            <w:r w:rsidR="00FB34CE" w:rsidRPr="009941F7">
              <w:rPr>
                <w:rFonts w:eastAsia="SimSun"/>
                <w:sz w:val="18"/>
                <w:szCs w:val="22"/>
                <w:lang w:val="sr-Latn-ME" w:eastAsia="zh-CN"/>
              </w:rPr>
              <w:t xml:space="preserve"> posjet</w:t>
            </w:r>
            <w:r w:rsidR="006F7465">
              <w:rPr>
                <w:rFonts w:eastAsia="SimSun"/>
                <w:sz w:val="18"/>
                <w:szCs w:val="22"/>
                <w:lang w:val="sr-Latn-ME" w:eastAsia="zh-CN"/>
              </w:rPr>
              <w:t>e</w:t>
            </w:r>
            <w:r w:rsidR="00FB34CE" w:rsidRPr="009941F7">
              <w:rPr>
                <w:rFonts w:eastAsia="SimSun"/>
                <w:sz w:val="18"/>
                <w:szCs w:val="22"/>
                <w:lang w:val="sr-Latn-ME" w:eastAsia="zh-CN"/>
              </w:rPr>
              <w:t xml:space="preserve"> nakon svake infuzije </w:t>
            </w:r>
            <w:r w:rsidR="006F7465">
              <w:rPr>
                <w:rFonts w:eastAsia="SimSun"/>
                <w:sz w:val="18"/>
                <w:szCs w:val="22"/>
                <w:lang w:val="sr-Latn-ME" w:eastAsia="zh-CN"/>
              </w:rPr>
              <w:t>i</w:t>
            </w:r>
            <w:r w:rsidR="00FB34CE" w:rsidRPr="009941F7">
              <w:rPr>
                <w:rFonts w:eastAsia="SimSun"/>
                <w:sz w:val="18"/>
                <w:szCs w:val="22"/>
                <w:lang w:val="sr-Latn-ME" w:eastAsia="zh-CN"/>
              </w:rPr>
              <w:t xml:space="preserve"> </w:t>
            </w:r>
            <w:r w:rsidR="006F7465">
              <w:rPr>
                <w:rFonts w:eastAsia="SimSun"/>
                <w:sz w:val="18"/>
                <w:szCs w:val="22"/>
                <w:lang w:val="sr-Latn-ME" w:eastAsia="zh-CN"/>
              </w:rPr>
              <w:t>neželjene</w:t>
            </w:r>
            <w:r w:rsidR="00FB34CE" w:rsidRPr="009941F7">
              <w:rPr>
                <w:rFonts w:eastAsia="SimSun"/>
                <w:sz w:val="18"/>
                <w:szCs w:val="22"/>
                <w:lang w:val="sr-Latn-ME" w:eastAsia="zh-CN"/>
              </w:rPr>
              <w:t xml:space="preserve"> događaje koji su se javili na dan primjene infuzije ili jedan dan nakon njene primjene. Najčešći simptomi reakcija povezanih s infuzijom/preporučeni pojmovi kod PV </w:t>
            </w:r>
            <w:r w:rsidR="006F7465">
              <w:rPr>
                <w:rFonts w:eastAsia="SimSun"/>
                <w:sz w:val="18"/>
                <w:szCs w:val="22"/>
                <w:lang w:val="sr-Latn-ME" w:eastAsia="zh-CN"/>
              </w:rPr>
              <w:t xml:space="preserve">studije 1 </w:t>
            </w:r>
            <w:r w:rsidR="00FB34CE" w:rsidRPr="009941F7">
              <w:rPr>
                <w:rFonts w:eastAsia="SimSun"/>
                <w:sz w:val="18"/>
                <w:szCs w:val="22"/>
                <w:lang w:val="sr-Latn-ME" w:eastAsia="zh-CN"/>
              </w:rPr>
              <w:t xml:space="preserve">uključivali su glavobolju, </w:t>
            </w:r>
            <w:r w:rsidR="006F7465">
              <w:rPr>
                <w:rFonts w:eastAsia="SimSun"/>
                <w:sz w:val="18"/>
                <w:szCs w:val="22"/>
                <w:lang w:val="sr-Latn-ME" w:eastAsia="zh-CN"/>
              </w:rPr>
              <w:t xml:space="preserve">jezu, </w:t>
            </w:r>
            <w:r w:rsidR="00FB34CE" w:rsidRPr="009941F7">
              <w:rPr>
                <w:rFonts w:eastAsia="SimSun"/>
                <w:sz w:val="18"/>
                <w:szCs w:val="22"/>
                <w:lang w:val="sr-Latn-ME" w:eastAsia="zh-CN"/>
              </w:rPr>
              <w:t xml:space="preserve">visok krvni </w:t>
            </w:r>
            <w:r w:rsidR="006F7465">
              <w:rPr>
                <w:rFonts w:eastAsia="SimSun"/>
                <w:sz w:val="18"/>
                <w:szCs w:val="22"/>
                <w:lang w:val="sr-Latn-ME" w:eastAsia="zh-CN"/>
              </w:rPr>
              <w:t>pritisak</w:t>
            </w:r>
            <w:r w:rsidR="00FB34CE" w:rsidRPr="009941F7">
              <w:rPr>
                <w:rFonts w:eastAsia="SimSun"/>
                <w:sz w:val="18"/>
                <w:szCs w:val="22"/>
                <w:lang w:val="sr-Latn-ME" w:eastAsia="zh-CN"/>
              </w:rPr>
              <w:t>, mučninu, asteniju i bol.</w:t>
            </w:r>
          </w:p>
          <w:p w:rsidR="00FB34CE" w:rsidRPr="009941F7" w:rsidRDefault="00FB34CE" w:rsidP="004D5825">
            <w:pPr>
              <w:keepNext/>
              <w:tabs>
                <w:tab w:val="left" w:pos="720"/>
              </w:tabs>
              <w:jc w:val="both"/>
              <w:rPr>
                <w:rFonts w:eastAsia="Calibri"/>
                <w:b/>
                <w:sz w:val="18"/>
                <w:szCs w:val="22"/>
                <w:lang w:val="sr-Latn-ME"/>
              </w:rPr>
            </w:pPr>
          </w:p>
          <w:p w:rsidR="00FB34CE" w:rsidRPr="0055610F" w:rsidRDefault="00FB34CE" w:rsidP="006F7465">
            <w:pPr>
              <w:keepNext/>
              <w:tabs>
                <w:tab w:val="left" w:pos="720"/>
              </w:tabs>
              <w:jc w:val="both"/>
              <w:rPr>
                <w:rFonts w:eastAsia="SimSun"/>
                <w:sz w:val="22"/>
                <w:szCs w:val="22"/>
                <w:lang w:val="sr-Latn-ME" w:eastAsia="zh-CN"/>
              </w:rPr>
            </w:pPr>
            <w:r w:rsidRPr="009941F7">
              <w:rPr>
                <w:rFonts w:eastAsia="SimSun"/>
                <w:sz w:val="18"/>
                <w:szCs w:val="22"/>
                <w:lang w:val="sr-Latn-ME" w:eastAsia="zh-CN"/>
              </w:rPr>
              <w:t xml:space="preserve">Najčešći simptomi reakcija povezanih s infuzijom/preporučeni pojmovi </w:t>
            </w:r>
            <w:r w:rsidR="006F7465">
              <w:rPr>
                <w:rFonts w:eastAsia="SimSun"/>
                <w:sz w:val="18"/>
                <w:szCs w:val="22"/>
                <w:lang w:val="sr-Latn-ME" w:eastAsia="zh-CN"/>
              </w:rPr>
              <w:t>za</w:t>
            </w:r>
            <w:r w:rsidRPr="009941F7">
              <w:rPr>
                <w:rFonts w:eastAsia="SimSun"/>
                <w:sz w:val="18"/>
                <w:szCs w:val="22"/>
                <w:lang w:val="sr-Latn-ME" w:eastAsia="zh-CN"/>
              </w:rPr>
              <w:t xml:space="preserve"> PV </w:t>
            </w:r>
            <w:r w:rsidR="006F7465">
              <w:rPr>
                <w:rFonts w:eastAsia="SimSun"/>
                <w:sz w:val="18"/>
                <w:szCs w:val="22"/>
                <w:lang w:val="sr-Latn-ME" w:eastAsia="zh-CN"/>
              </w:rPr>
              <w:t xml:space="preserve">studiju 2 </w:t>
            </w:r>
            <w:r w:rsidRPr="009941F7">
              <w:rPr>
                <w:rFonts w:eastAsia="SimSun"/>
                <w:sz w:val="18"/>
                <w:szCs w:val="22"/>
                <w:lang w:val="sr-Latn-ME" w:eastAsia="zh-CN"/>
              </w:rPr>
              <w:t xml:space="preserve">bili su dispneja, eritem, hiperhidroza, navale crvenila/navale vrućine, hipotenzija/nizak krvni </w:t>
            </w:r>
            <w:r w:rsidR="006F7465">
              <w:rPr>
                <w:rFonts w:eastAsia="SimSun"/>
                <w:sz w:val="18"/>
                <w:szCs w:val="22"/>
                <w:lang w:val="sr-Latn-ME" w:eastAsia="zh-CN"/>
              </w:rPr>
              <w:t xml:space="preserve">pritisak </w:t>
            </w:r>
            <w:r w:rsidRPr="009941F7">
              <w:rPr>
                <w:rFonts w:eastAsia="SimSun"/>
                <w:sz w:val="18"/>
                <w:szCs w:val="22"/>
                <w:lang w:val="sr-Latn-ME" w:eastAsia="zh-CN"/>
              </w:rPr>
              <w:t xml:space="preserve"> i osip/pruritički osip.</w:t>
            </w:r>
          </w:p>
        </w:tc>
        <w:tc>
          <w:tcPr>
            <w:tcW w:w="942" w:type="pct"/>
            <w:tcBorders>
              <w:top w:val="single" w:sz="4" w:space="0" w:color="auto"/>
              <w:left w:val="single" w:sz="4" w:space="0" w:color="auto"/>
              <w:bottom w:val="single" w:sz="4" w:space="0" w:color="auto"/>
              <w:right w:val="single" w:sz="4" w:space="0" w:color="auto"/>
            </w:tcBorders>
          </w:tcPr>
          <w:p w:rsidR="00FB34CE" w:rsidRPr="0055610F" w:rsidRDefault="00FB34CE" w:rsidP="004D5825">
            <w:pPr>
              <w:keepNext/>
              <w:tabs>
                <w:tab w:val="left" w:pos="720"/>
              </w:tabs>
              <w:jc w:val="both"/>
              <w:rPr>
                <w:rFonts w:eastAsia="SimSun"/>
                <w:sz w:val="22"/>
                <w:szCs w:val="22"/>
                <w:lang w:val="sr-Latn-ME" w:eastAsia="zh-CN"/>
              </w:rPr>
            </w:pPr>
          </w:p>
        </w:tc>
      </w:tr>
    </w:tbl>
    <w:p w:rsidR="00496E03" w:rsidRPr="0055610F" w:rsidRDefault="00496E03" w:rsidP="004D5825">
      <w:pPr>
        <w:jc w:val="both"/>
        <w:rPr>
          <w:sz w:val="22"/>
          <w:szCs w:val="22"/>
          <w:lang w:val="sr-Latn-ME"/>
        </w:rPr>
      </w:pPr>
    </w:p>
    <w:p w:rsidR="00496E03" w:rsidRPr="00DA475E" w:rsidRDefault="00496E03" w:rsidP="004D5825">
      <w:pPr>
        <w:keepNext/>
        <w:keepLines/>
        <w:contextualSpacing/>
        <w:jc w:val="both"/>
        <w:rPr>
          <w:color w:val="000000"/>
          <w:sz w:val="22"/>
          <w:szCs w:val="22"/>
          <w:u w:val="single"/>
          <w:lang w:val="sr-Latn-ME"/>
        </w:rPr>
      </w:pPr>
      <w:r w:rsidRPr="00DA475E">
        <w:rPr>
          <w:color w:val="000000"/>
          <w:sz w:val="22"/>
          <w:szCs w:val="22"/>
          <w:u w:val="single"/>
          <w:lang w:val="sr-Latn-ME"/>
        </w:rPr>
        <w:t>Opis odabranih neželjenih dejstava</w:t>
      </w:r>
    </w:p>
    <w:p w:rsidR="00496E03" w:rsidRPr="0055610F" w:rsidRDefault="00496E03" w:rsidP="004D5825">
      <w:pPr>
        <w:keepNext/>
        <w:keepLines/>
        <w:contextualSpacing/>
        <w:jc w:val="both"/>
        <w:rPr>
          <w:i/>
          <w:sz w:val="22"/>
          <w:szCs w:val="22"/>
          <w:lang w:val="sr-Latn-ME"/>
        </w:rPr>
      </w:pPr>
    </w:p>
    <w:p w:rsidR="00496E03" w:rsidRPr="0055610F" w:rsidRDefault="00496E03" w:rsidP="004D5825">
      <w:pPr>
        <w:keepNext/>
        <w:ind w:right="-448"/>
        <w:contextualSpacing/>
        <w:jc w:val="both"/>
        <w:rPr>
          <w:i/>
          <w:sz w:val="22"/>
          <w:szCs w:val="22"/>
          <w:lang w:val="sr-Latn-ME"/>
        </w:rPr>
      </w:pPr>
      <w:r w:rsidRPr="0055610F">
        <w:rPr>
          <w:i/>
          <w:sz w:val="22"/>
          <w:szCs w:val="22"/>
          <w:lang w:val="sr-Latn-ME"/>
        </w:rPr>
        <w:t>Reakcije povezane sa primjenom infuzije</w:t>
      </w:r>
    </w:p>
    <w:p w:rsidR="00496E03" w:rsidRPr="0055610F" w:rsidRDefault="00507E75" w:rsidP="004D5825">
      <w:pPr>
        <w:ind w:right="1"/>
        <w:contextualSpacing/>
        <w:jc w:val="both"/>
        <w:rPr>
          <w:sz w:val="22"/>
          <w:szCs w:val="22"/>
          <w:lang w:val="sr-Latn-ME"/>
        </w:rPr>
      </w:pPr>
      <w:r>
        <w:rPr>
          <w:sz w:val="22"/>
          <w:szCs w:val="22"/>
          <w:lang w:val="sr-Latn-ME"/>
        </w:rPr>
        <w:t>U</w:t>
      </w:r>
      <w:r w:rsidR="00496E03" w:rsidRPr="0055610F">
        <w:rPr>
          <w:sz w:val="22"/>
          <w:szCs w:val="22"/>
          <w:lang w:val="sr-Latn-ME"/>
        </w:rPr>
        <w:t xml:space="preserve"> PV </w:t>
      </w:r>
      <w:r>
        <w:rPr>
          <w:sz w:val="22"/>
          <w:szCs w:val="22"/>
          <w:lang w:val="sr-Latn-ME"/>
        </w:rPr>
        <w:t xml:space="preserve">studiji 1 </w:t>
      </w:r>
      <w:r w:rsidR="00496E03" w:rsidRPr="0055610F">
        <w:rPr>
          <w:sz w:val="22"/>
          <w:szCs w:val="22"/>
          <w:lang w:val="sr-Latn-ME"/>
        </w:rPr>
        <w:t xml:space="preserve">reakcije povezane sa primjenom infuzije bile su česte (58%) u kliničkom ispitivanju kod običnog pemfigusa. Gotovo sve reakcije povezane sa primjenom infuzije bile su blage do umjerene </w:t>
      </w:r>
      <w:r w:rsidR="00496E03" w:rsidRPr="0055610F">
        <w:rPr>
          <w:sz w:val="22"/>
          <w:szCs w:val="22"/>
          <w:lang w:val="sr-Latn-ME"/>
        </w:rPr>
        <w:lastRenderedPageBreak/>
        <w:t>težine. Procenat pacijenata koji su imali reakciju povezanu sa primjenom infuzije iznosio je 29% (11 pacijenata) nakon prve infuzije, 40% (15 pacijenata) nakon druge, 13% (5 pacijenta) nakon treće i 10% (4 pacijenta) nakon četvrte infuzije. Nijedan pacijent nije prekinuo terapiju zbog reakcija povezanih sa primjenom infuzije. Vrsta i težina simptoma reakcija povezanih sa primjenom infuzije bili su slični kao i kod pacijenata sa reumatoidnim artritisom i GPA</w:t>
      </w:r>
      <w:r w:rsidR="00CA6E91" w:rsidRPr="0055610F">
        <w:rPr>
          <w:sz w:val="22"/>
          <w:szCs w:val="22"/>
          <w:lang w:val="sr-Latn-ME"/>
        </w:rPr>
        <w:t xml:space="preserve"> </w:t>
      </w:r>
      <w:r w:rsidR="00496E03" w:rsidRPr="0055610F">
        <w:rPr>
          <w:sz w:val="22"/>
          <w:szCs w:val="22"/>
          <w:lang w:val="sr-Latn-ME"/>
        </w:rPr>
        <w:t>/MPA.</w:t>
      </w:r>
    </w:p>
    <w:p w:rsidR="00496E03" w:rsidRPr="0055610F" w:rsidRDefault="00496E03" w:rsidP="004D5825">
      <w:pPr>
        <w:contextualSpacing/>
        <w:jc w:val="both"/>
        <w:rPr>
          <w:i/>
          <w:sz w:val="22"/>
          <w:szCs w:val="22"/>
          <w:lang w:val="sr-Latn-ME"/>
        </w:rPr>
      </w:pPr>
    </w:p>
    <w:p w:rsidR="00496E03" w:rsidRPr="0055610F" w:rsidRDefault="00496E03" w:rsidP="004D5825">
      <w:pPr>
        <w:ind w:right="1"/>
        <w:contextualSpacing/>
        <w:jc w:val="both"/>
        <w:rPr>
          <w:sz w:val="22"/>
          <w:szCs w:val="22"/>
          <w:lang w:val="sr-Latn-ME" w:eastAsia="ja-JP"/>
        </w:rPr>
      </w:pPr>
      <w:r w:rsidRPr="0055610F">
        <w:rPr>
          <w:sz w:val="22"/>
          <w:szCs w:val="22"/>
          <w:lang w:val="sr-Latn-ME" w:eastAsia="ja-JP"/>
        </w:rPr>
        <w:t>U 2. </w:t>
      </w:r>
      <w:r w:rsidR="00CA6E91" w:rsidRPr="0055610F">
        <w:rPr>
          <w:sz w:val="22"/>
          <w:szCs w:val="22"/>
          <w:lang w:val="sr-Latn-ME" w:eastAsia="ja-JP"/>
        </w:rPr>
        <w:t>studiji</w:t>
      </w:r>
      <w:r w:rsidRPr="0055610F">
        <w:rPr>
          <w:sz w:val="22"/>
          <w:szCs w:val="22"/>
          <w:lang w:val="sr-Latn-ME" w:eastAsia="ja-JP"/>
        </w:rPr>
        <w:t xml:space="preserve"> kod PV reakcije povezane s infuzijom prvenstveno su se javljale kod prve infuzije i njihova se učestalost smanjivala s daljim infuzijama: udio pacijenata koji su imali reakciju povezanu s infuzijom iznosio je 17,9% kod prve infuzije, 4,5% kod druge, 3% kod treće te 3% kod četvrte infuzije. Kod 11/15 pacijenata koji su doživjeli najmanje jednu reakciju povezanu s infuzijom te su reakcije bile 1. ili 2. stadijuma težine. U 4/15 pacijenata prijavljene su reakcije na infuziju ≥ 3. stadijuma, koje su dovele do prekida liječenja lijekom MabThera, a u tri od ta četiri pacijenta reakcije na infuziju bile su ozbiljne (opasne po život). Ozbiljne reakcije na infuziju javile su se pri prvoj (2 pacijenta) ili drugoj (1 pacijent) infuziji te su se povukle uz simptomatsko lečenje.</w:t>
      </w:r>
    </w:p>
    <w:p w:rsidR="00496E03" w:rsidRPr="0055610F" w:rsidRDefault="00496E03" w:rsidP="004D5825">
      <w:pPr>
        <w:contextualSpacing/>
        <w:jc w:val="both"/>
        <w:rPr>
          <w:i/>
          <w:sz w:val="22"/>
          <w:szCs w:val="22"/>
          <w:lang w:val="sr-Latn-ME"/>
        </w:rPr>
      </w:pPr>
    </w:p>
    <w:p w:rsidR="00496E03" w:rsidRPr="0055610F" w:rsidRDefault="00496E03" w:rsidP="004D5825">
      <w:pPr>
        <w:keepNext/>
        <w:contextualSpacing/>
        <w:jc w:val="both"/>
        <w:rPr>
          <w:sz w:val="22"/>
          <w:szCs w:val="22"/>
          <w:lang w:val="sr-Latn-ME"/>
        </w:rPr>
      </w:pPr>
      <w:r w:rsidRPr="0055610F">
        <w:rPr>
          <w:i/>
          <w:sz w:val="22"/>
          <w:szCs w:val="22"/>
          <w:lang w:val="sr-Latn-ME"/>
        </w:rPr>
        <w:t>Infekcije</w:t>
      </w:r>
    </w:p>
    <w:p w:rsidR="00496E03" w:rsidRPr="0055610F" w:rsidRDefault="00496E03" w:rsidP="004D5825">
      <w:pPr>
        <w:tabs>
          <w:tab w:val="left" w:pos="540"/>
          <w:tab w:val="left" w:pos="569"/>
        </w:tabs>
        <w:jc w:val="both"/>
        <w:rPr>
          <w:b/>
          <w:bCs/>
          <w:sz w:val="22"/>
          <w:szCs w:val="22"/>
          <w:lang w:val="sr-Latn-ME"/>
        </w:rPr>
      </w:pPr>
      <w:r w:rsidRPr="0055610F">
        <w:rPr>
          <w:sz w:val="22"/>
          <w:szCs w:val="22"/>
          <w:lang w:val="sr-Latn-ME" w:eastAsia="ja-JP"/>
        </w:rPr>
        <w:t>U 1. </w:t>
      </w:r>
      <w:r w:rsidR="00CA6E91" w:rsidRPr="0055610F">
        <w:rPr>
          <w:sz w:val="22"/>
          <w:szCs w:val="22"/>
          <w:lang w:val="sr-Latn-ME" w:eastAsia="ja-JP"/>
        </w:rPr>
        <w:t>studiji</w:t>
      </w:r>
      <w:r w:rsidRPr="0055610F">
        <w:rPr>
          <w:sz w:val="22"/>
          <w:szCs w:val="22"/>
          <w:lang w:val="sr-Latn-ME" w:eastAsia="ja-JP"/>
        </w:rPr>
        <w:t xml:space="preserve"> kod PV</w:t>
      </w:r>
      <w:r w:rsidRPr="0055610F" w:rsidDel="0010001C">
        <w:rPr>
          <w:sz w:val="22"/>
          <w:szCs w:val="22"/>
          <w:lang w:val="sr-Latn-ME"/>
        </w:rPr>
        <w:t xml:space="preserve"> </w:t>
      </w:r>
      <w:r w:rsidRPr="0055610F">
        <w:rPr>
          <w:sz w:val="22"/>
          <w:szCs w:val="22"/>
          <w:lang w:val="sr-Latn-ME"/>
        </w:rPr>
        <w:t xml:space="preserve"> infekcije povezane sa terapijom zabil</w:t>
      </w:r>
      <w:r w:rsidR="00427020" w:rsidRPr="0055610F">
        <w:rPr>
          <w:sz w:val="22"/>
          <w:szCs w:val="22"/>
          <w:lang w:val="sr-Latn-ME"/>
        </w:rPr>
        <w:t>j</w:t>
      </w:r>
      <w:r w:rsidRPr="0055610F">
        <w:rPr>
          <w:sz w:val="22"/>
          <w:szCs w:val="22"/>
          <w:lang w:val="sr-Latn-ME"/>
        </w:rPr>
        <w:t>ežene su kod 14 pacijenata (37%) u grupi liječenoj lijekom MabThera i 15 pacijenata (42%) u grupi liječenoj standardnom dozom prednizona. Najčešće infekcije u grupi koja je primala lijek MabThera bile su herpes simplex i herpes zoster infekcije, bronhitis, infekcije mokraćnih puteva, gljivične infekcije i konjunktivitis. Kod 3 pacijenta (8%) iz grupe liječene lijekom MabThera zabil</w:t>
      </w:r>
      <w:r w:rsidR="00427020" w:rsidRPr="0055610F">
        <w:rPr>
          <w:sz w:val="22"/>
          <w:szCs w:val="22"/>
          <w:lang w:val="sr-Latn-ME"/>
        </w:rPr>
        <w:t>j</w:t>
      </w:r>
      <w:r w:rsidRPr="0055610F">
        <w:rPr>
          <w:sz w:val="22"/>
          <w:szCs w:val="22"/>
          <w:lang w:val="sr-Latn-ME"/>
        </w:rPr>
        <w:t xml:space="preserve">eženo je ukupno 5 ozbiljnih infekcija (pneumonija uzrokovana </w:t>
      </w:r>
      <w:r w:rsidRPr="0055610F">
        <w:rPr>
          <w:i/>
          <w:sz w:val="22"/>
          <w:szCs w:val="22"/>
          <w:lang w:val="sr-Latn-ME"/>
        </w:rPr>
        <w:t>Pneumocystis jirovecii</w:t>
      </w:r>
      <w:r w:rsidRPr="0055610F">
        <w:rPr>
          <w:sz w:val="22"/>
          <w:szCs w:val="22"/>
          <w:lang w:val="sr-Latn-ME"/>
        </w:rPr>
        <w:t xml:space="preserve">, infektivna tromboza, infekcija intervertebralnog diska, plućna infekcija, stafilokokna sepsa), dok je u grupi liječenoj standardnom dozom prednizona ozbiljnu infekciju (pneumonija uzrokovana </w:t>
      </w:r>
      <w:r w:rsidRPr="0055610F">
        <w:rPr>
          <w:i/>
          <w:sz w:val="22"/>
          <w:szCs w:val="22"/>
          <w:lang w:val="sr-Latn-ME"/>
        </w:rPr>
        <w:t>Pneumocystis jirovecii</w:t>
      </w:r>
      <w:r w:rsidRPr="0055610F">
        <w:rPr>
          <w:sz w:val="22"/>
          <w:szCs w:val="22"/>
          <w:lang w:val="sr-Latn-ME"/>
        </w:rPr>
        <w:t>) imao jedan pacijent (3%).</w:t>
      </w:r>
    </w:p>
    <w:p w:rsidR="00496E03" w:rsidRPr="0055610F" w:rsidRDefault="00496E03" w:rsidP="004D5825">
      <w:pPr>
        <w:tabs>
          <w:tab w:val="left" w:pos="540"/>
          <w:tab w:val="left" w:pos="569"/>
        </w:tabs>
        <w:jc w:val="both"/>
        <w:rPr>
          <w:b/>
          <w:bCs/>
          <w:sz w:val="22"/>
          <w:szCs w:val="22"/>
          <w:lang w:val="sr-Latn-ME"/>
        </w:rPr>
      </w:pPr>
    </w:p>
    <w:p w:rsidR="00496E03" w:rsidRDefault="00496E03" w:rsidP="004D5825">
      <w:pPr>
        <w:ind w:right="1"/>
        <w:contextualSpacing/>
        <w:jc w:val="both"/>
        <w:rPr>
          <w:sz w:val="22"/>
          <w:szCs w:val="22"/>
          <w:lang w:val="sr-Latn-ME" w:eastAsia="ja-JP"/>
        </w:rPr>
      </w:pPr>
      <w:r w:rsidRPr="0055610F">
        <w:rPr>
          <w:sz w:val="22"/>
          <w:szCs w:val="22"/>
          <w:lang w:val="sr-Latn-ME" w:eastAsia="ja-JP"/>
        </w:rPr>
        <w:t>U 2. </w:t>
      </w:r>
      <w:r w:rsidR="00CA6E91" w:rsidRPr="0055610F">
        <w:rPr>
          <w:sz w:val="22"/>
          <w:szCs w:val="22"/>
          <w:lang w:val="sr-Latn-ME" w:eastAsia="ja-JP"/>
        </w:rPr>
        <w:t>studiji</w:t>
      </w:r>
      <w:r w:rsidRPr="0055610F">
        <w:rPr>
          <w:sz w:val="22"/>
          <w:szCs w:val="22"/>
          <w:lang w:val="sr-Latn-ME" w:eastAsia="ja-JP"/>
        </w:rPr>
        <w:t xml:space="preserve"> kod PV infekcije su se javile u 42 pacijenata (62,7%) liječenih lijekom MabThera. Najčešće infekcije u grupi liječenoj lijekom MabThera bile su infekcije gornjih disajnih putova, nazofaringitis, oralna kandidijaza i infekcija mokraćnih puteva. Šest pacijenata (9%) u grupi liječenoj lijekom MabThera imalo je ozbiljne infekcije.</w:t>
      </w:r>
    </w:p>
    <w:p w:rsidR="00FB34CE" w:rsidRDefault="00FB34CE" w:rsidP="004D5825">
      <w:pPr>
        <w:ind w:right="1"/>
        <w:contextualSpacing/>
        <w:jc w:val="both"/>
        <w:rPr>
          <w:sz w:val="22"/>
          <w:szCs w:val="22"/>
          <w:lang w:val="sr-Latn-ME" w:eastAsia="ja-JP"/>
        </w:rPr>
      </w:pPr>
    </w:p>
    <w:p w:rsidR="00FB34CE" w:rsidRPr="009941F7" w:rsidRDefault="00FB34CE" w:rsidP="004D5825">
      <w:pPr>
        <w:ind w:right="1"/>
        <w:contextualSpacing/>
        <w:jc w:val="both"/>
        <w:rPr>
          <w:sz w:val="22"/>
          <w:szCs w:val="22"/>
          <w:lang w:val="hr-HR" w:eastAsia="ja-JP"/>
        </w:rPr>
      </w:pPr>
      <w:r w:rsidRPr="00FB34CE">
        <w:rPr>
          <w:sz w:val="22"/>
          <w:szCs w:val="22"/>
          <w:lang w:val="hr-HR" w:eastAsia="ja-JP"/>
        </w:rPr>
        <w:t>Nakon stavljanja lijeka u promet zab</w:t>
      </w:r>
      <w:r w:rsidR="00507E75">
        <w:rPr>
          <w:sz w:val="22"/>
          <w:szCs w:val="22"/>
          <w:lang w:val="hr-HR" w:eastAsia="ja-JP"/>
        </w:rPr>
        <w:t>i</w:t>
      </w:r>
      <w:r w:rsidRPr="00FB34CE">
        <w:rPr>
          <w:sz w:val="22"/>
          <w:szCs w:val="22"/>
          <w:lang w:val="hr-HR" w:eastAsia="ja-JP"/>
        </w:rPr>
        <w:t>lježene su ozbiljne virusne infekcije kod pacijenata sa PV-om koji su primali lijek rituksimab.</w:t>
      </w:r>
    </w:p>
    <w:p w:rsidR="00496E03" w:rsidRPr="0055610F" w:rsidRDefault="00496E03" w:rsidP="004D5825">
      <w:pPr>
        <w:tabs>
          <w:tab w:val="left" w:pos="720"/>
        </w:tabs>
        <w:ind w:right="1"/>
        <w:contextualSpacing/>
        <w:jc w:val="both"/>
        <w:rPr>
          <w:sz w:val="22"/>
          <w:szCs w:val="22"/>
          <w:lang w:val="sr-Latn-ME" w:eastAsia="ja-JP"/>
        </w:rPr>
      </w:pPr>
    </w:p>
    <w:p w:rsidR="00496E03" w:rsidRPr="0055610F" w:rsidRDefault="00496E03" w:rsidP="004D5825">
      <w:pPr>
        <w:keepNext/>
        <w:tabs>
          <w:tab w:val="left" w:pos="720"/>
        </w:tabs>
        <w:jc w:val="both"/>
        <w:rPr>
          <w:i/>
          <w:sz w:val="22"/>
          <w:szCs w:val="22"/>
          <w:lang w:val="sr-Latn-ME" w:eastAsia="ja-JP"/>
        </w:rPr>
      </w:pPr>
      <w:r w:rsidRPr="0055610F">
        <w:rPr>
          <w:i/>
          <w:sz w:val="22"/>
          <w:szCs w:val="22"/>
          <w:lang w:val="sr-Latn-ME" w:eastAsia="ja-JP"/>
        </w:rPr>
        <w:t>Odstupanja laboratorijskih nalaza</w:t>
      </w:r>
    </w:p>
    <w:p w:rsidR="00496E03" w:rsidRPr="0055610F" w:rsidRDefault="00CA6E91" w:rsidP="004D5825">
      <w:pPr>
        <w:tabs>
          <w:tab w:val="left" w:pos="720"/>
        </w:tabs>
        <w:ind w:right="1"/>
        <w:contextualSpacing/>
        <w:jc w:val="both"/>
        <w:rPr>
          <w:sz w:val="22"/>
          <w:szCs w:val="22"/>
          <w:lang w:val="sr-Latn-ME" w:eastAsia="ja-JP"/>
        </w:rPr>
      </w:pPr>
      <w:r w:rsidRPr="0055610F">
        <w:rPr>
          <w:sz w:val="22"/>
          <w:szCs w:val="22"/>
          <w:lang w:val="sr-Latn-ME" w:eastAsia="ja-JP"/>
        </w:rPr>
        <w:t>U 2. studiji</w:t>
      </w:r>
      <w:r w:rsidR="00496E03" w:rsidRPr="0055610F">
        <w:rPr>
          <w:sz w:val="22"/>
          <w:szCs w:val="22"/>
          <w:lang w:val="sr-Latn-ME" w:eastAsia="ja-JP"/>
        </w:rPr>
        <w:t xml:space="preserve"> kod PV su u grupi liječenoj lijekom MabThera nakon infuzije vrlo često primijećena prolazna smanjenja broja limfocita, izazvana smanjenjem populacija perifernih T</w:t>
      </w:r>
      <w:r w:rsidR="00496E03" w:rsidRPr="0055610F">
        <w:rPr>
          <w:sz w:val="22"/>
          <w:szCs w:val="22"/>
          <w:lang w:val="sr-Latn-ME" w:eastAsia="ja-JP"/>
        </w:rPr>
        <w:noBreakHyphen/>
        <w:t>ćelija, kao i prolazno smanjenje nivoa fosfora. Smatra se da su ta smanjenja bila uzrokovana i.v. infuzijom metilprednizolona kao premedikacije.</w:t>
      </w:r>
    </w:p>
    <w:p w:rsidR="00496E03" w:rsidRPr="0055610F" w:rsidRDefault="00496E03" w:rsidP="004D5825">
      <w:pPr>
        <w:tabs>
          <w:tab w:val="left" w:pos="720"/>
        </w:tabs>
        <w:ind w:right="1"/>
        <w:contextualSpacing/>
        <w:jc w:val="both"/>
        <w:rPr>
          <w:sz w:val="22"/>
          <w:szCs w:val="22"/>
          <w:lang w:val="sr-Latn-ME" w:eastAsia="ja-JP"/>
        </w:rPr>
      </w:pPr>
    </w:p>
    <w:p w:rsidR="00496E03" w:rsidRPr="0055610F" w:rsidRDefault="00496E03" w:rsidP="004D5825">
      <w:pPr>
        <w:tabs>
          <w:tab w:val="left" w:pos="540"/>
          <w:tab w:val="left" w:pos="569"/>
        </w:tabs>
        <w:jc w:val="both"/>
        <w:rPr>
          <w:sz w:val="22"/>
          <w:szCs w:val="22"/>
          <w:lang w:val="sr-Latn-ME" w:eastAsia="ja-JP"/>
        </w:rPr>
      </w:pPr>
      <w:r w:rsidRPr="0055610F">
        <w:rPr>
          <w:sz w:val="22"/>
          <w:szCs w:val="22"/>
          <w:lang w:val="sr-Latn-ME" w:eastAsia="ja-JP"/>
        </w:rPr>
        <w:t>U 2. </w:t>
      </w:r>
      <w:r w:rsidR="00CA6E91" w:rsidRPr="0055610F">
        <w:rPr>
          <w:sz w:val="22"/>
          <w:szCs w:val="22"/>
          <w:lang w:val="sr-Latn-ME" w:eastAsia="ja-JP"/>
        </w:rPr>
        <w:t xml:space="preserve">studiji </w:t>
      </w:r>
      <w:r w:rsidRPr="0055610F">
        <w:rPr>
          <w:sz w:val="22"/>
          <w:szCs w:val="22"/>
          <w:lang w:val="sr-Latn-ME" w:eastAsia="ja-JP"/>
        </w:rPr>
        <w:t>kod PV često su opažene niske vrijednosti IgG</w:t>
      </w:r>
      <w:r w:rsidRPr="0055610F">
        <w:rPr>
          <w:sz w:val="22"/>
          <w:szCs w:val="22"/>
          <w:lang w:val="sr-Latn-ME" w:eastAsia="ja-JP"/>
        </w:rPr>
        <w:noBreakHyphen/>
        <w:t>a, a vrlo su često zabilježene i niske vrijednosti IgM</w:t>
      </w:r>
      <w:r w:rsidRPr="0055610F">
        <w:rPr>
          <w:sz w:val="22"/>
          <w:szCs w:val="22"/>
          <w:lang w:val="sr-Latn-ME" w:eastAsia="ja-JP"/>
        </w:rPr>
        <w:noBreakHyphen/>
        <w:t>a; međutim, nije bilo dokaza povećanog rizika od ozbiljnih infekcija nakon razvoja niskih vrijednosti IgG</w:t>
      </w:r>
      <w:r w:rsidRPr="0055610F">
        <w:rPr>
          <w:sz w:val="22"/>
          <w:szCs w:val="22"/>
          <w:lang w:val="sr-Latn-ME" w:eastAsia="ja-JP"/>
        </w:rPr>
        <w:noBreakHyphen/>
        <w:t>a ili IgM</w:t>
      </w:r>
      <w:r w:rsidRPr="0055610F">
        <w:rPr>
          <w:sz w:val="22"/>
          <w:szCs w:val="22"/>
          <w:lang w:val="sr-Latn-ME" w:eastAsia="ja-JP"/>
        </w:rPr>
        <w:noBreakHyphen/>
        <w:t>a.</w:t>
      </w:r>
    </w:p>
    <w:p w:rsidR="00496E03" w:rsidRPr="0055610F" w:rsidRDefault="00496E03" w:rsidP="004D5825">
      <w:pPr>
        <w:tabs>
          <w:tab w:val="left" w:pos="540"/>
          <w:tab w:val="left" w:pos="569"/>
        </w:tabs>
        <w:jc w:val="both"/>
        <w:rPr>
          <w:b/>
          <w:bCs/>
          <w:sz w:val="22"/>
          <w:szCs w:val="22"/>
          <w:lang w:val="sr-Latn-ME"/>
        </w:rPr>
      </w:pPr>
    </w:p>
    <w:p w:rsidR="00B21971" w:rsidRPr="0055610F" w:rsidRDefault="005A23D2" w:rsidP="004D5825">
      <w:pPr>
        <w:spacing w:line="276" w:lineRule="auto"/>
        <w:jc w:val="both"/>
        <w:rPr>
          <w:rFonts w:eastAsia="Calibri"/>
          <w:sz w:val="22"/>
          <w:szCs w:val="22"/>
          <w:u w:val="single"/>
          <w:lang w:val="sr-Latn-ME"/>
        </w:rPr>
      </w:pPr>
      <w:r w:rsidRPr="0055610F">
        <w:rPr>
          <w:rFonts w:eastAsia="Calibri"/>
          <w:sz w:val="22"/>
          <w:szCs w:val="22"/>
          <w:u w:val="single"/>
          <w:lang w:val="sr-Latn-ME"/>
        </w:rPr>
        <w:t>Prijavljivanje sumnji na neželjena dejstva</w:t>
      </w:r>
    </w:p>
    <w:p w:rsidR="00442F39" w:rsidRPr="00786071" w:rsidRDefault="00442F39" w:rsidP="00442F39">
      <w:pPr>
        <w:spacing w:after="200"/>
        <w:jc w:val="both"/>
        <w:rPr>
          <w:rFonts w:eastAsia="Calibri"/>
          <w:sz w:val="22"/>
          <w:szCs w:val="22"/>
          <w:lang w:val="sr-Latn-RS"/>
        </w:rPr>
      </w:pPr>
      <w:r w:rsidRPr="00786071">
        <w:rPr>
          <w:rFonts w:eastAsia="Calibri"/>
          <w:sz w:val="22"/>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 w:val="22"/>
          <w:szCs w:val="22"/>
          <w:lang w:val="sr-Latn-RS"/>
        </w:rPr>
        <w:t>Institutu</w:t>
      </w:r>
      <w:r w:rsidRPr="00786071">
        <w:rPr>
          <w:rFonts w:eastAsia="Calibri"/>
          <w:sz w:val="22"/>
          <w:szCs w:val="22"/>
          <w:lang w:val="sr-Latn-RS"/>
        </w:rPr>
        <w:t xml:space="preserve"> za ljekove i medicinska sredstva</w:t>
      </w:r>
      <w:r>
        <w:rPr>
          <w:rFonts w:eastAsia="Calibri"/>
          <w:sz w:val="22"/>
          <w:szCs w:val="22"/>
          <w:lang w:val="sr-Latn-RS"/>
        </w:rPr>
        <w:t xml:space="preserve"> </w:t>
      </w:r>
      <w:r w:rsidRPr="00786071">
        <w:rPr>
          <w:rFonts w:eastAsia="Calibri"/>
          <w:sz w:val="22"/>
          <w:szCs w:val="22"/>
          <w:lang w:val="sr-Latn-RS"/>
        </w:rPr>
        <w:t>(C</w:t>
      </w:r>
      <w:r>
        <w:rPr>
          <w:rFonts w:eastAsia="Calibri"/>
          <w:sz w:val="22"/>
          <w:szCs w:val="22"/>
          <w:lang w:val="sr-Latn-RS"/>
        </w:rPr>
        <w:t>InMED</w:t>
      </w:r>
      <w:r w:rsidRPr="00786071">
        <w:rPr>
          <w:rFonts w:eastAsia="Calibri"/>
          <w:sz w:val="22"/>
          <w:szCs w:val="22"/>
          <w:lang w:val="sr-Latn-RS"/>
        </w:rPr>
        <w:t>):</w:t>
      </w:r>
    </w:p>
    <w:p w:rsidR="00442F39" w:rsidRPr="00786071" w:rsidRDefault="00442F39" w:rsidP="00442F39">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rsidR="00442F39" w:rsidRPr="00786071" w:rsidRDefault="00442F39" w:rsidP="00442F39">
      <w:pPr>
        <w:pStyle w:val="NoSpacing"/>
        <w:jc w:val="both"/>
        <w:rPr>
          <w:rFonts w:eastAsia="Calibri"/>
          <w:sz w:val="22"/>
          <w:szCs w:val="22"/>
          <w:lang w:val="sr-Latn-RS"/>
        </w:rPr>
      </w:pPr>
      <w:r w:rsidRPr="00786071">
        <w:rPr>
          <w:rFonts w:eastAsia="Calibri"/>
          <w:sz w:val="22"/>
          <w:szCs w:val="22"/>
          <w:lang w:val="sr-Latn-RS"/>
        </w:rPr>
        <w:t>Odjeljenje za farmakovigilancu</w:t>
      </w:r>
    </w:p>
    <w:p w:rsidR="00442F39" w:rsidRPr="00786071" w:rsidRDefault="00442F39" w:rsidP="00442F39">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rsidR="00442F39" w:rsidRPr="00786071" w:rsidRDefault="00442F39" w:rsidP="00442F39">
      <w:pPr>
        <w:pStyle w:val="NoSpacing"/>
        <w:rPr>
          <w:rFonts w:eastAsia="Calibri"/>
          <w:sz w:val="22"/>
          <w:szCs w:val="22"/>
          <w:lang w:val="sr-Latn-RS"/>
        </w:rPr>
      </w:pPr>
    </w:p>
    <w:p w:rsidR="00442F39" w:rsidRPr="00786071" w:rsidRDefault="00442F39" w:rsidP="00442F39">
      <w:pPr>
        <w:pStyle w:val="NoSpacing"/>
        <w:jc w:val="both"/>
        <w:rPr>
          <w:rFonts w:eastAsia="Calibri"/>
          <w:sz w:val="22"/>
          <w:szCs w:val="22"/>
          <w:lang w:val="sr-Latn-RS"/>
        </w:rPr>
      </w:pPr>
      <w:r w:rsidRPr="00786071">
        <w:rPr>
          <w:rFonts w:eastAsia="Calibri"/>
          <w:sz w:val="22"/>
          <w:szCs w:val="22"/>
          <w:lang w:val="sr-Latn-RS"/>
        </w:rPr>
        <w:t>tel: +382 (0) 20 310 280</w:t>
      </w:r>
    </w:p>
    <w:p w:rsidR="00442F39" w:rsidRPr="00786071" w:rsidRDefault="00442F39" w:rsidP="00442F39">
      <w:pPr>
        <w:pStyle w:val="NoSpacing"/>
        <w:jc w:val="both"/>
        <w:rPr>
          <w:rFonts w:eastAsia="Calibri"/>
          <w:sz w:val="22"/>
          <w:szCs w:val="22"/>
          <w:lang w:val="sr-Latn-RS"/>
        </w:rPr>
      </w:pPr>
      <w:r w:rsidRPr="00786071">
        <w:rPr>
          <w:rFonts w:eastAsia="Calibri"/>
          <w:sz w:val="22"/>
          <w:szCs w:val="22"/>
          <w:lang w:val="sr-Latn-RS"/>
        </w:rPr>
        <w:t>fax: +382 (0) 20 310 581</w:t>
      </w:r>
    </w:p>
    <w:p w:rsidR="00442F39" w:rsidRPr="00786071" w:rsidRDefault="00141C95" w:rsidP="00442F39">
      <w:pPr>
        <w:pStyle w:val="NoSpacing"/>
        <w:jc w:val="both"/>
        <w:rPr>
          <w:rFonts w:eastAsia="Calibri"/>
          <w:sz w:val="22"/>
          <w:szCs w:val="22"/>
          <w:lang w:val="sr-Latn-RS"/>
        </w:rPr>
      </w:pPr>
      <w:hyperlink r:id="rId8" w:history="1">
        <w:r w:rsidR="00442F39" w:rsidRPr="00B664A0">
          <w:rPr>
            <w:rStyle w:val="Hyperlink"/>
            <w:rFonts w:eastAsia="Calibri"/>
            <w:sz w:val="22"/>
            <w:szCs w:val="22"/>
            <w:lang w:val="sr-Latn-RS"/>
          </w:rPr>
          <w:t>www.cinmed.me</w:t>
        </w:r>
      </w:hyperlink>
    </w:p>
    <w:p w:rsidR="00442F39" w:rsidRPr="00786071" w:rsidRDefault="00141C95" w:rsidP="00442F39">
      <w:pPr>
        <w:pStyle w:val="NoSpacing"/>
        <w:jc w:val="both"/>
        <w:rPr>
          <w:rFonts w:eastAsia="Calibri"/>
          <w:color w:val="0000FF"/>
          <w:sz w:val="22"/>
          <w:szCs w:val="22"/>
          <w:u w:val="single"/>
          <w:lang w:val="sr-Latn-RS"/>
        </w:rPr>
      </w:pPr>
      <w:hyperlink r:id="rId9" w:history="1">
        <w:r w:rsidR="00442F39" w:rsidRPr="00B664A0">
          <w:rPr>
            <w:rStyle w:val="Hyperlink"/>
            <w:rFonts w:eastAsia="Calibri"/>
            <w:sz w:val="22"/>
            <w:szCs w:val="22"/>
            <w:lang w:val="sr-Latn-RS"/>
          </w:rPr>
          <w:t>nezeljenadejstva@cinmed.me</w:t>
        </w:r>
      </w:hyperlink>
    </w:p>
    <w:p w:rsidR="00442F39" w:rsidRDefault="00442F39" w:rsidP="00442F39">
      <w:pPr>
        <w:pStyle w:val="NoSpacing"/>
        <w:jc w:val="both"/>
        <w:rPr>
          <w:rFonts w:eastAsia="Calibri"/>
          <w:sz w:val="22"/>
          <w:szCs w:val="22"/>
          <w:lang w:val="sr-Latn-RS"/>
        </w:rPr>
      </w:pPr>
      <w:r w:rsidRPr="00786071">
        <w:rPr>
          <w:rFonts w:eastAsia="Calibri"/>
          <w:sz w:val="22"/>
          <w:szCs w:val="22"/>
          <w:lang w:val="sr-Latn-RS"/>
        </w:rPr>
        <w:t>putem IS zdravstvene zaštite</w:t>
      </w:r>
    </w:p>
    <w:p w:rsidR="00507E75" w:rsidRDefault="00507E75" w:rsidP="00507E75">
      <w:pPr>
        <w:pStyle w:val="NoSpacing"/>
        <w:jc w:val="both"/>
        <w:rPr>
          <w:rFonts w:eastAsia="Calibri"/>
          <w:sz w:val="22"/>
          <w:szCs w:val="22"/>
          <w:lang w:val="sr-Latn-RS"/>
        </w:rPr>
      </w:pPr>
      <w:r>
        <w:rPr>
          <w:rFonts w:eastAsia="Calibri"/>
          <w:sz w:val="22"/>
          <w:szCs w:val="22"/>
          <w:lang w:val="sr-Latn-RS"/>
        </w:rPr>
        <w:lastRenderedPageBreak/>
        <w:t>QR kod za online prijavu sumnje na neželjeno dejstvo lijeka:</w:t>
      </w:r>
    </w:p>
    <w:p w:rsidR="007D383C" w:rsidRDefault="007D383C" w:rsidP="00507E75">
      <w:pPr>
        <w:pStyle w:val="NoSpacing"/>
        <w:jc w:val="both"/>
        <w:rPr>
          <w:rFonts w:eastAsia="Calibri"/>
          <w:sz w:val="22"/>
          <w:szCs w:val="22"/>
          <w:lang w:val="sr-Latn-RS"/>
        </w:rPr>
      </w:pPr>
    </w:p>
    <w:p w:rsidR="00507E75" w:rsidRDefault="00F35647" w:rsidP="00507E75">
      <w:pPr>
        <w:pStyle w:val="NoSpacing"/>
        <w:jc w:val="both"/>
        <w:rPr>
          <w:rFonts w:eastAsia="Calibri"/>
          <w:sz w:val="22"/>
          <w:szCs w:val="22"/>
          <w:lang w:val="sr-Latn-RS"/>
        </w:rPr>
      </w:pPr>
      <w:r w:rsidRPr="007F661E">
        <w:rPr>
          <w:b/>
          <w:bCs/>
          <w:noProof/>
          <w:sz w:val="22"/>
          <w:szCs w:val="22"/>
        </w:rPr>
        <w:drawing>
          <wp:inline distT="0" distB="0" distL="0" distR="0" wp14:anchorId="0682C0CE" wp14:editId="612B581E">
            <wp:extent cx="980796" cy="972000"/>
            <wp:effectExtent l="0" t="0" r="0" b="0"/>
            <wp:docPr id="16"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rsidR="00507E75" w:rsidRPr="00786071" w:rsidRDefault="00507E75" w:rsidP="00442F39">
      <w:pPr>
        <w:pStyle w:val="NoSpacing"/>
        <w:jc w:val="both"/>
        <w:rPr>
          <w:rFonts w:eastAsia="Calibri"/>
          <w:sz w:val="22"/>
          <w:szCs w:val="22"/>
          <w:lang w:val="sr-Latn-RS"/>
        </w:rPr>
      </w:pPr>
    </w:p>
    <w:p w:rsidR="00836B35" w:rsidRPr="0055610F" w:rsidRDefault="00836B35" w:rsidP="004D5825">
      <w:pPr>
        <w:tabs>
          <w:tab w:val="left" w:pos="540"/>
          <w:tab w:val="left" w:pos="569"/>
        </w:tabs>
        <w:jc w:val="both"/>
        <w:rPr>
          <w:b/>
          <w:bCs/>
          <w:sz w:val="22"/>
          <w:szCs w:val="22"/>
          <w:lang w:val="sr-Latn-ME"/>
        </w:rPr>
      </w:pPr>
    </w:p>
    <w:p w:rsidR="00CD6F02"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4.9. </w:t>
      </w:r>
      <w:r w:rsidR="00480FB1" w:rsidRPr="0055610F">
        <w:rPr>
          <w:b/>
          <w:bCs/>
          <w:sz w:val="22"/>
          <w:szCs w:val="22"/>
          <w:lang w:val="sr-Latn-ME"/>
        </w:rPr>
        <w:tab/>
      </w:r>
      <w:r w:rsidRPr="0055610F">
        <w:rPr>
          <w:b/>
          <w:bCs/>
          <w:sz w:val="22"/>
          <w:szCs w:val="22"/>
          <w:lang w:val="sr-Latn-ME"/>
        </w:rPr>
        <w:t>Predoziranje</w:t>
      </w:r>
      <w:r w:rsidR="002846DB" w:rsidRPr="0055610F">
        <w:rPr>
          <w:b/>
          <w:bCs/>
          <w:sz w:val="22"/>
          <w:szCs w:val="22"/>
          <w:lang w:val="sr-Latn-ME"/>
        </w:rPr>
        <w:t xml:space="preserve"> </w:t>
      </w:r>
    </w:p>
    <w:p w:rsidR="00CD6F02" w:rsidRPr="0055610F" w:rsidRDefault="00CD6F02" w:rsidP="004D5825">
      <w:pPr>
        <w:tabs>
          <w:tab w:val="left" w:pos="540"/>
          <w:tab w:val="left" w:pos="569"/>
        </w:tabs>
        <w:jc w:val="both"/>
        <w:rPr>
          <w:b/>
          <w:bCs/>
          <w:sz w:val="22"/>
          <w:szCs w:val="22"/>
          <w:lang w:val="sr-Latn-ME"/>
        </w:rPr>
      </w:pPr>
    </w:p>
    <w:p w:rsidR="007B7C69" w:rsidRPr="0055610F" w:rsidRDefault="007B7C69" w:rsidP="004D5825">
      <w:pPr>
        <w:keepNext/>
        <w:jc w:val="both"/>
        <w:outlineLvl w:val="0"/>
        <w:rPr>
          <w:sz w:val="22"/>
          <w:szCs w:val="22"/>
          <w:lang w:val="sr-Latn-ME"/>
        </w:rPr>
      </w:pPr>
      <w:r w:rsidRPr="0055610F">
        <w:rPr>
          <w:sz w:val="22"/>
          <w:szCs w:val="22"/>
          <w:lang w:val="sr-Latn-ME"/>
        </w:rPr>
        <w:t xml:space="preserve">Iz kliničkih </w:t>
      </w:r>
      <w:r w:rsidR="00CA6E91" w:rsidRPr="0055610F">
        <w:rPr>
          <w:sz w:val="22"/>
          <w:szCs w:val="22"/>
          <w:lang w:val="sr-Latn-ME"/>
        </w:rPr>
        <w:t>s</w:t>
      </w:r>
      <w:r w:rsidRPr="0055610F">
        <w:rPr>
          <w:sz w:val="22"/>
          <w:szCs w:val="22"/>
          <w:lang w:val="sr-Latn-ME"/>
        </w:rPr>
        <w:t xml:space="preserve">tudija kod ljudi, dostupno je ograničeno iskustvo sa primjenom većih doza intravenske formulacije lijeka MabThera od odobrenih. Najviša do sada ispitivana intravenska doza lijeka MabThera kod ljudi iznosi 5000 mg (2250 mg/m2), a testirana je u sklopu </w:t>
      </w:r>
      <w:r w:rsidR="00CA6E91" w:rsidRPr="0055610F">
        <w:rPr>
          <w:sz w:val="22"/>
          <w:szCs w:val="22"/>
          <w:lang w:val="sr-Latn-ME"/>
        </w:rPr>
        <w:t>s</w:t>
      </w:r>
      <w:r w:rsidRPr="0055610F">
        <w:rPr>
          <w:sz w:val="22"/>
          <w:szCs w:val="22"/>
          <w:lang w:val="sr-Latn-ME"/>
        </w:rPr>
        <w:t>tudije postupnog povećanja doze kod pacijenata</w:t>
      </w:r>
      <w:r w:rsidR="00427020" w:rsidRPr="0055610F">
        <w:rPr>
          <w:sz w:val="22"/>
          <w:szCs w:val="22"/>
          <w:lang w:val="sr-Latn-ME"/>
        </w:rPr>
        <w:t xml:space="preserve"> </w:t>
      </w:r>
      <w:r w:rsidRPr="0055610F">
        <w:rPr>
          <w:sz w:val="22"/>
          <w:szCs w:val="22"/>
          <w:lang w:val="sr-Latn-ME"/>
        </w:rPr>
        <w:t>sa hroničnom limfocitnom leukemijom. Nijesu uočeni dodatni bezbjednosni signali.</w:t>
      </w:r>
    </w:p>
    <w:p w:rsidR="007B7C69" w:rsidRPr="0055610F" w:rsidRDefault="007B7C69" w:rsidP="004D5825">
      <w:pPr>
        <w:keepNext/>
        <w:jc w:val="both"/>
        <w:outlineLvl w:val="0"/>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Kod pacijenata kod kojih dođe do predoziranja treba odmah prekinuti infuziju i pažljivo ih nadgledati.</w:t>
      </w:r>
    </w:p>
    <w:p w:rsidR="007B7C69" w:rsidRPr="0055610F" w:rsidRDefault="007B7C69" w:rsidP="004D5825">
      <w:pPr>
        <w:jc w:val="both"/>
        <w:outlineLvl w:val="0"/>
        <w:rPr>
          <w:sz w:val="22"/>
          <w:szCs w:val="22"/>
          <w:lang w:val="sr-Latn-ME"/>
        </w:rPr>
      </w:pPr>
    </w:p>
    <w:p w:rsidR="007B7C69" w:rsidRPr="0055610F" w:rsidRDefault="007B7C69" w:rsidP="004D5825">
      <w:pPr>
        <w:tabs>
          <w:tab w:val="left" w:pos="540"/>
          <w:tab w:val="left" w:pos="569"/>
        </w:tabs>
        <w:jc w:val="both"/>
        <w:rPr>
          <w:b/>
          <w:bCs/>
          <w:sz w:val="22"/>
          <w:szCs w:val="22"/>
          <w:lang w:val="sr-Latn-ME"/>
        </w:rPr>
      </w:pPr>
      <w:r w:rsidRPr="0055610F">
        <w:rPr>
          <w:sz w:val="22"/>
          <w:szCs w:val="22"/>
          <w:lang w:val="sr-Latn-ME"/>
        </w:rPr>
        <w:t>Nakon stavljanja lijeka u promet prijavljeno je pet slučajeva predoziranja lijekom MabThera. Za tri slučaja nije prijavljena nijedno neželjeno dejstvo. Dva prijavljena neželjena dejstva odnosile su se na simptome poput gripa pri dozi od 1,8 g rituksimaba te na zatajenje disajnog sistema sa fatalnim ishodom pri dozi od 2 g rituksimaba.</w:t>
      </w:r>
    </w:p>
    <w:p w:rsidR="00227BDB" w:rsidRPr="0055610F" w:rsidRDefault="00227BDB" w:rsidP="004D5825">
      <w:pPr>
        <w:tabs>
          <w:tab w:val="left" w:pos="540"/>
          <w:tab w:val="left" w:pos="569"/>
        </w:tabs>
        <w:jc w:val="both"/>
        <w:rPr>
          <w:b/>
          <w:bCs/>
          <w:sz w:val="22"/>
          <w:szCs w:val="22"/>
          <w:lang w:val="sr-Latn-ME"/>
        </w:rPr>
      </w:pPr>
    </w:p>
    <w:p w:rsidR="00442F39" w:rsidRDefault="00442F39" w:rsidP="004D5825">
      <w:pPr>
        <w:tabs>
          <w:tab w:val="left" w:pos="540"/>
          <w:tab w:val="left" w:pos="569"/>
        </w:tabs>
        <w:jc w:val="both"/>
        <w:rPr>
          <w:b/>
          <w:bCs/>
          <w:sz w:val="22"/>
          <w:szCs w:val="22"/>
          <w:lang w:val="sr-Latn-ME"/>
        </w:rPr>
      </w:pPr>
    </w:p>
    <w:p w:rsidR="0072020E"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5. </w:t>
      </w:r>
      <w:r w:rsidR="00480FB1" w:rsidRPr="0055610F">
        <w:rPr>
          <w:b/>
          <w:bCs/>
          <w:sz w:val="22"/>
          <w:szCs w:val="22"/>
          <w:lang w:val="sr-Latn-ME"/>
        </w:rPr>
        <w:tab/>
      </w:r>
      <w:r w:rsidRPr="0055610F">
        <w:rPr>
          <w:b/>
          <w:bCs/>
          <w:sz w:val="22"/>
          <w:szCs w:val="22"/>
          <w:lang w:val="sr-Latn-ME"/>
        </w:rPr>
        <w:t>FARMAKOLOŠK</w:t>
      </w:r>
      <w:r w:rsidR="000D425A" w:rsidRPr="0055610F">
        <w:rPr>
          <w:b/>
          <w:bCs/>
          <w:sz w:val="22"/>
          <w:szCs w:val="22"/>
          <w:lang w:val="sr-Latn-ME"/>
        </w:rPr>
        <w:t>I</w:t>
      </w:r>
      <w:r w:rsidRPr="0055610F">
        <w:rPr>
          <w:b/>
          <w:bCs/>
          <w:sz w:val="22"/>
          <w:szCs w:val="22"/>
          <w:lang w:val="sr-Latn-ME"/>
        </w:rPr>
        <w:t xml:space="preserve"> PODACI</w:t>
      </w:r>
    </w:p>
    <w:p w:rsidR="0072020E" w:rsidRPr="0055610F" w:rsidRDefault="0072020E" w:rsidP="004D5825">
      <w:pPr>
        <w:tabs>
          <w:tab w:val="left" w:pos="540"/>
          <w:tab w:val="left" w:pos="569"/>
        </w:tabs>
        <w:jc w:val="both"/>
        <w:rPr>
          <w:b/>
          <w:bCs/>
          <w:sz w:val="22"/>
          <w:szCs w:val="22"/>
          <w:lang w:val="sr-Latn-ME"/>
        </w:rPr>
      </w:pPr>
    </w:p>
    <w:p w:rsidR="0072020E"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5.1. </w:t>
      </w:r>
      <w:r w:rsidR="00480FB1" w:rsidRPr="0055610F">
        <w:rPr>
          <w:b/>
          <w:bCs/>
          <w:sz w:val="22"/>
          <w:szCs w:val="22"/>
          <w:lang w:val="sr-Latn-ME"/>
        </w:rPr>
        <w:tab/>
      </w:r>
      <w:r w:rsidRPr="0055610F">
        <w:rPr>
          <w:b/>
          <w:bCs/>
          <w:sz w:val="22"/>
          <w:szCs w:val="22"/>
          <w:lang w:val="sr-Latn-ME"/>
        </w:rPr>
        <w:t>Farmakodinamski podaci</w:t>
      </w:r>
      <w:r w:rsidR="003A7059" w:rsidRPr="0055610F">
        <w:rPr>
          <w:b/>
          <w:bCs/>
          <w:sz w:val="22"/>
          <w:szCs w:val="22"/>
          <w:lang w:val="sr-Latn-ME"/>
        </w:rPr>
        <w:t xml:space="preserve"> </w:t>
      </w:r>
    </w:p>
    <w:p w:rsidR="00F45F77" w:rsidRPr="0055610F" w:rsidRDefault="00F45F77" w:rsidP="004D5825">
      <w:pPr>
        <w:tabs>
          <w:tab w:val="left" w:pos="540"/>
          <w:tab w:val="left" w:pos="569"/>
        </w:tabs>
        <w:jc w:val="both"/>
        <w:rPr>
          <w:b/>
          <w:bCs/>
          <w:sz w:val="22"/>
          <w:szCs w:val="22"/>
          <w:lang w:val="sr-Latn-ME"/>
        </w:rPr>
      </w:pPr>
    </w:p>
    <w:p w:rsidR="0072020E" w:rsidRPr="0055610F" w:rsidRDefault="0072020E" w:rsidP="004D5825">
      <w:pPr>
        <w:tabs>
          <w:tab w:val="left" w:pos="540"/>
          <w:tab w:val="left" w:pos="569"/>
        </w:tabs>
        <w:jc w:val="both"/>
        <w:rPr>
          <w:bCs/>
          <w:sz w:val="22"/>
          <w:szCs w:val="22"/>
          <w:lang w:val="sr-Latn-ME"/>
        </w:rPr>
      </w:pPr>
      <w:r w:rsidRPr="0055610F">
        <w:rPr>
          <w:bCs/>
          <w:sz w:val="22"/>
          <w:szCs w:val="22"/>
          <w:lang w:val="sr-Latn-ME"/>
        </w:rPr>
        <w:t>Farmakoterapijska grupa:</w:t>
      </w:r>
      <w:r w:rsidR="007B7C69" w:rsidRPr="0055610F">
        <w:rPr>
          <w:bCs/>
          <w:sz w:val="22"/>
          <w:szCs w:val="22"/>
          <w:lang w:val="sr-Latn-ME"/>
        </w:rPr>
        <w:t xml:space="preserve"> Antineoplastici, Monoklonska antitijela</w:t>
      </w:r>
      <w:r w:rsidR="001F1EC4">
        <w:rPr>
          <w:bCs/>
          <w:sz w:val="22"/>
          <w:szCs w:val="22"/>
          <w:lang w:val="sr-Latn-ME"/>
        </w:rPr>
        <w:t xml:space="preserve"> i konjugati antitijela i lijeka</w:t>
      </w:r>
    </w:p>
    <w:p w:rsidR="00B21971" w:rsidRPr="0055610F" w:rsidRDefault="00B21971" w:rsidP="004D5825">
      <w:pPr>
        <w:tabs>
          <w:tab w:val="left" w:pos="540"/>
          <w:tab w:val="left" w:pos="569"/>
        </w:tabs>
        <w:jc w:val="both"/>
        <w:rPr>
          <w:bCs/>
          <w:sz w:val="22"/>
          <w:szCs w:val="22"/>
          <w:lang w:val="sr-Latn-ME"/>
        </w:rPr>
      </w:pPr>
    </w:p>
    <w:p w:rsidR="0072020E" w:rsidRPr="0055610F" w:rsidRDefault="0072020E" w:rsidP="004D5825">
      <w:pPr>
        <w:tabs>
          <w:tab w:val="left" w:pos="540"/>
          <w:tab w:val="left" w:pos="569"/>
        </w:tabs>
        <w:jc w:val="both"/>
        <w:rPr>
          <w:bCs/>
          <w:sz w:val="22"/>
          <w:szCs w:val="22"/>
          <w:lang w:val="sr-Latn-ME"/>
        </w:rPr>
      </w:pPr>
      <w:r w:rsidRPr="0055610F">
        <w:rPr>
          <w:bCs/>
          <w:sz w:val="22"/>
          <w:szCs w:val="22"/>
          <w:lang w:val="sr-Latn-ME"/>
        </w:rPr>
        <w:t>ATC kod:</w:t>
      </w:r>
      <w:r w:rsidR="007B7C69" w:rsidRPr="0055610F">
        <w:rPr>
          <w:bCs/>
          <w:sz w:val="22"/>
          <w:szCs w:val="22"/>
          <w:lang w:val="sr-Latn-ME"/>
        </w:rPr>
        <w:t xml:space="preserve"> </w:t>
      </w:r>
      <w:r w:rsidR="001F1EC4">
        <w:rPr>
          <w:bCs/>
          <w:sz w:val="22"/>
          <w:szCs w:val="22"/>
          <w:lang w:val="sr-Latn-ME"/>
        </w:rPr>
        <w:t>L01FA01</w:t>
      </w:r>
    </w:p>
    <w:p w:rsidR="002E37A5" w:rsidRDefault="002E37A5" w:rsidP="004D5825">
      <w:pPr>
        <w:tabs>
          <w:tab w:val="left" w:pos="540"/>
          <w:tab w:val="left" w:pos="569"/>
        </w:tabs>
        <w:jc w:val="both"/>
        <w:rPr>
          <w:b/>
          <w:bCs/>
          <w:sz w:val="22"/>
          <w:szCs w:val="22"/>
          <w:lang w:val="sr-Latn-ME"/>
        </w:rPr>
      </w:pPr>
    </w:p>
    <w:p w:rsidR="001F1EC4" w:rsidRPr="00DA475E" w:rsidRDefault="001F1EC4" w:rsidP="004D5825">
      <w:pPr>
        <w:tabs>
          <w:tab w:val="left" w:pos="540"/>
          <w:tab w:val="left" w:pos="569"/>
        </w:tabs>
        <w:jc w:val="both"/>
        <w:rPr>
          <w:bCs/>
          <w:sz w:val="22"/>
          <w:szCs w:val="22"/>
          <w:lang w:val="sr-Latn-ME"/>
        </w:rPr>
      </w:pPr>
      <w:r w:rsidRPr="00DA475E">
        <w:rPr>
          <w:bCs/>
          <w:sz w:val="22"/>
          <w:szCs w:val="22"/>
          <w:lang w:val="sr-Latn-ME"/>
        </w:rPr>
        <w:t>Mehanizam djelovanja</w:t>
      </w:r>
    </w:p>
    <w:p w:rsidR="001F1EC4" w:rsidRPr="0055610F" w:rsidRDefault="001F1EC4" w:rsidP="004D5825">
      <w:pPr>
        <w:tabs>
          <w:tab w:val="left" w:pos="540"/>
          <w:tab w:val="left" w:pos="569"/>
        </w:tabs>
        <w:jc w:val="both"/>
        <w:rPr>
          <w:b/>
          <w:bCs/>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Rituksimab se vezuje specifično za transmembranski antigen, CD20, neglikolizilovani fosfoprotein lociran na pre-B i zrelim B limfocitima. Ovaj antigen se eksprimira na &gt;</w:t>
      </w:r>
      <w:r w:rsidR="00427020" w:rsidRPr="0055610F">
        <w:rPr>
          <w:sz w:val="22"/>
          <w:szCs w:val="22"/>
          <w:lang w:val="sr-Latn-ME"/>
        </w:rPr>
        <w:t xml:space="preserve"> </w:t>
      </w:r>
      <w:r w:rsidRPr="0055610F">
        <w:rPr>
          <w:sz w:val="22"/>
          <w:szCs w:val="22"/>
          <w:lang w:val="sr-Latn-ME"/>
        </w:rPr>
        <w:t xml:space="preserve">95% svih B ćelijskih non-Hodgkinovih limfoma. </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CD20 se nalazi i na normalnim i na malignim B ćelijama, ali ne na hematopoetskim matičnim ćelijama, pro-B ćelijama, normalnim ćelijama plazme ili drugom normalnom tkivu. Ovaj antigen se ne internalizuje po vezivanju antitijela i ne odvaja se sa ćelijske površine. CD20 ne cirkuliše u plazmi kao slobodni antigen i na taj način nije u kompeticiji za vezivanje antitijela. </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Domen Fab rituksimaba se vezuje za CD20 antigen na B limfocitima, a Fc domen može da </w:t>
      </w:r>
      <w:r w:rsidR="001F1EC4">
        <w:rPr>
          <w:sz w:val="22"/>
          <w:szCs w:val="22"/>
          <w:lang w:val="sr-Latn-ME"/>
        </w:rPr>
        <w:t>pokrene funkcije imunološkog</w:t>
      </w:r>
      <w:r w:rsidRPr="0055610F">
        <w:rPr>
          <w:sz w:val="22"/>
          <w:szCs w:val="22"/>
          <w:lang w:val="sr-Latn-ME"/>
        </w:rPr>
        <w:t xml:space="preserve"> efektor</w:t>
      </w:r>
      <w:r w:rsidR="001F1EC4">
        <w:rPr>
          <w:sz w:val="22"/>
          <w:szCs w:val="22"/>
          <w:lang w:val="sr-Latn-ME"/>
        </w:rPr>
        <w:t>a</w:t>
      </w:r>
      <w:r w:rsidRPr="0055610F">
        <w:rPr>
          <w:sz w:val="22"/>
          <w:szCs w:val="22"/>
          <w:lang w:val="sr-Latn-ME"/>
        </w:rPr>
        <w:t xml:space="preserve"> da se posreduje liziranje B ćelija. U moguće mehanizme efektorski posredovanog ćelijskog liziranja spadaju citotoksičnost koja zavisi od komplementa (CDC) koja proističe iz vezivanja C1q, i ćelijska citotoksičnost koja zavisi od antitijela (ADCC) posredovana putem jednog ili više Fcγ receptora na površini granulocita, makrofaga i NK ćelija. Pokazano je i da vezivanje rituksimaba za CD20 antigen na B limfocitima indukuje ćelijsku smrt apoptozom.</w:t>
      </w:r>
    </w:p>
    <w:p w:rsidR="007B7C69" w:rsidRDefault="007B7C69" w:rsidP="004D5825">
      <w:pPr>
        <w:jc w:val="both"/>
        <w:rPr>
          <w:sz w:val="22"/>
          <w:szCs w:val="22"/>
          <w:lang w:val="sr-Latn-ME"/>
        </w:rPr>
      </w:pPr>
    </w:p>
    <w:p w:rsidR="001F1EC4" w:rsidRDefault="001F1EC4" w:rsidP="004D5825">
      <w:pPr>
        <w:jc w:val="both"/>
        <w:rPr>
          <w:sz w:val="22"/>
          <w:szCs w:val="22"/>
          <w:lang w:val="sr-Latn-ME"/>
        </w:rPr>
      </w:pPr>
      <w:r>
        <w:rPr>
          <w:sz w:val="22"/>
          <w:szCs w:val="22"/>
          <w:lang w:val="sr-Latn-ME"/>
        </w:rPr>
        <w:t>Farmakodinamički efekti</w:t>
      </w:r>
    </w:p>
    <w:p w:rsidR="001F1EC4" w:rsidRPr="0055610F" w:rsidRDefault="001F1EC4" w:rsidP="004D5825">
      <w:pPr>
        <w:jc w:val="both"/>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 xml:space="preserve">Srednji broj B ćelija u perifernoj cirkulaciji opada na vrijednost ispod normale po završetku prve doze MabThere. Kod pacijenata koji su liječeni od hematoloških maligniteta, replecija B ćelija započinje u roku od 6 mjeseci po terapiji, a vraća se na normalne nivoe u okviru 12 mjeseci po završetku terapije, </w:t>
      </w:r>
      <w:r w:rsidRPr="0055610F">
        <w:rPr>
          <w:sz w:val="22"/>
          <w:szCs w:val="22"/>
          <w:lang w:val="sr-Latn-ME"/>
        </w:rPr>
        <w:lastRenderedPageBreak/>
        <w:t>iako kod nekih pacijenata to može trajati duže (do medijana vremena obnove od 23 mjeseca nakon uvođenja liječenja).. Kod oboljelih od reumatoidnog artritisa, neposredna deplecija B ćelija u perifernoj krvi billeži se poslije dvije infuzije od 1000 mg MabThere koje se daju u razmaku od 14 dana. Broj B ćelija u perifernoj krvi počinje da se povećava od 24. ned</w:t>
      </w:r>
      <w:r w:rsidR="00427020" w:rsidRPr="0055610F">
        <w:rPr>
          <w:sz w:val="22"/>
          <w:szCs w:val="22"/>
          <w:lang w:val="sr-Latn-ME"/>
        </w:rPr>
        <w:t>j</w:t>
      </w:r>
      <w:r w:rsidRPr="0055610F">
        <w:rPr>
          <w:sz w:val="22"/>
          <w:szCs w:val="22"/>
          <w:lang w:val="sr-Latn-ME"/>
        </w:rPr>
        <w:t xml:space="preserve">elje, a kod većine </w:t>
      </w:r>
      <w:r w:rsidR="00B16626" w:rsidRPr="0055610F">
        <w:rPr>
          <w:sz w:val="22"/>
          <w:szCs w:val="22"/>
          <w:lang w:val="sr-Latn-ME"/>
        </w:rPr>
        <w:t>pacijenata</w:t>
      </w:r>
      <w:r w:rsidRPr="0055610F">
        <w:rPr>
          <w:sz w:val="22"/>
          <w:szCs w:val="22"/>
          <w:lang w:val="sr-Latn-ME"/>
        </w:rPr>
        <w:t xml:space="preserve"> dokazi o repopulaciji se registruju do 40. ned</w:t>
      </w:r>
      <w:r w:rsidR="00427020" w:rsidRPr="0055610F">
        <w:rPr>
          <w:sz w:val="22"/>
          <w:szCs w:val="22"/>
          <w:lang w:val="sr-Latn-ME"/>
        </w:rPr>
        <w:t>j</w:t>
      </w:r>
      <w:r w:rsidRPr="0055610F">
        <w:rPr>
          <w:sz w:val="22"/>
          <w:szCs w:val="22"/>
          <w:lang w:val="sr-Latn-ME"/>
        </w:rPr>
        <w:t>elje, bilo da se MabThera daje kao monoterapija, ili u kombinaciji sa metotreksatom. Mali udio pacijenata imao je dugotrajnu depleciju perifernih B ćelija u trajanju od 2 godine ili više nakon posljednje doze lijeka MabThera. Kod pacijenata sa GPA i MPA broj perifernih B ćelija smanjio se na &lt; 10 ćelija/µl nakon dvonedjeljne infuzije rituksimaba u dozi od 375 mg/m2 i održao na tom nivou kod većine pacijenata do trenutka mjere ishoda nakon 6 mjeseci. Većina pacijenata je (81%) pokazala znakove povrata B ćelija, uz vrijednosti od &gt; 10 ćelija/µl do 12. mjeseca, što se povećalo na 87% pacijenata do 18. mjeseca.</w:t>
      </w:r>
    </w:p>
    <w:p w:rsidR="001F1EC4" w:rsidRDefault="007B7C69" w:rsidP="004D5825">
      <w:pPr>
        <w:jc w:val="both"/>
        <w:rPr>
          <w:sz w:val="22"/>
          <w:szCs w:val="22"/>
          <w:lang w:val="sr-Latn-ME"/>
        </w:rPr>
      </w:pPr>
      <w:r w:rsidRPr="0055610F">
        <w:rPr>
          <w:sz w:val="22"/>
          <w:szCs w:val="22"/>
          <w:lang w:val="sr-Latn-ME"/>
        </w:rPr>
        <w:t xml:space="preserve"> </w:t>
      </w:r>
    </w:p>
    <w:p w:rsidR="001F1EC4" w:rsidRDefault="001F1EC4" w:rsidP="004D5825">
      <w:pPr>
        <w:jc w:val="both"/>
        <w:rPr>
          <w:sz w:val="22"/>
          <w:szCs w:val="22"/>
          <w:lang w:val="sr-Latn-ME"/>
        </w:rPr>
      </w:pPr>
      <w:r>
        <w:rPr>
          <w:sz w:val="22"/>
          <w:szCs w:val="22"/>
          <w:lang w:val="sr-Latn-ME"/>
        </w:rPr>
        <w:t>Klinička efikasnost i bezbjednost</w:t>
      </w:r>
    </w:p>
    <w:p w:rsidR="007B7C69" w:rsidRPr="0055610F" w:rsidRDefault="007B7C69" w:rsidP="004D5825">
      <w:pPr>
        <w:jc w:val="both"/>
        <w:rPr>
          <w:sz w:val="22"/>
          <w:szCs w:val="22"/>
          <w:lang w:val="sr-Latn-ME"/>
        </w:rPr>
      </w:pPr>
      <w:r w:rsidRPr="0055610F">
        <w:rPr>
          <w:sz w:val="22"/>
          <w:szCs w:val="22"/>
          <w:lang w:val="sr-Latn-ME"/>
        </w:rPr>
        <w:t xml:space="preserve"> </w:t>
      </w:r>
    </w:p>
    <w:p w:rsidR="007B7C69" w:rsidRPr="0055610F" w:rsidRDefault="007B7C69" w:rsidP="004D5825">
      <w:pPr>
        <w:jc w:val="both"/>
        <w:rPr>
          <w:sz w:val="22"/>
          <w:szCs w:val="22"/>
          <w:u w:val="single"/>
          <w:lang w:val="sr-Latn-ME"/>
        </w:rPr>
      </w:pPr>
      <w:r w:rsidRPr="0055610F">
        <w:rPr>
          <w:sz w:val="22"/>
          <w:szCs w:val="22"/>
          <w:u w:val="single"/>
          <w:lang w:val="sr-Latn-ME"/>
        </w:rPr>
        <w:t>Kliničk</w:t>
      </w:r>
      <w:r w:rsidR="001F1EC4">
        <w:rPr>
          <w:sz w:val="22"/>
          <w:szCs w:val="22"/>
          <w:u w:val="single"/>
          <w:lang w:val="sr-Latn-ME"/>
        </w:rPr>
        <w:t>a efikasnost i bezbjednost u liječenju</w:t>
      </w:r>
      <w:r w:rsidRPr="0055610F">
        <w:rPr>
          <w:sz w:val="22"/>
          <w:szCs w:val="22"/>
          <w:u w:val="single"/>
          <w:lang w:val="sr-Latn-ME"/>
        </w:rPr>
        <w:t xml:space="preserve"> non-Hodgkinov</w:t>
      </w:r>
      <w:r w:rsidR="001F1EC4">
        <w:rPr>
          <w:sz w:val="22"/>
          <w:szCs w:val="22"/>
          <w:u w:val="single"/>
          <w:lang w:val="sr-Latn-ME"/>
        </w:rPr>
        <w:t>-og</w:t>
      </w:r>
      <w:r w:rsidRPr="0055610F">
        <w:rPr>
          <w:sz w:val="22"/>
          <w:szCs w:val="22"/>
          <w:u w:val="single"/>
          <w:lang w:val="sr-Latn-ME"/>
        </w:rPr>
        <w:t xml:space="preserve"> limfom</w:t>
      </w:r>
      <w:r w:rsidR="001F1EC4">
        <w:rPr>
          <w:sz w:val="22"/>
          <w:szCs w:val="22"/>
          <w:u w:val="single"/>
          <w:lang w:val="sr-Latn-ME"/>
        </w:rPr>
        <w:t>a</w:t>
      </w:r>
      <w:r w:rsidRPr="0055610F">
        <w:rPr>
          <w:sz w:val="22"/>
          <w:szCs w:val="22"/>
          <w:u w:val="single"/>
          <w:lang w:val="sr-Latn-ME"/>
        </w:rPr>
        <w:t xml:space="preserve"> i hroničn</w:t>
      </w:r>
      <w:r w:rsidR="001F1EC4">
        <w:rPr>
          <w:sz w:val="22"/>
          <w:szCs w:val="22"/>
          <w:u w:val="single"/>
          <w:lang w:val="sr-Latn-ME"/>
        </w:rPr>
        <w:t>e</w:t>
      </w:r>
      <w:r w:rsidRPr="0055610F">
        <w:rPr>
          <w:sz w:val="22"/>
          <w:szCs w:val="22"/>
          <w:u w:val="single"/>
          <w:lang w:val="sr-Latn-ME"/>
        </w:rPr>
        <w:t xml:space="preserve"> limfocitn</w:t>
      </w:r>
      <w:r w:rsidR="001F1EC4">
        <w:rPr>
          <w:sz w:val="22"/>
          <w:szCs w:val="22"/>
          <w:u w:val="single"/>
          <w:lang w:val="sr-Latn-ME"/>
        </w:rPr>
        <w:t>e</w:t>
      </w:r>
      <w:r w:rsidRPr="0055610F">
        <w:rPr>
          <w:sz w:val="22"/>
          <w:szCs w:val="22"/>
          <w:u w:val="single"/>
          <w:lang w:val="sr-Latn-ME"/>
        </w:rPr>
        <w:t xml:space="preserve"> leukemij</w:t>
      </w:r>
      <w:r w:rsidR="001F1EC4">
        <w:rPr>
          <w:sz w:val="22"/>
          <w:szCs w:val="22"/>
          <w:u w:val="single"/>
          <w:lang w:val="sr-Latn-ME"/>
        </w:rPr>
        <w:t>e</w:t>
      </w:r>
    </w:p>
    <w:p w:rsidR="007B7C69" w:rsidRPr="0055610F" w:rsidRDefault="007B7C69" w:rsidP="004D5825">
      <w:pPr>
        <w:jc w:val="both"/>
        <w:rPr>
          <w:sz w:val="22"/>
          <w:szCs w:val="22"/>
          <w:u w:val="single"/>
          <w:lang w:val="sr-Latn-ME"/>
        </w:rPr>
      </w:pPr>
    </w:p>
    <w:p w:rsidR="007B7C69" w:rsidRPr="0055610F" w:rsidRDefault="007B7C69" w:rsidP="004D5825">
      <w:pPr>
        <w:jc w:val="both"/>
        <w:rPr>
          <w:sz w:val="22"/>
          <w:szCs w:val="22"/>
          <w:u w:val="single"/>
          <w:lang w:val="sr-Latn-ME"/>
        </w:rPr>
      </w:pPr>
      <w:r w:rsidRPr="0055610F">
        <w:rPr>
          <w:i/>
          <w:sz w:val="22"/>
          <w:szCs w:val="22"/>
          <w:u w:val="single"/>
          <w:lang w:val="sr-Latn-ME"/>
        </w:rPr>
        <w:t>Folikularni limfom</w:t>
      </w:r>
      <w:r w:rsidRPr="0055610F">
        <w:rPr>
          <w:sz w:val="22"/>
          <w:szCs w:val="22"/>
          <w:u w:val="single"/>
          <w:lang w:val="sr-Latn-ME"/>
        </w:rPr>
        <w:t xml:space="preserve">: </w:t>
      </w:r>
    </w:p>
    <w:p w:rsidR="007B7C69" w:rsidRPr="0055610F" w:rsidRDefault="007B7C69" w:rsidP="004D5825">
      <w:pPr>
        <w:jc w:val="both"/>
        <w:rPr>
          <w:i/>
          <w:sz w:val="22"/>
          <w:szCs w:val="22"/>
          <w:lang w:val="sr-Latn-ME"/>
        </w:rPr>
      </w:pPr>
    </w:p>
    <w:p w:rsidR="007B7C69" w:rsidRPr="0055610F" w:rsidRDefault="007B7C69" w:rsidP="004D5825">
      <w:pPr>
        <w:jc w:val="both"/>
        <w:rPr>
          <w:i/>
          <w:sz w:val="22"/>
          <w:szCs w:val="22"/>
          <w:lang w:val="sr-Latn-ME"/>
        </w:rPr>
      </w:pPr>
      <w:r w:rsidRPr="0055610F">
        <w:rPr>
          <w:i/>
          <w:sz w:val="22"/>
          <w:szCs w:val="22"/>
          <w:lang w:val="sr-Latn-ME"/>
        </w:rPr>
        <w:t>Monoterapija</w:t>
      </w:r>
    </w:p>
    <w:p w:rsidR="00B21971" w:rsidRPr="0055610F" w:rsidRDefault="00B21971" w:rsidP="004D5825">
      <w:pPr>
        <w:jc w:val="both"/>
        <w:rPr>
          <w:i/>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Inicijalna terapija, jednom ned</w:t>
      </w:r>
      <w:r w:rsidR="00427020" w:rsidRPr="0055610F">
        <w:rPr>
          <w:sz w:val="22"/>
          <w:szCs w:val="22"/>
          <w:lang w:val="sr-Latn-ME"/>
        </w:rPr>
        <w:t>j</w:t>
      </w:r>
      <w:r w:rsidRPr="0055610F">
        <w:rPr>
          <w:sz w:val="22"/>
          <w:szCs w:val="22"/>
          <w:lang w:val="sr-Latn-ME"/>
        </w:rPr>
        <w:t>eljno tokom 4 nedjelje</w:t>
      </w:r>
    </w:p>
    <w:p w:rsidR="007B7C69" w:rsidRPr="0055610F" w:rsidRDefault="007B7C69" w:rsidP="004D5825">
      <w:pPr>
        <w:jc w:val="both"/>
        <w:rPr>
          <w:sz w:val="22"/>
          <w:szCs w:val="22"/>
          <w:lang w:val="sr-Latn-ME"/>
        </w:rPr>
      </w:pPr>
      <w:r w:rsidRPr="0055610F">
        <w:rPr>
          <w:sz w:val="22"/>
          <w:szCs w:val="22"/>
          <w:lang w:val="sr-Latn-ME"/>
        </w:rPr>
        <w:t xml:space="preserve">U jednoj probnoj studiji, 166 </w:t>
      </w:r>
      <w:r w:rsidR="00B16626" w:rsidRPr="0055610F">
        <w:rPr>
          <w:sz w:val="22"/>
          <w:szCs w:val="22"/>
          <w:lang w:val="sr-Latn-ME"/>
        </w:rPr>
        <w:t>pacijenata</w:t>
      </w:r>
      <w:r w:rsidRPr="0055610F">
        <w:rPr>
          <w:sz w:val="22"/>
          <w:szCs w:val="22"/>
          <w:lang w:val="sr-Latn-ME"/>
        </w:rPr>
        <w:t xml:space="preserve"> sa recidivirajućim ili hemorezistentnim niskogradiranim ili nisko-malignim ili folikularnim B ćelijskim NHL primali su 375 mg/m</w:t>
      </w:r>
      <w:r w:rsidRPr="0055610F">
        <w:rPr>
          <w:sz w:val="22"/>
          <w:szCs w:val="22"/>
          <w:vertAlign w:val="superscript"/>
          <w:lang w:val="sr-Latn-ME"/>
        </w:rPr>
        <w:t>2</w:t>
      </w:r>
      <w:r w:rsidRPr="0055610F">
        <w:rPr>
          <w:sz w:val="22"/>
          <w:szCs w:val="22"/>
          <w:lang w:val="sr-Latn-ME"/>
        </w:rPr>
        <w:t xml:space="preserve"> MabThere kao intravensku infuziju jednom ned</w:t>
      </w:r>
      <w:r w:rsidR="00427020" w:rsidRPr="0055610F">
        <w:rPr>
          <w:sz w:val="22"/>
          <w:szCs w:val="22"/>
          <w:lang w:val="sr-Latn-ME"/>
        </w:rPr>
        <w:t>j</w:t>
      </w:r>
      <w:r w:rsidRPr="0055610F">
        <w:rPr>
          <w:sz w:val="22"/>
          <w:szCs w:val="22"/>
          <w:lang w:val="sr-Latn-ME"/>
        </w:rPr>
        <w:t xml:space="preserve">eljno tokom 4 nedjelje. Ukupna stopa odgovora na liječenje (engl. </w:t>
      </w:r>
      <w:r w:rsidRPr="0055610F">
        <w:rPr>
          <w:i/>
          <w:sz w:val="22"/>
          <w:szCs w:val="22"/>
          <w:lang w:val="sr-Latn-ME"/>
        </w:rPr>
        <w:t>overall response rate</w:t>
      </w:r>
      <w:r w:rsidRPr="0055610F">
        <w:rPr>
          <w:sz w:val="22"/>
          <w:szCs w:val="22"/>
          <w:lang w:val="sr-Latn-ME"/>
        </w:rPr>
        <w:t xml:space="preserve">, ORR) u populaciji koja je namjeravano liječena (engl. </w:t>
      </w:r>
      <w:r w:rsidRPr="0055610F">
        <w:rPr>
          <w:i/>
          <w:sz w:val="22"/>
          <w:szCs w:val="22"/>
          <w:lang w:val="sr-Latn-ME"/>
        </w:rPr>
        <w:t>intent-to-treat</w:t>
      </w:r>
      <w:r w:rsidRPr="0055610F">
        <w:rPr>
          <w:sz w:val="22"/>
          <w:szCs w:val="22"/>
          <w:lang w:val="sr-Latn-ME"/>
        </w:rPr>
        <w:t xml:space="preserve"> ITT) iznosila je 48% (CI</w:t>
      </w:r>
      <w:r w:rsidRPr="0055610F">
        <w:rPr>
          <w:sz w:val="22"/>
          <w:szCs w:val="22"/>
          <w:vertAlign w:val="subscript"/>
          <w:lang w:val="sr-Latn-ME"/>
        </w:rPr>
        <w:t>95%</w:t>
      </w:r>
      <w:r w:rsidRPr="0055610F">
        <w:rPr>
          <w:sz w:val="22"/>
          <w:szCs w:val="22"/>
          <w:lang w:val="sr-Latn-ME"/>
        </w:rPr>
        <w:t xml:space="preserve"> 41% - 56%) sa 6% kompletnih odgovora (engl. </w:t>
      </w:r>
      <w:r w:rsidRPr="0055610F">
        <w:rPr>
          <w:i/>
          <w:sz w:val="22"/>
          <w:szCs w:val="22"/>
          <w:lang w:val="sr-Latn-ME"/>
        </w:rPr>
        <w:t>complete response</w:t>
      </w:r>
      <w:r w:rsidRPr="0055610F">
        <w:rPr>
          <w:sz w:val="22"/>
          <w:szCs w:val="22"/>
          <w:lang w:val="sr-Latn-ME"/>
        </w:rPr>
        <w:t>,CR) i 42% djelimičnih odgovora (engl</w:t>
      </w:r>
      <w:r w:rsidRPr="0055610F">
        <w:rPr>
          <w:i/>
          <w:sz w:val="22"/>
          <w:szCs w:val="22"/>
          <w:lang w:val="sr-Latn-ME"/>
        </w:rPr>
        <w:t>. partial response</w:t>
      </w:r>
      <w:r w:rsidRPr="0055610F">
        <w:rPr>
          <w:sz w:val="22"/>
          <w:szCs w:val="22"/>
          <w:lang w:val="sr-Latn-ME"/>
        </w:rPr>
        <w:t xml:space="preserve">, PR). Projektovano srednje vrijeme do progresije (engl. </w:t>
      </w:r>
      <w:r w:rsidRPr="0055610F">
        <w:rPr>
          <w:i/>
          <w:sz w:val="22"/>
          <w:szCs w:val="22"/>
          <w:lang w:val="sr-Latn-ME"/>
        </w:rPr>
        <w:t>time to progression</w:t>
      </w:r>
      <w:r w:rsidRPr="0055610F">
        <w:rPr>
          <w:sz w:val="22"/>
          <w:szCs w:val="22"/>
          <w:lang w:val="sr-Latn-ME"/>
        </w:rPr>
        <w:t>, TTP)  za pacijente koji su reagovali iznosilo je 13,0 mjeseci. U analizi podgrupa ORR je bila veća kod pacijenata sa IWF B, C i D histološkim podtipom u poređenju sa podtipom IWF A (58% prema 12%), veća kod pacijenata čija je najveća lezija iznosila &lt;5 cm u poređenju sa 7</w:t>
      </w:r>
      <w:r w:rsidR="001C41CF" w:rsidRPr="0055610F">
        <w:rPr>
          <w:sz w:val="22"/>
          <w:szCs w:val="22"/>
          <w:lang w:val="sr-Latn-ME"/>
        </w:rPr>
        <w:t xml:space="preserve"> </w:t>
      </w:r>
      <w:r w:rsidRPr="0055610F">
        <w:rPr>
          <w:sz w:val="22"/>
          <w:szCs w:val="22"/>
          <w:lang w:val="sr-Latn-ME"/>
        </w:rPr>
        <w:t>cm po najvećem prečniku (53% prema 38%) i veća kod pacijenata sa hemiosenzitivnim recidivom u poređenju sa hemiorezistentnim (definisano kao trajanje odgovora &lt;</w:t>
      </w:r>
      <w:r w:rsidR="001C41CF" w:rsidRPr="0055610F">
        <w:rPr>
          <w:sz w:val="22"/>
          <w:szCs w:val="22"/>
          <w:lang w:val="sr-Latn-ME"/>
        </w:rPr>
        <w:t xml:space="preserve"> </w:t>
      </w:r>
      <w:r w:rsidRPr="0055610F">
        <w:rPr>
          <w:sz w:val="22"/>
          <w:szCs w:val="22"/>
          <w:lang w:val="sr-Latn-ME"/>
        </w:rPr>
        <w:t>3 mjeseca) recidivom (50% prema 22%). ORR kod pacijenata prethodno tretiranih autolognim transplantatom koštane srži (ABMT) iznosila je 78% prema 43% kod pacijenata bez ABMT. Ni godine starosti, pol, stepen limfoma, inicijalna dijagnoza, prisustvo ili odsustvo voluminozne tumorske mase, normalni ili visoki LDH niti prisustvo ekstranodalne bolesti ni</w:t>
      </w:r>
      <w:r w:rsidR="001C41CF" w:rsidRPr="0055610F">
        <w:rPr>
          <w:sz w:val="22"/>
          <w:szCs w:val="22"/>
          <w:lang w:val="sr-Latn-ME"/>
        </w:rPr>
        <w:t>je</w:t>
      </w:r>
      <w:r w:rsidRPr="0055610F">
        <w:rPr>
          <w:sz w:val="22"/>
          <w:szCs w:val="22"/>
          <w:lang w:val="sr-Latn-ME"/>
        </w:rPr>
        <w:t>su imali statistički značajno dejstvo (Fišerov test egzaktnosti) na odgovor MabThere. Statistički značajna korelacija je bila primijećena između stope odgovora i zahvaćenosti koštane srži. Odgovorilo je 40% pacijenata sa transplantatom koštane srži u poređenju sa 59% pacijenata bez zahvaćenosti koštane srži (p=0,0186). Ovakav nalaz nije potvrđen postepenom logističkom regresionom analizi u kojoj su kao prognostički faktori identifikovani sl</w:t>
      </w:r>
      <w:r w:rsidR="001C41CF" w:rsidRPr="0055610F">
        <w:rPr>
          <w:sz w:val="22"/>
          <w:szCs w:val="22"/>
          <w:lang w:val="sr-Latn-ME"/>
        </w:rPr>
        <w:t>j</w:t>
      </w:r>
      <w:r w:rsidRPr="0055610F">
        <w:rPr>
          <w:sz w:val="22"/>
          <w:szCs w:val="22"/>
          <w:lang w:val="sr-Latn-ME"/>
        </w:rPr>
        <w:t>edeći: histološki tip, bcl-2 pozitivnost prije započinjanja terapije, rezistencija na posl</w:t>
      </w:r>
      <w:r w:rsidR="001C41CF" w:rsidRPr="0055610F">
        <w:rPr>
          <w:sz w:val="22"/>
          <w:szCs w:val="22"/>
          <w:lang w:val="sr-Latn-ME"/>
        </w:rPr>
        <w:t>j</w:t>
      </w:r>
      <w:r w:rsidRPr="0055610F">
        <w:rPr>
          <w:sz w:val="22"/>
          <w:szCs w:val="22"/>
          <w:lang w:val="sr-Latn-ME"/>
        </w:rPr>
        <w:t xml:space="preserve">ednju hemioterapiji i voluminozna tumorska masa. </w:t>
      </w:r>
    </w:p>
    <w:p w:rsidR="007B7C69" w:rsidRPr="0055610F" w:rsidRDefault="007B7C69" w:rsidP="004D5825">
      <w:pPr>
        <w:jc w:val="both"/>
        <w:rPr>
          <w:i/>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Inicijalna terapija, jednom nedeljno tokom 8 nedjelja</w:t>
      </w:r>
    </w:p>
    <w:p w:rsidR="007B7C69" w:rsidRPr="0055610F" w:rsidRDefault="007B7C69" w:rsidP="004D5825">
      <w:pPr>
        <w:jc w:val="both"/>
        <w:rPr>
          <w:sz w:val="22"/>
          <w:szCs w:val="22"/>
          <w:lang w:val="sr-Latn-ME"/>
        </w:rPr>
      </w:pPr>
      <w:r w:rsidRPr="0055610F">
        <w:rPr>
          <w:sz w:val="22"/>
          <w:szCs w:val="22"/>
          <w:lang w:val="sr-Latn-ME"/>
        </w:rPr>
        <w:t>U jednoj multicentričnoj studiji bez kontrolne grupe, 37 pacijenata sa recidivirajućim ili hemiorezistentnim, niskogradiranim ili folikularnim B ćelijskim NHL primali su po 375 mg/m</w:t>
      </w:r>
      <w:r w:rsidRPr="0055610F">
        <w:rPr>
          <w:sz w:val="22"/>
          <w:szCs w:val="22"/>
          <w:vertAlign w:val="superscript"/>
          <w:lang w:val="sr-Latn-ME"/>
        </w:rPr>
        <w:t>2</w:t>
      </w:r>
      <w:r w:rsidRPr="0055610F">
        <w:rPr>
          <w:sz w:val="22"/>
          <w:szCs w:val="22"/>
          <w:lang w:val="sr-Latn-ME"/>
        </w:rPr>
        <w:t xml:space="preserve"> MabThere u vidu intravenske infuzije jednom ned</w:t>
      </w:r>
      <w:r w:rsidR="001C41CF" w:rsidRPr="0055610F">
        <w:rPr>
          <w:sz w:val="22"/>
          <w:szCs w:val="22"/>
          <w:lang w:val="sr-Latn-ME"/>
        </w:rPr>
        <w:t>j</w:t>
      </w:r>
      <w:r w:rsidRPr="0055610F">
        <w:rPr>
          <w:sz w:val="22"/>
          <w:szCs w:val="22"/>
          <w:lang w:val="sr-Latn-ME"/>
        </w:rPr>
        <w:t xml:space="preserve">eljno, ukupno osam doza. ORR je iznosila 57% (95% Interval pouzdanosti (CI); 41% - 73%; CR 14%, PR 43%) sa projektovanom medijanom TTP za pacijente koji reaguju od 19,4 mjeseci (raspon 5,3 do 38,9 mjeseci). </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Inicijalna terapija, voluminozna tumorska masa, jednom ned</w:t>
      </w:r>
      <w:r w:rsidR="001C41CF" w:rsidRPr="0055610F">
        <w:rPr>
          <w:sz w:val="22"/>
          <w:szCs w:val="22"/>
          <w:lang w:val="sr-Latn-ME"/>
        </w:rPr>
        <w:t>j</w:t>
      </w:r>
      <w:r w:rsidRPr="0055610F">
        <w:rPr>
          <w:sz w:val="22"/>
          <w:szCs w:val="22"/>
          <w:lang w:val="sr-Latn-ME"/>
        </w:rPr>
        <w:t>eljno tokom 4 nedjelje</w:t>
      </w:r>
    </w:p>
    <w:p w:rsidR="007B7C69" w:rsidRPr="0055610F" w:rsidRDefault="007B7C69" w:rsidP="004D5825">
      <w:pPr>
        <w:jc w:val="both"/>
        <w:rPr>
          <w:sz w:val="22"/>
          <w:szCs w:val="22"/>
          <w:lang w:val="sr-Latn-ME"/>
        </w:rPr>
      </w:pPr>
      <w:r w:rsidRPr="0055610F">
        <w:rPr>
          <w:sz w:val="22"/>
          <w:szCs w:val="22"/>
          <w:lang w:val="sr-Latn-ME"/>
        </w:rPr>
        <w:t xml:space="preserve">U objedinjenim podacima iz tri ispitivanja, 39 pacijenata sa recidivirajućim ili hemiorezistentnim oblikom bolesti, voluminoznom tumorskom masom (pojedinačna lezija </w:t>
      </w:r>
      <w:r w:rsidRPr="0055610F">
        <w:rPr>
          <w:sz w:val="22"/>
          <w:szCs w:val="22"/>
          <w:lang w:val="sr-Latn-ME"/>
        </w:rPr>
        <w:sym w:font="Symbol" w:char="F0B3"/>
      </w:r>
      <w:r w:rsidR="001C41CF" w:rsidRPr="0055610F">
        <w:rPr>
          <w:sz w:val="22"/>
          <w:szCs w:val="22"/>
          <w:lang w:val="sr-Latn-ME"/>
        </w:rPr>
        <w:t xml:space="preserve"> </w:t>
      </w:r>
      <w:r w:rsidRPr="0055610F">
        <w:rPr>
          <w:sz w:val="22"/>
          <w:szCs w:val="22"/>
          <w:lang w:val="sr-Latn-ME"/>
        </w:rPr>
        <w:t>10 cm u prečniku), nisko gradiranim ili folikularnim B ćelijskim NHL primali su 375 mg/m</w:t>
      </w:r>
      <w:r w:rsidRPr="0055610F">
        <w:rPr>
          <w:sz w:val="22"/>
          <w:szCs w:val="22"/>
          <w:vertAlign w:val="superscript"/>
          <w:lang w:val="sr-Latn-ME"/>
        </w:rPr>
        <w:t>2</w:t>
      </w:r>
      <w:r w:rsidRPr="0055610F">
        <w:rPr>
          <w:sz w:val="22"/>
          <w:szCs w:val="22"/>
          <w:lang w:val="sr-Latn-ME"/>
        </w:rPr>
        <w:t xml:space="preserve"> MabThere u vidu intravenske infuzije jednom ned</w:t>
      </w:r>
      <w:r w:rsidR="001C41CF" w:rsidRPr="0055610F">
        <w:rPr>
          <w:sz w:val="22"/>
          <w:szCs w:val="22"/>
          <w:lang w:val="sr-Latn-ME"/>
        </w:rPr>
        <w:t>j</w:t>
      </w:r>
      <w:r w:rsidRPr="0055610F">
        <w:rPr>
          <w:sz w:val="22"/>
          <w:szCs w:val="22"/>
          <w:lang w:val="sr-Latn-ME"/>
        </w:rPr>
        <w:t>eljno ukupno četiri doze. ORR je iznosila 36% (CI</w:t>
      </w:r>
      <w:r w:rsidRPr="0055610F">
        <w:rPr>
          <w:sz w:val="22"/>
          <w:szCs w:val="22"/>
          <w:vertAlign w:val="subscript"/>
          <w:lang w:val="sr-Latn-ME"/>
        </w:rPr>
        <w:t>95%</w:t>
      </w:r>
      <w:r w:rsidRPr="0055610F">
        <w:rPr>
          <w:sz w:val="22"/>
          <w:szCs w:val="22"/>
          <w:lang w:val="sr-Latn-ME"/>
        </w:rPr>
        <w:t xml:space="preserve"> 21% - 51%; CR 3%, PR </w:t>
      </w:r>
      <w:r w:rsidRPr="0055610F">
        <w:rPr>
          <w:sz w:val="22"/>
          <w:szCs w:val="22"/>
          <w:lang w:val="sr-Latn-ME"/>
        </w:rPr>
        <w:lastRenderedPageBreak/>
        <w:t xml:space="preserve">33%) sa projektovanom medijanom TTP za pacijente koji reaguju od 9,6 mjeseci (raspon 4,5 do 26,8 mjeseci). </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Ponovna terapija, jednom ned</w:t>
      </w:r>
      <w:r w:rsidR="001C41CF" w:rsidRPr="0055610F">
        <w:rPr>
          <w:sz w:val="22"/>
          <w:szCs w:val="22"/>
          <w:lang w:val="sr-Latn-ME"/>
        </w:rPr>
        <w:t>j</w:t>
      </w:r>
      <w:r w:rsidRPr="0055610F">
        <w:rPr>
          <w:sz w:val="22"/>
          <w:szCs w:val="22"/>
          <w:lang w:val="sr-Latn-ME"/>
        </w:rPr>
        <w:t>eljno tokom 4 nedjelje</w:t>
      </w:r>
    </w:p>
    <w:p w:rsidR="007B7C69" w:rsidRPr="0055610F" w:rsidRDefault="007B7C69" w:rsidP="004D5825">
      <w:pPr>
        <w:jc w:val="both"/>
        <w:rPr>
          <w:sz w:val="22"/>
          <w:szCs w:val="22"/>
          <w:lang w:val="sr-Latn-ME"/>
        </w:rPr>
      </w:pPr>
      <w:r w:rsidRPr="0055610F">
        <w:rPr>
          <w:sz w:val="22"/>
          <w:szCs w:val="22"/>
          <w:lang w:val="sr-Latn-ME"/>
        </w:rPr>
        <w:t>U jednoj multicentričnoj studiji bez kontrolne grupe, 58 pacijenata sa recidivirajućim ili hemiorezistentnim, niskogradiranim ili folikularnim B ćelijskim NHL koji su postigli objektivni klinički odgovor na prethodnu kuru MabThere, ponovo su tretirani sa po 375 mg/m</w:t>
      </w:r>
      <w:r w:rsidRPr="0055610F">
        <w:rPr>
          <w:sz w:val="22"/>
          <w:szCs w:val="22"/>
          <w:vertAlign w:val="superscript"/>
          <w:lang w:val="sr-Latn-ME"/>
        </w:rPr>
        <w:t>2</w:t>
      </w:r>
      <w:r w:rsidRPr="0055610F">
        <w:rPr>
          <w:sz w:val="22"/>
          <w:szCs w:val="22"/>
          <w:lang w:val="sr-Latn-ME"/>
        </w:rPr>
        <w:t xml:space="preserve"> MabThere u vidu intravenske infuzije jednom ned</w:t>
      </w:r>
      <w:r w:rsidR="001C41CF" w:rsidRPr="0055610F">
        <w:rPr>
          <w:sz w:val="22"/>
          <w:szCs w:val="22"/>
          <w:lang w:val="sr-Latn-ME"/>
        </w:rPr>
        <w:t>j</w:t>
      </w:r>
      <w:r w:rsidRPr="0055610F">
        <w:rPr>
          <w:sz w:val="22"/>
          <w:szCs w:val="22"/>
          <w:lang w:val="sr-Latn-ME"/>
        </w:rPr>
        <w:t>eljno tokom 4 nedjelje. Tri su pacijenta već primila dva ciklusa liječenja lijekom MabThera prije uključivanja u studiju te su u studiji bila podvrgnuta trećem ciklusu liječenja. Dvoje pacijenata su dva puta ponovo tretirani tokom ispitivanja. Za 60 ponovnih tretmana u ovom ispitivanju, ORR je iznosila 38% (CI</w:t>
      </w:r>
      <w:r w:rsidRPr="0055610F">
        <w:rPr>
          <w:sz w:val="22"/>
          <w:szCs w:val="22"/>
          <w:vertAlign w:val="subscript"/>
          <w:lang w:val="sr-Latn-ME"/>
        </w:rPr>
        <w:t>95%</w:t>
      </w:r>
      <w:r w:rsidRPr="0055610F">
        <w:rPr>
          <w:sz w:val="22"/>
          <w:szCs w:val="22"/>
          <w:lang w:val="sr-Latn-ME"/>
        </w:rPr>
        <w:t xml:space="preserve"> 26% - 51%; CR 10%, PR 28%) sa projektovanom medijanom TTP za pacijente koji reaguju od 17,8 mjeseci (raspon 5,4 do 26,6 mjeseci). Ovo djeluje dobro u poređenju sa TTP postignutim poslije prethodne kure MabThere (12,4 mjeseci).</w:t>
      </w:r>
    </w:p>
    <w:p w:rsidR="007B7C69" w:rsidRPr="0055610F" w:rsidRDefault="007B7C69" w:rsidP="004D5825">
      <w:pPr>
        <w:jc w:val="both"/>
        <w:rPr>
          <w:sz w:val="22"/>
          <w:szCs w:val="22"/>
          <w:lang w:val="sr-Latn-ME"/>
        </w:rPr>
      </w:pPr>
    </w:p>
    <w:p w:rsidR="007B7C69" w:rsidRPr="0055610F" w:rsidRDefault="007B7C69" w:rsidP="004D5825">
      <w:pPr>
        <w:jc w:val="both"/>
        <w:rPr>
          <w:i/>
          <w:sz w:val="22"/>
          <w:szCs w:val="22"/>
          <w:lang w:val="sr-Latn-ME"/>
        </w:rPr>
      </w:pPr>
      <w:r w:rsidRPr="0055610F">
        <w:rPr>
          <w:i/>
          <w:sz w:val="22"/>
          <w:szCs w:val="22"/>
          <w:lang w:val="sr-Latn-ME"/>
        </w:rPr>
        <w:t>Inicijalni tretman, u kombinaciji sa hemioterapijom</w:t>
      </w:r>
    </w:p>
    <w:p w:rsidR="00B21971" w:rsidRPr="0055610F" w:rsidRDefault="00B21971"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U jednom otvorenom randomizovanom ispitivanju, ukupno 322 prethodno neliječenih </w:t>
      </w:r>
      <w:r w:rsidR="00B16626" w:rsidRPr="0055610F">
        <w:rPr>
          <w:sz w:val="22"/>
          <w:szCs w:val="22"/>
          <w:lang w:val="sr-Latn-ME"/>
        </w:rPr>
        <w:t>pacijenata</w:t>
      </w:r>
      <w:r w:rsidRPr="0055610F">
        <w:rPr>
          <w:sz w:val="22"/>
          <w:szCs w:val="22"/>
          <w:lang w:val="sr-Latn-ME"/>
        </w:rPr>
        <w:t xml:space="preserve"> oboljelih od niskogradiranog ili folikularnog B ćelijskog NHL bilo je nasumično raspodijeljeno da prima ili CVP hemioterapiju (ciklofosfamid 750 mg/m</w:t>
      </w:r>
      <w:r w:rsidRPr="0055610F">
        <w:rPr>
          <w:sz w:val="22"/>
          <w:szCs w:val="22"/>
          <w:vertAlign w:val="superscript"/>
          <w:lang w:val="sr-Latn-ME"/>
        </w:rPr>
        <w:t>2</w:t>
      </w:r>
      <w:r w:rsidRPr="0055610F">
        <w:rPr>
          <w:sz w:val="22"/>
          <w:szCs w:val="22"/>
          <w:lang w:val="sr-Latn-ME"/>
        </w:rPr>
        <w:t>, vinkristin 1,4 mg/m</w:t>
      </w:r>
      <w:r w:rsidRPr="0055610F">
        <w:rPr>
          <w:sz w:val="22"/>
          <w:szCs w:val="22"/>
          <w:vertAlign w:val="superscript"/>
          <w:lang w:val="sr-Latn-ME"/>
        </w:rPr>
        <w:t>2</w:t>
      </w:r>
      <w:r w:rsidRPr="0055610F">
        <w:rPr>
          <w:sz w:val="22"/>
          <w:szCs w:val="22"/>
          <w:lang w:val="sr-Latn-ME"/>
        </w:rPr>
        <w:t xml:space="preserve"> do maksimalno 2 mg dnevno prvog dana i prednizolon 40 mg/m</w:t>
      </w:r>
      <w:r w:rsidRPr="0055610F">
        <w:rPr>
          <w:sz w:val="22"/>
          <w:szCs w:val="22"/>
          <w:vertAlign w:val="superscript"/>
          <w:lang w:val="sr-Latn-ME"/>
        </w:rPr>
        <w:t>2</w:t>
      </w:r>
      <w:r w:rsidRPr="0055610F">
        <w:rPr>
          <w:sz w:val="22"/>
          <w:szCs w:val="22"/>
          <w:lang w:val="sr-Latn-ME"/>
        </w:rPr>
        <w:t xml:space="preserve"> prvog do petog dana) svake tri nedelje tokom trajanje 8 ciklusa  ili lijek MabThera 375 mg/m</w:t>
      </w:r>
      <w:r w:rsidRPr="0055610F">
        <w:rPr>
          <w:sz w:val="22"/>
          <w:szCs w:val="22"/>
          <w:vertAlign w:val="superscript"/>
          <w:lang w:val="sr-Latn-ME"/>
        </w:rPr>
        <w:t>2</w:t>
      </w:r>
      <w:r w:rsidRPr="0055610F">
        <w:rPr>
          <w:sz w:val="22"/>
          <w:szCs w:val="22"/>
          <w:lang w:val="sr-Latn-ME"/>
        </w:rPr>
        <w:t xml:space="preserve"> u kombinaciji sa CVP (R-CVP). MabThera je davana prvog dana svakog terapijskog ciklusa. Ukupno 321 pacijent (162 R-CVP, 159 CVP) primalo je terapiju i analizirana je efikasnost. U vrijeme analize, srednje trajanje posmatranja iznosilo je 53 mjeseca. R-CVP je doveo do značajne koristi u poređenju sa liječenjem CVP-om za postizanje primarnog cilja studije, vremena do neuspjeha tretmana (27 mjeseci u poređenju sa 6,6 mjeseci, p&lt;0,0001, log-rank test). Procenat pacijenata kod kojih je došlo do odgovora tumora na terapiju (CR, CRu, PR) bio je značajno veći (p&lt;0.0001 Chi-Square test) u R-CVP grupi (80.9%) u poređenju sa CVP grupom (57.2%). Liječenje sa R-CVP značajno je produžilo vrijeme do progresije bolesti ili smrti u poređenju sa CVP, 33.6 u poređenju sa 14.7 mjeseci (p&lt;0,0001, log-rank test). Srednje trajanje odgovora bilo je 37.7 mjeseci u R-CVP grupi, u poređenju sa 13.5 mjeseci u CVP grupi (p&lt;0,0001, log-rank test). </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Razlika među grupama u odnosu na ukupno preživljavanje bila je klinički značajna (p=0.029, log-rank test stratifikovan po centrima): procenat preživljavanja posle 53 mjeseca bio je 80.9% u grupi na R-CVP u poređenju sa 71.1% pacijenata u CVP grupi. </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Rezultati u tri druge randomizovane studije u kojima je MabThera primjenjivana u kombinaciji sa drugim hemioterapijskim režimom osim CVP (CHOP, MCP, CHVP/Interferon α) takođe su pokazali značajno poboljšanje u stopi odgovora, vremenski zavisnih parametara kao i ukupnom preživljavanju. Ključni rezultati sve četiri studije prikazani su u tabeli 8.</w:t>
      </w:r>
    </w:p>
    <w:p w:rsidR="007B7C69" w:rsidRPr="0055610F" w:rsidRDefault="007B7C69" w:rsidP="004D5825">
      <w:pPr>
        <w:jc w:val="both"/>
        <w:rPr>
          <w:sz w:val="22"/>
          <w:szCs w:val="22"/>
          <w:lang w:val="sr-Latn-ME"/>
        </w:rPr>
      </w:pPr>
      <w:r w:rsidRPr="0055610F">
        <w:rPr>
          <w:sz w:val="22"/>
          <w:szCs w:val="22"/>
          <w:lang w:val="sr-Latn-ME"/>
        </w:rPr>
        <w:t xml:space="preserve"> </w:t>
      </w:r>
    </w:p>
    <w:p w:rsidR="007B7C69" w:rsidRPr="0055610F" w:rsidRDefault="007B7C69" w:rsidP="004D5825">
      <w:pPr>
        <w:jc w:val="both"/>
        <w:rPr>
          <w:b/>
          <w:sz w:val="22"/>
          <w:szCs w:val="22"/>
          <w:lang w:val="sr-Latn-ME"/>
        </w:rPr>
      </w:pPr>
      <w:r w:rsidRPr="0055610F">
        <w:rPr>
          <w:b/>
          <w:sz w:val="22"/>
          <w:szCs w:val="22"/>
          <w:lang w:val="sr-Latn-ME"/>
        </w:rPr>
        <w:t xml:space="preserve">Tabela 8. Pregled ključnih rezultata četiri randomizovane studije faze III koje su procjenjivale korist od primjene lijeka MabThera u kombinaciji sa različitim hemioterapijskim režimima kod folikularnog limfoma </w:t>
      </w:r>
    </w:p>
    <w:p w:rsidR="007B7C69" w:rsidRPr="0055610F" w:rsidRDefault="007B7C69" w:rsidP="004D5825">
      <w:pPr>
        <w:jc w:val="both"/>
        <w:rPr>
          <w:b/>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5"/>
        <w:gridCol w:w="1980"/>
        <w:gridCol w:w="1260"/>
        <w:gridCol w:w="900"/>
        <w:gridCol w:w="900"/>
        <w:gridCol w:w="2239"/>
        <w:gridCol w:w="1423"/>
      </w:tblGrid>
      <w:tr w:rsidR="007B7C69" w:rsidRPr="007642DC" w:rsidTr="007B7C69">
        <w:tc>
          <w:tcPr>
            <w:tcW w:w="1255" w:type="dxa"/>
            <w:shd w:val="clear" w:color="auto" w:fill="auto"/>
          </w:tcPr>
          <w:p w:rsidR="007B7C69" w:rsidRPr="0055610F" w:rsidRDefault="007B7C69" w:rsidP="004D5825">
            <w:pPr>
              <w:jc w:val="both"/>
              <w:rPr>
                <w:b/>
                <w:sz w:val="22"/>
                <w:szCs w:val="22"/>
                <w:lang w:val="sr-Latn-ME"/>
              </w:rPr>
            </w:pPr>
            <w:r w:rsidRPr="0055610F">
              <w:rPr>
                <w:b/>
                <w:sz w:val="22"/>
                <w:szCs w:val="22"/>
                <w:lang w:val="sr-Latn-ME"/>
              </w:rPr>
              <w:t>Studija</w:t>
            </w:r>
          </w:p>
        </w:tc>
        <w:tc>
          <w:tcPr>
            <w:tcW w:w="1980" w:type="dxa"/>
            <w:shd w:val="clear" w:color="auto" w:fill="auto"/>
          </w:tcPr>
          <w:p w:rsidR="007B7C69" w:rsidRPr="0055610F" w:rsidRDefault="007B7C69" w:rsidP="004D5825">
            <w:pPr>
              <w:jc w:val="both"/>
              <w:rPr>
                <w:b/>
                <w:sz w:val="22"/>
                <w:szCs w:val="22"/>
                <w:lang w:val="sr-Latn-ME"/>
              </w:rPr>
            </w:pPr>
            <w:r w:rsidRPr="0055610F">
              <w:rPr>
                <w:b/>
                <w:sz w:val="22"/>
                <w:szCs w:val="22"/>
                <w:lang w:val="sr-Latn-ME"/>
              </w:rPr>
              <w:t>Terapija,</w:t>
            </w:r>
          </w:p>
          <w:p w:rsidR="007B7C69" w:rsidRPr="0055610F" w:rsidRDefault="007B7C69" w:rsidP="004D5825">
            <w:pPr>
              <w:jc w:val="both"/>
              <w:rPr>
                <w:b/>
                <w:sz w:val="22"/>
                <w:szCs w:val="22"/>
                <w:lang w:val="sr-Latn-ME"/>
              </w:rPr>
            </w:pPr>
            <w:r w:rsidRPr="0055610F">
              <w:rPr>
                <w:b/>
                <w:sz w:val="22"/>
                <w:szCs w:val="22"/>
                <w:lang w:val="sr-Latn-ME"/>
              </w:rPr>
              <w:t xml:space="preserve"> N</w:t>
            </w:r>
          </w:p>
        </w:tc>
        <w:tc>
          <w:tcPr>
            <w:tcW w:w="1260" w:type="dxa"/>
            <w:shd w:val="clear" w:color="auto" w:fill="auto"/>
          </w:tcPr>
          <w:p w:rsidR="007B7C69" w:rsidRPr="0055610F" w:rsidRDefault="007B7C69" w:rsidP="004D5825">
            <w:pPr>
              <w:jc w:val="both"/>
              <w:rPr>
                <w:b/>
                <w:sz w:val="22"/>
                <w:szCs w:val="22"/>
                <w:lang w:val="sr-Latn-ME"/>
              </w:rPr>
            </w:pPr>
            <w:r w:rsidRPr="0055610F">
              <w:rPr>
                <w:b/>
                <w:sz w:val="22"/>
                <w:szCs w:val="22"/>
                <w:lang w:val="sr-Latn-ME"/>
              </w:rPr>
              <w:t>Srednje vrijeme praćenja, mjeseci</w:t>
            </w:r>
          </w:p>
        </w:tc>
        <w:tc>
          <w:tcPr>
            <w:tcW w:w="900" w:type="dxa"/>
            <w:shd w:val="clear" w:color="auto" w:fill="auto"/>
          </w:tcPr>
          <w:p w:rsidR="007B7C69" w:rsidRPr="0055610F" w:rsidRDefault="007B7C69" w:rsidP="004D5825">
            <w:pPr>
              <w:jc w:val="both"/>
              <w:rPr>
                <w:b/>
                <w:sz w:val="22"/>
                <w:szCs w:val="22"/>
                <w:lang w:val="sr-Latn-ME"/>
              </w:rPr>
            </w:pPr>
            <w:r w:rsidRPr="0055610F">
              <w:rPr>
                <w:b/>
                <w:sz w:val="22"/>
                <w:szCs w:val="22"/>
                <w:lang w:val="sr-Latn-ME"/>
              </w:rPr>
              <w:t xml:space="preserve">ORR, </w:t>
            </w:r>
          </w:p>
          <w:p w:rsidR="007B7C69" w:rsidRPr="0055610F" w:rsidRDefault="007B7C69" w:rsidP="004D5825">
            <w:pPr>
              <w:jc w:val="both"/>
              <w:rPr>
                <w:b/>
                <w:sz w:val="22"/>
                <w:szCs w:val="22"/>
                <w:lang w:val="sr-Latn-ME"/>
              </w:rPr>
            </w:pPr>
            <w:r w:rsidRPr="0055610F">
              <w:rPr>
                <w:b/>
                <w:sz w:val="22"/>
                <w:szCs w:val="22"/>
                <w:lang w:val="sr-Latn-ME"/>
              </w:rPr>
              <w:t>%</w:t>
            </w:r>
          </w:p>
        </w:tc>
        <w:tc>
          <w:tcPr>
            <w:tcW w:w="900" w:type="dxa"/>
            <w:shd w:val="clear" w:color="auto" w:fill="auto"/>
          </w:tcPr>
          <w:p w:rsidR="007B7C69" w:rsidRPr="0055610F" w:rsidRDefault="007B7C69" w:rsidP="004D5825">
            <w:pPr>
              <w:jc w:val="both"/>
              <w:rPr>
                <w:b/>
                <w:sz w:val="22"/>
                <w:szCs w:val="22"/>
                <w:lang w:val="sr-Latn-ME"/>
              </w:rPr>
            </w:pPr>
            <w:r w:rsidRPr="0055610F">
              <w:rPr>
                <w:b/>
                <w:sz w:val="22"/>
                <w:szCs w:val="22"/>
                <w:lang w:val="sr-Latn-ME"/>
              </w:rPr>
              <w:t xml:space="preserve">CR, </w:t>
            </w:r>
          </w:p>
          <w:p w:rsidR="007B7C69" w:rsidRPr="0055610F" w:rsidRDefault="007B7C69" w:rsidP="004D5825">
            <w:pPr>
              <w:jc w:val="both"/>
              <w:rPr>
                <w:b/>
                <w:sz w:val="22"/>
                <w:szCs w:val="22"/>
                <w:lang w:val="sr-Latn-ME"/>
              </w:rPr>
            </w:pPr>
            <w:r w:rsidRPr="0055610F">
              <w:rPr>
                <w:b/>
                <w:sz w:val="22"/>
                <w:szCs w:val="22"/>
                <w:lang w:val="sr-Latn-ME"/>
              </w:rPr>
              <w:t>%</w:t>
            </w:r>
          </w:p>
        </w:tc>
        <w:tc>
          <w:tcPr>
            <w:tcW w:w="2239" w:type="dxa"/>
            <w:shd w:val="clear" w:color="auto" w:fill="auto"/>
          </w:tcPr>
          <w:p w:rsidR="007B7C69" w:rsidRPr="0055610F" w:rsidRDefault="007B7C69" w:rsidP="004D5825">
            <w:pPr>
              <w:jc w:val="both"/>
              <w:rPr>
                <w:b/>
                <w:sz w:val="22"/>
                <w:szCs w:val="22"/>
                <w:lang w:val="sr-Latn-ME"/>
              </w:rPr>
            </w:pPr>
            <w:r w:rsidRPr="0055610F">
              <w:rPr>
                <w:b/>
                <w:sz w:val="22"/>
                <w:szCs w:val="22"/>
                <w:lang w:val="sr-Latn-ME"/>
              </w:rPr>
              <w:t xml:space="preserve">Srednje TTF/PFS/EFS, </w:t>
            </w:r>
          </w:p>
          <w:p w:rsidR="007B7C69" w:rsidRPr="0055610F" w:rsidRDefault="007B7C69" w:rsidP="004D5825">
            <w:pPr>
              <w:jc w:val="both"/>
              <w:rPr>
                <w:b/>
                <w:sz w:val="22"/>
                <w:szCs w:val="22"/>
                <w:lang w:val="sr-Latn-ME"/>
              </w:rPr>
            </w:pPr>
            <w:r w:rsidRPr="0055610F">
              <w:rPr>
                <w:b/>
                <w:sz w:val="22"/>
                <w:szCs w:val="22"/>
                <w:lang w:val="sr-Latn-ME"/>
              </w:rPr>
              <w:t>mjeseci</w:t>
            </w:r>
          </w:p>
        </w:tc>
        <w:tc>
          <w:tcPr>
            <w:tcW w:w="1423" w:type="dxa"/>
            <w:shd w:val="clear" w:color="auto" w:fill="auto"/>
          </w:tcPr>
          <w:p w:rsidR="007B7C69" w:rsidRPr="0055610F" w:rsidRDefault="007B7C69" w:rsidP="004D5825">
            <w:pPr>
              <w:jc w:val="both"/>
              <w:rPr>
                <w:b/>
                <w:sz w:val="22"/>
                <w:szCs w:val="22"/>
                <w:lang w:val="sr-Latn-ME"/>
              </w:rPr>
            </w:pPr>
            <w:r w:rsidRPr="0055610F">
              <w:rPr>
                <w:b/>
                <w:sz w:val="22"/>
                <w:szCs w:val="22"/>
                <w:lang w:val="sr-Latn-ME"/>
              </w:rPr>
              <w:t>Stopa OS,</w:t>
            </w:r>
          </w:p>
          <w:p w:rsidR="007B7C69" w:rsidRPr="0055610F" w:rsidRDefault="007B7C69" w:rsidP="004D5825">
            <w:pPr>
              <w:jc w:val="both"/>
              <w:rPr>
                <w:b/>
                <w:sz w:val="22"/>
                <w:szCs w:val="22"/>
                <w:lang w:val="sr-Latn-ME"/>
              </w:rPr>
            </w:pPr>
            <w:r w:rsidRPr="0055610F">
              <w:rPr>
                <w:b/>
                <w:sz w:val="22"/>
                <w:szCs w:val="22"/>
                <w:lang w:val="sr-Latn-ME"/>
              </w:rPr>
              <w:t>%</w:t>
            </w:r>
          </w:p>
        </w:tc>
      </w:tr>
      <w:tr w:rsidR="007B7C69" w:rsidRPr="007642DC" w:rsidTr="007B7C69">
        <w:tc>
          <w:tcPr>
            <w:tcW w:w="1255" w:type="dxa"/>
            <w:shd w:val="clear" w:color="auto" w:fill="auto"/>
          </w:tcPr>
          <w:p w:rsidR="007B7C69" w:rsidRPr="0055610F" w:rsidRDefault="007B7C69" w:rsidP="004D5825">
            <w:pPr>
              <w:rPr>
                <w:b/>
                <w:sz w:val="22"/>
                <w:szCs w:val="22"/>
                <w:lang w:val="sr-Latn-ME"/>
              </w:rPr>
            </w:pPr>
          </w:p>
          <w:p w:rsidR="007B7C69" w:rsidRPr="0055610F" w:rsidRDefault="007B7C69" w:rsidP="004D5825">
            <w:pPr>
              <w:rPr>
                <w:b/>
                <w:sz w:val="22"/>
                <w:szCs w:val="22"/>
                <w:lang w:val="sr-Latn-ME"/>
              </w:rPr>
            </w:pPr>
            <w:r w:rsidRPr="0055610F">
              <w:rPr>
                <w:b/>
                <w:sz w:val="22"/>
                <w:szCs w:val="22"/>
                <w:lang w:val="sr-Latn-ME"/>
              </w:rPr>
              <w:t>M39021</w:t>
            </w:r>
          </w:p>
          <w:p w:rsidR="007B7C69" w:rsidRPr="0055610F" w:rsidRDefault="007B7C69" w:rsidP="004D5825">
            <w:pPr>
              <w:rPr>
                <w:b/>
                <w:sz w:val="22"/>
                <w:szCs w:val="22"/>
                <w:lang w:val="sr-Latn-ME"/>
              </w:rPr>
            </w:pPr>
          </w:p>
        </w:tc>
        <w:tc>
          <w:tcPr>
            <w:tcW w:w="198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CVP, 159</w:t>
            </w:r>
          </w:p>
          <w:p w:rsidR="007B7C69" w:rsidRPr="0055610F" w:rsidRDefault="007B7C69" w:rsidP="0055610F">
            <w:pPr>
              <w:jc w:val="center"/>
              <w:rPr>
                <w:sz w:val="22"/>
                <w:szCs w:val="22"/>
                <w:lang w:val="sr-Latn-ME"/>
              </w:rPr>
            </w:pPr>
            <w:r w:rsidRPr="0055610F">
              <w:rPr>
                <w:sz w:val="22"/>
                <w:szCs w:val="22"/>
                <w:lang w:val="sr-Latn-ME"/>
              </w:rPr>
              <w:t>R-CVP, 162</w:t>
            </w:r>
          </w:p>
        </w:tc>
        <w:tc>
          <w:tcPr>
            <w:tcW w:w="126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53</w:t>
            </w:r>
          </w:p>
        </w:tc>
        <w:tc>
          <w:tcPr>
            <w:tcW w:w="90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57</w:t>
            </w:r>
          </w:p>
          <w:p w:rsidR="007B7C69" w:rsidRPr="0055610F" w:rsidRDefault="007B7C69" w:rsidP="0055610F">
            <w:pPr>
              <w:jc w:val="center"/>
              <w:rPr>
                <w:sz w:val="22"/>
                <w:szCs w:val="22"/>
                <w:lang w:val="sr-Latn-ME"/>
              </w:rPr>
            </w:pPr>
            <w:r w:rsidRPr="0055610F">
              <w:rPr>
                <w:sz w:val="22"/>
                <w:szCs w:val="22"/>
                <w:lang w:val="sr-Latn-ME"/>
              </w:rPr>
              <w:t>81</w:t>
            </w:r>
          </w:p>
          <w:p w:rsidR="007B7C69" w:rsidRPr="0055610F" w:rsidRDefault="007B7C69" w:rsidP="0055610F">
            <w:pPr>
              <w:jc w:val="center"/>
              <w:rPr>
                <w:sz w:val="22"/>
                <w:szCs w:val="22"/>
                <w:lang w:val="sr-Latn-ME"/>
              </w:rPr>
            </w:pPr>
          </w:p>
        </w:tc>
        <w:tc>
          <w:tcPr>
            <w:tcW w:w="90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10</w:t>
            </w:r>
          </w:p>
          <w:p w:rsidR="007B7C69" w:rsidRPr="0055610F" w:rsidRDefault="007B7C69" w:rsidP="0055610F">
            <w:pPr>
              <w:jc w:val="center"/>
              <w:rPr>
                <w:sz w:val="22"/>
                <w:szCs w:val="22"/>
                <w:lang w:val="sr-Latn-ME"/>
              </w:rPr>
            </w:pPr>
            <w:r w:rsidRPr="0055610F">
              <w:rPr>
                <w:sz w:val="22"/>
                <w:szCs w:val="22"/>
                <w:lang w:val="sr-Latn-ME"/>
              </w:rPr>
              <w:t>41</w:t>
            </w:r>
          </w:p>
        </w:tc>
        <w:tc>
          <w:tcPr>
            <w:tcW w:w="2239"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Srednje TTP:</w:t>
            </w:r>
          </w:p>
          <w:p w:rsidR="007B7C69" w:rsidRPr="0055610F" w:rsidRDefault="007B7C69" w:rsidP="0055610F">
            <w:pPr>
              <w:jc w:val="center"/>
              <w:rPr>
                <w:sz w:val="22"/>
                <w:szCs w:val="22"/>
                <w:lang w:val="sr-Latn-ME"/>
              </w:rPr>
            </w:pPr>
            <w:r w:rsidRPr="0055610F">
              <w:rPr>
                <w:sz w:val="22"/>
                <w:szCs w:val="22"/>
                <w:lang w:val="sr-Latn-ME"/>
              </w:rPr>
              <w:t>14.7</w:t>
            </w:r>
          </w:p>
          <w:p w:rsidR="007B7C69" w:rsidRPr="0055610F" w:rsidRDefault="007B7C69" w:rsidP="0055610F">
            <w:pPr>
              <w:jc w:val="center"/>
              <w:rPr>
                <w:sz w:val="22"/>
                <w:szCs w:val="22"/>
                <w:lang w:val="sr-Latn-ME"/>
              </w:rPr>
            </w:pPr>
            <w:r w:rsidRPr="0055610F">
              <w:rPr>
                <w:sz w:val="22"/>
                <w:szCs w:val="22"/>
                <w:lang w:val="sr-Latn-ME"/>
              </w:rPr>
              <w:t>33.6</w:t>
            </w:r>
          </w:p>
          <w:p w:rsidR="007B7C69" w:rsidRPr="0055610F" w:rsidRDefault="007B7C69" w:rsidP="0055610F">
            <w:pPr>
              <w:jc w:val="center"/>
              <w:rPr>
                <w:sz w:val="22"/>
                <w:szCs w:val="22"/>
                <w:lang w:val="sr-Latn-ME"/>
              </w:rPr>
            </w:pPr>
            <w:r w:rsidRPr="0055610F">
              <w:rPr>
                <w:sz w:val="22"/>
                <w:szCs w:val="22"/>
                <w:lang w:val="sr-Latn-ME"/>
              </w:rPr>
              <w:t>p&lt;0.0001</w:t>
            </w:r>
          </w:p>
          <w:p w:rsidR="007B7C69" w:rsidRPr="0055610F" w:rsidRDefault="007B7C69" w:rsidP="0055610F">
            <w:pPr>
              <w:jc w:val="center"/>
              <w:rPr>
                <w:sz w:val="22"/>
                <w:szCs w:val="22"/>
                <w:lang w:val="sr-Latn-ME"/>
              </w:rPr>
            </w:pPr>
          </w:p>
        </w:tc>
        <w:tc>
          <w:tcPr>
            <w:tcW w:w="1423" w:type="dxa"/>
            <w:shd w:val="clear" w:color="auto" w:fill="auto"/>
          </w:tcPr>
          <w:p w:rsidR="007B7C69" w:rsidRPr="0055610F" w:rsidRDefault="007B7C69" w:rsidP="0055610F">
            <w:pPr>
              <w:jc w:val="center"/>
              <w:rPr>
                <w:sz w:val="22"/>
                <w:szCs w:val="22"/>
                <w:lang w:val="sr-Latn-ME"/>
              </w:rPr>
            </w:pPr>
            <w:r w:rsidRPr="0055610F">
              <w:rPr>
                <w:sz w:val="22"/>
                <w:szCs w:val="22"/>
                <w:lang w:val="sr-Latn-ME"/>
              </w:rPr>
              <w:t>Do 53. mjeseca</w:t>
            </w:r>
          </w:p>
          <w:p w:rsidR="007B7C69" w:rsidRPr="0055610F" w:rsidRDefault="007B7C69" w:rsidP="0055610F">
            <w:pPr>
              <w:jc w:val="center"/>
              <w:rPr>
                <w:sz w:val="22"/>
                <w:szCs w:val="22"/>
                <w:lang w:val="sr-Latn-ME"/>
              </w:rPr>
            </w:pPr>
            <w:r w:rsidRPr="0055610F">
              <w:rPr>
                <w:sz w:val="22"/>
                <w:szCs w:val="22"/>
                <w:lang w:val="sr-Latn-ME"/>
              </w:rPr>
              <w:t>71.1</w:t>
            </w:r>
          </w:p>
          <w:p w:rsidR="007B7C69" w:rsidRPr="0055610F" w:rsidRDefault="007B7C69" w:rsidP="0055610F">
            <w:pPr>
              <w:jc w:val="center"/>
              <w:rPr>
                <w:sz w:val="22"/>
                <w:szCs w:val="22"/>
                <w:lang w:val="sr-Latn-ME"/>
              </w:rPr>
            </w:pPr>
            <w:r w:rsidRPr="0055610F">
              <w:rPr>
                <w:sz w:val="22"/>
                <w:szCs w:val="22"/>
                <w:lang w:val="sr-Latn-ME"/>
              </w:rPr>
              <w:t>80.9</w:t>
            </w:r>
          </w:p>
          <w:p w:rsidR="007B7C69" w:rsidRPr="0055610F" w:rsidRDefault="007B7C69" w:rsidP="0055610F">
            <w:pPr>
              <w:jc w:val="center"/>
              <w:rPr>
                <w:sz w:val="22"/>
                <w:szCs w:val="22"/>
                <w:lang w:val="sr-Latn-ME"/>
              </w:rPr>
            </w:pPr>
            <w:r w:rsidRPr="0055610F">
              <w:rPr>
                <w:sz w:val="22"/>
                <w:szCs w:val="22"/>
                <w:lang w:val="sr-Latn-ME"/>
              </w:rPr>
              <w:t>p=0.029</w:t>
            </w:r>
          </w:p>
        </w:tc>
      </w:tr>
      <w:tr w:rsidR="007B7C69" w:rsidRPr="007642DC" w:rsidTr="007B7C69">
        <w:tc>
          <w:tcPr>
            <w:tcW w:w="1255" w:type="dxa"/>
            <w:shd w:val="clear" w:color="auto" w:fill="auto"/>
          </w:tcPr>
          <w:p w:rsidR="007B7C69" w:rsidRPr="0055610F" w:rsidRDefault="007B7C69" w:rsidP="004D5825">
            <w:pPr>
              <w:rPr>
                <w:b/>
                <w:sz w:val="22"/>
                <w:szCs w:val="22"/>
                <w:lang w:val="sr-Latn-ME"/>
              </w:rPr>
            </w:pPr>
          </w:p>
          <w:p w:rsidR="007B7C69" w:rsidRPr="0055610F" w:rsidRDefault="007B7C69" w:rsidP="004D5825">
            <w:pPr>
              <w:rPr>
                <w:b/>
                <w:sz w:val="22"/>
                <w:szCs w:val="22"/>
                <w:lang w:val="sr-Latn-ME"/>
              </w:rPr>
            </w:pPr>
            <w:r w:rsidRPr="0055610F">
              <w:rPr>
                <w:b/>
                <w:sz w:val="22"/>
                <w:szCs w:val="22"/>
                <w:lang w:val="sr-Latn-ME"/>
              </w:rPr>
              <w:t>GLSG’00</w:t>
            </w:r>
          </w:p>
        </w:tc>
        <w:tc>
          <w:tcPr>
            <w:tcW w:w="198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CHOP, 205</w:t>
            </w:r>
          </w:p>
          <w:p w:rsidR="007B7C69" w:rsidRPr="0055610F" w:rsidRDefault="007B7C69" w:rsidP="0055610F">
            <w:pPr>
              <w:jc w:val="center"/>
              <w:rPr>
                <w:sz w:val="22"/>
                <w:szCs w:val="22"/>
                <w:lang w:val="sr-Latn-ME"/>
              </w:rPr>
            </w:pPr>
            <w:r w:rsidRPr="0055610F">
              <w:rPr>
                <w:sz w:val="22"/>
                <w:szCs w:val="22"/>
                <w:lang w:val="sr-Latn-ME"/>
              </w:rPr>
              <w:lastRenderedPageBreak/>
              <w:t>R-CHOP, 223</w:t>
            </w: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tc>
        <w:tc>
          <w:tcPr>
            <w:tcW w:w="126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lastRenderedPageBreak/>
              <w:t>18</w:t>
            </w:r>
          </w:p>
        </w:tc>
        <w:tc>
          <w:tcPr>
            <w:tcW w:w="90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90</w:t>
            </w:r>
          </w:p>
          <w:p w:rsidR="007B7C69" w:rsidRPr="0055610F" w:rsidRDefault="007B7C69" w:rsidP="0055610F">
            <w:pPr>
              <w:jc w:val="center"/>
              <w:rPr>
                <w:sz w:val="22"/>
                <w:szCs w:val="22"/>
                <w:lang w:val="sr-Latn-ME"/>
              </w:rPr>
            </w:pPr>
            <w:r w:rsidRPr="0055610F">
              <w:rPr>
                <w:sz w:val="22"/>
                <w:szCs w:val="22"/>
                <w:lang w:val="sr-Latn-ME"/>
              </w:rPr>
              <w:lastRenderedPageBreak/>
              <w:t>96</w:t>
            </w:r>
          </w:p>
        </w:tc>
        <w:tc>
          <w:tcPr>
            <w:tcW w:w="90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17</w:t>
            </w:r>
          </w:p>
          <w:p w:rsidR="007B7C69" w:rsidRPr="0055610F" w:rsidRDefault="007B7C69" w:rsidP="0055610F">
            <w:pPr>
              <w:jc w:val="center"/>
              <w:rPr>
                <w:sz w:val="22"/>
                <w:szCs w:val="22"/>
                <w:lang w:val="sr-Latn-ME"/>
              </w:rPr>
            </w:pPr>
            <w:r w:rsidRPr="0055610F">
              <w:rPr>
                <w:sz w:val="22"/>
                <w:szCs w:val="22"/>
                <w:lang w:val="sr-Latn-ME"/>
              </w:rPr>
              <w:lastRenderedPageBreak/>
              <w:t>20</w:t>
            </w:r>
          </w:p>
        </w:tc>
        <w:tc>
          <w:tcPr>
            <w:tcW w:w="2239"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Srednje TTF: 2.6 god.</w:t>
            </w:r>
          </w:p>
          <w:p w:rsidR="007B7C69" w:rsidRPr="0055610F" w:rsidRDefault="007B7C69" w:rsidP="0055610F">
            <w:pPr>
              <w:jc w:val="center"/>
              <w:rPr>
                <w:sz w:val="22"/>
                <w:szCs w:val="22"/>
                <w:lang w:val="sr-Latn-ME"/>
              </w:rPr>
            </w:pPr>
            <w:r w:rsidRPr="0055610F">
              <w:rPr>
                <w:sz w:val="22"/>
                <w:szCs w:val="22"/>
                <w:lang w:val="sr-Latn-ME"/>
              </w:rPr>
              <w:t>Nije dostignuto</w:t>
            </w:r>
          </w:p>
          <w:p w:rsidR="007B7C69" w:rsidRPr="0055610F" w:rsidRDefault="007B7C69" w:rsidP="0055610F">
            <w:pPr>
              <w:jc w:val="center"/>
              <w:rPr>
                <w:sz w:val="22"/>
                <w:szCs w:val="22"/>
                <w:lang w:val="sr-Latn-ME"/>
              </w:rPr>
            </w:pPr>
            <w:r w:rsidRPr="0055610F">
              <w:rPr>
                <w:sz w:val="22"/>
                <w:szCs w:val="22"/>
                <w:lang w:val="sr-Latn-ME"/>
              </w:rPr>
              <w:lastRenderedPageBreak/>
              <w:t>p&lt;0.001</w:t>
            </w:r>
          </w:p>
        </w:tc>
        <w:tc>
          <w:tcPr>
            <w:tcW w:w="1423" w:type="dxa"/>
            <w:shd w:val="clear" w:color="auto" w:fill="auto"/>
          </w:tcPr>
          <w:p w:rsidR="007B7C69" w:rsidRPr="0055610F" w:rsidRDefault="007B7C69" w:rsidP="0055610F">
            <w:pPr>
              <w:jc w:val="center"/>
              <w:rPr>
                <w:sz w:val="22"/>
                <w:szCs w:val="22"/>
                <w:lang w:val="sr-Latn-ME"/>
              </w:rPr>
            </w:pPr>
            <w:r w:rsidRPr="0055610F">
              <w:rPr>
                <w:sz w:val="22"/>
                <w:szCs w:val="22"/>
                <w:lang w:val="sr-Latn-ME"/>
              </w:rPr>
              <w:lastRenderedPageBreak/>
              <w:t>Do 18. mjeseca</w:t>
            </w:r>
          </w:p>
          <w:p w:rsidR="007B7C69" w:rsidRPr="0055610F" w:rsidRDefault="007B7C69" w:rsidP="0055610F">
            <w:pPr>
              <w:jc w:val="center"/>
              <w:rPr>
                <w:sz w:val="22"/>
                <w:szCs w:val="22"/>
                <w:lang w:val="sr-Latn-ME"/>
              </w:rPr>
            </w:pPr>
            <w:r w:rsidRPr="0055610F">
              <w:rPr>
                <w:sz w:val="22"/>
                <w:szCs w:val="22"/>
                <w:lang w:val="sr-Latn-ME"/>
              </w:rPr>
              <w:t>90</w:t>
            </w:r>
          </w:p>
          <w:p w:rsidR="007B7C69" w:rsidRPr="0055610F" w:rsidRDefault="007B7C69" w:rsidP="0055610F">
            <w:pPr>
              <w:jc w:val="center"/>
              <w:rPr>
                <w:sz w:val="22"/>
                <w:szCs w:val="22"/>
                <w:lang w:val="sr-Latn-ME"/>
              </w:rPr>
            </w:pPr>
            <w:r w:rsidRPr="0055610F">
              <w:rPr>
                <w:sz w:val="22"/>
                <w:szCs w:val="22"/>
                <w:lang w:val="sr-Latn-ME"/>
              </w:rPr>
              <w:lastRenderedPageBreak/>
              <w:t>95</w:t>
            </w:r>
          </w:p>
          <w:p w:rsidR="007B7C69" w:rsidRPr="0055610F" w:rsidRDefault="001C41CF" w:rsidP="0055610F">
            <w:pPr>
              <w:jc w:val="center"/>
              <w:rPr>
                <w:sz w:val="22"/>
                <w:szCs w:val="22"/>
                <w:lang w:val="sr-Latn-ME"/>
              </w:rPr>
            </w:pPr>
            <w:r w:rsidRPr="0055610F">
              <w:rPr>
                <w:sz w:val="22"/>
                <w:szCs w:val="22"/>
                <w:lang w:val="sr-Latn-ME"/>
              </w:rPr>
              <w:t>p</w:t>
            </w:r>
            <w:r w:rsidR="007B7C69" w:rsidRPr="0055610F">
              <w:rPr>
                <w:sz w:val="22"/>
                <w:szCs w:val="22"/>
                <w:lang w:val="sr-Latn-ME"/>
              </w:rPr>
              <w:t>=0.016</w:t>
            </w:r>
          </w:p>
        </w:tc>
      </w:tr>
      <w:tr w:rsidR="007B7C69" w:rsidRPr="007642DC" w:rsidTr="007B7C69">
        <w:tc>
          <w:tcPr>
            <w:tcW w:w="1255" w:type="dxa"/>
            <w:shd w:val="clear" w:color="auto" w:fill="auto"/>
          </w:tcPr>
          <w:p w:rsidR="007B7C69" w:rsidRPr="0055610F" w:rsidRDefault="007B7C69" w:rsidP="004D5825">
            <w:pPr>
              <w:rPr>
                <w:b/>
                <w:sz w:val="22"/>
                <w:szCs w:val="22"/>
                <w:lang w:val="sr-Latn-ME"/>
              </w:rPr>
            </w:pPr>
          </w:p>
          <w:p w:rsidR="007B7C69" w:rsidRPr="0055610F" w:rsidRDefault="007B7C69" w:rsidP="004D5825">
            <w:pPr>
              <w:rPr>
                <w:b/>
                <w:sz w:val="22"/>
                <w:szCs w:val="22"/>
                <w:lang w:val="sr-Latn-ME"/>
              </w:rPr>
            </w:pPr>
            <w:r w:rsidRPr="0055610F">
              <w:rPr>
                <w:b/>
                <w:sz w:val="22"/>
                <w:szCs w:val="22"/>
                <w:lang w:val="sr-Latn-ME"/>
              </w:rPr>
              <w:t>OSHO-39</w:t>
            </w:r>
          </w:p>
        </w:tc>
        <w:tc>
          <w:tcPr>
            <w:tcW w:w="198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MCP, 96</w:t>
            </w:r>
          </w:p>
          <w:p w:rsidR="007B7C69" w:rsidRPr="0055610F" w:rsidRDefault="007B7C69" w:rsidP="0055610F">
            <w:pPr>
              <w:jc w:val="center"/>
              <w:rPr>
                <w:sz w:val="22"/>
                <w:szCs w:val="22"/>
                <w:lang w:val="sr-Latn-ME"/>
              </w:rPr>
            </w:pPr>
            <w:r w:rsidRPr="0055610F">
              <w:rPr>
                <w:sz w:val="22"/>
                <w:szCs w:val="22"/>
                <w:lang w:val="sr-Latn-ME"/>
              </w:rPr>
              <w:t>R-MCP, 105</w:t>
            </w:r>
          </w:p>
          <w:p w:rsidR="007B7C69" w:rsidRPr="0055610F" w:rsidRDefault="007B7C69" w:rsidP="0055610F">
            <w:pPr>
              <w:jc w:val="center"/>
              <w:rPr>
                <w:sz w:val="22"/>
                <w:szCs w:val="22"/>
                <w:lang w:val="sr-Latn-ME"/>
              </w:rPr>
            </w:pPr>
          </w:p>
        </w:tc>
        <w:tc>
          <w:tcPr>
            <w:tcW w:w="126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47</w:t>
            </w:r>
          </w:p>
        </w:tc>
        <w:tc>
          <w:tcPr>
            <w:tcW w:w="90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75</w:t>
            </w:r>
          </w:p>
          <w:p w:rsidR="007B7C69" w:rsidRPr="0055610F" w:rsidRDefault="007B7C69" w:rsidP="0055610F">
            <w:pPr>
              <w:jc w:val="center"/>
              <w:rPr>
                <w:sz w:val="22"/>
                <w:szCs w:val="22"/>
                <w:lang w:val="sr-Latn-ME"/>
              </w:rPr>
            </w:pPr>
            <w:r w:rsidRPr="0055610F">
              <w:rPr>
                <w:sz w:val="22"/>
                <w:szCs w:val="22"/>
                <w:lang w:val="sr-Latn-ME"/>
              </w:rPr>
              <w:t>92</w:t>
            </w:r>
          </w:p>
        </w:tc>
        <w:tc>
          <w:tcPr>
            <w:tcW w:w="90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25</w:t>
            </w:r>
          </w:p>
          <w:p w:rsidR="007B7C69" w:rsidRPr="0055610F" w:rsidRDefault="007B7C69" w:rsidP="0055610F">
            <w:pPr>
              <w:jc w:val="center"/>
              <w:rPr>
                <w:sz w:val="22"/>
                <w:szCs w:val="22"/>
                <w:lang w:val="sr-Latn-ME"/>
              </w:rPr>
            </w:pPr>
            <w:r w:rsidRPr="0055610F">
              <w:rPr>
                <w:sz w:val="22"/>
                <w:szCs w:val="22"/>
                <w:lang w:val="sr-Latn-ME"/>
              </w:rPr>
              <w:t>50</w:t>
            </w:r>
          </w:p>
        </w:tc>
        <w:tc>
          <w:tcPr>
            <w:tcW w:w="2239" w:type="dxa"/>
            <w:shd w:val="clear" w:color="auto" w:fill="auto"/>
          </w:tcPr>
          <w:p w:rsidR="007B7C69" w:rsidRPr="0055610F" w:rsidRDefault="007B7C69" w:rsidP="0055610F">
            <w:pPr>
              <w:jc w:val="center"/>
              <w:rPr>
                <w:sz w:val="22"/>
                <w:szCs w:val="22"/>
                <w:lang w:val="sr-Latn-ME"/>
              </w:rPr>
            </w:pPr>
            <w:r w:rsidRPr="0055610F">
              <w:rPr>
                <w:sz w:val="22"/>
                <w:szCs w:val="22"/>
                <w:lang w:val="sr-Latn-ME"/>
              </w:rPr>
              <w:t>Srednje PFS: 28.8</w:t>
            </w:r>
          </w:p>
          <w:p w:rsidR="007B7C69" w:rsidRPr="0055610F" w:rsidRDefault="007B7C69" w:rsidP="0055610F">
            <w:pPr>
              <w:jc w:val="center"/>
              <w:rPr>
                <w:sz w:val="22"/>
                <w:szCs w:val="22"/>
                <w:lang w:val="sr-Latn-ME"/>
              </w:rPr>
            </w:pPr>
            <w:r w:rsidRPr="0055610F">
              <w:rPr>
                <w:sz w:val="22"/>
                <w:szCs w:val="22"/>
                <w:lang w:val="sr-Latn-ME"/>
              </w:rPr>
              <w:t>Nije dostignuto p&lt;0.0001</w:t>
            </w:r>
          </w:p>
        </w:tc>
        <w:tc>
          <w:tcPr>
            <w:tcW w:w="1423" w:type="dxa"/>
            <w:shd w:val="clear" w:color="auto" w:fill="auto"/>
          </w:tcPr>
          <w:p w:rsidR="007B7C69" w:rsidRPr="0055610F" w:rsidRDefault="007B7C69" w:rsidP="0055610F">
            <w:pPr>
              <w:jc w:val="center"/>
              <w:rPr>
                <w:sz w:val="22"/>
                <w:szCs w:val="22"/>
                <w:lang w:val="sr-Latn-ME"/>
              </w:rPr>
            </w:pPr>
            <w:r w:rsidRPr="0055610F">
              <w:rPr>
                <w:sz w:val="22"/>
                <w:szCs w:val="22"/>
                <w:lang w:val="sr-Latn-ME"/>
              </w:rPr>
              <w:t>Do 48. mjeseca</w:t>
            </w:r>
          </w:p>
          <w:p w:rsidR="007B7C69" w:rsidRPr="0055610F" w:rsidRDefault="007B7C69" w:rsidP="0055610F">
            <w:pPr>
              <w:jc w:val="center"/>
              <w:rPr>
                <w:sz w:val="22"/>
                <w:szCs w:val="22"/>
                <w:lang w:val="sr-Latn-ME"/>
              </w:rPr>
            </w:pPr>
            <w:r w:rsidRPr="0055610F">
              <w:rPr>
                <w:sz w:val="22"/>
                <w:szCs w:val="22"/>
                <w:lang w:val="sr-Latn-ME"/>
              </w:rPr>
              <w:t>74</w:t>
            </w:r>
          </w:p>
          <w:p w:rsidR="007B7C69" w:rsidRPr="0055610F" w:rsidRDefault="007B7C69" w:rsidP="0055610F">
            <w:pPr>
              <w:jc w:val="center"/>
              <w:rPr>
                <w:sz w:val="22"/>
                <w:szCs w:val="22"/>
                <w:lang w:val="sr-Latn-ME"/>
              </w:rPr>
            </w:pPr>
            <w:r w:rsidRPr="0055610F">
              <w:rPr>
                <w:sz w:val="22"/>
                <w:szCs w:val="22"/>
                <w:lang w:val="sr-Latn-ME"/>
              </w:rPr>
              <w:t>87</w:t>
            </w:r>
          </w:p>
          <w:p w:rsidR="007B7C69" w:rsidRPr="0055610F" w:rsidRDefault="001C41CF" w:rsidP="0055610F">
            <w:pPr>
              <w:jc w:val="center"/>
              <w:rPr>
                <w:sz w:val="22"/>
                <w:szCs w:val="22"/>
                <w:lang w:val="sr-Latn-ME"/>
              </w:rPr>
            </w:pPr>
            <w:r w:rsidRPr="0055610F">
              <w:rPr>
                <w:sz w:val="22"/>
                <w:szCs w:val="22"/>
                <w:lang w:val="sr-Latn-ME"/>
              </w:rPr>
              <w:t>p</w:t>
            </w:r>
            <w:r w:rsidR="007B7C69" w:rsidRPr="0055610F">
              <w:rPr>
                <w:sz w:val="22"/>
                <w:szCs w:val="22"/>
                <w:lang w:val="sr-Latn-ME"/>
              </w:rPr>
              <w:t>=0.0096</w:t>
            </w:r>
          </w:p>
        </w:tc>
      </w:tr>
      <w:tr w:rsidR="007B7C69" w:rsidRPr="007642DC" w:rsidTr="007B7C69">
        <w:tc>
          <w:tcPr>
            <w:tcW w:w="1255" w:type="dxa"/>
            <w:shd w:val="clear" w:color="auto" w:fill="auto"/>
          </w:tcPr>
          <w:p w:rsidR="007B7C69" w:rsidRPr="0055610F" w:rsidRDefault="007B7C69" w:rsidP="004D5825">
            <w:pPr>
              <w:rPr>
                <w:b/>
                <w:sz w:val="22"/>
                <w:szCs w:val="22"/>
                <w:lang w:val="sr-Latn-ME"/>
              </w:rPr>
            </w:pPr>
            <w:r w:rsidRPr="0055610F">
              <w:rPr>
                <w:b/>
                <w:sz w:val="22"/>
                <w:szCs w:val="22"/>
                <w:lang w:val="sr-Latn-ME"/>
              </w:rPr>
              <w:t>FL2000</w:t>
            </w:r>
          </w:p>
        </w:tc>
        <w:tc>
          <w:tcPr>
            <w:tcW w:w="198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CHVP-IFN, 183</w:t>
            </w:r>
          </w:p>
          <w:p w:rsidR="007B7C69" w:rsidRPr="0055610F" w:rsidRDefault="007B7C69" w:rsidP="0055610F">
            <w:pPr>
              <w:jc w:val="center"/>
              <w:rPr>
                <w:sz w:val="22"/>
                <w:szCs w:val="22"/>
                <w:lang w:val="sr-Latn-ME"/>
              </w:rPr>
            </w:pPr>
            <w:r w:rsidRPr="0055610F">
              <w:rPr>
                <w:sz w:val="22"/>
                <w:szCs w:val="22"/>
                <w:lang w:val="sr-Latn-ME"/>
              </w:rPr>
              <w:t>R-CHVP-IFN, 175</w:t>
            </w:r>
          </w:p>
          <w:p w:rsidR="007B7C69" w:rsidRPr="0055610F" w:rsidRDefault="007B7C69" w:rsidP="0055610F">
            <w:pPr>
              <w:jc w:val="center"/>
              <w:rPr>
                <w:sz w:val="22"/>
                <w:szCs w:val="22"/>
                <w:lang w:val="sr-Latn-ME"/>
              </w:rPr>
            </w:pPr>
          </w:p>
        </w:tc>
        <w:tc>
          <w:tcPr>
            <w:tcW w:w="126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42</w:t>
            </w:r>
          </w:p>
        </w:tc>
        <w:tc>
          <w:tcPr>
            <w:tcW w:w="90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85</w:t>
            </w:r>
          </w:p>
          <w:p w:rsidR="007B7C69" w:rsidRPr="0055610F" w:rsidRDefault="007B7C69" w:rsidP="0055610F">
            <w:pPr>
              <w:jc w:val="center"/>
              <w:rPr>
                <w:sz w:val="22"/>
                <w:szCs w:val="22"/>
                <w:lang w:val="sr-Latn-ME"/>
              </w:rPr>
            </w:pPr>
            <w:r w:rsidRPr="0055610F">
              <w:rPr>
                <w:sz w:val="22"/>
                <w:szCs w:val="22"/>
                <w:lang w:val="sr-Latn-ME"/>
              </w:rPr>
              <w:t>94</w:t>
            </w:r>
          </w:p>
        </w:tc>
        <w:tc>
          <w:tcPr>
            <w:tcW w:w="900"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49</w:t>
            </w:r>
          </w:p>
          <w:p w:rsidR="007B7C69" w:rsidRPr="0055610F" w:rsidRDefault="007B7C69" w:rsidP="0055610F">
            <w:pPr>
              <w:jc w:val="center"/>
              <w:rPr>
                <w:sz w:val="22"/>
                <w:szCs w:val="22"/>
                <w:lang w:val="sr-Latn-ME"/>
              </w:rPr>
            </w:pPr>
            <w:r w:rsidRPr="0055610F">
              <w:rPr>
                <w:sz w:val="22"/>
                <w:szCs w:val="22"/>
                <w:lang w:val="sr-Latn-ME"/>
              </w:rPr>
              <w:t>76</w:t>
            </w:r>
          </w:p>
        </w:tc>
        <w:tc>
          <w:tcPr>
            <w:tcW w:w="2239" w:type="dxa"/>
            <w:shd w:val="clear" w:color="auto" w:fill="auto"/>
          </w:tcPr>
          <w:p w:rsidR="007B7C69" w:rsidRPr="0055610F" w:rsidRDefault="007B7C69" w:rsidP="0055610F">
            <w:pPr>
              <w:jc w:val="center"/>
              <w:rPr>
                <w:sz w:val="22"/>
                <w:szCs w:val="22"/>
                <w:lang w:val="sr-Latn-ME"/>
              </w:rPr>
            </w:pPr>
            <w:r w:rsidRPr="0055610F">
              <w:rPr>
                <w:sz w:val="22"/>
                <w:szCs w:val="22"/>
                <w:lang w:val="sr-Latn-ME"/>
              </w:rPr>
              <w:t>Srednje EFS: 36</w:t>
            </w:r>
          </w:p>
          <w:p w:rsidR="007B7C69" w:rsidRPr="0055610F" w:rsidRDefault="007B7C69" w:rsidP="0055610F">
            <w:pPr>
              <w:jc w:val="center"/>
              <w:rPr>
                <w:sz w:val="22"/>
                <w:szCs w:val="22"/>
                <w:lang w:val="sr-Latn-ME"/>
              </w:rPr>
            </w:pPr>
            <w:r w:rsidRPr="0055610F">
              <w:rPr>
                <w:sz w:val="22"/>
                <w:szCs w:val="22"/>
                <w:lang w:val="sr-Latn-ME"/>
              </w:rPr>
              <w:t>Nije dostignuto</w:t>
            </w:r>
          </w:p>
          <w:p w:rsidR="007B7C69" w:rsidRPr="0055610F" w:rsidRDefault="007B7C69" w:rsidP="0055610F">
            <w:pPr>
              <w:jc w:val="center"/>
              <w:rPr>
                <w:sz w:val="22"/>
                <w:szCs w:val="22"/>
                <w:lang w:val="sr-Latn-ME"/>
              </w:rPr>
            </w:pPr>
            <w:r w:rsidRPr="0055610F">
              <w:rPr>
                <w:sz w:val="22"/>
                <w:szCs w:val="22"/>
                <w:lang w:val="sr-Latn-ME"/>
              </w:rPr>
              <w:t>p&lt;0.0001</w:t>
            </w:r>
          </w:p>
        </w:tc>
        <w:tc>
          <w:tcPr>
            <w:tcW w:w="1423" w:type="dxa"/>
            <w:shd w:val="clear" w:color="auto" w:fill="auto"/>
          </w:tcPr>
          <w:p w:rsidR="007B7C69" w:rsidRPr="0055610F" w:rsidRDefault="007B7C69" w:rsidP="0055610F">
            <w:pPr>
              <w:jc w:val="center"/>
              <w:rPr>
                <w:sz w:val="22"/>
                <w:szCs w:val="22"/>
                <w:lang w:val="sr-Latn-ME"/>
              </w:rPr>
            </w:pPr>
            <w:r w:rsidRPr="0055610F">
              <w:rPr>
                <w:sz w:val="22"/>
                <w:szCs w:val="22"/>
                <w:lang w:val="sr-Latn-ME"/>
              </w:rPr>
              <w:t>Do 42. mjeseca</w:t>
            </w:r>
          </w:p>
          <w:p w:rsidR="007B7C69" w:rsidRPr="0055610F" w:rsidRDefault="007B7C69" w:rsidP="0055610F">
            <w:pPr>
              <w:jc w:val="center"/>
              <w:rPr>
                <w:sz w:val="22"/>
                <w:szCs w:val="22"/>
                <w:lang w:val="sr-Latn-ME"/>
              </w:rPr>
            </w:pPr>
            <w:r w:rsidRPr="0055610F">
              <w:rPr>
                <w:sz w:val="22"/>
                <w:szCs w:val="22"/>
                <w:lang w:val="sr-Latn-ME"/>
              </w:rPr>
              <w:t>84</w:t>
            </w:r>
          </w:p>
          <w:p w:rsidR="007B7C69" w:rsidRPr="0055610F" w:rsidRDefault="007B7C69" w:rsidP="0055610F">
            <w:pPr>
              <w:jc w:val="center"/>
              <w:rPr>
                <w:sz w:val="22"/>
                <w:szCs w:val="22"/>
                <w:lang w:val="sr-Latn-ME"/>
              </w:rPr>
            </w:pPr>
            <w:r w:rsidRPr="0055610F">
              <w:rPr>
                <w:sz w:val="22"/>
                <w:szCs w:val="22"/>
                <w:lang w:val="sr-Latn-ME"/>
              </w:rPr>
              <w:t>91</w:t>
            </w:r>
          </w:p>
          <w:p w:rsidR="007B7C69" w:rsidRPr="0055610F" w:rsidRDefault="007B7C69" w:rsidP="0055610F">
            <w:pPr>
              <w:jc w:val="center"/>
              <w:rPr>
                <w:sz w:val="22"/>
                <w:szCs w:val="22"/>
                <w:lang w:val="sr-Latn-ME"/>
              </w:rPr>
            </w:pPr>
            <w:r w:rsidRPr="0055610F">
              <w:rPr>
                <w:sz w:val="22"/>
                <w:szCs w:val="22"/>
                <w:lang w:val="sr-Latn-ME"/>
              </w:rPr>
              <w:t>P=0.029</w:t>
            </w:r>
          </w:p>
        </w:tc>
      </w:tr>
    </w:tbl>
    <w:p w:rsidR="007B7C69" w:rsidRPr="0055610F" w:rsidRDefault="007B7C69" w:rsidP="004D5825">
      <w:pPr>
        <w:jc w:val="both"/>
        <w:rPr>
          <w:sz w:val="22"/>
          <w:szCs w:val="22"/>
          <w:lang w:val="sr-Latn-ME"/>
        </w:rPr>
      </w:pPr>
      <w:r w:rsidRPr="0055610F">
        <w:rPr>
          <w:sz w:val="22"/>
          <w:szCs w:val="22"/>
          <w:lang w:val="sr-Latn-ME"/>
        </w:rPr>
        <w:t>EFS – Preživljavanje bez događaja</w:t>
      </w:r>
    </w:p>
    <w:p w:rsidR="007B7C69" w:rsidRPr="0055610F" w:rsidRDefault="007B7C69" w:rsidP="004D5825">
      <w:pPr>
        <w:jc w:val="both"/>
        <w:rPr>
          <w:sz w:val="22"/>
          <w:szCs w:val="22"/>
          <w:lang w:val="sr-Latn-ME"/>
        </w:rPr>
      </w:pPr>
      <w:r w:rsidRPr="0055610F">
        <w:rPr>
          <w:sz w:val="22"/>
          <w:szCs w:val="22"/>
          <w:lang w:val="sr-Latn-ME"/>
        </w:rPr>
        <w:t>TTP - Vrijeme do progresije bolesti ili smrti</w:t>
      </w:r>
    </w:p>
    <w:p w:rsidR="007B7C69" w:rsidRPr="0055610F" w:rsidRDefault="007B7C69" w:rsidP="004D5825">
      <w:pPr>
        <w:jc w:val="both"/>
        <w:rPr>
          <w:sz w:val="22"/>
          <w:szCs w:val="22"/>
          <w:lang w:val="sr-Latn-ME"/>
        </w:rPr>
      </w:pPr>
      <w:r w:rsidRPr="0055610F">
        <w:rPr>
          <w:sz w:val="22"/>
          <w:szCs w:val="22"/>
          <w:lang w:val="sr-Latn-ME"/>
        </w:rPr>
        <w:t>PFS -Preživljavanje bez progresije bolesti</w:t>
      </w:r>
    </w:p>
    <w:p w:rsidR="007B7C69" w:rsidRPr="0055610F" w:rsidRDefault="007B7C69" w:rsidP="004D5825">
      <w:pPr>
        <w:jc w:val="both"/>
        <w:rPr>
          <w:sz w:val="22"/>
          <w:szCs w:val="22"/>
          <w:lang w:val="sr-Latn-ME"/>
        </w:rPr>
      </w:pPr>
      <w:r w:rsidRPr="0055610F">
        <w:rPr>
          <w:sz w:val="22"/>
          <w:szCs w:val="22"/>
          <w:lang w:val="sr-Latn-ME"/>
        </w:rPr>
        <w:t>TTF -  Vrijeme do neuspjeha terapije</w:t>
      </w:r>
    </w:p>
    <w:p w:rsidR="007B7C69" w:rsidRPr="0055610F" w:rsidRDefault="007B7C69" w:rsidP="004D5825">
      <w:pPr>
        <w:jc w:val="both"/>
        <w:rPr>
          <w:sz w:val="22"/>
          <w:szCs w:val="22"/>
          <w:lang w:val="sr-Latn-ME"/>
        </w:rPr>
      </w:pPr>
      <w:r w:rsidRPr="0055610F">
        <w:rPr>
          <w:sz w:val="22"/>
          <w:szCs w:val="22"/>
          <w:lang w:val="sr-Latn-ME"/>
        </w:rPr>
        <w:t>Stopa OS – stopa preživljavanja u vrijeme analize rezultata</w:t>
      </w:r>
    </w:p>
    <w:p w:rsidR="007B7C69" w:rsidRPr="0055610F" w:rsidRDefault="007B7C69" w:rsidP="004D5825">
      <w:pPr>
        <w:jc w:val="both"/>
        <w:rPr>
          <w:sz w:val="22"/>
          <w:szCs w:val="22"/>
          <w:lang w:val="sr-Latn-ME"/>
        </w:rPr>
      </w:pPr>
    </w:p>
    <w:p w:rsidR="007B7C69" w:rsidRPr="0055610F" w:rsidRDefault="007B7C69" w:rsidP="004D5825">
      <w:pPr>
        <w:jc w:val="both"/>
        <w:rPr>
          <w:i/>
          <w:sz w:val="22"/>
          <w:szCs w:val="22"/>
          <w:lang w:val="sr-Latn-ME"/>
        </w:rPr>
      </w:pPr>
      <w:r w:rsidRPr="0055610F">
        <w:rPr>
          <w:i/>
          <w:sz w:val="22"/>
          <w:szCs w:val="22"/>
          <w:lang w:val="sr-Latn-ME"/>
        </w:rPr>
        <w:t>Terapija održavanja</w:t>
      </w:r>
    </w:p>
    <w:p w:rsidR="00B21971" w:rsidRPr="0055610F" w:rsidRDefault="00B21971" w:rsidP="004D5825">
      <w:pPr>
        <w:jc w:val="both"/>
        <w:rPr>
          <w:i/>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Prethodno neliječeni folikularni limfom</w:t>
      </w:r>
    </w:p>
    <w:p w:rsidR="007B7C69" w:rsidRPr="0055610F" w:rsidRDefault="007B7C69" w:rsidP="004D5825">
      <w:pPr>
        <w:jc w:val="both"/>
        <w:rPr>
          <w:sz w:val="22"/>
          <w:szCs w:val="22"/>
          <w:lang w:val="sr-Latn-ME"/>
        </w:rPr>
      </w:pPr>
      <w:r w:rsidRPr="0055610F">
        <w:rPr>
          <w:sz w:val="22"/>
          <w:szCs w:val="22"/>
          <w:lang w:val="sr-Latn-ME"/>
        </w:rPr>
        <w:t>U jednoj prospektivnoj otvorenoj, međunarodnoj multicentričnoj studiji faze III, 1193 pacijenata sa prethodno neliječenim uznaprdeovalim folikularnim limfomom primalo je početnu terapiju R</w:t>
      </w:r>
      <w:r w:rsidRPr="0055610F">
        <w:rPr>
          <w:sz w:val="22"/>
          <w:szCs w:val="22"/>
          <w:lang w:val="sr-Latn-ME"/>
        </w:rPr>
        <w:noBreakHyphen/>
        <w:t>CHOP</w:t>
      </w:r>
      <w:r w:rsidRPr="0055610F">
        <w:rPr>
          <w:sz w:val="22"/>
          <w:szCs w:val="22"/>
          <w:lang w:val="sr-Latn-ME"/>
        </w:rPr>
        <w:noBreakHyphen/>
        <w:t>om (n = 881), R</w:t>
      </w:r>
      <w:r w:rsidRPr="0055610F">
        <w:rPr>
          <w:sz w:val="22"/>
          <w:szCs w:val="22"/>
          <w:lang w:val="sr-Latn-ME"/>
        </w:rPr>
        <w:noBreakHyphen/>
        <w:t>CVP</w:t>
      </w:r>
      <w:r w:rsidRPr="0055610F">
        <w:rPr>
          <w:sz w:val="22"/>
          <w:szCs w:val="22"/>
          <w:lang w:val="sr-Latn-ME"/>
        </w:rPr>
        <w:noBreakHyphen/>
        <w:t>om (n = 268) ili R</w:t>
      </w:r>
      <w:r w:rsidRPr="0055610F">
        <w:rPr>
          <w:sz w:val="22"/>
          <w:szCs w:val="22"/>
          <w:lang w:val="sr-Latn-ME"/>
        </w:rPr>
        <w:noBreakHyphen/>
        <w:t>FCM</w:t>
      </w:r>
      <w:r w:rsidRPr="0055610F">
        <w:rPr>
          <w:sz w:val="22"/>
          <w:szCs w:val="22"/>
          <w:lang w:val="sr-Latn-ME"/>
        </w:rPr>
        <w:noBreakHyphen/>
        <w:t>om (n = 44) prema odabiru istraživača. Na početno liječenje odgovorilo je ukupno 1078 pacijenata, od kojih je njih 1018 randomizirano u grupi koja je primala terapiju održavanja lijekom MabThera (n = 505) ili u opservacijsku grupu (n = 513).  Ove dvije terapijske grupe su bile usklađene u pogledu statusa bolesti i karakteristika prije uvođenja terapije. Terapija održavanja lijekom MabThera sastojala se od jedne infuzije lijeka MabThera u dozi od 375 mg/m</w:t>
      </w:r>
      <w:r w:rsidRPr="0055610F">
        <w:rPr>
          <w:sz w:val="22"/>
          <w:szCs w:val="22"/>
          <w:vertAlign w:val="superscript"/>
          <w:lang w:val="sr-Latn-ME"/>
        </w:rPr>
        <w:t>2</w:t>
      </w:r>
      <w:r w:rsidRPr="0055610F">
        <w:rPr>
          <w:sz w:val="22"/>
          <w:szCs w:val="22"/>
          <w:lang w:val="sr-Latn-ME"/>
        </w:rPr>
        <w:t xml:space="preserve"> površine tijela na svaka 2 mjeseca do progresije bolesti ili najduže do dvije godine.</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Predefinisana primarna analiza je urađena nakon srednjeg perioda opservacije od 25 mjeseci od randomizacije, terapija održavanja lijekom MabThera kod pacijenata sa prethodno neliječenim folikularnim limfomom je dovela do klinički relevantnog i statistički značajnog poboljšanja u postizanju primarnog cilja studije, preživljavanje bez progresije bolesti procijenjeno od strane istraživača (PFS) u poređenju sa opservacionom grupom (Tabela </w:t>
      </w:r>
      <w:r w:rsidR="001F1EC4">
        <w:rPr>
          <w:sz w:val="22"/>
          <w:szCs w:val="22"/>
          <w:lang w:val="sr-Latn-ME"/>
        </w:rPr>
        <w:t>9</w:t>
      </w:r>
      <w:r w:rsidRPr="0055610F">
        <w:rPr>
          <w:sz w:val="22"/>
          <w:szCs w:val="22"/>
          <w:lang w:val="sr-Latn-ME"/>
        </w:rPr>
        <w:t>).</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Značajna korist od terapije održavanja lijekom MabThera je primijećena u primarnoj analizi i u postizanju sekundarnih ciljeva studije preživljavanje bez pojave događaja (engl. </w:t>
      </w:r>
      <w:r w:rsidRPr="0055610F">
        <w:rPr>
          <w:i/>
          <w:sz w:val="22"/>
          <w:szCs w:val="22"/>
          <w:lang w:val="sr-Latn-ME"/>
        </w:rPr>
        <w:t>event-free survival</w:t>
      </w:r>
      <w:r w:rsidRPr="0055610F">
        <w:rPr>
          <w:sz w:val="22"/>
          <w:szCs w:val="22"/>
          <w:lang w:val="sr-Latn-ME"/>
        </w:rPr>
        <w:t xml:space="preserve"> - EFS), vrijeme do sljedeće anti-limfomske terapije (engl. </w:t>
      </w:r>
      <w:r w:rsidRPr="0055610F">
        <w:rPr>
          <w:i/>
          <w:sz w:val="22"/>
          <w:szCs w:val="22"/>
          <w:lang w:val="sr-Latn-ME"/>
        </w:rPr>
        <w:t>time to next anti-lymphoma treatment</w:t>
      </w:r>
      <w:r w:rsidRPr="0055610F">
        <w:rPr>
          <w:sz w:val="22"/>
          <w:szCs w:val="22"/>
          <w:lang w:val="sr-Latn-ME"/>
        </w:rPr>
        <w:t xml:space="preserve"> - TNLT), vrijeme do sljedeće hemioterapije (engl. </w:t>
      </w:r>
      <w:r w:rsidRPr="0055610F">
        <w:rPr>
          <w:i/>
          <w:sz w:val="22"/>
          <w:szCs w:val="22"/>
          <w:lang w:val="sr-Latn-ME"/>
        </w:rPr>
        <w:t>time to next chemotherapy</w:t>
      </w:r>
      <w:r w:rsidRPr="0055610F">
        <w:rPr>
          <w:sz w:val="22"/>
          <w:szCs w:val="22"/>
          <w:lang w:val="sr-Latn-ME"/>
        </w:rPr>
        <w:t xml:space="preserve"> - TNCT) i ukupna stopa odgovora (engl. </w:t>
      </w:r>
      <w:r w:rsidRPr="0055610F">
        <w:rPr>
          <w:i/>
          <w:sz w:val="22"/>
          <w:szCs w:val="22"/>
          <w:lang w:val="sr-Latn-ME"/>
        </w:rPr>
        <w:t>overall response rate</w:t>
      </w:r>
      <w:r w:rsidRPr="0055610F">
        <w:rPr>
          <w:sz w:val="22"/>
          <w:szCs w:val="22"/>
          <w:lang w:val="sr-Latn-ME"/>
        </w:rPr>
        <w:t xml:space="preserve"> - ORR) (Tabela 9). </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Podaci koji su prikupljeni iz produženog praćenja pacijenata koji su učestvovali u studiji (medijana vremena praćenja od 9 godina) potvrđjuju dugoročni benefit terapije održavanja lijekom Mabthera u pogledu PFS-a, EFS-a, TLNT-a i TNCT-a (Tabela 9).</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b/>
          <w:sz w:val="22"/>
          <w:szCs w:val="22"/>
          <w:lang w:val="sr-Latn-ME"/>
        </w:rPr>
        <w:t>Tabela 9.     Pregled rezultata efikasnosti održavanja terapije lijekom Efikasnost lijeka MabThera u odnosu na opservacionu grupu u protokolom definisanoj primarnoj analizi i nakon medijane praćenja od 9 godina (finalna analiza)</w:t>
      </w:r>
    </w:p>
    <w:p w:rsidR="007B7C69" w:rsidRPr="0055610F" w:rsidRDefault="007B7C69" w:rsidP="004D5825">
      <w:pPr>
        <w:jc w:val="both"/>
        <w:rPr>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6"/>
        <w:gridCol w:w="1799"/>
        <w:gridCol w:w="1801"/>
        <w:gridCol w:w="1709"/>
        <w:gridCol w:w="1740"/>
      </w:tblGrid>
      <w:tr w:rsidR="007B7C69" w:rsidRPr="007642DC" w:rsidTr="007B7C69">
        <w:tc>
          <w:tcPr>
            <w:tcW w:w="2806" w:type="dxa"/>
            <w:vMerge w:val="restart"/>
            <w:shd w:val="clear" w:color="auto" w:fill="auto"/>
          </w:tcPr>
          <w:p w:rsidR="007B7C69" w:rsidRPr="0055610F" w:rsidRDefault="007B7C69" w:rsidP="004D5825">
            <w:pPr>
              <w:jc w:val="both"/>
              <w:rPr>
                <w:sz w:val="22"/>
                <w:szCs w:val="22"/>
                <w:lang w:val="sr-Latn-ME"/>
              </w:rPr>
            </w:pPr>
          </w:p>
        </w:tc>
        <w:tc>
          <w:tcPr>
            <w:tcW w:w="3600" w:type="dxa"/>
            <w:gridSpan w:val="2"/>
            <w:shd w:val="clear" w:color="auto" w:fill="auto"/>
          </w:tcPr>
          <w:p w:rsidR="007B7C69" w:rsidRPr="0055610F" w:rsidRDefault="007B7C69" w:rsidP="004D5825">
            <w:pPr>
              <w:jc w:val="both"/>
              <w:rPr>
                <w:sz w:val="22"/>
                <w:szCs w:val="22"/>
                <w:lang w:val="sr-Latn-ME"/>
              </w:rPr>
            </w:pPr>
            <w:r w:rsidRPr="0055610F">
              <w:rPr>
                <w:sz w:val="22"/>
                <w:szCs w:val="22"/>
                <w:lang w:val="sr-Latn-ME"/>
              </w:rPr>
              <w:t>Primarna analiza</w:t>
            </w:r>
          </w:p>
          <w:p w:rsidR="007B7C69" w:rsidRPr="0055610F" w:rsidRDefault="007B7C69" w:rsidP="004D5825">
            <w:pPr>
              <w:jc w:val="both"/>
              <w:rPr>
                <w:sz w:val="22"/>
                <w:szCs w:val="22"/>
                <w:lang w:val="sr-Latn-ME"/>
              </w:rPr>
            </w:pPr>
            <w:r w:rsidRPr="0055610F">
              <w:rPr>
                <w:sz w:val="22"/>
                <w:szCs w:val="22"/>
                <w:lang w:val="sr-Latn-ME"/>
              </w:rPr>
              <w:t>(medijana praćenja: 25 m</w:t>
            </w:r>
            <w:r w:rsidR="002F1173" w:rsidRPr="0055610F">
              <w:rPr>
                <w:sz w:val="22"/>
                <w:szCs w:val="22"/>
                <w:lang w:val="sr-Latn-ME"/>
              </w:rPr>
              <w:t>j</w:t>
            </w:r>
            <w:r w:rsidRPr="0055610F">
              <w:rPr>
                <w:sz w:val="22"/>
                <w:szCs w:val="22"/>
                <w:lang w:val="sr-Latn-ME"/>
              </w:rPr>
              <w:t>eseci)</w:t>
            </w:r>
          </w:p>
        </w:tc>
        <w:tc>
          <w:tcPr>
            <w:tcW w:w="3449" w:type="dxa"/>
            <w:gridSpan w:val="2"/>
            <w:shd w:val="clear" w:color="auto" w:fill="auto"/>
          </w:tcPr>
          <w:p w:rsidR="007B7C69" w:rsidRPr="0055610F" w:rsidRDefault="007B7C69" w:rsidP="004D5825">
            <w:pPr>
              <w:jc w:val="both"/>
              <w:rPr>
                <w:sz w:val="22"/>
                <w:szCs w:val="22"/>
                <w:lang w:val="sr-Latn-ME"/>
              </w:rPr>
            </w:pPr>
            <w:r w:rsidRPr="0055610F">
              <w:rPr>
                <w:sz w:val="22"/>
                <w:szCs w:val="22"/>
                <w:lang w:val="sr-Latn-ME"/>
              </w:rPr>
              <w:t>Finalna analiza</w:t>
            </w:r>
          </w:p>
          <w:p w:rsidR="007B7C69" w:rsidRPr="0055610F" w:rsidRDefault="007B7C69" w:rsidP="004D5825">
            <w:pPr>
              <w:jc w:val="both"/>
              <w:rPr>
                <w:sz w:val="22"/>
                <w:szCs w:val="22"/>
                <w:lang w:val="sr-Latn-ME"/>
              </w:rPr>
            </w:pPr>
            <w:r w:rsidRPr="0055610F">
              <w:rPr>
                <w:sz w:val="22"/>
                <w:szCs w:val="22"/>
                <w:lang w:val="sr-Latn-ME"/>
              </w:rPr>
              <w:t>(medijana praćenja: 9 godina)</w:t>
            </w:r>
          </w:p>
        </w:tc>
      </w:tr>
      <w:tr w:rsidR="007B7C69" w:rsidRPr="007642DC" w:rsidTr="007B7C69">
        <w:tc>
          <w:tcPr>
            <w:tcW w:w="2806" w:type="dxa"/>
            <w:vMerge/>
            <w:shd w:val="clear" w:color="auto" w:fill="auto"/>
          </w:tcPr>
          <w:p w:rsidR="007B7C69" w:rsidRPr="0055610F" w:rsidRDefault="007B7C69" w:rsidP="004D5825">
            <w:pPr>
              <w:jc w:val="both"/>
              <w:rPr>
                <w:sz w:val="22"/>
                <w:szCs w:val="22"/>
                <w:lang w:val="sr-Latn-ME"/>
              </w:rPr>
            </w:pPr>
          </w:p>
        </w:tc>
        <w:tc>
          <w:tcPr>
            <w:tcW w:w="1799" w:type="dxa"/>
            <w:tcBorders>
              <w:right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Opservacija</w:t>
            </w:r>
          </w:p>
          <w:p w:rsidR="007B7C69" w:rsidRPr="0055610F" w:rsidRDefault="007B7C69" w:rsidP="004D5825">
            <w:pPr>
              <w:jc w:val="both"/>
              <w:rPr>
                <w:sz w:val="22"/>
                <w:szCs w:val="22"/>
                <w:lang w:val="sr-Latn-ME"/>
              </w:rPr>
            </w:pPr>
            <w:r w:rsidRPr="0055610F">
              <w:rPr>
                <w:sz w:val="22"/>
                <w:szCs w:val="22"/>
                <w:lang w:val="sr-Latn-ME"/>
              </w:rPr>
              <w:t>N=513</w:t>
            </w:r>
          </w:p>
        </w:tc>
        <w:tc>
          <w:tcPr>
            <w:tcW w:w="1801" w:type="dxa"/>
            <w:tcBorders>
              <w:left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MabThera</w:t>
            </w:r>
          </w:p>
          <w:p w:rsidR="007B7C69" w:rsidRPr="0055610F" w:rsidRDefault="007B7C69" w:rsidP="004D5825">
            <w:pPr>
              <w:jc w:val="both"/>
              <w:rPr>
                <w:sz w:val="22"/>
                <w:szCs w:val="22"/>
                <w:lang w:val="sr-Latn-ME"/>
              </w:rPr>
            </w:pPr>
            <w:r w:rsidRPr="0055610F">
              <w:rPr>
                <w:sz w:val="22"/>
                <w:szCs w:val="22"/>
                <w:lang w:val="sr-Latn-ME"/>
              </w:rPr>
              <w:t>N=505</w:t>
            </w:r>
          </w:p>
        </w:tc>
        <w:tc>
          <w:tcPr>
            <w:tcW w:w="1709" w:type="dxa"/>
            <w:tcBorders>
              <w:right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Opservacija</w:t>
            </w:r>
          </w:p>
          <w:p w:rsidR="007B7C69" w:rsidRPr="0055610F" w:rsidRDefault="007B7C69" w:rsidP="004D5825">
            <w:pPr>
              <w:jc w:val="both"/>
              <w:rPr>
                <w:sz w:val="22"/>
                <w:szCs w:val="22"/>
                <w:lang w:val="sr-Latn-ME"/>
              </w:rPr>
            </w:pPr>
            <w:r w:rsidRPr="0055610F">
              <w:rPr>
                <w:sz w:val="22"/>
                <w:szCs w:val="22"/>
                <w:lang w:val="sr-Latn-ME"/>
              </w:rPr>
              <w:t>N=513</w:t>
            </w:r>
          </w:p>
        </w:tc>
        <w:tc>
          <w:tcPr>
            <w:tcW w:w="1740" w:type="dxa"/>
            <w:tcBorders>
              <w:left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MabThera</w:t>
            </w:r>
          </w:p>
          <w:p w:rsidR="007B7C69" w:rsidRPr="0055610F" w:rsidRDefault="007B7C69" w:rsidP="004D5825">
            <w:pPr>
              <w:jc w:val="both"/>
              <w:rPr>
                <w:sz w:val="22"/>
                <w:szCs w:val="22"/>
                <w:lang w:val="sr-Latn-ME"/>
              </w:rPr>
            </w:pPr>
            <w:r w:rsidRPr="0055610F">
              <w:rPr>
                <w:sz w:val="22"/>
                <w:szCs w:val="22"/>
                <w:lang w:val="sr-Latn-ME"/>
              </w:rPr>
              <w:t>N=505</w:t>
            </w:r>
          </w:p>
        </w:tc>
      </w:tr>
      <w:tr w:rsidR="007B7C69" w:rsidRPr="007642DC" w:rsidTr="007B7C69">
        <w:tc>
          <w:tcPr>
            <w:tcW w:w="2806" w:type="dxa"/>
            <w:tcBorders>
              <w:bottom w:val="single" w:sz="4" w:space="0" w:color="FFFFFF"/>
            </w:tcBorders>
            <w:shd w:val="clear" w:color="auto" w:fill="auto"/>
          </w:tcPr>
          <w:p w:rsidR="007B7C69" w:rsidRPr="0055610F" w:rsidRDefault="007B7C69" w:rsidP="004D5825">
            <w:pPr>
              <w:jc w:val="both"/>
              <w:rPr>
                <w:b/>
                <w:sz w:val="22"/>
                <w:szCs w:val="22"/>
                <w:lang w:val="sr-Latn-ME"/>
              </w:rPr>
            </w:pPr>
            <w:r w:rsidRPr="0055610F">
              <w:rPr>
                <w:b/>
                <w:sz w:val="22"/>
                <w:szCs w:val="22"/>
                <w:lang w:val="sr-Latn-ME"/>
              </w:rPr>
              <w:t>Primarna efikasnost</w:t>
            </w:r>
          </w:p>
        </w:tc>
        <w:tc>
          <w:tcPr>
            <w:tcW w:w="1799" w:type="dxa"/>
            <w:tcBorders>
              <w:bottom w:val="single" w:sz="4" w:space="0" w:color="FFFFFF"/>
              <w:right w:val="single" w:sz="4" w:space="0" w:color="FFFFFF"/>
            </w:tcBorders>
            <w:shd w:val="clear" w:color="auto" w:fill="auto"/>
          </w:tcPr>
          <w:p w:rsidR="007B7C69" w:rsidRPr="0055610F" w:rsidRDefault="007B7C69" w:rsidP="004D5825">
            <w:pPr>
              <w:jc w:val="both"/>
              <w:rPr>
                <w:sz w:val="22"/>
                <w:szCs w:val="22"/>
                <w:lang w:val="sr-Latn-ME"/>
              </w:rPr>
            </w:pPr>
          </w:p>
        </w:tc>
        <w:tc>
          <w:tcPr>
            <w:tcW w:w="1801" w:type="dxa"/>
            <w:tcBorders>
              <w:left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p>
        </w:tc>
        <w:tc>
          <w:tcPr>
            <w:tcW w:w="1709" w:type="dxa"/>
            <w:tcBorders>
              <w:bottom w:val="single" w:sz="4" w:space="0" w:color="FFFFFF"/>
              <w:right w:val="single" w:sz="4" w:space="0" w:color="FFFFFF"/>
            </w:tcBorders>
            <w:shd w:val="clear" w:color="auto" w:fill="auto"/>
          </w:tcPr>
          <w:p w:rsidR="007B7C69" w:rsidRPr="0055610F" w:rsidRDefault="007B7C69" w:rsidP="004D5825">
            <w:pPr>
              <w:jc w:val="both"/>
              <w:rPr>
                <w:sz w:val="22"/>
                <w:szCs w:val="22"/>
                <w:lang w:val="sr-Latn-ME"/>
              </w:rPr>
            </w:pPr>
          </w:p>
        </w:tc>
        <w:tc>
          <w:tcPr>
            <w:tcW w:w="1740" w:type="dxa"/>
            <w:tcBorders>
              <w:left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lastRenderedPageBreak/>
              <w:t>Preživljavanje bez progresije bolesti (medijana)</w:t>
            </w:r>
          </w:p>
        </w:tc>
        <w:tc>
          <w:tcPr>
            <w:tcW w:w="1799" w:type="dxa"/>
            <w:tcBorders>
              <w:top w:val="single" w:sz="4" w:space="0" w:color="FFFFFF"/>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NR</w:t>
            </w:r>
          </w:p>
        </w:tc>
        <w:tc>
          <w:tcPr>
            <w:tcW w:w="1801" w:type="dxa"/>
            <w:tcBorders>
              <w:top w:val="single" w:sz="4" w:space="0" w:color="FFFFFF"/>
              <w:left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NR</w:t>
            </w:r>
          </w:p>
        </w:tc>
        <w:tc>
          <w:tcPr>
            <w:tcW w:w="1709" w:type="dxa"/>
            <w:tcBorders>
              <w:top w:val="single" w:sz="4" w:space="0" w:color="FFFFFF"/>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4.06 godina</w:t>
            </w:r>
          </w:p>
        </w:tc>
        <w:tc>
          <w:tcPr>
            <w:tcW w:w="1740" w:type="dxa"/>
            <w:tcBorders>
              <w:top w:val="single" w:sz="4" w:space="0" w:color="FFFFFF"/>
              <w:left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10.49 godina</w:t>
            </w: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log-rank p vrijednost</w:t>
            </w:r>
          </w:p>
        </w:tc>
        <w:tc>
          <w:tcPr>
            <w:tcW w:w="3600"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&lt;0.0001</w:t>
            </w:r>
          </w:p>
        </w:tc>
        <w:tc>
          <w:tcPr>
            <w:tcW w:w="3449"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&lt;0.0001</w:t>
            </w: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odnos rizika (95% interval poverenja)</w:t>
            </w:r>
          </w:p>
        </w:tc>
        <w:tc>
          <w:tcPr>
            <w:tcW w:w="3600"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0.50 (0.39, 0.64)</w:t>
            </w:r>
          </w:p>
        </w:tc>
        <w:tc>
          <w:tcPr>
            <w:tcW w:w="3449"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0.61 (0.52, 0.73)</w:t>
            </w:r>
          </w:p>
        </w:tc>
      </w:tr>
      <w:tr w:rsidR="007B7C69" w:rsidRPr="007642DC" w:rsidTr="007B7C69">
        <w:tc>
          <w:tcPr>
            <w:tcW w:w="2806" w:type="dxa"/>
            <w:tcBorders>
              <w:top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smanjenje rizika</w:t>
            </w:r>
          </w:p>
        </w:tc>
        <w:tc>
          <w:tcPr>
            <w:tcW w:w="3600" w:type="dxa"/>
            <w:gridSpan w:val="2"/>
            <w:tcBorders>
              <w:top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50%</w:t>
            </w:r>
          </w:p>
        </w:tc>
        <w:tc>
          <w:tcPr>
            <w:tcW w:w="3449" w:type="dxa"/>
            <w:gridSpan w:val="2"/>
            <w:tcBorders>
              <w:top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39%</w:t>
            </w:r>
          </w:p>
        </w:tc>
      </w:tr>
      <w:tr w:rsidR="007B7C69" w:rsidRPr="007642DC" w:rsidTr="007B7C69">
        <w:tc>
          <w:tcPr>
            <w:tcW w:w="2806" w:type="dxa"/>
            <w:tcBorders>
              <w:bottom w:val="single" w:sz="4" w:space="0" w:color="FFFFFF"/>
            </w:tcBorders>
            <w:shd w:val="clear" w:color="auto" w:fill="auto"/>
          </w:tcPr>
          <w:p w:rsidR="007B7C69" w:rsidRPr="0055610F" w:rsidRDefault="007B7C69" w:rsidP="004D5825">
            <w:pPr>
              <w:jc w:val="both"/>
              <w:rPr>
                <w:b/>
                <w:sz w:val="22"/>
                <w:szCs w:val="22"/>
                <w:lang w:val="sr-Latn-ME"/>
              </w:rPr>
            </w:pPr>
            <w:r w:rsidRPr="0055610F">
              <w:rPr>
                <w:b/>
                <w:sz w:val="22"/>
                <w:szCs w:val="22"/>
                <w:lang w:val="sr-Latn-ME"/>
              </w:rPr>
              <w:t>Sekundarna efikasnost</w:t>
            </w:r>
          </w:p>
        </w:tc>
        <w:tc>
          <w:tcPr>
            <w:tcW w:w="1799" w:type="dxa"/>
            <w:tcBorders>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p>
        </w:tc>
        <w:tc>
          <w:tcPr>
            <w:tcW w:w="1801" w:type="dxa"/>
            <w:tcBorders>
              <w:left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p>
        </w:tc>
        <w:tc>
          <w:tcPr>
            <w:tcW w:w="1709" w:type="dxa"/>
            <w:tcBorders>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p>
        </w:tc>
        <w:tc>
          <w:tcPr>
            <w:tcW w:w="1740" w:type="dxa"/>
            <w:tcBorders>
              <w:left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Ukupno preživljavanje</w:t>
            </w:r>
          </w:p>
        </w:tc>
        <w:tc>
          <w:tcPr>
            <w:tcW w:w="1799" w:type="dxa"/>
            <w:tcBorders>
              <w:top w:val="single" w:sz="4" w:space="0" w:color="FFFFFF"/>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NR</w:t>
            </w:r>
          </w:p>
        </w:tc>
        <w:tc>
          <w:tcPr>
            <w:tcW w:w="1801" w:type="dxa"/>
            <w:tcBorders>
              <w:top w:val="single" w:sz="4" w:space="0" w:color="FFFFFF"/>
              <w:left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NR</w:t>
            </w:r>
          </w:p>
        </w:tc>
        <w:tc>
          <w:tcPr>
            <w:tcW w:w="1709" w:type="dxa"/>
            <w:tcBorders>
              <w:top w:val="single" w:sz="4" w:space="0" w:color="FFFFFF"/>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NR</w:t>
            </w:r>
          </w:p>
        </w:tc>
        <w:tc>
          <w:tcPr>
            <w:tcW w:w="1740" w:type="dxa"/>
            <w:tcBorders>
              <w:top w:val="single" w:sz="4" w:space="0" w:color="FFFFFF"/>
              <w:left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NR</w:t>
            </w: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log-rank p vrijednost</w:t>
            </w:r>
          </w:p>
        </w:tc>
        <w:tc>
          <w:tcPr>
            <w:tcW w:w="3600"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0.7246</w:t>
            </w:r>
          </w:p>
        </w:tc>
        <w:tc>
          <w:tcPr>
            <w:tcW w:w="3449"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0.7948</w:t>
            </w: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odnos rizika (95% interval povjerenja)</w:t>
            </w:r>
          </w:p>
        </w:tc>
        <w:tc>
          <w:tcPr>
            <w:tcW w:w="3600"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0.89 (0.45, 1.74)</w:t>
            </w:r>
          </w:p>
        </w:tc>
        <w:tc>
          <w:tcPr>
            <w:tcW w:w="3449"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1.04 (0.77, 1.40)</w:t>
            </w:r>
          </w:p>
        </w:tc>
      </w:tr>
      <w:tr w:rsidR="007B7C69" w:rsidRPr="007642DC" w:rsidTr="007B7C69">
        <w:tc>
          <w:tcPr>
            <w:tcW w:w="2806" w:type="dxa"/>
            <w:tcBorders>
              <w:top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smanjenje rizika</w:t>
            </w:r>
          </w:p>
        </w:tc>
        <w:tc>
          <w:tcPr>
            <w:tcW w:w="3600" w:type="dxa"/>
            <w:gridSpan w:val="2"/>
            <w:tcBorders>
              <w:top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11%</w:t>
            </w:r>
          </w:p>
        </w:tc>
        <w:tc>
          <w:tcPr>
            <w:tcW w:w="3449" w:type="dxa"/>
            <w:gridSpan w:val="2"/>
            <w:tcBorders>
              <w:top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-6%</w:t>
            </w:r>
          </w:p>
        </w:tc>
      </w:tr>
      <w:tr w:rsidR="007B7C69" w:rsidRPr="007642DC" w:rsidTr="007B7C69">
        <w:tc>
          <w:tcPr>
            <w:tcW w:w="2806" w:type="dxa"/>
            <w:tcBorders>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Preživljavanje bez pojave događaja (medijana)</w:t>
            </w:r>
          </w:p>
        </w:tc>
        <w:tc>
          <w:tcPr>
            <w:tcW w:w="1799" w:type="dxa"/>
            <w:tcBorders>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38 m</w:t>
            </w:r>
            <w:r w:rsidR="002F1173" w:rsidRPr="0055610F">
              <w:rPr>
                <w:sz w:val="22"/>
                <w:szCs w:val="22"/>
                <w:lang w:val="sr-Latn-ME"/>
              </w:rPr>
              <w:t>j</w:t>
            </w:r>
            <w:r w:rsidRPr="0055610F">
              <w:rPr>
                <w:sz w:val="22"/>
                <w:szCs w:val="22"/>
                <w:lang w:val="sr-Latn-ME"/>
              </w:rPr>
              <w:t>eseci</w:t>
            </w:r>
          </w:p>
        </w:tc>
        <w:tc>
          <w:tcPr>
            <w:tcW w:w="1801" w:type="dxa"/>
            <w:tcBorders>
              <w:left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NR</w:t>
            </w:r>
          </w:p>
        </w:tc>
        <w:tc>
          <w:tcPr>
            <w:tcW w:w="1709" w:type="dxa"/>
            <w:tcBorders>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4.04 godina</w:t>
            </w:r>
          </w:p>
        </w:tc>
        <w:tc>
          <w:tcPr>
            <w:tcW w:w="1740" w:type="dxa"/>
            <w:tcBorders>
              <w:left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9.25 godina</w:t>
            </w: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log-rank p vrijednost</w:t>
            </w:r>
          </w:p>
        </w:tc>
        <w:tc>
          <w:tcPr>
            <w:tcW w:w="3600"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&lt;0.0001</w:t>
            </w:r>
          </w:p>
        </w:tc>
        <w:tc>
          <w:tcPr>
            <w:tcW w:w="3449"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&lt;0.0001</w:t>
            </w: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odnos rizika (95% interval povjerenja)</w:t>
            </w:r>
          </w:p>
        </w:tc>
        <w:tc>
          <w:tcPr>
            <w:tcW w:w="3600"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0.54 (0.43, 0.69)</w:t>
            </w:r>
          </w:p>
        </w:tc>
        <w:tc>
          <w:tcPr>
            <w:tcW w:w="3449"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0.64 (0.54, 0.76)</w:t>
            </w:r>
          </w:p>
        </w:tc>
      </w:tr>
      <w:tr w:rsidR="007B7C69" w:rsidRPr="007642DC" w:rsidTr="007B7C69">
        <w:tc>
          <w:tcPr>
            <w:tcW w:w="2806" w:type="dxa"/>
            <w:tcBorders>
              <w:top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smanjenje rizika</w:t>
            </w:r>
          </w:p>
        </w:tc>
        <w:tc>
          <w:tcPr>
            <w:tcW w:w="3600" w:type="dxa"/>
            <w:gridSpan w:val="2"/>
            <w:tcBorders>
              <w:top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46%</w:t>
            </w:r>
          </w:p>
        </w:tc>
        <w:tc>
          <w:tcPr>
            <w:tcW w:w="3449" w:type="dxa"/>
            <w:gridSpan w:val="2"/>
            <w:tcBorders>
              <w:top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36%</w:t>
            </w:r>
          </w:p>
        </w:tc>
      </w:tr>
      <w:tr w:rsidR="007B7C69" w:rsidRPr="007642DC" w:rsidTr="007B7C69">
        <w:tc>
          <w:tcPr>
            <w:tcW w:w="2806" w:type="dxa"/>
            <w:tcBorders>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TLNT (medijana)</w:t>
            </w:r>
          </w:p>
        </w:tc>
        <w:tc>
          <w:tcPr>
            <w:tcW w:w="1799" w:type="dxa"/>
            <w:tcBorders>
              <w:bottom w:val="single" w:sz="4" w:space="0" w:color="FFFFFF"/>
              <w:right w:val="single" w:sz="4" w:space="0" w:color="FFFFFF"/>
            </w:tcBorders>
            <w:shd w:val="clear" w:color="auto" w:fill="auto"/>
          </w:tcPr>
          <w:p w:rsidR="007B7C69" w:rsidRPr="0055610F" w:rsidRDefault="007B7C69" w:rsidP="0055610F">
            <w:pPr>
              <w:jc w:val="center"/>
              <w:rPr>
                <w:sz w:val="22"/>
                <w:szCs w:val="22"/>
                <w:lang w:val="sr-Latn-ME"/>
              </w:rPr>
            </w:pPr>
            <w:r w:rsidRPr="0055610F">
              <w:rPr>
                <w:sz w:val="22"/>
                <w:szCs w:val="22"/>
                <w:lang w:val="sr-Latn-ME"/>
              </w:rPr>
              <w:t>NR</w:t>
            </w:r>
          </w:p>
        </w:tc>
        <w:tc>
          <w:tcPr>
            <w:tcW w:w="1801" w:type="dxa"/>
            <w:tcBorders>
              <w:left w:val="single" w:sz="4" w:space="0" w:color="FFFFFF"/>
              <w:bottom w:val="single" w:sz="4" w:space="0" w:color="FFFFFF"/>
            </w:tcBorders>
            <w:shd w:val="clear" w:color="auto" w:fill="auto"/>
          </w:tcPr>
          <w:p w:rsidR="007B7C69" w:rsidRPr="0055610F" w:rsidRDefault="007B7C69" w:rsidP="0055610F">
            <w:pPr>
              <w:jc w:val="center"/>
              <w:rPr>
                <w:sz w:val="22"/>
                <w:szCs w:val="22"/>
                <w:lang w:val="sr-Latn-ME"/>
              </w:rPr>
            </w:pPr>
            <w:r w:rsidRPr="0055610F">
              <w:rPr>
                <w:sz w:val="22"/>
                <w:szCs w:val="22"/>
                <w:lang w:val="sr-Latn-ME"/>
              </w:rPr>
              <w:t>NR</w:t>
            </w:r>
          </w:p>
        </w:tc>
        <w:tc>
          <w:tcPr>
            <w:tcW w:w="1709" w:type="dxa"/>
            <w:tcBorders>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6.11 godina</w:t>
            </w:r>
          </w:p>
        </w:tc>
        <w:tc>
          <w:tcPr>
            <w:tcW w:w="1740" w:type="dxa"/>
            <w:tcBorders>
              <w:left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NR</w:t>
            </w: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log-rank p vrijednost</w:t>
            </w:r>
          </w:p>
        </w:tc>
        <w:tc>
          <w:tcPr>
            <w:tcW w:w="3600"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0.0003</w:t>
            </w:r>
          </w:p>
        </w:tc>
        <w:tc>
          <w:tcPr>
            <w:tcW w:w="3449"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&lt;0.0001</w:t>
            </w: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odnos rizika (95% interval povjerenja)</w:t>
            </w:r>
          </w:p>
        </w:tc>
        <w:tc>
          <w:tcPr>
            <w:tcW w:w="3600"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0.61 (0.46, 0.80)</w:t>
            </w:r>
          </w:p>
        </w:tc>
        <w:tc>
          <w:tcPr>
            <w:tcW w:w="3449"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0.66 (0.55, 0.78)</w:t>
            </w:r>
          </w:p>
        </w:tc>
      </w:tr>
      <w:tr w:rsidR="007B7C69" w:rsidRPr="007642DC" w:rsidTr="007B7C69">
        <w:tc>
          <w:tcPr>
            <w:tcW w:w="2806" w:type="dxa"/>
            <w:tcBorders>
              <w:top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smanjenje rizika</w:t>
            </w:r>
          </w:p>
        </w:tc>
        <w:tc>
          <w:tcPr>
            <w:tcW w:w="3600" w:type="dxa"/>
            <w:gridSpan w:val="2"/>
            <w:tcBorders>
              <w:top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39%</w:t>
            </w:r>
          </w:p>
        </w:tc>
        <w:tc>
          <w:tcPr>
            <w:tcW w:w="3449" w:type="dxa"/>
            <w:gridSpan w:val="2"/>
            <w:tcBorders>
              <w:top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34%</w:t>
            </w:r>
          </w:p>
        </w:tc>
      </w:tr>
      <w:tr w:rsidR="007B7C69" w:rsidRPr="007642DC" w:rsidTr="007B7C69">
        <w:tc>
          <w:tcPr>
            <w:tcW w:w="2806" w:type="dxa"/>
            <w:tcBorders>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TNCT (medijana)</w:t>
            </w:r>
          </w:p>
        </w:tc>
        <w:tc>
          <w:tcPr>
            <w:tcW w:w="1799" w:type="dxa"/>
            <w:tcBorders>
              <w:bottom w:val="single" w:sz="4" w:space="0" w:color="FFFFFF"/>
              <w:right w:val="single" w:sz="4" w:space="0" w:color="FFFFFF"/>
            </w:tcBorders>
            <w:shd w:val="clear" w:color="auto" w:fill="auto"/>
          </w:tcPr>
          <w:p w:rsidR="007B7C69" w:rsidRPr="0055610F" w:rsidRDefault="007B7C69" w:rsidP="0055610F">
            <w:pPr>
              <w:jc w:val="center"/>
              <w:rPr>
                <w:sz w:val="22"/>
                <w:szCs w:val="22"/>
                <w:lang w:val="sr-Latn-ME"/>
              </w:rPr>
            </w:pPr>
            <w:r w:rsidRPr="0055610F">
              <w:rPr>
                <w:sz w:val="22"/>
                <w:szCs w:val="22"/>
                <w:lang w:val="sr-Latn-ME"/>
              </w:rPr>
              <w:t>NR</w:t>
            </w:r>
          </w:p>
        </w:tc>
        <w:tc>
          <w:tcPr>
            <w:tcW w:w="1801" w:type="dxa"/>
            <w:tcBorders>
              <w:left w:val="single" w:sz="4" w:space="0" w:color="FFFFFF"/>
              <w:bottom w:val="single" w:sz="4" w:space="0" w:color="FFFFFF"/>
            </w:tcBorders>
            <w:shd w:val="clear" w:color="auto" w:fill="auto"/>
          </w:tcPr>
          <w:p w:rsidR="007B7C69" w:rsidRPr="0055610F" w:rsidRDefault="007B7C69" w:rsidP="0055610F">
            <w:pPr>
              <w:jc w:val="center"/>
              <w:rPr>
                <w:sz w:val="22"/>
                <w:szCs w:val="22"/>
                <w:lang w:val="sr-Latn-ME"/>
              </w:rPr>
            </w:pPr>
            <w:r w:rsidRPr="0055610F">
              <w:rPr>
                <w:sz w:val="22"/>
                <w:szCs w:val="22"/>
                <w:lang w:val="sr-Latn-ME"/>
              </w:rPr>
              <w:t>NR</w:t>
            </w:r>
          </w:p>
        </w:tc>
        <w:tc>
          <w:tcPr>
            <w:tcW w:w="1709" w:type="dxa"/>
            <w:tcBorders>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9.32 godina</w:t>
            </w:r>
          </w:p>
        </w:tc>
        <w:tc>
          <w:tcPr>
            <w:tcW w:w="1740" w:type="dxa"/>
            <w:tcBorders>
              <w:left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NR</w:t>
            </w: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log-rank p vrijednost</w:t>
            </w:r>
          </w:p>
        </w:tc>
        <w:tc>
          <w:tcPr>
            <w:tcW w:w="3600"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0.0011</w:t>
            </w:r>
          </w:p>
        </w:tc>
        <w:tc>
          <w:tcPr>
            <w:tcW w:w="3449"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0.0004</w:t>
            </w: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odnos rizika (95% interval povjerenja)</w:t>
            </w:r>
          </w:p>
        </w:tc>
        <w:tc>
          <w:tcPr>
            <w:tcW w:w="3600"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0.60 (0.44, 0.82)</w:t>
            </w:r>
          </w:p>
        </w:tc>
        <w:tc>
          <w:tcPr>
            <w:tcW w:w="3449"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0.71 (0.59, 0.86)</w:t>
            </w:r>
          </w:p>
        </w:tc>
      </w:tr>
      <w:tr w:rsidR="007B7C69" w:rsidRPr="007642DC" w:rsidTr="007B7C69">
        <w:tc>
          <w:tcPr>
            <w:tcW w:w="2806" w:type="dxa"/>
            <w:tcBorders>
              <w:top w:val="single" w:sz="4" w:space="0" w:color="FFFFFF"/>
              <w:bottom w:val="single" w:sz="4" w:space="0" w:color="auto"/>
            </w:tcBorders>
            <w:shd w:val="clear" w:color="auto" w:fill="auto"/>
          </w:tcPr>
          <w:p w:rsidR="007B7C69" w:rsidRPr="0055610F" w:rsidRDefault="007B7C69" w:rsidP="004D5825">
            <w:pPr>
              <w:jc w:val="both"/>
              <w:rPr>
                <w:sz w:val="22"/>
                <w:szCs w:val="22"/>
                <w:lang w:val="sr-Latn-ME"/>
              </w:rPr>
            </w:pPr>
            <w:r w:rsidRPr="0055610F">
              <w:rPr>
                <w:sz w:val="22"/>
                <w:szCs w:val="22"/>
                <w:lang w:val="sr-Latn-ME"/>
              </w:rPr>
              <w:t>smanjenje rizika</w:t>
            </w:r>
          </w:p>
        </w:tc>
        <w:tc>
          <w:tcPr>
            <w:tcW w:w="3600" w:type="dxa"/>
            <w:gridSpan w:val="2"/>
            <w:tcBorders>
              <w:top w:val="single" w:sz="4" w:space="0" w:color="FFFFFF"/>
              <w:bottom w:val="single" w:sz="4" w:space="0" w:color="auto"/>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40%</w:t>
            </w:r>
          </w:p>
        </w:tc>
        <w:tc>
          <w:tcPr>
            <w:tcW w:w="3449" w:type="dxa"/>
            <w:gridSpan w:val="2"/>
            <w:tcBorders>
              <w:top w:val="single" w:sz="4" w:space="0" w:color="FFFFFF"/>
              <w:bottom w:val="single" w:sz="4" w:space="0" w:color="auto"/>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39%</w:t>
            </w:r>
          </w:p>
        </w:tc>
      </w:tr>
      <w:tr w:rsidR="007B7C69" w:rsidRPr="007642DC" w:rsidTr="007B7C69">
        <w:tc>
          <w:tcPr>
            <w:tcW w:w="2806" w:type="dxa"/>
            <w:tcBorders>
              <w:top w:val="single" w:sz="4" w:space="0" w:color="auto"/>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Ukupna stopa odgovora*</w:t>
            </w:r>
          </w:p>
        </w:tc>
        <w:tc>
          <w:tcPr>
            <w:tcW w:w="1799" w:type="dxa"/>
            <w:tcBorders>
              <w:top w:val="single" w:sz="4" w:space="0" w:color="auto"/>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55%</w:t>
            </w:r>
          </w:p>
        </w:tc>
        <w:tc>
          <w:tcPr>
            <w:tcW w:w="1801" w:type="dxa"/>
            <w:tcBorders>
              <w:top w:val="single" w:sz="4" w:space="0" w:color="auto"/>
              <w:left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74%</w:t>
            </w:r>
          </w:p>
        </w:tc>
        <w:tc>
          <w:tcPr>
            <w:tcW w:w="1709" w:type="dxa"/>
            <w:tcBorders>
              <w:top w:val="single" w:sz="4" w:space="0" w:color="auto"/>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61%</w:t>
            </w:r>
          </w:p>
        </w:tc>
        <w:tc>
          <w:tcPr>
            <w:tcW w:w="1740" w:type="dxa"/>
            <w:tcBorders>
              <w:top w:val="single" w:sz="4" w:space="0" w:color="auto"/>
              <w:left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79%</w:t>
            </w: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p vrijednost Hi-kvadrat testa</w:t>
            </w:r>
          </w:p>
        </w:tc>
        <w:tc>
          <w:tcPr>
            <w:tcW w:w="3600"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&lt;0.0001</w:t>
            </w:r>
          </w:p>
        </w:tc>
        <w:tc>
          <w:tcPr>
            <w:tcW w:w="3449"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&lt;0.0001</w:t>
            </w:r>
          </w:p>
        </w:tc>
      </w:tr>
      <w:tr w:rsidR="007B7C69" w:rsidRPr="007642DC" w:rsidTr="007B7C69">
        <w:tc>
          <w:tcPr>
            <w:tcW w:w="2806" w:type="dxa"/>
            <w:tcBorders>
              <w:top w:val="single" w:sz="4" w:space="0" w:color="FFFFFF"/>
              <w:bottom w:val="single" w:sz="4" w:space="0" w:color="auto"/>
            </w:tcBorders>
            <w:shd w:val="clear" w:color="auto" w:fill="auto"/>
          </w:tcPr>
          <w:p w:rsidR="007B7C69" w:rsidRPr="0055610F" w:rsidRDefault="007B7C69" w:rsidP="004D5825">
            <w:pPr>
              <w:jc w:val="both"/>
              <w:rPr>
                <w:sz w:val="22"/>
                <w:szCs w:val="22"/>
                <w:lang w:val="sr-Latn-ME"/>
              </w:rPr>
            </w:pPr>
            <w:r w:rsidRPr="0055610F">
              <w:rPr>
                <w:sz w:val="22"/>
                <w:szCs w:val="22"/>
                <w:lang w:val="sr-Latn-ME"/>
              </w:rPr>
              <w:t>odnos šansi (95% interval poverenja)</w:t>
            </w:r>
          </w:p>
        </w:tc>
        <w:tc>
          <w:tcPr>
            <w:tcW w:w="3600" w:type="dxa"/>
            <w:gridSpan w:val="2"/>
            <w:tcBorders>
              <w:top w:val="single" w:sz="4" w:space="0" w:color="FFFFFF"/>
              <w:bottom w:val="single" w:sz="4" w:space="0" w:color="auto"/>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2.33 (1.73, 3.15)</w:t>
            </w:r>
          </w:p>
        </w:tc>
        <w:tc>
          <w:tcPr>
            <w:tcW w:w="3449" w:type="dxa"/>
            <w:gridSpan w:val="2"/>
            <w:tcBorders>
              <w:top w:val="single" w:sz="4" w:space="0" w:color="FFFFFF"/>
              <w:bottom w:val="single" w:sz="4" w:space="0" w:color="auto"/>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2.43 (1.84, 3.22)</w:t>
            </w:r>
          </w:p>
        </w:tc>
      </w:tr>
      <w:tr w:rsidR="007B7C69" w:rsidRPr="007642DC" w:rsidTr="007B7C69">
        <w:tc>
          <w:tcPr>
            <w:tcW w:w="2806" w:type="dxa"/>
            <w:tcBorders>
              <w:top w:val="single" w:sz="4" w:space="0" w:color="auto"/>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Stopa kompletnog odgovora (CR/CRu)*</w:t>
            </w:r>
          </w:p>
        </w:tc>
        <w:tc>
          <w:tcPr>
            <w:tcW w:w="1799" w:type="dxa"/>
            <w:tcBorders>
              <w:top w:val="single" w:sz="4" w:space="0" w:color="auto"/>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48%</w:t>
            </w:r>
          </w:p>
        </w:tc>
        <w:tc>
          <w:tcPr>
            <w:tcW w:w="1801" w:type="dxa"/>
            <w:tcBorders>
              <w:top w:val="single" w:sz="4" w:space="0" w:color="auto"/>
              <w:left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67%</w:t>
            </w:r>
          </w:p>
        </w:tc>
        <w:tc>
          <w:tcPr>
            <w:tcW w:w="1709" w:type="dxa"/>
            <w:tcBorders>
              <w:top w:val="single" w:sz="4" w:space="0" w:color="auto"/>
              <w:bottom w:val="single" w:sz="4" w:space="0" w:color="FFFFFF"/>
              <w:right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53%</w:t>
            </w:r>
          </w:p>
        </w:tc>
        <w:tc>
          <w:tcPr>
            <w:tcW w:w="1740" w:type="dxa"/>
            <w:tcBorders>
              <w:top w:val="single" w:sz="4" w:space="0" w:color="auto"/>
              <w:left w:val="single" w:sz="4" w:space="0" w:color="FFFFFF"/>
              <w:bottom w:val="single" w:sz="4" w:space="0" w:color="FFFFFF"/>
            </w:tcBorders>
            <w:shd w:val="clear" w:color="auto" w:fill="auto"/>
            <w:vAlign w:val="center"/>
          </w:tcPr>
          <w:p w:rsidR="007B7C69" w:rsidRPr="0055610F" w:rsidRDefault="001F1EC4" w:rsidP="0055610F">
            <w:pPr>
              <w:jc w:val="center"/>
              <w:rPr>
                <w:sz w:val="22"/>
                <w:szCs w:val="22"/>
                <w:lang w:val="sr-Latn-ME"/>
              </w:rPr>
            </w:pPr>
            <w:r>
              <w:rPr>
                <w:sz w:val="22"/>
                <w:szCs w:val="22"/>
                <w:lang w:val="sr-Latn-ME"/>
              </w:rPr>
              <w:t>72</w:t>
            </w:r>
            <w:r w:rsidR="007B7C69" w:rsidRPr="0055610F">
              <w:rPr>
                <w:sz w:val="22"/>
                <w:szCs w:val="22"/>
                <w:lang w:val="sr-Latn-ME"/>
              </w:rPr>
              <w:t>%</w:t>
            </w:r>
          </w:p>
        </w:tc>
      </w:tr>
      <w:tr w:rsidR="007B7C69" w:rsidRPr="007642DC" w:rsidTr="007B7C69">
        <w:tc>
          <w:tcPr>
            <w:tcW w:w="2806" w:type="dxa"/>
            <w:tcBorders>
              <w:top w:val="single" w:sz="4" w:space="0" w:color="FFFFFF"/>
              <w:bottom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p vr</w:t>
            </w:r>
            <w:r w:rsidR="002F1173" w:rsidRPr="0055610F">
              <w:rPr>
                <w:sz w:val="22"/>
                <w:szCs w:val="22"/>
                <w:lang w:val="sr-Latn-ME"/>
              </w:rPr>
              <w:t>ij</w:t>
            </w:r>
            <w:r w:rsidRPr="0055610F">
              <w:rPr>
                <w:sz w:val="22"/>
                <w:szCs w:val="22"/>
                <w:lang w:val="sr-Latn-ME"/>
              </w:rPr>
              <w:t>ednost Hi-kvadrat testa</w:t>
            </w:r>
          </w:p>
        </w:tc>
        <w:tc>
          <w:tcPr>
            <w:tcW w:w="3600"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&lt;0.0001</w:t>
            </w:r>
          </w:p>
        </w:tc>
        <w:tc>
          <w:tcPr>
            <w:tcW w:w="3449" w:type="dxa"/>
            <w:gridSpan w:val="2"/>
            <w:tcBorders>
              <w:top w:val="single" w:sz="4" w:space="0" w:color="FFFFFF"/>
              <w:bottom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&lt;0.0001</w:t>
            </w:r>
          </w:p>
        </w:tc>
      </w:tr>
      <w:tr w:rsidR="007B7C69" w:rsidRPr="007642DC" w:rsidTr="007B7C69">
        <w:tc>
          <w:tcPr>
            <w:tcW w:w="2806" w:type="dxa"/>
            <w:tcBorders>
              <w:top w:val="single" w:sz="4" w:space="0" w:color="FFFFFF"/>
            </w:tcBorders>
            <w:shd w:val="clear" w:color="auto" w:fill="auto"/>
          </w:tcPr>
          <w:p w:rsidR="007B7C69" w:rsidRPr="0055610F" w:rsidRDefault="007B7C69" w:rsidP="004D5825">
            <w:pPr>
              <w:jc w:val="both"/>
              <w:rPr>
                <w:sz w:val="22"/>
                <w:szCs w:val="22"/>
                <w:lang w:val="sr-Latn-ME"/>
              </w:rPr>
            </w:pPr>
            <w:r w:rsidRPr="0055610F">
              <w:rPr>
                <w:sz w:val="22"/>
                <w:szCs w:val="22"/>
                <w:lang w:val="sr-Latn-ME"/>
              </w:rPr>
              <w:t>odnos šansi (95% interval pov</w:t>
            </w:r>
            <w:r w:rsidR="002F1173" w:rsidRPr="0055610F">
              <w:rPr>
                <w:sz w:val="22"/>
                <w:szCs w:val="22"/>
                <w:lang w:val="sr-Latn-ME"/>
              </w:rPr>
              <w:t>j</w:t>
            </w:r>
            <w:r w:rsidRPr="0055610F">
              <w:rPr>
                <w:sz w:val="22"/>
                <w:szCs w:val="22"/>
                <w:lang w:val="sr-Latn-ME"/>
              </w:rPr>
              <w:t>erenja)</w:t>
            </w:r>
          </w:p>
        </w:tc>
        <w:tc>
          <w:tcPr>
            <w:tcW w:w="3600" w:type="dxa"/>
            <w:gridSpan w:val="2"/>
            <w:tcBorders>
              <w:top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2.21 (1.65, 2.94)</w:t>
            </w:r>
          </w:p>
        </w:tc>
        <w:tc>
          <w:tcPr>
            <w:tcW w:w="3449" w:type="dxa"/>
            <w:gridSpan w:val="2"/>
            <w:tcBorders>
              <w:top w:val="single" w:sz="4" w:space="0" w:color="FFFFFF"/>
            </w:tcBorders>
            <w:shd w:val="clear" w:color="auto" w:fill="auto"/>
            <w:vAlign w:val="center"/>
          </w:tcPr>
          <w:p w:rsidR="007B7C69" w:rsidRPr="0055610F" w:rsidRDefault="007B7C69" w:rsidP="0055610F">
            <w:pPr>
              <w:jc w:val="center"/>
              <w:rPr>
                <w:sz w:val="22"/>
                <w:szCs w:val="22"/>
                <w:lang w:val="sr-Latn-ME"/>
              </w:rPr>
            </w:pPr>
            <w:r w:rsidRPr="0055610F">
              <w:rPr>
                <w:sz w:val="22"/>
                <w:szCs w:val="22"/>
                <w:lang w:val="sr-Latn-ME"/>
              </w:rPr>
              <w:t>2.43 (1.80, 3.03)</w:t>
            </w:r>
          </w:p>
        </w:tc>
      </w:tr>
    </w:tbl>
    <w:p w:rsidR="007B7C69" w:rsidRPr="0055610F" w:rsidRDefault="007B7C69" w:rsidP="004D5825">
      <w:pPr>
        <w:jc w:val="both"/>
        <w:rPr>
          <w:sz w:val="22"/>
          <w:szCs w:val="22"/>
          <w:lang w:val="sr-Latn-ME"/>
        </w:rPr>
      </w:pPr>
      <w:r w:rsidRPr="0055610F">
        <w:rPr>
          <w:sz w:val="22"/>
          <w:szCs w:val="22"/>
          <w:lang w:val="sr-Latn-ME"/>
        </w:rPr>
        <w:t>*na kraju perioda održavanja/praćenja; rezultati finalne analize na osnovu medijane vremena praćenja od 73 mjeseca. NR: nije postignuto za vrijeme trajanja studije, TNCT: vrijeme do sl</w:t>
      </w:r>
      <w:r w:rsidR="002F1173" w:rsidRPr="0055610F">
        <w:rPr>
          <w:sz w:val="22"/>
          <w:szCs w:val="22"/>
          <w:lang w:val="sr-Latn-ME"/>
        </w:rPr>
        <w:t>j</w:t>
      </w:r>
      <w:r w:rsidRPr="0055610F">
        <w:rPr>
          <w:sz w:val="22"/>
          <w:szCs w:val="22"/>
          <w:lang w:val="sr-Latn-ME"/>
        </w:rPr>
        <w:t>edeće hemioterapije; TLNT: vrijeme do sl</w:t>
      </w:r>
      <w:r w:rsidR="002F1173" w:rsidRPr="0055610F">
        <w:rPr>
          <w:sz w:val="22"/>
          <w:szCs w:val="22"/>
          <w:lang w:val="sr-Latn-ME"/>
        </w:rPr>
        <w:t>j</w:t>
      </w:r>
      <w:r w:rsidRPr="0055610F">
        <w:rPr>
          <w:sz w:val="22"/>
          <w:szCs w:val="22"/>
          <w:lang w:val="sr-Latn-ME"/>
        </w:rPr>
        <w:t>edeće antilimfomske terapije.</w:t>
      </w:r>
    </w:p>
    <w:p w:rsidR="007B7C69" w:rsidRPr="0055610F" w:rsidRDefault="007B7C69" w:rsidP="004D5825">
      <w:pPr>
        <w:jc w:val="both"/>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Terapija održavanja lijekom MabThera donijela je dosljednu korist u svim unaprijed definisanim ispitanim podgrupama: s obzirom na pol (muški, ženski), uzrast (&lt; 60 godina, &gt;= 60 godina), FLIPI indeks (&lt;= 1, 2 ili &gt;= 3) i početnu terapiju (R</w:t>
      </w:r>
      <w:r w:rsidRPr="0055610F">
        <w:rPr>
          <w:sz w:val="22"/>
          <w:szCs w:val="22"/>
          <w:lang w:val="sr-Latn-ME"/>
        </w:rPr>
        <w:noBreakHyphen/>
        <w:t>CHOP, R</w:t>
      </w:r>
      <w:r w:rsidRPr="0055610F">
        <w:rPr>
          <w:sz w:val="22"/>
          <w:szCs w:val="22"/>
          <w:lang w:val="sr-Latn-ME"/>
        </w:rPr>
        <w:noBreakHyphen/>
        <w:t>CVP ili R</w:t>
      </w:r>
      <w:r w:rsidRPr="0055610F">
        <w:rPr>
          <w:sz w:val="22"/>
          <w:szCs w:val="22"/>
          <w:lang w:val="sr-Latn-ME"/>
        </w:rPr>
        <w:noBreakHyphen/>
        <w:t xml:space="preserve">FCM) te bez obzira na kvalitet odgovora na početnu terapiju (CR/CRu ili PR). Eksploracijske analize koristi od terapije održavanja pokazale su manje izražen efekat u starijih pacijenata (&gt; 70 godina), no uzorci su bili mali. </w:t>
      </w:r>
    </w:p>
    <w:p w:rsidR="007B7C69" w:rsidRPr="0055610F" w:rsidRDefault="007B7C69" w:rsidP="004D5825">
      <w:pPr>
        <w:jc w:val="both"/>
        <w:outlineLvl w:val="0"/>
        <w:rPr>
          <w:sz w:val="22"/>
          <w:szCs w:val="22"/>
          <w:lang w:val="sr-Latn-ME"/>
        </w:rPr>
      </w:pPr>
    </w:p>
    <w:p w:rsidR="007B7C69" w:rsidRPr="0055610F" w:rsidRDefault="007B7C69" w:rsidP="004D5825">
      <w:pPr>
        <w:keepNext/>
        <w:jc w:val="both"/>
        <w:outlineLvl w:val="0"/>
        <w:rPr>
          <w:i/>
          <w:sz w:val="22"/>
          <w:szCs w:val="22"/>
          <w:lang w:val="sr-Latn-ME"/>
        </w:rPr>
      </w:pPr>
      <w:r w:rsidRPr="0055610F">
        <w:rPr>
          <w:i/>
          <w:sz w:val="22"/>
          <w:szCs w:val="22"/>
          <w:lang w:val="sr-Latn-ME"/>
        </w:rPr>
        <w:t>Folikularni limfom u relapsu/refraktorni folikularni limfom</w:t>
      </w:r>
    </w:p>
    <w:p w:rsidR="00B21971" w:rsidRPr="0055610F" w:rsidRDefault="00B21971" w:rsidP="004D5825">
      <w:pPr>
        <w:keepNext/>
        <w:jc w:val="both"/>
        <w:outlineLvl w:val="0"/>
        <w:rPr>
          <w:i/>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U prospektivnoj, otvorenoj, međunarodnoj, multicentričnoj kliničkoj studiji faze III, 465 pacijenata sa relapsirajućim/refraktornim folikularnim limfomom randomizovano je u prvom koraku u grupi koja je primala početno liječenje CHOP</w:t>
      </w:r>
      <w:r w:rsidRPr="0055610F">
        <w:rPr>
          <w:sz w:val="22"/>
          <w:szCs w:val="22"/>
          <w:lang w:val="sr-Latn-ME"/>
        </w:rPr>
        <w:noBreakHyphen/>
        <w:t>om (ciklofosfamid, doksorubicin, vinkristin, prednizolon; n = 231) odnosno u grupi koja je primala lijek MabThera u kombinaciji s CHOP</w:t>
      </w:r>
      <w:r w:rsidRPr="0055610F">
        <w:rPr>
          <w:sz w:val="22"/>
          <w:szCs w:val="22"/>
          <w:lang w:val="sr-Latn-ME"/>
        </w:rPr>
        <w:noBreakHyphen/>
        <w:t>om (R</w:t>
      </w:r>
      <w:r w:rsidRPr="0055610F">
        <w:rPr>
          <w:sz w:val="22"/>
          <w:szCs w:val="22"/>
          <w:lang w:val="sr-Latn-ME"/>
        </w:rPr>
        <w:noBreakHyphen/>
        <w:t xml:space="preserve">CHOP, n = 234). Dvije su terapijske grupe bile dobro uravnotežene u pogledu početnih karakteristika i stanja bolesti. Ukupno je 334 pacijenta kod kojih je nakon indukcione terapije došlo do potpune ili djelomične remisije u drugom koraku randomizovano u grupu koja je primala terapiju održavanja lijekom MabThera </w:t>
      </w:r>
      <w:r w:rsidRPr="0055610F">
        <w:rPr>
          <w:sz w:val="22"/>
          <w:szCs w:val="22"/>
          <w:lang w:val="sr-Latn-ME"/>
        </w:rPr>
        <w:lastRenderedPageBreak/>
        <w:t>(n = 167) ili u opservacijsku grupu (n = 167). Terapija održavanja lijekom MabThera sastojala se od primjene jedne infuzije lijeka MabThera u dozi od 375 mg/m2 površine tijela svaka tri mjeseca do progresije bolesti ili najduže dvije godine.</w:t>
      </w:r>
    </w:p>
    <w:p w:rsidR="007B7C69" w:rsidRPr="0055610F" w:rsidRDefault="007B7C69" w:rsidP="004D5825">
      <w:pPr>
        <w:jc w:val="both"/>
        <w:outlineLvl w:val="0"/>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Konačna analiza efikasnosti obuhvatila je sve pacijente randomizovane u oba dijela ispitivanja. Nakon medijana vremena promatranja od 31 mjeseca za pacijente randomizirane u indukcijsku fazu, R</w:t>
      </w:r>
      <w:r w:rsidRPr="0055610F">
        <w:rPr>
          <w:sz w:val="22"/>
          <w:szCs w:val="22"/>
          <w:lang w:val="sr-Latn-ME"/>
        </w:rPr>
        <w:noBreakHyphen/>
        <w:t>CHOP je u poređenju sa CHOP</w:t>
      </w:r>
      <w:r w:rsidRPr="0055610F">
        <w:rPr>
          <w:sz w:val="22"/>
          <w:szCs w:val="22"/>
          <w:lang w:val="sr-Latn-ME"/>
        </w:rPr>
        <w:noBreakHyphen/>
        <w:t>om znatno poboljšao ishod bolesti kod pacijenata sa relapsirajućim/refraktornim folikularnim limfomom (vidjeti Tabelu </w:t>
      </w:r>
      <w:r w:rsidR="003142FF" w:rsidRPr="0055610F">
        <w:rPr>
          <w:sz w:val="22"/>
          <w:szCs w:val="22"/>
          <w:lang w:val="sr-Latn-ME"/>
        </w:rPr>
        <w:t>10</w:t>
      </w:r>
      <w:r w:rsidRPr="0055610F">
        <w:rPr>
          <w:sz w:val="22"/>
          <w:szCs w:val="22"/>
          <w:lang w:val="sr-Latn-ME"/>
        </w:rPr>
        <w:t>).</w:t>
      </w:r>
    </w:p>
    <w:p w:rsidR="007B7C69" w:rsidRPr="0055610F" w:rsidRDefault="007B7C69" w:rsidP="004D5825">
      <w:pPr>
        <w:jc w:val="both"/>
        <w:outlineLvl w:val="0"/>
        <w:rPr>
          <w:sz w:val="22"/>
          <w:szCs w:val="22"/>
          <w:lang w:val="sr-Latn-ME"/>
        </w:rPr>
      </w:pPr>
    </w:p>
    <w:p w:rsidR="007B7C69" w:rsidRDefault="007B7C69" w:rsidP="004D5825">
      <w:pPr>
        <w:jc w:val="both"/>
        <w:rPr>
          <w:b/>
          <w:sz w:val="22"/>
          <w:szCs w:val="22"/>
          <w:lang w:val="sr-Latn-ME"/>
        </w:rPr>
      </w:pPr>
      <w:r w:rsidRPr="0055610F">
        <w:rPr>
          <w:b/>
          <w:sz w:val="22"/>
          <w:szCs w:val="22"/>
          <w:lang w:val="sr-Latn-ME"/>
        </w:rPr>
        <w:t>Tabela 10: Indukciona faza: pregled rezultata efikasnosti CHOP-a i R-CHOP-a (medijana vremena praćenja je 31 mjesec</w:t>
      </w:r>
      <w:r w:rsidR="003142FF" w:rsidRPr="0055610F">
        <w:rPr>
          <w:b/>
          <w:sz w:val="22"/>
          <w:szCs w:val="22"/>
          <w:lang w:val="sr-Latn-ME"/>
        </w:rPr>
        <w:t>i</w:t>
      </w:r>
      <w:r w:rsidRPr="0055610F">
        <w:rPr>
          <w:b/>
          <w:sz w:val="22"/>
          <w:szCs w:val="22"/>
          <w:lang w:val="sr-Latn-ME"/>
        </w:rPr>
        <w:t>)</w:t>
      </w:r>
    </w:p>
    <w:p w:rsidR="00507E75" w:rsidRPr="0055610F" w:rsidRDefault="00507E75" w:rsidP="004D5825">
      <w:pPr>
        <w:jc w:val="both"/>
        <w:rPr>
          <w:b/>
          <w:sz w:val="22"/>
          <w:szCs w:val="22"/>
          <w:lang w:val="sr-Latn-ME"/>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1710"/>
        <w:gridCol w:w="1530"/>
        <w:gridCol w:w="1710"/>
        <w:gridCol w:w="2430"/>
      </w:tblGrid>
      <w:tr w:rsidR="007B7C69" w:rsidRPr="007642DC" w:rsidTr="009941F7">
        <w:tc>
          <w:tcPr>
            <w:tcW w:w="1435" w:type="dxa"/>
            <w:shd w:val="clear" w:color="auto" w:fill="auto"/>
          </w:tcPr>
          <w:p w:rsidR="007B7C69" w:rsidRPr="0055610F" w:rsidRDefault="007B7C69" w:rsidP="004D5825">
            <w:pPr>
              <w:jc w:val="both"/>
              <w:rPr>
                <w:sz w:val="22"/>
                <w:szCs w:val="22"/>
                <w:lang w:val="sr-Latn-ME"/>
              </w:rPr>
            </w:pPr>
          </w:p>
        </w:tc>
        <w:tc>
          <w:tcPr>
            <w:tcW w:w="1710" w:type="dxa"/>
            <w:shd w:val="clear" w:color="auto" w:fill="auto"/>
          </w:tcPr>
          <w:p w:rsidR="007B7C69" w:rsidRPr="0055610F" w:rsidRDefault="007B7C69" w:rsidP="004D5825">
            <w:pPr>
              <w:jc w:val="both"/>
              <w:rPr>
                <w:sz w:val="22"/>
                <w:szCs w:val="22"/>
                <w:lang w:val="sr-Latn-ME"/>
              </w:rPr>
            </w:pPr>
            <w:r w:rsidRPr="0055610F">
              <w:rPr>
                <w:b/>
                <w:sz w:val="22"/>
                <w:szCs w:val="22"/>
                <w:lang w:val="sr-Latn-ME"/>
              </w:rPr>
              <w:t>CHOP</w:t>
            </w:r>
          </w:p>
        </w:tc>
        <w:tc>
          <w:tcPr>
            <w:tcW w:w="1530" w:type="dxa"/>
            <w:shd w:val="clear" w:color="auto" w:fill="auto"/>
          </w:tcPr>
          <w:p w:rsidR="007B7C69" w:rsidRPr="0055610F" w:rsidRDefault="007B7C69" w:rsidP="004D5825">
            <w:pPr>
              <w:jc w:val="both"/>
              <w:rPr>
                <w:sz w:val="22"/>
                <w:szCs w:val="22"/>
                <w:lang w:val="sr-Latn-ME"/>
              </w:rPr>
            </w:pPr>
            <w:r w:rsidRPr="0055610F">
              <w:rPr>
                <w:b/>
                <w:sz w:val="22"/>
                <w:szCs w:val="22"/>
                <w:lang w:val="sr-Latn-ME"/>
              </w:rPr>
              <w:t>R</w:t>
            </w:r>
            <w:r w:rsidRPr="0055610F">
              <w:rPr>
                <w:color w:val="000000"/>
                <w:sz w:val="22"/>
                <w:szCs w:val="22"/>
                <w:lang w:val="sr-Latn-ME"/>
              </w:rPr>
              <w:noBreakHyphen/>
            </w:r>
            <w:r w:rsidRPr="0055610F">
              <w:rPr>
                <w:b/>
                <w:sz w:val="22"/>
                <w:szCs w:val="22"/>
                <w:lang w:val="sr-Latn-ME"/>
              </w:rPr>
              <w:t>CHOP</w:t>
            </w:r>
          </w:p>
        </w:tc>
        <w:tc>
          <w:tcPr>
            <w:tcW w:w="1710" w:type="dxa"/>
            <w:shd w:val="clear" w:color="auto" w:fill="auto"/>
          </w:tcPr>
          <w:p w:rsidR="007B7C69" w:rsidRPr="0055610F" w:rsidRDefault="007B7C69" w:rsidP="004D5825">
            <w:pPr>
              <w:jc w:val="both"/>
              <w:rPr>
                <w:sz w:val="22"/>
                <w:szCs w:val="22"/>
                <w:lang w:val="sr-Latn-ME"/>
              </w:rPr>
            </w:pPr>
            <w:r w:rsidRPr="0055610F">
              <w:rPr>
                <w:b/>
                <w:sz w:val="22"/>
                <w:szCs w:val="22"/>
                <w:lang w:val="sr-Latn-ME"/>
              </w:rPr>
              <w:t>p</w:t>
            </w:r>
            <w:r w:rsidRPr="0055610F">
              <w:rPr>
                <w:color w:val="000000"/>
                <w:sz w:val="22"/>
                <w:szCs w:val="22"/>
                <w:lang w:val="sr-Latn-ME"/>
              </w:rPr>
              <w:noBreakHyphen/>
            </w:r>
            <w:r w:rsidRPr="0055610F">
              <w:rPr>
                <w:b/>
                <w:sz w:val="22"/>
                <w:szCs w:val="22"/>
                <w:lang w:val="sr-Latn-ME"/>
              </w:rPr>
              <w:t>vrijednost</w:t>
            </w:r>
          </w:p>
        </w:tc>
        <w:tc>
          <w:tcPr>
            <w:tcW w:w="2430" w:type="dxa"/>
            <w:shd w:val="clear" w:color="auto" w:fill="auto"/>
          </w:tcPr>
          <w:p w:rsidR="007B7C69" w:rsidRPr="0055610F" w:rsidRDefault="007B7C69" w:rsidP="004D5825">
            <w:pPr>
              <w:jc w:val="both"/>
              <w:rPr>
                <w:sz w:val="22"/>
                <w:szCs w:val="22"/>
                <w:lang w:val="sr-Latn-ME"/>
              </w:rPr>
            </w:pPr>
            <w:r w:rsidRPr="0055610F">
              <w:rPr>
                <w:b/>
                <w:sz w:val="22"/>
                <w:szCs w:val="22"/>
                <w:lang w:val="sr-Latn-ME"/>
              </w:rPr>
              <w:t>Smanjenje rizika</w:t>
            </w:r>
            <w:r w:rsidRPr="0055610F">
              <w:rPr>
                <w:b/>
                <w:sz w:val="22"/>
                <w:szCs w:val="22"/>
                <w:vertAlign w:val="superscript"/>
                <w:lang w:val="sr-Latn-ME"/>
              </w:rPr>
              <w:t>1)</w:t>
            </w:r>
          </w:p>
        </w:tc>
      </w:tr>
      <w:tr w:rsidR="007B7C69" w:rsidRPr="007642DC" w:rsidTr="009941F7">
        <w:tc>
          <w:tcPr>
            <w:tcW w:w="1435" w:type="dxa"/>
            <w:shd w:val="clear" w:color="auto" w:fill="auto"/>
          </w:tcPr>
          <w:p w:rsidR="007B7C69" w:rsidRPr="009941F7" w:rsidRDefault="007B7C69" w:rsidP="004D5825">
            <w:pPr>
              <w:jc w:val="both"/>
              <w:rPr>
                <w:b/>
                <w:sz w:val="22"/>
                <w:szCs w:val="22"/>
                <w:lang w:val="sr-Latn-ME"/>
              </w:rPr>
            </w:pPr>
            <w:r w:rsidRPr="009941F7">
              <w:rPr>
                <w:b/>
                <w:sz w:val="22"/>
                <w:szCs w:val="22"/>
                <w:lang w:val="sr-Latn-ME"/>
              </w:rPr>
              <w:t>Primarna efikasnost</w:t>
            </w:r>
          </w:p>
        </w:tc>
        <w:tc>
          <w:tcPr>
            <w:tcW w:w="1710" w:type="dxa"/>
            <w:shd w:val="clear" w:color="auto" w:fill="auto"/>
          </w:tcPr>
          <w:p w:rsidR="007B7C69" w:rsidRPr="0055610F" w:rsidRDefault="007B7C69" w:rsidP="004D5825">
            <w:pPr>
              <w:jc w:val="both"/>
              <w:rPr>
                <w:b/>
                <w:sz w:val="22"/>
                <w:szCs w:val="22"/>
                <w:lang w:val="sr-Latn-ME"/>
              </w:rPr>
            </w:pPr>
          </w:p>
        </w:tc>
        <w:tc>
          <w:tcPr>
            <w:tcW w:w="1530" w:type="dxa"/>
            <w:shd w:val="clear" w:color="auto" w:fill="auto"/>
          </w:tcPr>
          <w:p w:rsidR="007B7C69" w:rsidRPr="0055610F" w:rsidRDefault="007B7C69" w:rsidP="004D5825">
            <w:pPr>
              <w:jc w:val="both"/>
              <w:rPr>
                <w:b/>
                <w:sz w:val="22"/>
                <w:szCs w:val="22"/>
                <w:lang w:val="sr-Latn-ME"/>
              </w:rPr>
            </w:pPr>
          </w:p>
        </w:tc>
        <w:tc>
          <w:tcPr>
            <w:tcW w:w="1710" w:type="dxa"/>
            <w:shd w:val="clear" w:color="auto" w:fill="auto"/>
          </w:tcPr>
          <w:p w:rsidR="007B7C69" w:rsidRPr="0055610F" w:rsidRDefault="007B7C69" w:rsidP="004D5825">
            <w:pPr>
              <w:jc w:val="both"/>
              <w:rPr>
                <w:b/>
                <w:sz w:val="22"/>
                <w:szCs w:val="22"/>
                <w:lang w:val="sr-Latn-ME"/>
              </w:rPr>
            </w:pPr>
          </w:p>
        </w:tc>
        <w:tc>
          <w:tcPr>
            <w:tcW w:w="2430" w:type="dxa"/>
            <w:shd w:val="clear" w:color="auto" w:fill="auto"/>
          </w:tcPr>
          <w:p w:rsidR="007B7C69" w:rsidRPr="0055610F" w:rsidRDefault="007B7C69" w:rsidP="004D5825">
            <w:pPr>
              <w:jc w:val="both"/>
              <w:rPr>
                <w:b/>
                <w:sz w:val="22"/>
                <w:szCs w:val="22"/>
                <w:lang w:val="sr-Latn-ME"/>
              </w:rPr>
            </w:pPr>
          </w:p>
        </w:tc>
      </w:tr>
      <w:tr w:rsidR="007B7C69" w:rsidRPr="007642DC" w:rsidTr="009941F7">
        <w:trPr>
          <w:trHeight w:val="779"/>
        </w:trPr>
        <w:tc>
          <w:tcPr>
            <w:tcW w:w="1435" w:type="dxa"/>
            <w:shd w:val="clear" w:color="auto" w:fill="auto"/>
          </w:tcPr>
          <w:p w:rsidR="007B7C69" w:rsidRPr="0055610F" w:rsidRDefault="007B7C69" w:rsidP="0055610F">
            <w:pPr>
              <w:jc w:val="center"/>
              <w:rPr>
                <w:sz w:val="22"/>
                <w:szCs w:val="22"/>
                <w:lang w:val="sr-Latn-ME"/>
              </w:rPr>
            </w:pPr>
            <w:r w:rsidRPr="0055610F">
              <w:rPr>
                <w:sz w:val="22"/>
                <w:szCs w:val="22"/>
                <w:lang w:val="sr-Latn-ME"/>
              </w:rPr>
              <w:t>ORR</w:t>
            </w:r>
            <w:r w:rsidRPr="0055610F">
              <w:rPr>
                <w:sz w:val="22"/>
                <w:szCs w:val="22"/>
                <w:vertAlign w:val="superscript"/>
                <w:lang w:val="sr-Latn-ME"/>
              </w:rPr>
              <w:t>2)</w:t>
            </w:r>
          </w:p>
          <w:p w:rsidR="007B7C69" w:rsidRPr="0055610F" w:rsidRDefault="007B7C69" w:rsidP="0055610F">
            <w:pPr>
              <w:jc w:val="center"/>
              <w:rPr>
                <w:sz w:val="22"/>
                <w:szCs w:val="22"/>
                <w:lang w:val="sr-Latn-ME"/>
              </w:rPr>
            </w:pPr>
            <w:r w:rsidRPr="0055610F">
              <w:rPr>
                <w:sz w:val="22"/>
                <w:szCs w:val="22"/>
                <w:lang w:val="sr-Latn-ME"/>
              </w:rPr>
              <w:t>CR</w:t>
            </w:r>
            <w:r w:rsidRPr="0055610F">
              <w:rPr>
                <w:sz w:val="22"/>
                <w:szCs w:val="22"/>
                <w:vertAlign w:val="superscript"/>
                <w:lang w:val="sr-Latn-ME"/>
              </w:rPr>
              <w:t>2)</w:t>
            </w:r>
          </w:p>
          <w:p w:rsidR="007B7C69" w:rsidRPr="0055610F" w:rsidRDefault="007B7C69" w:rsidP="0055610F">
            <w:pPr>
              <w:jc w:val="center"/>
              <w:rPr>
                <w:sz w:val="22"/>
                <w:szCs w:val="22"/>
                <w:lang w:val="sr-Latn-ME"/>
              </w:rPr>
            </w:pPr>
            <w:r w:rsidRPr="0055610F">
              <w:rPr>
                <w:sz w:val="22"/>
                <w:szCs w:val="22"/>
                <w:lang w:val="sr-Latn-ME"/>
              </w:rPr>
              <w:t>PR</w:t>
            </w:r>
            <w:r w:rsidRPr="0055610F">
              <w:rPr>
                <w:sz w:val="22"/>
                <w:szCs w:val="22"/>
                <w:vertAlign w:val="superscript"/>
                <w:lang w:val="sr-Latn-ME"/>
              </w:rPr>
              <w:t>2)</w:t>
            </w:r>
          </w:p>
        </w:tc>
        <w:tc>
          <w:tcPr>
            <w:tcW w:w="1710" w:type="dxa"/>
            <w:shd w:val="clear" w:color="auto" w:fill="auto"/>
          </w:tcPr>
          <w:p w:rsidR="007B7C69" w:rsidRPr="0055610F" w:rsidRDefault="007B7C69" w:rsidP="0055610F">
            <w:pPr>
              <w:jc w:val="center"/>
              <w:rPr>
                <w:sz w:val="22"/>
                <w:szCs w:val="22"/>
                <w:lang w:val="sr-Latn-ME"/>
              </w:rPr>
            </w:pPr>
            <w:r w:rsidRPr="0055610F">
              <w:rPr>
                <w:sz w:val="22"/>
                <w:szCs w:val="22"/>
                <w:lang w:val="sr-Latn-ME"/>
              </w:rPr>
              <w:t>74%</w:t>
            </w:r>
          </w:p>
          <w:p w:rsidR="007B7C69" w:rsidRPr="0055610F" w:rsidRDefault="007B7C69" w:rsidP="0055610F">
            <w:pPr>
              <w:jc w:val="center"/>
              <w:rPr>
                <w:sz w:val="22"/>
                <w:szCs w:val="22"/>
                <w:lang w:val="sr-Latn-ME"/>
              </w:rPr>
            </w:pPr>
            <w:r w:rsidRPr="0055610F">
              <w:rPr>
                <w:sz w:val="22"/>
                <w:szCs w:val="22"/>
                <w:lang w:val="sr-Latn-ME"/>
              </w:rPr>
              <w:t>16%</w:t>
            </w:r>
          </w:p>
          <w:p w:rsidR="007B7C69" w:rsidRPr="0055610F" w:rsidRDefault="007B7C69" w:rsidP="0055610F">
            <w:pPr>
              <w:jc w:val="center"/>
              <w:rPr>
                <w:sz w:val="22"/>
                <w:szCs w:val="22"/>
                <w:lang w:val="sr-Latn-ME"/>
              </w:rPr>
            </w:pPr>
            <w:r w:rsidRPr="0055610F">
              <w:rPr>
                <w:sz w:val="22"/>
                <w:szCs w:val="22"/>
                <w:lang w:val="sr-Latn-ME"/>
              </w:rPr>
              <w:t>58%</w:t>
            </w:r>
          </w:p>
        </w:tc>
        <w:tc>
          <w:tcPr>
            <w:tcW w:w="1530" w:type="dxa"/>
            <w:shd w:val="clear" w:color="auto" w:fill="auto"/>
          </w:tcPr>
          <w:p w:rsidR="007B7C69" w:rsidRPr="0055610F" w:rsidRDefault="007B7C69" w:rsidP="0055610F">
            <w:pPr>
              <w:jc w:val="center"/>
              <w:rPr>
                <w:sz w:val="22"/>
                <w:szCs w:val="22"/>
                <w:lang w:val="sr-Latn-ME"/>
              </w:rPr>
            </w:pPr>
            <w:r w:rsidRPr="0055610F">
              <w:rPr>
                <w:sz w:val="22"/>
                <w:szCs w:val="22"/>
                <w:lang w:val="sr-Latn-ME"/>
              </w:rPr>
              <w:t>87%</w:t>
            </w:r>
          </w:p>
          <w:p w:rsidR="007B7C69" w:rsidRPr="0055610F" w:rsidRDefault="007B7C69" w:rsidP="0055610F">
            <w:pPr>
              <w:jc w:val="center"/>
              <w:rPr>
                <w:sz w:val="22"/>
                <w:szCs w:val="22"/>
                <w:lang w:val="sr-Latn-ME"/>
              </w:rPr>
            </w:pPr>
            <w:r w:rsidRPr="0055610F">
              <w:rPr>
                <w:sz w:val="22"/>
                <w:szCs w:val="22"/>
                <w:lang w:val="sr-Latn-ME"/>
              </w:rPr>
              <w:t>29%</w:t>
            </w:r>
          </w:p>
          <w:p w:rsidR="007B7C69" w:rsidRPr="0055610F" w:rsidRDefault="007B7C69" w:rsidP="0055610F">
            <w:pPr>
              <w:jc w:val="center"/>
              <w:rPr>
                <w:sz w:val="22"/>
                <w:szCs w:val="22"/>
                <w:lang w:val="sr-Latn-ME"/>
              </w:rPr>
            </w:pPr>
            <w:r w:rsidRPr="0055610F">
              <w:rPr>
                <w:sz w:val="22"/>
                <w:szCs w:val="22"/>
                <w:lang w:val="sr-Latn-ME"/>
              </w:rPr>
              <w:t>58%</w:t>
            </w:r>
          </w:p>
        </w:tc>
        <w:tc>
          <w:tcPr>
            <w:tcW w:w="1710" w:type="dxa"/>
            <w:shd w:val="clear" w:color="auto" w:fill="auto"/>
          </w:tcPr>
          <w:p w:rsidR="007B7C69" w:rsidRPr="0055610F" w:rsidRDefault="007B7C69" w:rsidP="0055610F">
            <w:pPr>
              <w:jc w:val="center"/>
              <w:rPr>
                <w:sz w:val="22"/>
                <w:szCs w:val="22"/>
                <w:lang w:val="sr-Latn-ME"/>
              </w:rPr>
            </w:pPr>
            <w:r w:rsidRPr="0055610F">
              <w:rPr>
                <w:sz w:val="22"/>
                <w:szCs w:val="22"/>
                <w:lang w:val="sr-Latn-ME"/>
              </w:rPr>
              <w:t>0,0003</w:t>
            </w:r>
          </w:p>
          <w:p w:rsidR="007B7C69" w:rsidRPr="0055610F" w:rsidRDefault="007B7C69" w:rsidP="0055610F">
            <w:pPr>
              <w:jc w:val="center"/>
              <w:rPr>
                <w:sz w:val="22"/>
                <w:szCs w:val="22"/>
                <w:lang w:val="sr-Latn-ME"/>
              </w:rPr>
            </w:pPr>
            <w:r w:rsidRPr="0055610F">
              <w:rPr>
                <w:sz w:val="22"/>
                <w:szCs w:val="22"/>
                <w:lang w:val="sr-Latn-ME"/>
              </w:rPr>
              <w:t>0,0005</w:t>
            </w:r>
          </w:p>
          <w:p w:rsidR="007B7C69" w:rsidRPr="0055610F" w:rsidRDefault="007B7C69" w:rsidP="0055610F">
            <w:pPr>
              <w:jc w:val="center"/>
              <w:rPr>
                <w:sz w:val="22"/>
                <w:szCs w:val="22"/>
                <w:lang w:val="sr-Latn-ME"/>
              </w:rPr>
            </w:pPr>
            <w:r w:rsidRPr="0055610F">
              <w:rPr>
                <w:sz w:val="22"/>
                <w:szCs w:val="22"/>
                <w:lang w:val="sr-Latn-ME"/>
              </w:rPr>
              <w:t>0,9449</w:t>
            </w:r>
          </w:p>
        </w:tc>
        <w:tc>
          <w:tcPr>
            <w:tcW w:w="2430" w:type="dxa"/>
            <w:shd w:val="clear" w:color="auto" w:fill="auto"/>
          </w:tcPr>
          <w:p w:rsidR="007B7C69" w:rsidRPr="0055610F" w:rsidRDefault="007B7C69" w:rsidP="0055610F">
            <w:pPr>
              <w:jc w:val="center"/>
              <w:rPr>
                <w:sz w:val="22"/>
                <w:szCs w:val="22"/>
                <w:lang w:val="sr-Latn-ME"/>
              </w:rPr>
            </w:pPr>
            <w:r w:rsidRPr="0055610F">
              <w:rPr>
                <w:sz w:val="22"/>
                <w:szCs w:val="22"/>
                <w:lang w:val="sr-Latn-ME"/>
              </w:rPr>
              <w:softHyphen/>
              <w:t>ND</w:t>
            </w:r>
          </w:p>
          <w:p w:rsidR="007B7C69" w:rsidRPr="0055610F" w:rsidRDefault="007B7C69" w:rsidP="0055610F">
            <w:pPr>
              <w:jc w:val="center"/>
              <w:rPr>
                <w:sz w:val="22"/>
                <w:szCs w:val="22"/>
                <w:lang w:val="sr-Latn-ME"/>
              </w:rPr>
            </w:pPr>
            <w:r w:rsidRPr="0055610F">
              <w:rPr>
                <w:sz w:val="22"/>
                <w:szCs w:val="22"/>
                <w:lang w:val="sr-Latn-ME"/>
              </w:rPr>
              <w:t>ND</w:t>
            </w:r>
          </w:p>
          <w:p w:rsidR="007B7C69" w:rsidRPr="0055610F" w:rsidRDefault="007B7C69" w:rsidP="0055610F">
            <w:pPr>
              <w:jc w:val="center"/>
              <w:rPr>
                <w:sz w:val="22"/>
                <w:szCs w:val="22"/>
                <w:lang w:val="sr-Latn-ME"/>
              </w:rPr>
            </w:pPr>
            <w:r w:rsidRPr="0055610F">
              <w:rPr>
                <w:sz w:val="22"/>
                <w:szCs w:val="22"/>
                <w:lang w:val="sr-Latn-ME"/>
              </w:rPr>
              <w:t>ND</w:t>
            </w:r>
          </w:p>
        </w:tc>
      </w:tr>
    </w:tbl>
    <w:p w:rsidR="007B7C69" w:rsidRPr="0055610F" w:rsidRDefault="007B7C69" w:rsidP="004D5825">
      <w:pPr>
        <w:keepNext/>
        <w:jc w:val="both"/>
        <w:outlineLvl w:val="0"/>
        <w:rPr>
          <w:sz w:val="22"/>
          <w:szCs w:val="22"/>
          <w:lang w:val="sr-Latn-ME"/>
        </w:rPr>
      </w:pPr>
      <w:r w:rsidRPr="0055610F">
        <w:rPr>
          <w:sz w:val="22"/>
          <w:szCs w:val="22"/>
          <w:vertAlign w:val="superscript"/>
          <w:lang w:val="sr-Latn-ME"/>
        </w:rPr>
        <w:t>1)</w:t>
      </w:r>
      <w:r w:rsidRPr="0055610F">
        <w:rPr>
          <w:sz w:val="22"/>
          <w:szCs w:val="22"/>
          <w:lang w:val="sr-Latn-ME"/>
        </w:rPr>
        <w:t xml:space="preserve"> Procjene su izračunate prema odnosima rizika</w:t>
      </w:r>
    </w:p>
    <w:p w:rsidR="007B7C69" w:rsidRPr="0055610F" w:rsidRDefault="007B7C69" w:rsidP="004D5825">
      <w:pPr>
        <w:keepNext/>
        <w:jc w:val="both"/>
        <w:outlineLvl w:val="0"/>
        <w:rPr>
          <w:sz w:val="22"/>
          <w:szCs w:val="22"/>
          <w:lang w:val="sr-Latn-ME"/>
        </w:rPr>
      </w:pPr>
      <w:r w:rsidRPr="0055610F">
        <w:rPr>
          <w:sz w:val="22"/>
          <w:szCs w:val="22"/>
          <w:vertAlign w:val="superscript"/>
          <w:lang w:val="sr-Latn-ME"/>
        </w:rPr>
        <w:t>2)</w:t>
      </w:r>
      <w:r w:rsidRPr="0055610F">
        <w:rPr>
          <w:sz w:val="22"/>
          <w:szCs w:val="22"/>
          <w:lang w:val="sr-Latn-ME"/>
        </w:rPr>
        <w:t xml:space="preserve"> Zadnji tumorski odgovor koji je procijenio istraživač. “Primarni” statistički test za “odgovor” bio je trend test: CR u odnosu na PR u odnosu na izostanak odgovora (p &lt; 0,0001) </w:t>
      </w:r>
    </w:p>
    <w:p w:rsidR="007B7C69" w:rsidRPr="0055610F" w:rsidRDefault="007B7C69" w:rsidP="004D5825">
      <w:pPr>
        <w:jc w:val="both"/>
        <w:outlineLvl w:val="0"/>
        <w:rPr>
          <w:sz w:val="22"/>
          <w:szCs w:val="22"/>
          <w:lang w:val="sr-Latn-ME"/>
        </w:rPr>
      </w:pPr>
      <w:r w:rsidRPr="0055610F">
        <w:rPr>
          <w:sz w:val="22"/>
          <w:szCs w:val="22"/>
          <w:lang w:val="sr-Latn-ME"/>
        </w:rPr>
        <w:t>Skraćenice: ND: nije dostupno, ORR: stepen ukupnog odgovora na liječenje, CR: potpun odgovor, PR: djel</w:t>
      </w:r>
      <w:r w:rsidR="00507E75">
        <w:rPr>
          <w:sz w:val="22"/>
          <w:szCs w:val="22"/>
          <w:lang w:val="sr-Latn-ME"/>
        </w:rPr>
        <w:t>i</w:t>
      </w:r>
      <w:r w:rsidRPr="0055610F">
        <w:rPr>
          <w:sz w:val="22"/>
          <w:szCs w:val="22"/>
          <w:lang w:val="sr-Latn-ME"/>
        </w:rPr>
        <w:t>mičan odgovor</w:t>
      </w:r>
    </w:p>
    <w:p w:rsidR="007B7C69" w:rsidRPr="0055610F" w:rsidRDefault="007B7C69" w:rsidP="004D5825">
      <w:pPr>
        <w:jc w:val="both"/>
        <w:outlineLvl w:val="0"/>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Za pacijente randomizovane u fazu održavanja u ovom ispitivanju medijan</w:t>
      </w:r>
      <w:r w:rsidR="003142FF" w:rsidRPr="0055610F">
        <w:rPr>
          <w:sz w:val="22"/>
          <w:szCs w:val="22"/>
          <w:lang w:val="sr-Latn-ME"/>
        </w:rPr>
        <w:t>a</w:t>
      </w:r>
      <w:r w:rsidRPr="0055610F">
        <w:rPr>
          <w:sz w:val="22"/>
          <w:szCs w:val="22"/>
          <w:lang w:val="sr-Latn-ME"/>
        </w:rPr>
        <w:t xml:space="preserve"> vremena promatranja bio je 28 mjeseci od randomizacije u tu fazu. Terapija održavanja lijekom MabThera dovela je do klinički relevantnih i statistički značajnih poboljšanja u primarnoj mjeri ishoda, što je bio PFS (vrijeme od randomizacije na terapiju održavanja do relapsa, progresije bolesti ili smrti), u poređenju sa opservacijskom grupom (p &lt; 0,0001, log</w:t>
      </w:r>
      <w:r w:rsidRPr="0055610F">
        <w:rPr>
          <w:sz w:val="22"/>
          <w:szCs w:val="22"/>
          <w:lang w:val="sr-Latn-ME"/>
        </w:rPr>
        <w:noBreakHyphen/>
        <w:t>rang test). Medijan</w:t>
      </w:r>
      <w:r w:rsidR="003142FF" w:rsidRPr="0055610F">
        <w:rPr>
          <w:sz w:val="22"/>
          <w:szCs w:val="22"/>
          <w:lang w:val="sr-Latn-ME"/>
        </w:rPr>
        <w:t>a</w:t>
      </w:r>
      <w:r w:rsidRPr="0055610F">
        <w:rPr>
          <w:sz w:val="22"/>
          <w:szCs w:val="22"/>
          <w:lang w:val="sr-Latn-ME"/>
        </w:rPr>
        <w:t xml:space="preserve"> PFS</w:t>
      </w:r>
      <w:r w:rsidRPr="0055610F">
        <w:rPr>
          <w:sz w:val="22"/>
          <w:szCs w:val="22"/>
          <w:lang w:val="sr-Latn-ME"/>
        </w:rPr>
        <w:noBreakHyphen/>
        <w:t>a iznosio je 42,2 mjeseca u grupi koja je primala terapiju održavanja lijekom MabThera u poređenju sa 14,3 mjeseca u opservacijskoj grupi. Coxova regresijska analiza pokazala je da terapija održavanja lijekom MabThera smanjuje rizik od progresije bolesti i smrti za 61% u poređenju sa opservacijskom grupom (95% CI 45%</w:t>
      </w:r>
      <w:r w:rsidRPr="0055610F">
        <w:rPr>
          <w:sz w:val="22"/>
          <w:szCs w:val="22"/>
          <w:lang w:val="sr-Latn-ME"/>
        </w:rPr>
        <w:noBreakHyphen/>
        <w:t>72%). Prema Kaplan-Meierovoj procjeni, stope bez progresije bolesti nakon 12 mjeseci iznosile su 78% u grupi koja je primala terapiju održavanja lijekom MabThera u poređenju sa 57% u opservacijskoj grupi. Analiza ukupnog preživljenja potvrdila je značajnu korist terapije održavanja lijekom MabThera u odnosu na opservacijsku grupu (p = 0,0039, log</w:t>
      </w:r>
      <w:r w:rsidRPr="0055610F">
        <w:rPr>
          <w:sz w:val="22"/>
          <w:szCs w:val="22"/>
          <w:lang w:val="sr-Latn-ME"/>
        </w:rPr>
        <w:noBreakHyphen/>
        <w:t>rang test). Terapija održavanja lijekom MabThera smanjila je rizik od smrti za 56% (95% CI 22%</w:t>
      </w:r>
      <w:r w:rsidRPr="0055610F">
        <w:rPr>
          <w:sz w:val="22"/>
          <w:szCs w:val="22"/>
          <w:lang w:val="sr-Latn-ME"/>
        </w:rPr>
        <w:noBreakHyphen/>
        <w:t xml:space="preserve">75%). </w:t>
      </w:r>
    </w:p>
    <w:p w:rsidR="007B7C69" w:rsidRPr="0055610F" w:rsidRDefault="007B7C69" w:rsidP="004D5825">
      <w:pPr>
        <w:jc w:val="both"/>
        <w:rPr>
          <w:sz w:val="22"/>
          <w:szCs w:val="22"/>
          <w:lang w:val="sr-Latn-ME"/>
        </w:rPr>
      </w:pPr>
    </w:p>
    <w:p w:rsidR="007B7C69" w:rsidRPr="0055610F" w:rsidRDefault="007B7C69" w:rsidP="004D5825">
      <w:pPr>
        <w:jc w:val="both"/>
        <w:rPr>
          <w:b/>
          <w:sz w:val="22"/>
          <w:szCs w:val="22"/>
          <w:lang w:val="sr-Latn-ME"/>
        </w:rPr>
      </w:pPr>
      <w:r w:rsidRPr="0055610F">
        <w:rPr>
          <w:b/>
          <w:sz w:val="22"/>
          <w:szCs w:val="22"/>
          <w:lang w:val="sr-Latn-ME"/>
        </w:rPr>
        <w:t xml:space="preserve">Tabela 11: Faza održavanja: pregled rezultata efikasnosti u grupi koja je primala MabTheru u poređenju sa opservacionim pristupom (srednje vrijeme posmatranja 28 mjeseci) </w:t>
      </w:r>
    </w:p>
    <w:p w:rsidR="007B7C69" w:rsidRPr="0055610F" w:rsidRDefault="007B7C69" w:rsidP="004D5825">
      <w:pPr>
        <w:jc w:val="both"/>
        <w:rPr>
          <w:b/>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422"/>
        <w:gridCol w:w="1422"/>
        <w:gridCol w:w="1422"/>
        <w:gridCol w:w="1422"/>
      </w:tblGrid>
      <w:tr w:rsidR="007B7C69" w:rsidRPr="007642DC" w:rsidTr="007B7C69">
        <w:tc>
          <w:tcPr>
            <w:tcW w:w="3168" w:type="dxa"/>
            <w:tcBorders>
              <w:bottom w:val="nil"/>
            </w:tcBorders>
            <w:shd w:val="clear" w:color="auto" w:fill="auto"/>
          </w:tcPr>
          <w:p w:rsidR="007B7C69" w:rsidRPr="0055610F" w:rsidRDefault="007B7C69" w:rsidP="004D5825">
            <w:pPr>
              <w:jc w:val="both"/>
              <w:rPr>
                <w:sz w:val="22"/>
                <w:szCs w:val="22"/>
                <w:lang w:val="sr-Latn-ME"/>
              </w:rPr>
            </w:pPr>
          </w:p>
        </w:tc>
        <w:tc>
          <w:tcPr>
            <w:tcW w:w="4266" w:type="dxa"/>
            <w:gridSpan w:val="3"/>
            <w:shd w:val="clear" w:color="auto" w:fill="auto"/>
          </w:tcPr>
          <w:p w:rsidR="007B7C69" w:rsidRPr="0055610F" w:rsidRDefault="007B7C69" w:rsidP="004D5825">
            <w:pPr>
              <w:jc w:val="both"/>
              <w:rPr>
                <w:b/>
                <w:sz w:val="22"/>
                <w:szCs w:val="22"/>
                <w:lang w:val="sr-Latn-ME"/>
              </w:rPr>
            </w:pPr>
            <w:r w:rsidRPr="0055610F">
              <w:rPr>
                <w:b/>
                <w:sz w:val="22"/>
                <w:szCs w:val="22"/>
                <w:lang w:val="sr-Latn-ME"/>
              </w:rPr>
              <w:t>Procjena srednjeg vremena do pojave događaja, po Kaplan-Majeru (u mjesecima)</w:t>
            </w:r>
          </w:p>
        </w:tc>
        <w:tc>
          <w:tcPr>
            <w:tcW w:w="1422" w:type="dxa"/>
            <w:vMerge w:val="restart"/>
            <w:shd w:val="clear" w:color="auto" w:fill="auto"/>
          </w:tcPr>
          <w:p w:rsidR="007B7C69" w:rsidRPr="0055610F" w:rsidRDefault="007B7C69" w:rsidP="004D5825">
            <w:pPr>
              <w:jc w:val="both"/>
              <w:rPr>
                <w:b/>
                <w:sz w:val="22"/>
                <w:szCs w:val="22"/>
                <w:lang w:val="sr-Latn-ME"/>
              </w:rPr>
            </w:pPr>
          </w:p>
          <w:p w:rsidR="007B7C69" w:rsidRPr="0055610F" w:rsidRDefault="007B7C69" w:rsidP="004D5825">
            <w:pPr>
              <w:jc w:val="both"/>
              <w:rPr>
                <w:b/>
                <w:sz w:val="22"/>
                <w:szCs w:val="22"/>
                <w:lang w:val="sr-Latn-ME"/>
              </w:rPr>
            </w:pPr>
          </w:p>
          <w:p w:rsidR="007B7C69" w:rsidRPr="0055610F" w:rsidRDefault="007B7C69" w:rsidP="0055610F">
            <w:pPr>
              <w:jc w:val="center"/>
              <w:rPr>
                <w:b/>
                <w:sz w:val="22"/>
                <w:szCs w:val="22"/>
                <w:lang w:val="sr-Latn-ME"/>
              </w:rPr>
            </w:pPr>
            <w:r w:rsidRPr="0055610F">
              <w:rPr>
                <w:b/>
                <w:sz w:val="22"/>
                <w:szCs w:val="22"/>
                <w:lang w:val="sr-Latn-ME"/>
              </w:rPr>
              <w:t>Smanjenje rizika</w:t>
            </w:r>
          </w:p>
        </w:tc>
      </w:tr>
      <w:tr w:rsidR="007B7C69" w:rsidRPr="007642DC" w:rsidTr="007B7C69">
        <w:tc>
          <w:tcPr>
            <w:tcW w:w="3168" w:type="dxa"/>
            <w:tcBorders>
              <w:top w:val="nil"/>
            </w:tcBorders>
            <w:shd w:val="clear" w:color="auto" w:fill="auto"/>
          </w:tcPr>
          <w:p w:rsidR="007B7C69" w:rsidRPr="0055610F" w:rsidRDefault="007B7C69" w:rsidP="004D5825">
            <w:pPr>
              <w:jc w:val="both"/>
              <w:rPr>
                <w:b/>
                <w:sz w:val="22"/>
                <w:szCs w:val="22"/>
                <w:lang w:val="sr-Latn-ME"/>
              </w:rPr>
            </w:pPr>
            <w:r w:rsidRPr="0055610F">
              <w:rPr>
                <w:b/>
                <w:sz w:val="22"/>
                <w:szCs w:val="22"/>
                <w:lang w:val="sr-Latn-ME"/>
              </w:rPr>
              <w:t>Parametar efikasnosti</w:t>
            </w:r>
          </w:p>
        </w:tc>
        <w:tc>
          <w:tcPr>
            <w:tcW w:w="1422" w:type="dxa"/>
            <w:shd w:val="clear" w:color="auto" w:fill="auto"/>
          </w:tcPr>
          <w:p w:rsidR="007B7C69" w:rsidRPr="0055610F" w:rsidRDefault="007B7C69" w:rsidP="0055610F">
            <w:pPr>
              <w:jc w:val="center"/>
              <w:rPr>
                <w:b/>
                <w:sz w:val="22"/>
                <w:szCs w:val="22"/>
                <w:lang w:val="sr-Latn-ME"/>
              </w:rPr>
            </w:pPr>
            <w:r w:rsidRPr="0055610F">
              <w:rPr>
                <w:b/>
                <w:sz w:val="22"/>
                <w:szCs w:val="22"/>
                <w:lang w:val="sr-Latn-ME"/>
              </w:rPr>
              <w:t>Opservacija (N=167)</w:t>
            </w:r>
          </w:p>
        </w:tc>
        <w:tc>
          <w:tcPr>
            <w:tcW w:w="1422" w:type="dxa"/>
            <w:shd w:val="clear" w:color="auto" w:fill="auto"/>
          </w:tcPr>
          <w:p w:rsidR="007B7C69" w:rsidRPr="0055610F" w:rsidRDefault="007B7C69" w:rsidP="0055610F">
            <w:pPr>
              <w:jc w:val="center"/>
              <w:rPr>
                <w:b/>
                <w:sz w:val="22"/>
                <w:szCs w:val="22"/>
                <w:lang w:val="sr-Latn-ME"/>
              </w:rPr>
            </w:pPr>
            <w:r w:rsidRPr="0055610F">
              <w:rPr>
                <w:b/>
                <w:sz w:val="22"/>
                <w:szCs w:val="22"/>
                <w:lang w:val="sr-Latn-ME"/>
              </w:rPr>
              <w:t>MabThera (N=167)</w:t>
            </w:r>
          </w:p>
        </w:tc>
        <w:tc>
          <w:tcPr>
            <w:tcW w:w="1422" w:type="dxa"/>
            <w:shd w:val="clear" w:color="auto" w:fill="auto"/>
          </w:tcPr>
          <w:p w:rsidR="007B7C69" w:rsidRPr="0055610F" w:rsidRDefault="007B7C69" w:rsidP="0055610F">
            <w:pPr>
              <w:jc w:val="center"/>
              <w:rPr>
                <w:b/>
                <w:sz w:val="22"/>
                <w:szCs w:val="22"/>
                <w:lang w:val="sr-Latn-ME"/>
              </w:rPr>
            </w:pPr>
            <w:r w:rsidRPr="0055610F">
              <w:rPr>
                <w:b/>
                <w:sz w:val="22"/>
                <w:szCs w:val="22"/>
                <w:lang w:val="sr-Latn-ME"/>
              </w:rPr>
              <w:t>Log-rank vrijednost p</w:t>
            </w:r>
          </w:p>
        </w:tc>
        <w:tc>
          <w:tcPr>
            <w:tcW w:w="1422" w:type="dxa"/>
            <w:vMerge/>
            <w:shd w:val="clear" w:color="auto" w:fill="auto"/>
          </w:tcPr>
          <w:p w:rsidR="007B7C69" w:rsidRPr="0055610F" w:rsidRDefault="007B7C69" w:rsidP="0055610F">
            <w:pPr>
              <w:jc w:val="center"/>
              <w:rPr>
                <w:b/>
                <w:sz w:val="22"/>
                <w:szCs w:val="22"/>
                <w:lang w:val="sr-Latn-ME"/>
              </w:rPr>
            </w:pPr>
          </w:p>
        </w:tc>
      </w:tr>
      <w:tr w:rsidR="007B7C69" w:rsidRPr="007642DC" w:rsidTr="007B7C69">
        <w:tc>
          <w:tcPr>
            <w:tcW w:w="3168" w:type="dxa"/>
            <w:shd w:val="clear" w:color="auto" w:fill="auto"/>
          </w:tcPr>
          <w:p w:rsidR="007B7C69" w:rsidRPr="0055610F" w:rsidRDefault="007B7C69" w:rsidP="004D5825">
            <w:pPr>
              <w:jc w:val="both"/>
              <w:rPr>
                <w:sz w:val="22"/>
                <w:szCs w:val="22"/>
                <w:lang w:val="sr-Latn-ME"/>
              </w:rPr>
            </w:pPr>
            <w:r w:rsidRPr="0055610F">
              <w:rPr>
                <w:sz w:val="22"/>
                <w:szCs w:val="22"/>
                <w:lang w:val="sr-Latn-ME"/>
              </w:rPr>
              <w:t>Preživljavanje bez progresije (PFS)</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14,3</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42,2</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&lt;0,0001</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61%</w:t>
            </w:r>
          </w:p>
        </w:tc>
      </w:tr>
      <w:tr w:rsidR="007B7C69" w:rsidRPr="007642DC" w:rsidTr="007B7C69">
        <w:tc>
          <w:tcPr>
            <w:tcW w:w="3168" w:type="dxa"/>
            <w:shd w:val="clear" w:color="auto" w:fill="auto"/>
          </w:tcPr>
          <w:p w:rsidR="007B7C69" w:rsidRPr="0055610F" w:rsidRDefault="007B7C69" w:rsidP="004D5825">
            <w:pPr>
              <w:jc w:val="both"/>
              <w:rPr>
                <w:sz w:val="22"/>
                <w:szCs w:val="22"/>
                <w:lang w:val="sr-Latn-ME"/>
              </w:rPr>
            </w:pPr>
            <w:r w:rsidRPr="0055610F">
              <w:rPr>
                <w:sz w:val="22"/>
                <w:szCs w:val="22"/>
                <w:lang w:val="sr-Latn-ME"/>
              </w:rPr>
              <w:t>Ukupno preživljavanje</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NR</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NR</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0,0039</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56%</w:t>
            </w:r>
          </w:p>
        </w:tc>
      </w:tr>
      <w:tr w:rsidR="007B7C69" w:rsidRPr="007642DC" w:rsidTr="007B7C69">
        <w:tc>
          <w:tcPr>
            <w:tcW w:w="3168" w:type="dxa"/>
            <w:shd w:val="clear" w:color="auto" w:fill="auto"/>
          </w:tcPr>
          <w:p w:rsidR="007B7C69" w:rsidRPr="0055610F" w:rsidRDefault="007B7C69" w:rsidP="004D5825">
            <w:pPr>
              <w:jc w:val="both"/>
              <w:rPr>
                <w:sz w:val="22"/>
                <w:szCs w:val="22"/>
                <w:lang w:val="sr-Latn-ME"/>
              </w:rPr>
            </w:pPr>
            <w:r w:rsidRPr="0055610F">
              <w:rPr>
                <w:sz w:val="22"/>
                <w:szCs w:val="22"/>
                <w:lang w:val="sr-Latn-ME"/>
              </w:rPr>
              <w:t>Vrijeme do nove terapije limfoma</w:t>
            </w:r>
          </w:p>
          <w:p w:rsidR="007B7C69" w:rsidRPr="0055610F" w:rsidRDefault="007B7C69" w:rsidP="004D5825">
            <w:pPr>
              <w:jc w:val="both"/>
              <w:rPr>
                <w:sz w:val="22"/>
                <w:szCs w:val="22"/>
                <w:lang w:val="sr-Latn-ME"/>
              </w:rPr>
            </w:pP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20,1</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38,8</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&lt;0,0001</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50%</w:t>
            </w:r>
          </w:p>
        </w:tc>
      </w:tr>
      <w:tr w:rsidR="007B7C69" w:rsidRPr="007642DC" w:rsidTr="007B7C69">
        <w:tc>
          <w:tcPr>
            <w:tcW w:w="3168" w:type="dxa"/>
            <w:shd w:val="clear" w:color="auto" w:fill="auto"/>
          </w:tcPr>
          <w:p w:rsidR="007B7C69" w:rsidRPr="0055610F" w:rsidRDefault="007B7C69" w:rsidP="004D5825">
            <w:pPr>
              <w:jc w:val="both"/>
              <w:rPr>
                <w:sz w:val="22"/>
                <w:szCs w:val="22"/>
                <w:lang w:val="sr-Latn-ME"/>
              </w:rPr>
            </w:pPr>
            <w:r w:rsidRPr="0055610F">
              <w:rPr>
                <w:sz w:val="22"/>
                <w:szCs w:val="22"/>
                <w:lang w:val="sr-Latn-ME"/>
              </w:rPr>
              <w:t>Preživljavanje bez bolesti</w:t>
            </w:r>
            <w:r w:rsidRPr="0055610F">
              <w:rPr>
                <w:sz w:val="22"/>
                <w:szCs w:val="22"/>
                <w:vertAlign w:val="superscript"/>
                <w:lang w:val="sr-Latn-ME"/>
              </w:rPr>
              <w:t>a)</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16,5</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53,7</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0,0003</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67%</w:t>
            </w:r>
          </w:p>
        </w:tc>
      </w:tr>
      <w:tr w:rsidR="007B7C69" w:rsidRPr="007642DC" w:rsidTr="007B7C69">
        <w:tc>
          <w:tcPr>
            <w:tcW w:w="3168" w:type="dxa"/>
            <w:shd w:val="clear" w:color="auto" w:fill="auto"/>
          </w:tcPr>
          <w:p w:rsidR="007B7C69" w:rsidRPr="0055610F" w:rsidRDefault="007B7C69" w:rsidP="004D5825">
            <w:pPr>
              <w:jc w:val="both"/>
              <w:rPr>
                <w:sz w:val="22"/>
                <w:szCs w:val="22"/>
                <w:lang w:val="sr-Latn-ME"/>
              </w:rPr>
            </w:pPr>
            <w:r w:rsidRPr="0055610F">
              <w:rPr>
                <w:sz w:val="22"/>
                <w:szCs w:val="22"/>
                <w:lang w:val="sr-Latn-ME"/>
              </w:rPr>
              <w:t>Analiza podgrupa</w:t>
            </w:r>
          </w:p>
        </w:tc>
        <w:tc>
          <w:tcPr>
            <w:tcW w:w="1422" w:type="dxa"/>
            <w:shd w:val="clear" w:color="auto" w:fill="auto"/>
          </w:tcPr>
          <w:p w:rsidR="007B7C69" w:rsidRPr="0055610F" w:rsidRDefault="007B7C69" w:rsidP="0055610F">
            <w:pPr>
              <w:jc w:val="center"/>
              <w:rPr>
                <w:sz w:val="22"/>
                <w:szCs w:val="22"/>
                <w:lang w:val="sr-Latn-ME"/>
              </w:rPr>
            </w:pPr>
          </w:p>
        </w:tc>
        <w:tc>
          <w:tcPr>
            <w:tcW w:w="1422" w:type="dxa"/>
            <w:shd w:val="clear" w:color="auto" w:fill="auto"/>
          </w:tcPr>
          <w:p w:rsidR="007B7C69" w:rsidRPr="0055610F" w:rsidRDefault="007B7C69" w:rsidP="0055610F">
            <w:pPr>
              <w:jc w:val="center"/>
              <w:rPr>
                <w:sz w:val="22"/>
                <w:szCs w:val="22"/>
                <w:lang w:val="sr-Latn-ME"/>
              </w:rPr>
            </w:pPr>
          </w:p>
        </w:tc>
        <w:tc>
          <w:tcPr>
            <w:tcW w:w="1422" w:type="dxa"/>
            <w:shd w:val="clear" w:color="auto" w:fill="auto"/>
          </w:tcPr>
          <w:p w:rsidR="007B7C69" w:rsidRPr="0055610F" w:rsidRDefault="007B7C69" w:rsidP="0055610F">
            <w:pPr>
              <w:jc w:val="center"/>
              <w:rPr>
                <w:sz w:val="22"/>
                <w:szCs w:val="22"/>
                <w:lang w:val="sr-Latn-ME"/>
              </w:rPr>
            </w:pPr>
          </w:p>
        </w:tc>
        <w:tc>
          <w:tcPr>
            <w:tcW w:w="1422" w:type="dxa"/>
            <w:shd w:val="clear" w:color="auto" w:fill="auto"/>
          </w:tcPr>
          <w:p w:rsidR="007B7C69" w:rsidRPr="0055610F" w:rsidRDefault="007B7C69" w:rsidP="0055610F">
            <w:pPr>
              <w:jc w:val="center"/>
              <w:rPr>
                <w:sz w:val="22"/>
                <w:szCs w:val="22"/>
                <w:lang w:val="sr-Latn-ME"/>
              </w:rPr>
            </w:pPr>
          </w:p>
        </w:tc>
      </w:tr>
      <w:tr w:rsidR="007B7C69" w:rsidRPr="007642DC" w:rsidTr="007B7C69">
        <w:tc>
          <w:tcPr>
            <w:tcW w:w="3168" w:type="dxa"/>
            <w:shd w:val="clear" w:color="auto" w:fill="auto"/>
          </w:tcPr>
          <w:p w:rsidR="007B7C69" w:rsidRPr="0055610F" w:rsidRDefault="007B7C69" w:rsidP="004D5825">
            <w:pPr>
              <w:jc w:val="both"/>
              <w:rPr>
                <w:sz w:val="22"/>
                <w:szCs w:val="22"/>
                <w:lang w:val="sr-Latn-ME"/>
              </w:rPr>
            </w:pPr>
            <w:r w:rsidRPr="0055610F">
              <w:rPr>
                <w:sz w:val="22"/>
                <w:szCs w:val="22"/>
                <w:lang w:val="sr-Latn-ME"/>
              </w:rPr>
              <w:t>PFS</w:t>
            </w:r>
          </w:p>
        </w:tc>
        <w:tc>
          <w:tcPr>
            <w:tcW w:w="1422" w:type="dxa"/>
            <w:shd w:val="clear" w:color="auto" w:fill="auto"/>
          </w:tcPr>
          <w:p w:rsidR="007B7C69" w:rsidRPr="0055610F" w:rsidRDefault="007B7C69" w:rsidP="0055610F">
            <w:pPr>
              <w:jc w:val="center"/>
              <w:rPr>
                <w:sz w:val="22"/>
                <w:szCs w:val="22"/>
                <w:lang w:val="sr-Latn-ME"/>
              </w:rPr>
            </w:pPr>
          </w:p>
        </w:tc>
        <w:tc>
          <w:tcPr>
            <w:tcW w:w="1422" w:type="dxa"/>
            <w:shd w:val="clear" w:color="auto" w:fill="auto"/>
          </w:tcPr>
          <w:p w:rsidR="007B7C69" w:rsidRPr="0055610F" w:rsidRDefault="007B7C69" w:rsidP="0055610F">
            <w:pPr>
              <w:jc w:val="center"/>
              <w:rPr>
                <w:sz w:val="22"/>
                <w:szCs w:val="22"/>
                <w:lang w:val="sr-Latn-ME"/>
              </w:rPr>
            </w:pPr>
          </w:p>
        </w:tc>
        <w:tc>
          <w:tcPr>
            <w:tcW w:w="1422" w:type="dxa"/>
            <w:shd w:val="clear" w:color="auto" w:fill="auto"/>
          </w:tcPr>
          <w:p w:rsidR="007B7C69" w:rsidRPr="0055610F" w:rsidRDefault="007B7C69" w:rsidP="0055610F">
            <w:pPr>
              <w:jc w:val="center"/>
              <w:rPr>
                <w:sz w:val="22"/>
                <w:szCs w:val="22"/>
                <w:lang w:val="sr-Latn-ME"/>
              </w:rPr>
            </w:pPr>
          </w:p>
        </w:tc>
        <w:tc>
          <w:tcPr>
            <w:tcW w:w="1422" w:type="dxa"/>
            <w:shd w:val="clear" w:color="auto" w:fill="auto"/>
          </w:tcPr>
          <w:p w:rsidR="007B7C69" w:rsidRPr="0055610F" w:rsidRDefault="007B7C69" w:rsidP="0055610F">
            <w:pPr>
              <w:jc w:val="center"/>
              <w:rPr>
                <w:sz w:val="22"/>
                <w:szCs w:val="22"/>
                <w:lang w:val="sr-Latn-ME"/>
              </w:rPr>
            </w:pPr>
          </w:p>
        </w:tc>
      </w:tr>
      <w:tr w:rsidR="007B7C69" w:rsidRPr="007642DC" w:rsidTr="007B7C69">
        <w:tc>
          <w:tcPr>
            <w:tcW w:w="3168" w:type="dxa"/>
            <w:shd w:val="clear" w:color="auto" w:fill="auto"/>
          </w:tcPr>
          <w:p w:rsidR="007B7C69" w:rsidRPr="0055610F" w:rsidRDefault="007B7C69" w:rsidP="004D5825">
            <w:pPr>
              <w:jc w:val="both"/>
              <w:rPr>
                <w:sz w:val="22"/>
                <w:szCs w:val="22"/>
                <w:lang w:val="sr-Latn-ME"/>
              </w:rPr>
            </w:pPr>
            <w:r w:rsidRPr="0055610F">
              <w:rPr>
                <w:sz w:val="22"/>
                <w:szCs w:val="22"/>
                <w:lang w:val="sr-Latn-ME"/>
              </w:rPr>
              <w:t>CHOP</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11,6</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37,5</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&lt;0,0001</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71%</w:t>
            </w:r>
          </w:p>
        </w:tc>
      </w:tr>
      <w:tr w:rsidR="007B7C69" w:rsidRPr="007642DC" w:rsidTr="007B7C69">
        <w:tc>
          <w:tcPr>
            <w:tcW w:w="3168" w:type="dxa"/>
            <w:shd w:val="clear" w:color="auto" w:fill="auto"/>
          </w:tcPr>
          <w:p w:rsidR="007B7C69" w:rsidRPr="0055610F" w:rsidRDefault="007B7C69" w:rsidP="004D5825">
            <w:pPr>
              <w:jc w:val="both"/>
              <w:rPr>
                <w:sz w:val="22"/>
                <w:szCs w:val="22"/>
                <w:lang w:val="sr-Latn-ME"/>
              </w:rPr>
            </w:pPr>
            <w:r w:rsidRPr="0055610F">
              <w:rPr>
                <w:sz w:val="22"/>
                <w:szCs w:val="22"/>
                <w:lang w:val="sr-Latn-ME"/>
              </w:rPr>
              <w:t>R-CHOP</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22,1</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51,9</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0,0071</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46%</w:t>
            </w:r>
          </w:p>
        </w:tc>
      </w:tr>
      <w:tr w:rsidR="007B7C69" w:rsidRPr="007642DC" w:rsidTr="007B7C69">
        <w:tc>
          <w:tcPr>
            <w:tcW w:w="3168" w:type="dxa"/>
            <w:shd w:val="clear" w:color="auto" w:fill="auto"/>
          </w:tcPr>
          <w:p w:rsidR="007B7C69" w:rsidRPr="0055610F" w:rsidRDefault="007B7C69" w:rsidP="004D5825">
            <w:pPr>
              <w:jc w:val="both"/>
              <w:rPr>
                <w:sz w:val="22"/>
                <w:szCs w:val="22"/>
                <w:lang w:val="sr-Latn-ME"/>
              </w:rPr>
            </w:pPr>
            <w:r w:rsidRPr="0055610F">
              <w:rPr>
                <w:sz w:val="22"/>
                <w:szCs w:val="22"/>
                <w:lang w:val="sr-Latn-ME"/>
              </w:rPr>
              <w:lastRenderedPageBreak/>
              <w:t>CR</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14,3</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52,8</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0,0008</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64%</w:t>
            </w:r>
          </w:p>
        </w:tc>
      </w:tr>
      <w:tr w:rsidR="007B7C69" w:rsidRPr="007642DC" w:rsidTr="007B7C69">
        <w:tc>
          <w:tcPr>
            <w:tcW w:w="3168" w:type="dxa"/>
            <w:shd w:val="clear" w:color="auto" w:fill="auto"/>
          </w:tcPr>
          <w:p w:rsidR="007B7C69" w:rsidRPr="0055610F" w:rsidRDefault="007B7C69" w:rsidP="004D5825">
            <w:pPr>
              <w:jc w:val="both"/>
              <w:rPr>
                <w:sz w:val="22"/>
                <w:szCs w:val="22"/>
                <w:lang w:val="sr-Latn-ME"/>
              </w:rPr>
            </w:pPr>
            <w:r w:rsidRPr="0055610F">
              <w:rPr>
                <w:sz w:val="22"/>
                <w:szCs w:val="22"/>
                <w:lang w:val="sr-Latn-ME"/>
              </w:rPr>
              <w:t>PR</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14,3</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37,8</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&lt;0,0001</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54%</w:t>
            </w:r>
          </w:p>
        </w:tc>
      </w:tr>
      <w:tr w:rsidR="007B7C69" w:rsidRPr="007642DC" w:rsidTr="007B7C69">
        <w:tc>
          <w:tcPr>
            <w:tcW w:w="3168" w:type="dxa"/>
            <w:shd w:val="clear" w:color="auto" w:fill="auto"/>
          </w:tcPr>
          <w:p w:rsidR="007B7C69" w:rsidRPr="0055610F" w:rsidRDefault="007B7C69" w:rsidP="004D5825">
            <w:pPr>
              <w:jc w:val="both"/>
              <w:rPr>
                <w:sz w:val="22"/>
                <w:szCs w:val="22"/>
                <w:lang w:val="sr-Latn-ME"/>
              </w:rPr>
            </w:pPr>
            <w:r w:rsidRPr="0055610F">
              <w:rPr>
                <w:sz w:val="22"/>
                <w:szCs w:val="22"/>
                <w:lang w:val="sr-Latn-ME"/>
              </w:rPr>
              <w:t>OS</w:t>
            </w:r>
          </w:p>
        </w:tc>
        <w:tc>
          <w:tcPr>
            <w:tcW w:w="1422" w:type="dxa"/>
            <w:shd w:val="clear" w:color="auto" w:fill="auto"/>
          </w:tcPr>
          <w:p w:rsidR="007B7C69" w:rsidRPr="0055610F" w:rsidRDefault="007B7C69" w:rsidP="0055610F">
            <w:pPr>
              <w:jc w:val="center"/>
              <w:rPr>
                <w:sz w:val="22"/>
                <w:szCs w:val="22"/>
                <w:lang w:val="sr-Latn-ME"/>
              </w:rPr>
            </w:pPr>
          </w:p>
        </w:tc>
        <w:tc>
          <w:tcPr>
            <w:tcW w:w="1422" w:type="dxa"/>
            <w:shd w:val="clear" w:color="auto" w:fill="auto"/>
          </w:tcPr>
          <w:p w:rsidR="007B7C69" w:rsidRPr="0055610F" w:rsidRDefault="007B7C69" w:rsidP="0055610F">
            <w:pPr>
              <w:jc w:val="center"/>
              <w:rPr>
                <w:sz w:val="22"/>
                <w:szCs w:val="22"/>
                <w:lang w:val="sr-Latn-ME"/>
              </w:rPr>
            </w:pPr>
          </w:p>
        </w:tc>
        <w:tc>
          <w:tcPr>
            <w:tcW w:w="1422" w:type="dxa"/>
            <w:shd w:val="clear" w:color="auto" w:fill="auto"/>
          </w:tcPr>
          <w:p w:rsidR="007B7C69" w:rsidRPr="0055610F" w:rsidRDefault="007B7C69" w:rsidP="0055610F">
            <w:pPr>
              <w:jc w:val="center"/>
              <w:rPr>
                <w:sz w:val="22"/>
                <w:szCs w:val="22"/>
                <w:lang w:val="sr-Latn-ME"/>
              </w:rPr>
            </w:pPr>
          </w:p>
        </w:tc>
        <w:tc>
          <w:tcPr>
            <w:tcW w:w="1422" w:type="dxa"/>
            <w:shd w:val="clear" w:color="auto" w:fill="auto"/>
          </w:tcPr>
          <w:p w:rsidR="007B7C69" w:rsidRPr="0055610F" w:rsidRDefault="007B7C69" w:rsidP="0055610F">
            <w:pPr>
              <w:jc w:val="center"/>
              <w:rPr>
                <w:sz w:val="22"/>
                <w:szCs w:val="22"/>
                <w:lang w:val="sr-Latn-ME"/>
              </w:rPr>
            </w:pPr>
          </w:p>
        </w:tc>
      </w:tr>
      <w:tr w:rsidR="007B7C69" w:rsidRPr="007642DC" w:rsidTr="007B7C69">
        <w:tc>
          <w:tcPr>
            <w:tcW w:w="3168" w:type="dxa"/>
            <w:shd w:val="clear" w:color="auto" w:fill="auto"/>
          </w:tcPr>
          <w:p w:rsidR="007B7C69" w:rsidRPr="0055610F" w:rsidRDefault="007B7C69" w:rsidP="004D5825">
            <w:pPr>
              <w:jc w:val="both"/>
              <w:rPr>
                <w:sz w:val="22"/>
                <w:szCs w:val="22"/>
                <w:lang w:val="sr-Latn-ME"/>
              </w:rPr>
            </w:pPr>
            <w:r w:rsidRPr="0055610F">
              <w:rPr>
                <w:sz w:val="22"/>
                <w:szCs w:val="22"/>
                <w:lang w:val="sr-Latn-ME"/>
              </w:rPr>
              <w:t>CHOP</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NR</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NR</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0,0348</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55%</w:t>
            </w:r>
          </w:p>
        </w:tc>
      </w:tr>
      <w:tr w:rsidR="007B7C69" w:rsidRPr="007642DC" w:rsidTr="007B7C69">
        <w:tc>
          <w:tcPr>
            <w:tcW w:w="3168" w:type="dxa"/>
            <w:shd w:val="clear" w:color="auto" w:fill="auto"/>
          </w:tcPr>
          <w:p w:rsidR="007B7C69" w:rsidRPr="0055610F" w:rsidRDefault="007B7C69" w:rsidP="004D5825">
            <w:pPr>
              <w:jc w:val="both"/>
              <w:rPr>
                <w:sz w:val="22"/>
                <w:szCs w:val="22"/>
                <w:lang w:val="sr-Latn-ME"/>
              </w:rPr>
            </w:pPr>
            <w:r w:rsidRPr="0055610F">
              <w:rPr>
                <w:sz w:val="22"/>
                <w:szCs w:val="22"/>
                <w:lang w:val="sr-Latn-ME"/>
              </w:rPr>
              <w:t>R-CHOP</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NR</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NR</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0,0482</w:t>
            </w:r>
          </w:p>
        </w:tc>
        <w:tc>
          <w:tcPr>
            <w:tcW w:w="1422" w:type="dxa"/>
            <w:shd w:val="clear" w:color="auto" w:fill="auto"/>
          </w:tcPr>
          <w:p w:rsidR="007B7C69" w:rsidRPr="0055610F" w:rsidRDefault="007B7C69" w:rsidP="0055610F">
            <w:pPr>
              <w:jc w:val="center"/>
              <w:rPr>
                <w:sz w:val="22"/>
                <w:szCs w:val="22"/>
                <w:lang w:val="sr-Latn-ME"/>
              </w:rPr>
            </w:pPr>
            <w:r w:rsidRPr="0055610F">
              <w:rPr>
                <w:sz w:val="22"/>
                <w:szCs w:val="22"/>
                <w:lang w:val="sr-Latn-ME"/>
              </w:rPr>
              <w:t>56%</w:t>
            </w:r>
          </w:p>
        </w:tc>
      </w:tr>
    </w:tbl>
    <w:p w:rsidR="007B7C69" w:rsidRPr="0055610F" w:rsidRDefault="007B7C69" w:rsidP="004D5825">
      <w:pPr>
        <w:jc w:val="both"/>
        <w:rPr>
          <w:sz w:val="22"/>
          <w:szCs w:val="22"/>
          <w:lang w:val="sr-Latn-ME"/>
        </w:rPr>
      </w:pPr>
      <w:r w:rsidRPr="0055610F">
        <w:rPr>
          <w:caps/>
          <w:sz w:val="22"/>
          <w:szCs w:val="22"/>
          <w:lang w:val="sr-Latn-ME"/>
        </w:rPr>
        <w:t>nr</w:t>
      </w:r>
      <w:r w:rsidRPr="0055610F">
        <w:rPr>
          <w:sz w:val="22"/>
          <w:szCs w:val="22"/>
          <w:lang w:val="sr-Latn-ME"/>
        </w:rPr>
        <w:t xml:space="preserve"> – nije dostignut; </w:t>
      </w:r>
      <w:r w:rsidRPr="0055610F">
        <w:rPr>
          <w:sz w:val="22"/>
          <w:szCs w:val="22"/>
          <w:vertAlign w:val="superscript"/>
          <w:lang w:val="sr-Latn-ME"/>
        </w:rPr>
        <w:t>a)</w:t>
      </w:r>
      <w:r w:rsidRPr="0055610F">
        <w:rPr>
          <w:sz w:val="22"/>
          <w:szCs w:val="22"/>
          <w:lang w:val="sr-Latn-ME"/>
        </w:rPr>
        <w:t xml:space="preserve"> primjenjuje se samo na pacijente koji dostignu </w:t>
      </w:r>
      <w:r w:rsidRPr="0055610F">
        <w:rPr>
          <w:caps/>
          <w:sz w:val="22"/>
          <w:szCs w:val="22"/>
          <w:lang w:val="sr-Latn-ME"/>
        </w:rPr>
        <w:t>cr</w:t>
      </w:r>
    </w:p>
    <w:p w:rsidR="007B7C69" w:rsidRPr="0055610F" w:rsidRDefault="007B7C69" w:rsidP="004D5825">
      <w:pPr>
        <w:jc w:val="both"/>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Korist od terapije održavanja lijekom MabThera potvrđena je u svim analiziranim podgrupa nezavisno od uvodnog režima liječenja (CHOP ili R</w:t>
      </w:r>
      <w:r w:rsidRPr="0055610F">
        <w:rPr>
          <w:sz w:val="22"/>
          <w:szCs w:val="22"/>
          <w:lang w:val="sr-Latn-ME"/>
        </w:rPr>
        <w:noBreakHyphen/>
        <w:t>CHOP) i kvaliteta odgovora na uvodno liječenje (CR ili PR) (tabela 11). Terapija održavanja lijekom MabThera značajno je produžila medijan</w:t>
      </w:r>
      <w:r w:rsidR="003142FF" w:rsidRPr="0055610F">
        <w:rPr>
          <w:sz w:val="22"/>
          <w:szCs w:val="22"/>
          <w:lang w:val="sr-Latn-ME"/>
        </w:rPr>
        <w:t>u</w:t>
      </w:r>
      <w:r w:rsidRPr="0055610F">
        <w:rPr>
          <w:sz w:val="22"/>
          <w:szCs w:val="22"/>
          <w:lang w:val="sr-Latn-ME"/>
        </w:rPr>
        <w:t xml:space="preserve"> PFS</w:t>
      </w:r>
      <w:r w:rsidRPr="0055610F">
        <w:rPr>
          <w:sz w:val="22"/>
          <w:szCs w:val="22"/>
          <w:lang w:val="sr-Latn-ME"/>
        </w:rPr>
        <w:noBreakHyphen/>
        <w:t>a kod pacijenata koji su odgovorili na uvodnu terapiju CHOP</w:t>
      </w:r>
      <w:r w:rsidRPr="0055610F">
        <w:rPr>
          <w:sz w:val="22"/>
          <w:szCs w:val="22"/>
          <w:lang w:val="sr-Latn-ME"/>
        </w:rPr>
        <w:noBreakHyphen/>
        <w:t>om (medijan</w:t>
      </w:r>
      <w:r w:rsidR="003142FF" w:rsidRPr="0055610F">
        <w:rPr>
          <w:sz w:val="22"/>
          <w:szCs w:val="22"/>
          <w:lang w:val="sr-Latn-ME"/>
        </w:rPr>
        <w:t>a</w:t>
      </w:r>
      <w:r w:rsidRPr="0055610F">
        <w:rPr>
          <w:sz w:val="22"/>
          <w:szCs w:val="22"/>
          <w:lang w:val="sr-Latn-ME"/>
        </w:rPr>
        <w:t xml:space="preserve"> PFS</w:t>
      </w:r>
      <w:r w:rsidRPr="0055610F">
        <w:rPr>
          <w:sz w:val="22"/>
          <w:szCs w:val="22"/>
          <w:lang w:val="sr-Latn-ME"/>
        </w:rPr>
        <w:noBreakHyphen/>
        <w:t>a 37,5 mjeseci u odnosu na 11,6 mjeseci, p &lt; 0,0001) kao i u onih koji su odgovorili na indukciju R</w:t>
      </w:r>
      <w:r w:rsidRPr="0055610F">
        <w:rPr>
          <w:sz w:val="22"/>
          <w:szCs w:val="22"/>
          <w:lang w:val="sr-Latn-ME"/>
        </w:rPr>
        <w:noBreakHyphen/>
        <w:t>CHOP</w:t>
      </w:r>
      <w:r w:rsidRPr="0055610F">
        <w:rPr>
          <w:sz w:val="22"/>
          <w:szCs w:val="22"/>
          <w:lang w:val="sr-Latn-ME"/>
        </w:rPr>
        <w:noBreakHyphen/>
        <w:t>om (medijan</w:t>
      </w:r>
      <w:r w:rsidR="003142FF" w:rsidRPr="0055610F">
        <w:rPr>
          <w:sz w:val="22"/>
          <w:szCs w:val="22"/>
          <w:lang w:val="sr-Latn-ME"/>
        </w:rPr>
        <w:t>a</w:t>
      </w:r>
      <w:r w:rsidRPr="0055610F">
        <w:rPr>
          <w:sz w:val="22"/>
          <w:szCs w:val="22"/>
          <w:lang w:val="sr-Latn-ME"/>
        </w:rPr>
        <w:t xml:space="preserve"> PFS</w:t>
      </w:r>
      <w:r w:rsidRPr="0055610F">
        <w:rPr>
          <w:sz w:val="22"/>
          <w:szCs w:val="22"/>
          <w:lang w:val="sr-Latn-ME"/>
        </w:rPr>
        <w:noBreakHyphen/>
        <w:t>a 51,9 mjeseci u odnosu na 22,1 mjesec</w:t>
      </w:r>
      <w:r w:rsidR="003142FF" w:rsidRPr="0055610F">
        <w:rPr>
          <w:sz w:val="22"/>
          <w:szCs w:val="22"/>
          <w:lang w:val="sr-Latn-ME"/>
        </w:rPr>
        <w:t>i</w:t>
      </w:r>
      <w:r w:rsidRPr="0055610F">
        <w:rPr>
          <w:sz w:val="22"/>
          <w:szCs w:val="22"/>
          <w:lang w:val="sr-Latn-ME"/>
        </w:rPr>
        <w:t>, p = 0,0071). Iako su podgrupe bile male, terapija održavanja lijekom MabThera donijela je značajnu korist u smislu ukupnog preživljenja kako pacijentima koji su odgovorili na CHOP tako i onima koji su odgovorili na R</w:t>
      </w:r>
      <w:r w:rsidRPr="0055610F">
        <w:rPr>
          <w:sz w:val="22"/>
          <w:szCs w:val="22"/>
          <w:lang w:val="sr-Latn-ME"/>
        </w:rPr>
        <w:noBreakHyphen/>
        <w:t xml:space="preserve">CHOP. Ipak, za potvrdu tog zapažanja potrebno je duže praćenje. </w:t>
      </w:r>
    </w:p>
    <w:p w:rsidR="007B7C69" w:rsidRPr="0055610F" w:rsidRDefault="007B7C69" w:rsidP="004D5825">
      <w:pPr>
        <w:jc w:val="both"/>
        <w:outlineLvl w:val="0"/>
        <w:rPr>
          <w:sz w:val="22"/>
          <w:szCs w:val="22"/>
          <w:lang w:val="sr-Latn-ME"/>
        </w:rPr>
      </w:pPr>
    </w:p>
    <w:p w:rsidR="007B7C69" w:rsidRPr="0055610F" w:rsidRDefault="007B7C69" w:rsidP="004D5825">
      <w:pPr>
        <w:jc w:val="both"/>
        <w:rPr>
          <w:sz w:val="22"/>
          <w:szCs w:val="22"/>
          <w:u w:val="single"/>
          <w:lang w:val="sr-Latn-ME"/>
        </w:rPr>
      </w:pPr>
      <w:r w:rsidRPr="0055610F">
        <w:rPr>
          <w:i/>
          <w:sz w:val="22"/>
          <w:szCs w:val="22"/>
          <w:u w:val="single"/>
          <w:lang w:val="sr-Latn-ME"/>
        </w:rPr>
        <w:t>Difuzni non-Hodgkinov limfom B krupnih ćelija kod odraslih pacijenata</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U jednom otvorenom randomizovanom ispitivanju, ukupno 399 prethodno neliječenih </w:t>
      </w:r>
      <w:r w:rsidR="00B16626" w:rsidRPr="0055610F">
        <w:rPr>
          <w:sz w:val="22"/>
          <w:szCs w:val="22"/>
          <w:lang w:val="sr-Latn-ME"/>
        </w:rPr>
        <w:t>pacijenata</w:t>
      </w:r>
      <w:r w:rsidRPr="0055610F">
        <w:rPr>
          <w:sz w:val="22"/>
          <w:szCs w:val="22"/>
          <w:lang w:val="sr-Latn-ME"/>
        </w:rPr>
        <w:t xml:space="preserve"> starijeg životnog doba (starosti 60 do 80 godina) oboljelih od difuznog B krupnoćelijskog limfoma primalo je standardnu CHOP hemioterapiju (ciklofosfamid 750 mg/m</w:t>
      </w:r>
      <w:r w:rsidRPr="0055610F">
        <w:rPr>
          <w:sz w:val="22"/>
          <w:szCs w:val="22"/>
          <w:vertAlign w:val="superscript"/>
          <w:lang w:val="sr-Latn-ME"/>
        </w:rPr>
        <w:t>2</w:t>
      </w:r>
      <w:r w:rsidRPr="0055610F">
        <w:rPr>
          <w:sz w:val="22"/>
          <w:szCs w:val="22"/>
          <w:lang w:val="sr-Latn-ME"/>
        </w:rPr>
        <w:t>, doksorubicin 50 mg/m</w:t>
      </w:r>
      <w:r w:rsidRPr="0055610F">
        <w:rPr>
          <w:sz w:val="22"/>
          <w:szCs w:val="22"/>
          <w:vertAlign w:val="superscript"/>
          <w:lang w:val="sr-Latn-ME"/>
        </w:rPr>
        <w:t xml:space="preserve">2, </w:t>
      </w:r>
      <w:r w:rsidRPr="0055610F">
        <w:rPr>
          <w:sz w:val="22"/>
          <w:szCs w:val="22"/>
          <w:lang w:val="sr-Latn-ME"/>
        </w:rPr>
        <w:t>vinkristin 1,4 mg/m</w:t>
      </w:r>
      <w:r w:rsidRPr="0055610F">
        <w:rPr>
          <w:sz w:val="22"/>
          <w:szCs w:val="22"/>
          <w:vertAlign w:val="superscript"/>
          <w:lang w:val="sr-Latn-ME"/>
        </w:rPr>
        <w:t>2</w:t>
      </w:r>
      <w:r w:rsidRPr="0055610F">
        <w:rPr>
          <w:sz w:val="22"/>
          <w:szCs w:val="22"/>
          <w:lang w:val="sr-Latn-ME"/>
        </w:rPr>
        <w:t xml:space="preserve"> do maksimalno 2 mg dnevno prvog dana i prednizolon 40 mg/m</w:t>
      </w:r>
      <w:r w:rsidRPr="0055610F">
        <w:rPr>
          <w:sz w:val="22"/>
          <w:szCs w:val="22"/>
          <w:vertAlign w:val="superscript"/>
          <w:lang w:val="sr-Latn-ME"/>
        </w:rPr>
        <w:t>2</w:t>
      </w:r>
      <w:r w:rsidRPr="0055610F">
        <w:rPr>
          <w:sz w:val="22"/>
          <w:szCs w:val="22"/>
          <w:lang w:val="sr-Latn-ME"/>
        </w:rPr>
        <w:t xml:space="preserve"> prvog do petog dana) svake tri ned</w:t>
      </w:r>
      <w:r w:rsidR="003142FF" w:rsidRPr="0055610F">
        <w:rPr>
          <w:sz w:val="22"/>
          <w:szCs w:val="22"/>
          <w:lang w:val="sr-Latn-ME"/>
        </w:rPr>
        <w:t>j</w:t>
      </w:r>
      <w:r w:rsidRPr="0055610F">
        <w:rPr>
          <w:sz w:val="22"/>
          <w:szCs w:val="22"/>
          <w:lang w:val="sr-Latn-ME"/>
        </w:rPr>
        <w:t>elje tokom trajanja 8 ciklusa ili lijek MabThera 375 mg/m</w:t>
      </w:r>
      <w:r w:rsidRPr="0055610F">
        <w:rPr>
          <w:sz w:val="22"/>
          <w:szCs w:val="22"/>
          <w:vertAlign w:val="superscript"/>
          <w:lang w:val="sr-Latn-ME"/>
        </w:rPr>
        <w:t>2</w:t>
      </w:r>
      <w:r w:rsidRPr="0055610F">
        <w:rPr>
          <w:sz w:val="22"/>
          <w:szCs w:val="22"/>
          <w:lang w:val="sr-Latn-ME"/>
        </w:rPr>
        <w:t xml:space="preserve"> plus CHOP (R-CHOP). MabThera je davana prvog dana svakog terapijskog ciklusa.</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Konačna analiza efikasnosti uključila je sve randomizovane pacijente (197 CHOP, 202 R-CHOP) koji su imali srednje vrijeme praćenja od približno 31 mjesec. Dvije terapijske grupe bile su ujednačene u osnovnim karakteristikama bolesti i stanju bolesti. Finalna analiza je potvrdila da je terapija R-CHOP praćena klinički relevantnim i statistički značajnim poboljšanjem trajanja preživljavanja bez znakova događaja (osnovni parametar efikasnosti; ovdje se pod događajima podrazumijevaju smrt, recidiv ili progresija limfoma ili uvođenje nove terapije protiv limfoma (p=0,0001). Kaplan-Majerova analiza procjenjuje srednje trajanje preživljavanja bez događaja na 35 mjeseci u grupi R-CHOP u poređenju sa 13 m</w:t>
      </w:r>
      <w:r w:rsidR="00430A27" w:rsidRPr="0055610F">
        <w:rPr>
          <w:sz w:val="22"/>
          <w:szCs w:val="22"/>
          <w:lang w:val="sr-Latn-ME"/>
        </w:rPr>
        <w:t>j</w:t>
      </w:r>
      <w:r w:rsidRPr="0055610F">
        <w:rPr>
          <w:sz w:val="22"/>
          <w:szCs w:val="22"/>
          <w:lang w:val="sr-Latn-ME"/>
        </w:rPr>
        <w:t>eseci u grupi CHOP, što predstavlja smanjenje rizika od 41%. Poslije 24 mjeseci, procjena ukupnog preživljavanja iznosila je 68,2% u grupi R-CHOP u poređenju sa 57,4% u grupi CHOP. Naknadna analiza trajanja ukupnog preživljavanja obavljena sa srednjim trajanjem praćenja od 60 mjeseci potvrdila  je korist od R-CHOP u poređenju sa grupom CHOP (p=0,0071), što predstavlja smanjenje rizika od 32%.</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Analiza svih sekundarnih parametara (stope odgovora, preživljavanja bez progresije, preživljavanje bez bolesti, trajanje odgovora) potvrdila je dejstvo terapije R-CHOP u poređenju sa grupom CHOP. Stopa potpunog odgovora poslije 8 ciklusa iznosila je 76,2% u grupi R-CHOP i 62,4% u grupi CHOP (p=0,0028). Rizik od progresije bolesti smanjen je za 46%, a rizik od recidiva za 51%. </w:t>
      </w:r>
    </w:p>
    <w:p w:rsidR="007B7C69" w:rsidRPr="0055610F" w:rsidRDefault="007B7C69" w:rsidP="004D5825">
      <w:pPr>
        <w:jc w:val="both"/>
        <w:rPr>
          <w:sz w:val="22"/>
          <w:szCs w:val="22"/>
          <w:lang w:val="sr-Latn-ME"/>
        </w:rPr>
      </w:pPr>
      <w:r w:rsidRPr="0055610F">
        <w:rPr>
          <w:sz w:val="22"/>
          <w:szCs w:val="22"/>
          <w:lang w:val="sr-Latn-ME"/>
        </w:rPr>
        <w:t xml:space="preserve">U svim podgrupama </w:t>
      </w:r>
      <w:r w:rsidR="00B16626" w:rsidRPr="0055610F">
        <w:rPr>
          <w:sz w:val="22"/>
          <w:szCs w:val="22"/>
          <w:lang w:val="sr-Latn-ME"/>
        </w:rPr>
        <w:t>pacijenata</w:t>
      </w:r>
      <w:r w:rsidRPr="0055610F">
        <w:rPr>
          <w:sz w:val="22"/>
          <w:szCs w:val="22"/>
          <w:lang w:val="sr-Latn-ME"/>
        </w:rPr>
        <w:t xml:space="preserve"> (pol, godine starosti, IPI podešen za godine starosti, stadijum An Arbor, ECOG, </w:t>
      </w:r>
      <w:r w:rsidRPr="0055610F">
        <w:rPr>
          <w:sz w:val="22"/>
          <w:szCs w:val="22"/>
          <w:lang w:val="sr-Latn-ME"/>
        </w:rPr>
        <w:sym w:font="Symbol" w:char="F062"/>
      </w:r>
      <w:r w:rsidRPr="0055610F">
        <w:rPr>
          <w:sz w:val="22"/>
          <w:szCs w:val="22"/>
          <w:lang w:val="sr-Latn-ME"/>
        </w:rPr>
        <w:t xml:space="preserve">2 mikroglobulin, LDH, albumin, B simptomi, voluminozna tumorska masa, ekstranodalne lokacije, zahvaćenost koštane srži), koeficijenti rizika za preživljavanje bez događaja i ukupno preživljavanje (R-CHOP u poređenju sa grupom CHOP) bili su manji od 0,83 odnosno 0,95.  R-CHOP je bio povezan sa poboljšanjem ishoda za pacijente visokog i niskog rizika u skladu sa IPI podešenom za godine starosti. </w:t>
      </w:r>
    </w:p>
    <w:p w:rsidR="007B7C69" w:rsidRPr="0055610F" w:rsidRDefault="007B7C69" w:rsidP="004D5825">
      <w:pPr>
        <w:jc w:val="both"/>
        <w:rPr>
          <w:sz w:val="22"/>
          <w:szCs w:val="22"/>
          <w:lang w:val="sr-Latn-ME"/>
        </w:rPr>
      </w:pPr>
    </w:p>
    <w:p w:rsidR="007B7C69" w:rsidRPr="0055610F" w:rsidRDefault="007B7C69" w:rsidP="004D5825">
      <w:pPr>
        <w:jc w:val="both"/>
        <w:rPr>
          <w:i/>
          <w:sz w:val="22"/>
          <w:szCs w:val="22"/>
          <w:u w:val="single"/>
          <w:lang w:val="sr-Latn-ME"/>
        </w:rPr>
      </w:pPr>
      <w:r w:rsidRPr="0055610F">
        <w:rPr>
          <w:i/>
          <w:sz w:val="22"/>
          <w:szCs w:val="22"/>
          <w:u w:val="single"/>
          <w:lang w:val="sr-Latn-ME"/>
        </w:rPr>
        <w:t>Klinički laboratorijski nalazi</w:t>
      </w:r>
    </w:p>
    <w:p w:rsidR="007B7C69" w:rsidRPr="0055610F" w:rsidRDefault="007B7C69" w:rsidP="004D5825">
      <w:pPr>
        <w:jc w:val="both"/>
        <w:rPr>
          <w:i/>
          <w:sz w:val="22"/>
          <w:szCs w:val="22"/>
          <w:u w:val="single"/>
          <w:lang w:val="sr-Latn-ME"/>
        </w:rPr>
      </w:pPr>
    </w:p>
    <w:p w:rsidR="007B7C69" w:rsidRPr="0055610F" w:rsidRDefault="007B7C69" w:rsidP="004D5825">
      <w:pPr>
        <w:jc w:val="both"/>
        <w:rPr>
          <w:sz w:val="22"/>
          <w:szCs w:val="22"/>
          <w:lang w:val="sr-Latn-ME"/>
        </w:rPr>
      </w:pPr>
      <w:r w:rsidRPr="0055610F">
        <w:rPr>
          <w:sz w:val="22"/>
          <w:szCs w:val="22"/>
          <w:lang w:val="sr-Latn-ME"/>
        </w:rPr>
        <w:t xml:space="preserve">Ni kod jednog od 67 </w:t>
      </w:r>
      <w:r w:rsidR="00B16626" w:rsidRPr="0055610F">
        <w:rPr>
          <w:sz w:val="22"/>
          <w:szCs w:val="22"/>
          <w:lang w:val="sr-Latn-ME"/>
        </w:rPr>
        <w:t>pacijenata</w:t>
      </w:r>
      <w:r w:rsidRPr="0055610F">
        <w:rPr>
          <w:sz w:val="22"/>
          <w:szCs w:val="22"/>
          <w:lang w:val="sr-Latn-ME"/>
        </w:rPr>
        <w:t xml:space="preserve"> ispitivanih na humano anti-mišje antitijelo (HAMA) nije zabilježen odgovor. Od 356 </w:t>
      </w:r>
      <w:r w:rsidR="00B16626" w:rsidRPr="0055610F">
        <w:rPr>
          <w:sz w:val="22"/>
          <w:szCs w:val="22"/>
          <w:lang w:val="sr-Latn-ME"/>
        </w:rPr>
        <w:t>pacijenata</w:t>
      </w:r>
      <w:r w:rsidRPr="0055610F">
        <w:rPr>
          <w:sz w:val="22"/>
          <w:szCs w:val="22"/>
          <w:lang w:val="sr-Latn-ME"/>
        </w:rPr>
        <w:t xml:space="preserve"> procjenjivanih na antitijela na lijek (</w:t>
      </w:r>
      <w:r w:rsidRPr="0055610F">
        <w:rPr>
          <w:i/>
          <w:sz w:val="22"/>
          <w:szCs w:val="22"/>
          <w:lang w:val="sr-Latn-ME"/>
        </w:rPr>
        <w:t>anti-drug antibody</w:t>
      </w:r>
      <w:r w:rsidRPr="0055610F">
        <w:rPr>
          <w:sz w:val="22"/>
          <w:szCs w:val="22"/>
          <w:lang w:val="sr-Latn-ME"/>
        </w:rPr>
        <w:t xml:space="preserve">, ADA), pozitivno je bilo 1,1% (4 </w:t>
      </w:r>
      <w:r w:rsidR="00B16626" w:rsidRPr="0055610F">
        <w:rPr>
          <w:sz w:val="22"/>
          <w:szCs w:val="22"/>
          <w:lang w:val="sr-Latn-ME"/>
        </w:rPr>
        <w:t>pacijenta</w:t>
      </w:r>
      <w:r w:rsidRPr="0055610F">
        <w:rPr>
          <w:sz w:val="22"/>
          <w:szCs w:val="22"/>
          <w:lang w:val="sr-Latn-ME"/>
        </w:rPr>
        <w:t>).</w:t>
      </w:r>
    </w:p>
    <w:p w:rsidR="007B7C69" w:rsidRPr="0055610F" w:rsidRDefault="007B7C69" w:rsidP="004D5825">
      <w:pPr>
        <w:jc w:val="both"/>
        <w:rPr>
          <w:sz w:val="22"/>
          <w:szCs w:val="22"/>
          <w:lang w:val="sr-Latn-ME"/>
        </w:rPr>
      </w:pPr>
    </w:p>
    <w:p w:rsidR="007B7C69" w:rsidRPr="0055610F" w:rsidRDefault="007B7C69" w:rsidP="004D5825">
      <w:pPr>
        <w:jc w:val="both"/>
        <w:rPr>
          <w:i/>
          <w:sz w:val="22"/>
          <w:szCs w:val="22"/>
          <w:u w:val="single"/>
          <w:lang w:val="sr-Latn-ME"/>
        </w:rPr>
      </w:pPr>
      <w:r w:rsidRPr="0055610F">
        <w:rPr>
          <w:i/>
          <w:sz w:val="22"/>
          <w:szCs w:val="22"/>
          <w:u w:val="single"/>
          <w:lang w:val="sr-Latn-ME"/>
        </w:rPr>
        <w:t>Hronična limfocitna leukemija</w:t>
      </w:r>
    </w:p>
    <w:p w:rsidR="007B7C69" w:rsidRPr="0055610F" w:rsidRDefault="007B7C69" w:rsidP="004D5825">
      <w:pPr>
        <w:jc w:val="both"/>
        <w:rPr>
          <w:i/>
          <w:sz w:val="22"/>
          <w:szCs w:val="22"/>
          <w:u w:val="single"/>
          <w:lang w:val="sr-Latn-ME"/>
        </w:rPr>
      </w:pPr>
    </w:p>
    <w:p w:rsidR="007B7C69" w:rsidRPr="0055610F" w:rsidRDefault="007B7C69" w:rsidP="004D5825">
      <w:pPr>
        <w:jc w:val="both"/>
        <w:rPr>
          <w:sz w:val="22"/>
          <w:szCs w:val="22"/>
          <w:lang w:val="sr-Latn-ME"/>
        </w:rPr>
      </w:pPr>
      <w:r w:rsidRPr="0055610F">
        <w:rPr>
          <w:sz w:val="22"/>
          <w:szCs w:val="22"/>
          <w:lang w:val="sr-Latn-ME"/>
        </w:rPr>
        <w:t>U otvorenoj randomizovanoj studiji, ukupno 817 prethodno neliječenih pacijenata i 522 pacijenta sa relapsirajućim/refraktornim CLL-om randomizovani su tako da dobijaju i FC hemioterapiju (fludarabin 25</w:t>
      </w:r>
      <w:r w:rsidR="00430A27" w:rsidRPr="0055610F">
        <w:rPr>
          <w:sz w:val="22"/>
          <w:szCs w:val="22"/>
          <w:lang w:val="sr-Latn-ME"/>
        </w:rPr>
        <w:t xml:space="preserve"> </w:t>
      </w:r>
      <w:r w:rsidRPr="0055610F">
        <w:rPr>
          <w:sz w:val="22"/>
          <w:szCs w:val="22"/>
          <w:lang w:val="sr-Latn-ME"/>
        </w:rPr>
        <w:t>mg/m</w:t>
      </w:r>
      <w:r w:rsidRPr="0055610F">
        <w:rPr>
          <w:sz w:val="22"/>
          <w:szCs w:val="22"/>
          <w:vertAlign w:val="superscript"/>
          <w:lang w:val="sr-Latn-ME"/>
        </w:rPr>
        <w:t>2</w:t>
      </w:r>
      <w:r w:rsidRPr="0055610F">
        <w:rPr>
          <w:sz w:val="22"/>
          <w:szCs w:val="22"/>
          <w:lang w:val="sr-Latn-ME"/>
        </w:rPr>
        <w:t>, ciklofosfamid 250 mg/m</w:t>
      </w:r>
      <w:r w:rsidRPr="0055610F">
        <w:rPr>
          <w:sz w:val="22"/>
          <w:szCs w:val="22"/>
          <w:vertAlign w:val="superscript"/>
          <w:lang w:val="sr-Latn-ME"/>
        </w:rPr>
        <w:t>2</w:t>
      </w:r>
      <w:r w:rsidRPr="0055610F">
        <w:rPr>
          <w:sz w:val="22"/>
          <w:szCs w:val="22"/>
          <w:lang w:val="sr-Latn-ME"/>
        </w:rPr>
        <w:t>, prva tri dana) svake 4 ned</w:t>
      </w:r>
      <w:r w:rsidR="00430A27" w:rsidRPr="0055610F">
        <w:rPr>
          <w:sz w:val="22"/>
          <w:szCs w:val="22"/>
          <w:lang w:val="sr-Latn-ME"/>
        </w:rPr>
        <w:t>j</w:t>
      </w:r>
      <w:r w:rsidRPr="0055610F">
        <w:rPr>
          <w:sz w:val="22"/>
          <w:szCs w:val="22"/>
          <w:lang w:val="sr-Latn-ME"/>
        </w:rPr>
        <w:t>elje tokom 6 ciklusa, ili lijek MabThera u kombinaciji sa FC (R-FC). MabThera je primjenjivana u dozi od 375 mg/m</w:t>
      </w:r>
      <w:r w:rsidRPr="0055610F">
        <w:rPr>
          <w:sz w:val="22"/>
          <w:szCs w:val="22"/>
          <w:vertAlign w:val="superscript"/>
          <w:lang w:val="sr-Latn-ME"/>
        </w:rPr>
        <w:t>2</w:t>
      </w:r>
      <w:r w:rsidRPr="0055610F">
        <w:rPr>
          <w:sz w:val="22"/>
          <w:szCs w:val="22"/>
          <w:lang w:val="sr-Latn-ME"/>
        </w:rPr>
        <w:t xml:space="preserve"> tokom prvog ciklusa, jedan dan prije hemioterapije, i u dozi od 500 mg/m</w:t>
      </w:r>
      <w:r w:rsidRPr="0055610F">
        <w:rPr>
          <w:sz w:val="22"/>
          <w:szCs w:val="22"/>
          <w:vertAlign w:val="superscript"/>
          <w:lang w:val="sr-Latn-ME"/>
        </w:rPr>
        <w:t>2</w:t>
      </w:r>
      <w:r w:rsidRPr="0055610F">
        <w:rPr>
          <w:sz w:val="22"/>
          <w:szCs w:val="22"/>
          <w:lang w:val="sr-Latn-ME"/>
        </w:rPr>
        <w:t xml:space="preserve"> prvog dana svakog sl</w:t>
      </w:r>
      <w:r w:rsidR="00430A27" w:rsidRPr="0055610F">
        <w:rPr>
          <w:sz w:val="22"/>
          <w:szCs w:val="22"/>
          <w:lang w:val="sr-Latn-ME"/>
        </w:rPr>
        <w:t>j</w:t>
      </w:r>
      <w:r w:rsidRPr="0055610F">
        <w:rPr>
          <w:sz w:val="22"/>
          <w:szCs w:val="22"/>
          <w:lang w:val="sr-Latn-ME"/>
        </w:rPr>
        <w:t>edećeg terapijskog ciklusa. Pacijenti su isključeni iz ispitivanja relapsirajućeg/refraktornog CLL</w:t>
      </w:r>
      <w:r w:rsidRPr="0055610F">
        <w:rPr>
          <w:sz w:val="22"/>
          <w:szCs w:val="22"/>
          <w:lang w:val="sr-Latn-ME"/>
        </w:rPr>
        <w:noBreakHyphen/>
        <w:t>a ako su prethodno liječeni monoklonskim antitijelima, ili ako ni</w:t>
      </w:r>
      <w:r w:rsidR="00430A27" w:rsidRPr="0055610F">
        <w:rPr>
          <w:sz w:val="22"/>
          <w:szCs w:val="22"/>
          <w:lang w:val="sr-Latn-ME"/>
        </w:rPr>
        <w:t>je</w:t>
      </w:r>
      <w:r w:rsidRPr="0055610F">
        <w:rPr>
          <w:sz w:val="22"/>
          <w:szCs w:val="22"/>
          <w:lang w:val="sr-Latn-ME"/>
        </w:rPr>
        <w:t>su odgovorili (ni</w:t>
      </w:r>
      <w:r w:rsidR="00430A27" w:rsidRPr="0055610F">
        <w:rPr>
          <w:sz w:val="22"/>
          <w:szCs w:val="22"/>
          <w:lang w:val="sr-Latn-ME"/>
        </w:rPr>
        <w:t>je</w:t>
      </w:r>
      <w:r w:rsidRPr="0055610F">
        <w:rPr>
          <w:sz w:val="22"/>
          <w:szCs w:val="22"/>
          <w:lang w:val="sr-Latn-ME"/>
        </w:rPr>
        <w:t xml:space="preserve">su postigli djelomičnu remisiju tokom najmanje šest mjeseci) na fludarabin ili bilo koji nukleozidni analog. Ukupno 810 pacijenata (403 R-FC, 407 FC) za studiju prve linije terapije (Tabela 12a i Tabela 12b) i 552 pacijenta (276 R-FC, 276 FC) za studiju relaps/refraktarne </w:t>
      </w:r>
      <w:r w:rsidR="00011D28">
        <w:rPr>
          <w:sz w:val="22"/>
          <w:szCs w:val="22"/>
          <w:lang w:val="sr-Latn-ME"/>
        </w:rPr>
        <w:t>C</w:t>
      </w:r>
      <w:r w:rsidRPr="0055610F">
        <w:rPr>
          <w:sz w:val="22"/>
          <w:szCs w:val="22"/>
          <w:lang w:val="sr-Latn-ME"/>
        </w:rPr>
        <w:t>LL (Tabela 13) analizirano je pri procjeni efikasnosti terapije.</w:t>
      </w:r>
    </w:p>
    <w:p w:rsidR="007B7C69" w:rsidRPr="0055610F" w:rsidRDefault="007B7C69" w:rsidP="004D5825">
      <w:pPr>
        <w:jc w:val="both"/>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U ispitivanju u prvoj liniji liječenja, nakon medijana praćenja od 48,1 mjesec</w:t>
      </w:r>
      <w:r w:rsidR="00430A27" w:rsidRPr="0055610F">
        <w:rPr>
          <w:sz w:val="22"/>
          <w:szCs w:val="22"/>
          <w:lang w:val="sr-Latn-ME"/>
        </w:rPr>
        <w:t>i</w:t>
      </w:r>
      <w:r w:rsidRPr="0055610F">
        <w:rPr>
          <w:sz w:val="22"/>
          <w:szCs w:val="22"/>
          <w:lang w:val="sr-Latn-ME"/>
        </w:rPr>
        <w:t>, medijan</w:t>
      </w:r>
      <w:r w:rsidR="00430A27" w:rsidRPr="0055610F">
        <w:rPr>
          <w:sz w:val="22"/>
          <w:szCs w:val="22"/>
          <w:lang w:val="sr-Latn-ME"/>
        </w:rPr>
        <w:t>a</w:t>
      </w:r>
      <w:r w:rsidRPr="0055610F">
        <w:rPr>
          <w:sz w:val="22"/>
          <w:szCs w:val="22"/>
          <w:lang w:val="sr-Latn-ME"/>
        </w:rPr>
        <w:t xml:space="preserve"> preživljenja bez progresije bolesti (PFS) iznosi</w:t>
      </w:r>
      <w:r w:rsidR="00430A27" w:rsidRPr="0055610F">
        <w:rPr>
          <w:sz w:val="22"/>
          <w:szCs w:val="22"/>
          <w:lang w:val="sr-Latn-ME"/>
        </w:rPr>
        <w:t>la</w:t>
      </w:r>
      <w:r w:rsidRPr="0055610F">
        <w:rPr>
          <w:sz w:val="22"/>
          <w:szCs w:val="22"/>
          <w:lang w:val="sr-Latn-ME"/>
        </w:rPr>
        <w:t xml:space="preserve"> je 55 mjeseci u R</w:t>
      </w:r>
      <w:r w:rsidRPr="0055610F">
        <w:rPr>
          <w:sz w:val="22"/>
          <w:szCs w:val="22"/>
          <w:lang w:val="sr-Latn-ME"/>
        </w:rPr>
        <w:noBreakHyphen/>
        <w:t>CF grupi i 33 mjeseca u FC grupi (p &lt; 0,0001, log</w:t>
      </w:r>
      <w:r w:rsidRPr="0055610F">
        <w:rPr>
          <w:sz w:val="22"/>
          <w:szCs w:val="22"/>
          <w:lang w:val="sr-Latn-ME"/>
        </w:rPr>
        <w:noBreakHyphen/>
        <w:t>rang test). Analiza ukupnog preživljenja pokazala je značajnu korist R</w:t>
      </w:r>
      <w:r w:rsidRPr="0055610F">
        <w:rPr>
          <w:sz w:val="22"/>
          <w:szCs w:val="22"/>
          <w:lang w:val="sr-Latn-ME"/>
        </w:rPr>
        <w:noBreakHyphen/>
        <w:t>FC terapije u odnosu na primjenu samo FC hemoterapije (p = 0,0319, log</w:t>
      </w:r>
      <w:r w:rsidRPr="0055610F">
        <w:rPr>
          <w:sz w:val="22"/>
          <w:szCs w:val="22"/>
          <w:lang w:val="sr-Latn-ME"/>
        </w:rPr>
        <w:noBreakHyphen/>
        <w:t>rang test) (Tabela 12a). Korist u smislu PFS</w:t>
      </w:r>
      <w:r w:rsidRPr="0055610F">
        <w:rPr>
          <w:sz w:val="22"/>
          <w:szCs w:val="22"/>
          <w:lang w:val="sr-Latn-ME"/>
        </w:rPr>
        <w:noBreakHyphen/>
        <w:t>a dosljedno je zapažena u većini podgrupa pacijenata analiziranih prema početnom riziku bolesti (Binet stadiji A</w:t>
      </w:r>
      <w:r w:rsidRPr="0055610F">
        <w:rPr>
          <w:sz w:val="22"/>
          <w:szCs w:val="22"/>
          <w:lang w:val="sr-Latn-ME"/>
        </w:rPr>
        <w:noBreakHyphen/>
        <w:t>C) (tabela 1</w:t>
      </w:r>
      <w:r w:rsidR="00430A27" w:rsidRPr="0055610F">
        <w:rPr>
          <w:sz w:val="22"/>
          <w:szCs w:val="22"/>
          <w:lang w:val="sr-Latn-ME"/>
        </w:rPr>
        <w:t>2</w:t>
      </w:r>
      <w:r w:rsidRPr="0055610F">
        <w:rPr>
          <w:sz w:val="22"/>
          <w:szCs w:val="22"/>
          <w:lang w:val="sr-Latn-ME"/>
        </w:rPr>
        <w:t>b).</w:t>
      </w:r>
    </w:p>
    <w:p w:rsidR="007B7C69" w:rsidRPr="0055610F" w:rsidRDefault="007B7C69" w:rsidP="004D5825">
      <w:pPr>
        <w:jc w:val="both"/>
        <w:outlineLvl w:val="0"/>
        <w:rPr>
          <w:sz w:val="22"/>
          <w:szCs w:val="22"/>
          <w:lang w:val="sr-Latn-ME"/>
        </w:rPr>
      </w:pPr>
    </w:p>
    <w:p w:rsidR="00277702" w:rsidRPr="0055610F" w:rsidRDefault="00277702" w:rsidP="004D5825">
      <w:pPr>
        <w:jc w:val="both"/>
        <w:rPr>
          <w:sz w:val="22"/>
          <w:szCs w:val="22"/>
          <w:lang w:val="sr-Latn-ME"/>
        </w:rPr>
      </w:pPr>
    </w:p>
    <w:p w:rsidR="007B7C69" w:rsidRPr="0055610F" w:rsidRDefault="007B7C69" w:rsidP="004D5825">
      <w:pPr>
        <w:jc w:val="both"/>
        <w:rPr>
          <w:b/>
          <w:sz w:val="22"/>
          <w:szCs w:val="22"/>
          <w:lang w:val="sr-Latn-ME"/>
        </w:rPr>
      </w:pPr>
      <w:bookmarkStart w:id="1" w:name="_Ref200176478"/>
      <w:r w:rsidRPr="0055610F">
        <w:rPr>
          <w:b/>
          <w:sz w:val="22"/>
          <w:szCs w:val="22"/>
          <w:lang w:val="sr-Latn-ME"/>
        </w:rPr>
        <w:t>Tabela </w:t>
      </w:r>
      <w:bookmarkEnd w:id="1"/>
      <w:r w:rsidRPr="0055610F">
        <w:rPr>
          <w:b/>
          <w:sz w:val="22"/>
          <w:szCs w:val="22"/>
          <w:lang w:val="sr-Latn-ME"/>
        </w:rPr>
        <w:t>12a. Prva linija terapije hronične limfocitne leukemije – pregled rezultata efikasnosti primjene lijeka MabThera u kombinaciji sa FC vs. samo FC  (48.1 mjeseci srednje vr</w:t>
      </w:r>
      <w:r w:rsidR="00430A27" w:rsidRPr="0055610F">
        <w:rPr>
          <w:b/>
          <w:sz w:val="22"/>
          <w:szCs w:val="22"/>
          <w:lang w:val="sr-Latn-ME"/>
        </w:rPr>
        <w:t>ij</w:t>
      </w:r>
      <w:r w:rsidRPr="0055610F">
        <w:rPr>
          <w:b/>
          <w:sz w:val="22"/>
          <w:szCs w:val="22"/>
          <w:lang w:val="sr-Latn-ME"/>
        </w:rPr>
        <w:t>eme praćenja)</w:t>
      </w:r>
    </w:p>
    <w:p w:rsidR="007B7C69" w:rsidRPr="0055610F" w:rsidRDefault="007B7C69" w:rsidP="004D5825">
      <w:pPr>
        <w:jc w:val="both"/>
        <w:rPr>
          <w:sz w:val="22"/>
          <w:szCs w:val="22"/>
          <w:lang w:val="sr-Latn-ME"/>
        </w:rPr>
      </w:pPr>
    </w:p>
    <w:tbl>
      <w:tblPr>
        <w:tblW w:w="8658" w:type="dxa"/>
        <w:tblInd w:w="108" w:type="dxa"/>
        <w:tblBorders>
          <w:top w:val="single" w:sz="6" w:space="0" w:color="000000"/>
          <w:bottom w:val="single" w:sz="6" w:space="0" w:color="000000"/>
          <w:insideV w:val="single" w:sz="6" w:space="0" w:color="000000"/>
        </w:tblBorders>
        <w:tblLayout w:type="fixed"/>
        <w:tblLook w:val="0000" w:firstRow="0" w:lastRow="0" w:firstColumn="0" w:lastColumn="0" w:noHBand="0" w:noVBand="0"/>
      </w:tblPr>
      <w:tblGrid>
        <w:gridCol w:w="3124"/>
        <w:gridCol w:w="1448"/>
        <w:gridCol w:w="1379"/>
        <w:gridCol w:w="1283"/>
        <w:gridCol w:w="1424"/>
      </w:tblGrid>
      <w:tr w:rsidR="007B7C69" w:rsidRPr="007642DC" w:rsidTr="007B7C69">
        <w:trPr>
          <w:trHeight w:val="511"/>
        </w:trPr>
        <w:tc>
          <w:tcPr>
            <w:tcW w:w="3124" w:type="dxa"/>
            <w:vMerge w:val="restart"/>
            <w:tcBorders>
              <w:top w:val="single" w:sz="6" w:space="0" w:color="000000"/>
              <w:left w:val="single" w:sz="4" w:space="0" w:color="auto"/>
            </w:tcBorders>
            <w:shd w:val="clear" w:color="auto" w:fill="auto"/>
          </w:tcPr>
          <w:p w:rsidR="007B7C69" w:rsidRPr="0055610F" w:rsidRDefault="00831702" w:rsidP="0055610F">
            <w:pPr>
              <w:jc w:val="center"/>
              <w:rPr>
                <w:b/>
                <w:sz w:val="22"/>
                <w:szCs w:val="22"/>
                <w:lang w:val="sr-Latn-ME"/>
              </w:rPr>
            </w:pPr>
            <w:r>
              <w:rPr>
                <w:b/>
                <w:sz w:val="22"/>
                <w:szCs w:val="22"/>
                <w:lang w:val="sr-Latn-ME"/>
              </w:rPr>
              <w:t>Parametar efikasn</w:t>
            </w:r>
            <w:r w:rsidR="007B7C69" w:rsidRPr="0055610F">
              <w:rPr>
                <w:b/>
                <w:sz w:val="22"/>
                <w:szCs w:val="22"/>
                <w:lang w:val="sr-Latn-ME"/>
              </w:rPr>
              <w:t>osti</w:t>
            </w:r>
          </w:p>
        </w:tc>
        <w:tc>
          <w:tcPr>
            <w:tcW w:w="4109" w:type="dxa"/>
            <w:gridSpan w:val="3"/>
            <w:tcBorders>
              <w:top w:val="single" w:sz="6" w:space="0" w:color="000000"/>
              <w:bottom w:val="single" w:sz="6" w:space="0" w:color="000000"/>
            </w:tcBorders>
            <w:shd w:val="clear" w:color="auto" w:fill="auto"/>
          </w:tcPr>
          <w:p w:rsidR="007B7C69" w:rsidRPr="0055610F" w:rsidRDefault="007B7C69" w:rsidP="0055610F">
            <w:pPr>
              <w:jc w:val="center"/>
              <w:rPr>
                <w:b/>
                <w:sz w:val="22"/>
                <w:szCs w:val="22"/>
                <w:lang w:val="sr-Latn-ME"/>
              </w:rPr>
            </w:pPr>
            <w:r w:rsidRPr="0055610F">
              <w:rPr>
                <w:b/>
                <w:sz w:val="22"/>
                <w:szCs w:val="22"/>
                <w:lang w:val="sr-Latn-ME"/>
              </w:rPr>
              <w:t>Kaplan-Meier proc</w:t>
            </w:r>
            <w:r w:rsidR="00430A27" w:rsidRPr="0055610F">
              <w:rPr>
                <w:b/>
                <w:sz w:val="22"/>
                <w:szCs w:val="22"/>
                <w:lang w:val="sr-Latn-ME"/>
              </w:rPr>
              <w:t>j</w:t>
            </w:r>
            <w:r w:rsidRPr="0055610F">
              <w:rPr>
                <w:b/>
                <w:sz w:val="22"/>
                <w:szCs w:val="22"/>
                <w:lang w:val="sr-Latn-ME"/>
              </w:rPr>
              <w:t>ena srednjeg vremena do događaja (mjeseci)</w:t>
            </w:r>
          </w:p>
        </w:tc>
        <w:tc>
          <w:tcPr>
            <w:tcW w:w="1424" w:type="dxa"/>
            <w:vMerge w:val="restart"/>
            <w:tcBorders>
              <w:top w:val="single" w:sz="6" w:space="0" w:color="000000"/>
              <w:right w:val="single" w:sz="6" w:space="0" w:color="000000"/>
            </w:tcBorders>
            <w:shd w:val="clear" w:color="auto" w:fill="auto"/>
          </w:tcPr>
          <w:p w:rsidR="007B7C69" w:rsidRPr="0055610F" w:rsidRDefault="007B7C69" w:rsidP="0055610F">
            <w:pPr>
              <w:jc w:val="center"/>
              <w:rPr>
                <w:b/>
                <w:sz w:val="22"/>
                <w:szCs w:val="22"/>
                <w:vertAlign w:val="superscript"/>
                <w:lang w:val="sr-Latn-ME"/>
              </w:rPr>
            </w:pPr>
            <w:r w:rsidRPr="0055610F">
              <w:rPr>
                <w:b/>
                <w:sz w:val="22"/>
                <w:szCs w:val="22"/>
                <w:lang w:val="sr-Latn-ME"/>
              </w:rPr>
              <w:t>Smanjenje rizika</w:t>
            </w:r>
          </w:p>
        </w:tc>
      </w:tr>
      <w:tr w:rsidR="007B7C69" w:rsidRPr="007642DC" w:rsidTr="007B7C69">
        <w:trPr>
          <w:trHeight w:val="149"/>
        </w:trPr>
        <w:tc>
          <w:tcPr>
            <w:tcW w:w="3124" w:type="dxa"/>
            <w:vMerge/>
            <w:tcBorders>
              <w:left w:val="single" w:sz="4" w:space="0" w:color="auto"/>
              <w:bottom w:val="single" w:sz="6" w:space="0" w:color="000000"/>
            </w:tcBorders>
            <w:shd w:val="clear" w:color="auto" w:fill="auto"/>
          </w:tcPr>
          <w:p w:rsidR="007B7C69" w:rsidRPr="0055610F" w:rsidRDefault="007B7C69" w:rsidP="0055610F">
            <w:pPr>
              <w:jc w:val="center"/>
              <w:rPr>
                <w:b/>
                <w:sz w:val="22"/>
                <w:szCs w:val="22"/>
                <w:lang w:val="sr-Latn-ME"/>
              </w:rPr>
            </w:pPr>
          </w:p>
        </w:tc>
        <w:tc>
          <w:tcPr>
            <w:tcW w:w="1448" w:type="dxa"/>
            <w:tcBorders>
              <w:top w:val="single" w:sz="6" w:space="0" w:color="000000"/>
              <w:bottom w:val="single" w:sz="6" w:space="0" w:color="000000"/>
            </w:tcBorders>
            <w:shd w:val="clear" w:color="auto" w:fill="auto"/>
          </w:tcPr>
          <w:p w:rsidR="007B7C69" w:rsidRPr="0055610F" w:rsidRDefault="007B7C69" w:rsidP="0055610F">
            <w:pPr>
              <w:jc w:val="center"/>
              <w:rPr>
                <w:b/>
                <w:sz w:val="22"/>
                <w:szCs w:val="22"/>
                <w:lang w:val="sr-Latn-ME"/>
              </w:rPr>
            </w:pPr>
            <w:r w:rsidRPr="0055610F">
              <w:rPr>
                <w:b/>
                <w:sz w:val="22"/>
                <w:szCs w:val="22"/>
                <w:lang w:val="sr-Latn-ME"/>
              </w:rPr>
              <w:t>FC</w:t>
            </w:r>
          </w:p>
          <w:p w:rsidR="007B7C69" w:rsidRPr="0055610F" w:rsidRDefault="007B7C69" w:rsidP="0055610F">
            <w:pPr>
              <w:jc w:val="center"/>
              <w:rPr>
                <w:b/>
                <w:sz w:val="22"/>
                <w:szCs w:val="22"/>
                <w:lang w:val="sr-Latn-ME"/>
              </w:rPr>
            </w:pPr>
            <w:r w:rsidRPr="0055610F">
              <w:rPr>
                <w:b/>
                <w:sz w:val="22"/>
                <w:szCs w:val="22"/>
                <w:lang w:val="sr-Latn-ME"/>
              </w:rPr>
              <w:t>(N = 409)</w:t>
            </w:r>
          </w:p>
        </w:tc>
        <w:tc>
          <w:tcPr>
            <w:tcW w:w="1379" w:type="dxa"/>
            <w:tcBorders>
              <w:top w:val="single" w:sz="6" w:space="0" w:color="000000"/>
              <w:bottom w:val="single" w:sz="6" w:space="0" w:color="000000"/>
            </w:tcBorders>
            <w:shd w:val="clear" w:color="auto" w:fill="auto"/>
          </w:tcPr>
          <w:p w:rsidR="007B7C69" w:rsidRPr="0055610F" w:rsidRDefault="007B7C69" w:rsidP="0055610F">
            <w:pPr>
              <w:jc w:val="center"/>
              <w:rPr>
                <w:b/>
                <w:sz w:val="22"/>
                <w:szCs w:val="22"/>
                <w:lang w:val="sr-Latn-ME"/>
              </w:rPr>
            </w:pPr>
            <w:r w:rsidRPr="0055610F">
              <w:rPr>
                <w:b/>
                <w:sz w:val="22"/>
                <w:szCs w:val="22"/>
                <w:lang w:val="sr-Latn-ME"/>
              </w:rPr>
              <w:t>R-FC</w:t>
            </w:r>
          </w:p>
          <w:p w:rsidR="007B7C69" w:rsidRPr="0055610F" w:rsidRDefault="007B7C69" w:rsidP="0055610F">
            <w:pPr>
              <w:jc w:val="center"/>
              <w:rPr>
                <w:b/>
                <w:sz w:val="22"/>
                <w:szCs w:val="22"/>
                <w:lang w:val="sr-Latn-ME"/>
              </w:rPr>
            </w:pPr>
            <w:r w:rsidRPr="0055610F">
              <w:rPr>
                <w:b/>
                <w:sz w:val="22"/>
                <w:szCs w:val="22"/>
                <w:lang w:val="sr-Latn-ME"/>
              </w:rPr>
              <w:t>(N=408)</w:t>
            </w:r>
          </w:p>
        </w:tc>
        <w:tc>
          <w:tcPr>
            <w:tcW w:w="1283" w:type="dxa"/>
            <w:tcBorders>
              <w:top w:val="single" w:sz="6" w:space="0" w:color="000000"/>
              <w:bottom w:val="single" w:sz="6" w:space="0" w:color="000000"/>
            </w:tcBorders>
            <w:shd w:val="clear" w:color="auto" w:fill="auto"/>
          </w:tcPr>
          <w:p w:rsidR="007B7C69" w:rsidRPr="0055610F" w:rsidRDefault="007B7C69" w:rsidP="0055610F">
            <w:pPr>
              <w:jc w:val="center"/>
              <w:rPr>
                <w:b/>
                <w:sz w:val="22"/>
                <w:szCs w:val="22"/>
                <w:lang w:val="sr-Latn-ME"/>
              </w:rPr>
            </w:pPr>
            <w:r w:rsidRPr="0055610F">
              <w:rPr>
                <w:b/>
                <w:sz w:val="22"/>
                <w:szCs w:val="22"/>
                <w:lang w:val="sr-Latn-ME"/>
              </w:rPr>
              <w:t xml:space="preserve">Log-Rank </w:t>
            </w:r>
            <w:r w:rsidRPr="0055610F">
              <w:rPr>
                <w:b/>
                <w:sz w:val="22"/>
                <w:szCs w:val="22"/>
                <w:lang w:val="sr-Latn-ME"/>
              </w:rPr>
              <w:br/>
              <w:t>p vrijednost</w:t>
            </w:r>
          </w:p>
        </w:tc>
        <w:tc>
          <w:tcPr>
            <w:tcW w:w="1424" w:type="dxa"/>
            <w:vMerge/>
            <w:tcBorders>
              <w:bottom w:val="single" w:sz="6" w:space="0" w:color="000000"/>
              <w:right w:val="single" w:sz="6" w:space="0" w:color="000000"/>
            </w:tcBorders>
            <w:shd w:val="clear" w:color="auto" w:fill="auto"/>
          </w:tcPr>
          <w:p w:rsidR="007B7C69" w:rsidRPr="0055610F" w:rsidRDefault="007B7C69" w:rsidP="004D5825">
            <w:pPr>
              <w:jc w:val="both"/>
              <w:rPr>
                <w:b/>
                <w:sz w:val="22"/>
                <w:szCs w:val="22"/>
                <w:lang w:val="sr-Latn-ME"/>
              </w:rPr>
            </w:pPr>
          </w:p>
        </w:tc>
      </w:tr>
      <w:tr w:rsidR="007B7C69" w:rsidRPr="007642DC" w:rsidTr="007B7C69">
        <w:trPr>
          <w:trHeight w:val="263"/>
        </w:trPr>
        <w:tc>
          <w:tcPr>
            <w:tcW w:w="3124" w:type="dxa"/>
            <w:tcBorders>
              <w:top w:val="single" w:sz="6" w:space="0" w:color="000000"/>
              <w:left w:val="single" w:sz="4" w:space="0" w:color="auto"/>
              <w:bottom w:val="nil"/>
            </w:tcBorders>
            <w:shd w:val="clear" w:color="auto" w:fill="auto"/>
          </w:tcPr>
          <w:p w:rsidR="007B7C69" w:rsidRPr="0055610F" w:rsidRDefault="007B7C69" w:rsidP="004D5825">
            <w:pPr>
              <w:jc w:val="both"/>
              <w:rPr>
                <w:b/>
                <w:i/>
                <w:sz w:val="22"/>
                <w:szCs w:val="22"/>
                <w:lang w:val="sr-Latn-ME"/>
              </w:rPr>
            </w:pPr>
            <w:r w:rsidRPr="0055610F">
              <w:rPr>
                <w:i/>
                <w:sz w:val="22"/>
                <w:szCs w:val="22"/>
                <w:lang w:val="sr-Latn-ME"/>
              </w:rPr>
              <w:t>Preživljavanje bez progresije bolesti (PFS)</w:t>
            </w:r>
          </w:p>
        </w:tc>
        <w:tc>
          <w:tcPr>
            <w:tcW w:w="1448" w:type="dxa"/>
            <w:tcBorders>
              <w:top w:val="single" w:sz="6" w:space="0" w:color="000000"/>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32.8</w:t>
            </w:r>
          </w:p>
        </w:tc>
        <w:tc>
          <w:tcPr>
            <w:tcW w:w="1379" w:type="dxa"/>
            <w:tcBorders>
              <w:top w:val="single" w:sz="6" w:space="0" w:color="000000"/>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55.3</w:t>
            </w:r>
          </w:p>
        </w:tc>
        <w:tc>
          <w:tcPr>
            <w:tcW w:w="1283" w:type="dxa"/>
            <w:tcBorders>
              <w:top w:val="single" w:sz="6" w:space="0" w:color="000000"/>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&lt;0.0001</w:t>
            </w:r>
          </w:p>
        </w:tc>
        <w:tc>
          <w:tcPr>
            <w:tcW w:w="1424" w:type="dxa"/>
            <w:tcBorders>
              <w:top w:val="single" w:sz="6" w:space="0" w:color="000000"/>
              <w:bottom w:val="nil"/>
              <w:right w:val="single" w:sz="6" w:space="0" w:color="000000"/>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45%</w:t>
            </w:r>
          </w:p>
        </w:tc>
      </w:tr>
      <w:tr w:rsidR="007B7C69" w:rsidRPr="007642DC" w:rsidTr="007B7C69">
        <w:trPr>
          <w:trHeight w:val="263"/>
        </w:trPr>
        <w:tc>
          <w:tcPr>
            <w:tcW w:w="3124" w:type="dxa"/>
            <w:tcBorders>
              <w:top w:val="nil"/>
              <w:left w:val="single" w:sz="4" w:space="0" w:color="auto"/>
              <w:bottom w:val="single" w:sz="4" w:space="0" w:color="auto"/>
            </w:tcBorders>
            <w:shd w:val="clear" w:color="auto" w:fill="auto"/>
          </w:tcPr>
          <w:p w:rsidR="007B7C69" w:rsidRPr="0055610F" w:rsidRDefault="007B7C69" w:rsidP="004D5825">
            <w:pPr>
              <w:jc w:val="both"/>
              <w:rPr>
                <w:i/>
                <w:sz w:val="22"/>
                <w:szCs w:val="22"/>
                <w:lang w:val="sr-Latn-ME"/>
              </w:rPr>
            </w:pPr>
          </w:p>
        </w:tc>
        <w:tc>
          <w:tcPr>
            <w:tcW w:w="1448" w:type="dxa"/>
            <w:tcBorders>
              <w:top w:val="nil"/>
              <w:bottom w:val="single" w:sz="4" w:space="0" w:color="auto"/>
            </w:tcBorders>
            <w:shd w:val="clear" w:color="auto" w:fill="auto"/>
          </w:tcPr>
          <w:p w:rsidR="007B7C69" w:rsidRPr="0055610F" w:rsidRDefault="007B7C69" w:rsidP="0055610F">
            <w:pPr>
              <w:jc w:val="center"/>
              <w:rPr>
                <w:i/>
                <w:sz w:val="22"/>
                <w:szCs w:val="22"/>
                <w:lang w:val="sr-Latn-ME"/>
              </w:rPr>
            </w:pPr>
          </w:p>
        </w:tc>
        <w:tc>
          <w:tcPr>
            <w:tcW w:w="1379" w:type="dxa"/>
            <w:tcBorders>
              <w:top w:val="nil"/>
              <w:bottom w:val="single" w:sz="4" w:space="0" w:color="auto"/>
            </w:tcBorders>
            <w:shd w:val="clear" w:color="auto" w:fill="auto"/>
          </w:tcPr>
          <w:p w:rsidR="007B7C69" w:rsidRPr="0055610F" w:rsidRDefault="007B7C69" w:rsidP="0055610F">
            <w:pPr>
              <w:jc w:val="center"/>
              <w:rPr>
                <w:i/>
                <w:sz w:val="22"/>
                <w:szCs w:val="22"/>
                <w:lang w:val="sr-Latn-ME"/>
              </w:rPr>
            </w:pPr>
          </w:p>
        </w:tc>
        <w:tc>
          <w:tcPr>
            <w:tcW w:w="1283" w:type="dxa"/>
            <w:tcBorders>
              <w:top w:val="nil"/>
              <w:bottom w:val="single" w:sz="4" w:space="0" w:color="auto"/>
            </w:tcBorders>
            <w:shd w:val="clear" w:color="auto" w:fill="auto"/>
          </w:tcPr>
          <w:p w:rsidR="007B7C69" w:rsidRPr="0055610F" w:rsidRDefault="007B7C69" w:rsidP="0055610F">
            <w:pPr>
              <w:jc w:val="center"/>
              <w:rPr>
                <w:i/>
                <w:sz w:val="22"/>
                <w:szCs w:val="22"/>
                <w:lang w:val="sr-Latn-ME"/>
              </w:rPr>
            </w:pPr>
          </w:p>
        </w:tc>
        <w:tc>
          <w:tcPr>
            <w:tcW w:w="1424" w:type="dxa"/>
            <w:tcBorders>
              <w:top w:val="nil"/>
              <w:bottom w:val="single" w:sz="4" w:space="0" w:color="auto"/>
              <w:right w:val="single" w:sz="6" w:space="0" w:color="000000"/>
            </w:tcBorders>
            <w:shd w:val="clear" w:color="auto" w:fill="auto"/>
          </w:tcPr>
          <w:p w:rsidR="007B7C69" w:rsidRPr="0055610F" w:rsidRDefault="007B7C69" w:rsidP="0055610F">
            <w:pPr>
              <w:jc w:val="center"/>
              <w:rPr>
                <w:i/>
                <w:sz w:val="22"/>
                <w:szCs w:val="22"/>
                <w:lang w:val="sr-Latn-ME"/>
              </w:rPr>
            </w:pPr>
          </w:p>
        </w:tc>
      </w:tr>
      <w:tr w:rsidR="007B7C69" w:rsidRPr="007642DC" w:rsidTr="007B7C69">
        <w:trPr>
          <w:trHeight w:val="248"/>
        </w:trPr>
        <w:tc>
          <w:tcPr>
            <w:tcW w:w="3124" w:type="dxa"/>
            <w:tcBorders>
              <w:top w:val="single" w:sz="4" w:space="0" w:color="auto"/>
              <w:left w:val="single" w:sz="4" w:space="0" w:color="auto"/>
              <w:bottom w:val="nil"/>
            </w:tcBorders>
            <w:shd w:val="clear" w:color="auto" w:fill="auto"/>
          </w:tcPr>
          <w:p w:rsidR="007B7C69" w:rsidRPr="0055610F" w:rsidRDefault="007B7C69" w:rsidP="004D5825">
            <w:pPr>
              <w:jc w:val="both"/>
              <w:rPr>
                <w:b/>
                <w:i/>
                <w:sz w:val="22"/>
                <w:szCs w:val="22"/>
                <w:lang w:val="sr-Latn-ME"/>
              </w:rPr>
            </w:pPr>
            <w:r w:rsidRPr="0055610F">
              <w:rPr>
                <w:i/>
                <w:sz w:val="22"/>
                <w:szCs w:val="22"/>
                <w:lang w:val="sr-Latn-ME"/>
              </w:rPr>
              <w:t xml:space="preserve">Ukupno preživljavanje </w:t>
            </w:r>
          </w:p>
        </w:tc>
        <w:tc>
          <w:tcPr>
            <w:tcW w:w="1448" w:type="dxa"/>
            <w:tcBorders>
              <w:top w:val="single" w:sz="4" w:space="0" w:color="auto"/>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NR</w:t>
            </w:r>
          </w:p>
        </w:tc>
        <w:tc>
          <w:tcPr>
            <w:tcW w:w="1379" w:type="dxa"/>
            <w:tcBorders>
              <w:top w:val="single" w:sz="4" w:space="0" w:color="auto"/>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NR</w:t>
            </w:r>
          </w:p>
        </w:tc>
        <w:tc>
          <w:tcPr>
            <w:tcW w:w="1283" w:type="dxa"/>
            <w:tcBorders>
              <w:top w:val="single" w:sz="4" w:space="0" w:color="auto"/>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0.0319</w:t>
            </w:r>
          </w:p>
        </w:tc>
        <w:tc>
          <w:tcPr>
            <w:tcW w:w="1424" w:type="dxa"/>
            <w:tcBorders>
              <w:top w:val="single" w:sz="4" w:space="0" w:color="auto"/>
              <w:bottom w:val="nil"/>
              <w:right w:val="single" w:sz="6" w:space="0" w:color="000000"/>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27%</w:t>
            </w:r>
          </w:p>
        </w:tc>
      </w:tr>
      <w:tr w:rsidR="007B7C69" w:rsidRPr="007642DC" w:rsidTr="007B7C69">
        <w:trPr>
          <w:trHeight w:val="263"/>
        </w:trPr>
        <w:tc>
          <w:tcPr>
            <w:tcW w:w="3124" w:type="dxa"/>
            <w:tcBorders>
              <w:top w:val="nil"/>
              <w:left w:val="single" w:sz="4" w:space="0" w:color="auto"/>
              <w:bottom w:val="single" w:sz="4" w:space="0" w:color="auto"/>
            </w:tcBorders>
            <w:shd w:val="clear" w:color="auto" w:fill="auto"/>
          </w:tcPr>
          <w:p w:rsidR="007B7C69" w:rsidRPr="0055610F" w:rsidRDefault="007B7C69" w:rsidP="004D5825">
            <w:pPr>
              <w:jc w:val="both"/>
              <w:rPr>
                <w:i/>
                <w:sz w:val="22"/>
                <w:szCs w:val="22"/>
                <w:lang w:val="sr-Latn-ME"/>
              </w:rPr>
            </w:pPr>
          </w:p>
        </w:tc>
        <w:tc>
          <w:tcPr>
            <w:tcW w:w="1448" w:type="dxa"/>
            <w:tcBorders>
              <w:top w:val="nil"/>
              <w:bottom w:val="single" w:sz="4" w:space="0" w:color="auto"/>
            </w:tcBorders>
            <w:shd w:val="clear" w:color="auto" w:fill="auto"/>
          </w:tcPr>
          <w:p w:rsidR="007B7C69" w:rsidRPr="0055610F" w:rsidRDefault="007B7C69" w:rsidP="0055610F">
            <w:pPr>
              <w:jc w:val="center"/>
              <w:rPr>
                <w:i/>
                <w:sz w:val="22"/>
                <w:szCs w:val="22"/>
                <w:lang w:val="sr-Latn-ME"/>
              </w:rPr>
            </w:pPr>
          </w:p>
        </w:tc>
        <w:tc>
          <w:tcPr>
            <w:tcW w:w="1379" w:type="dxa"/>
            <w:tcBorders>
              <w:top w:val="nil"/>
              <w:bottom w:val="single" w:sz="4" w:space="0" w:color="auto"/>
            </w:tcBorders>
            <w:shd w:val="clear" w:color="auto" w:fill="auto"/>
          </w:tcPr>
          <w:p w:rsidR="007B7C69" w:rsidRPr="0055610F" w:rsidRDefault="007B7C69" w:rsidP="0055610F">
            <w:pPr>
              <w:jc w:val="center"/>
              <w:rPr>
                <w:i/>
                <w:sz w:val="22"/>
                <w:szCs w:val="22"/>
                <w:lang w:val="sr-Latn-ME"/>
              </w:rPr>
            </w:pPr>
          </w:p>
        </w:tc>
        <w:tc>
          <w:tcPr>
            <w:tcW w:w="1283" w:type="dxa"/>
            <w:tcBorders>
              <w:top w:val="nil"/>
              <w:bottom w:val="single" w:sz="4" w:space="0" w:color="auto"/>
            </w:tcBorders>
            <w:shd w:val="clear" w:color="auto" w:fill="auto"/>
          </w:tcPr>
          <w:p w:rsidR="007B7C69" w:rsidRPr="0055610F" w:rsidRDefault="007B7C69" w:rsidP="0055610F">
            <w:pPr>
              <w:jc w:val="center"/>
              <w:rPr>
                <w:i/>
                <w:sz w:val="22"/>
                <w:szCs w:val="22"/>
                <w:lang w:val="sr-Latn-ME"/>
              </w:rPr>
            </w:pPr>
          </w:p>
        </w:tc>
        <w:tc>
          <w:tcPr>
            <w:tcW w:w="1424" w:type="dxa"/>
            <w:tcBorders>
              <w:top w:val="nil"/>
              <w:bottom w:val="single" w:sz="4" w:space="0" w:color="auto"/>
              <w:right w:val="single" w:sz="6" w:space="0" w:color="000000"/>
            </w:tcBorders>
            <w:shd w:val="clear" w:color="auto" w:fill="auto"/>
          </w:tcPr>
          <w:p w:rsidR="007B7C69" w:rsidRPr="0055610F" w:rsidRDefault="007B7C69" w:rsidP="0055610F">
            <w:pPr>
              <w:jc w:val="center"/>
              <w:rPr>
                <w:i/>
                <w:sz w:val="22"/>
                <w:szCs w:val="22"/>
                <w:lang w:val="sr-Latn-ME"/>
              </w:rPr>
            </w:pPr>
          </w:p>
        </w:tc>
      </w:tr>
      <w:tr w:rsidR="007B7C69" w:rsidRPr="007642DC" w:rsidTr="007B7C69">
        <w:trPr>
          <w:trHeight w:val="561"/>
        </w:trPr>
        <w:tc>
          <w:tcPr>
            <w:tcW w:w="3124" w:type="dxa"/>
            <w:tcBorders>
              <w:top w:val="single" w:sz="4" w:space="0" w:color="auto"/>
              <w:left w:val="single" w:sz="4" w:space="0" w:color="auto"/>
              <w:bottom w:val="nil"/>
            </w:tcBorders>
            <w:shd w:val="clear" w:color="auto" w:fill="auto"/>
          </w:tcPr>
          <w:p w:rsidR="007B7C69" w:rsidRPr="0055610F" w:rsidRDefault="007B7C69" w:rsidP="004D5825">
            <w:pPr>
              <w:jc w:val="both"/>
              <w:rPr>
                <w:i/>
                <w:sz w:val="22"/>
                <w:szCs w:val="22"/>
                <w:lang w:val="sr-Latn-ME"/>
              </w:rPr>
            </w:pPr>
            <w:r w:rsidRPr="0055610F">
              <w:rPr>
                <w:i/>
                <w:sz w:val="22"/>
                <w:szCs w:val="22"/>
                <w:lang w:val="sr-Latn-ME"/>
              </w:rPr>
              <w:t xml:space="preserve">Preživljavanje bez događaja </w:t>
            </w:r>
          </w:p>
        </w:tc>
        <w:tc>
          <w:tcPr>
            <w:tcW w:w="1448" w:type="dxa"/>
            <w:tcBorders>
              <w:top w:val="single" w:sz="4" w:space="0" w:color="auto"/>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31.1</w:t>
            </w:r>
          </w:p>
        </w:tc>
        <w:tc>
          <w:tcPr>
            <w:tcW w:w="1379" w:type="dxa"/>
            <w:tcBorders>
              <w:top w:val="single" w:sz="4" w:space="0" w:color="auto"/>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51.8</w:t>
            </w:r>
          </w:p>
        </w:tc>
        <w:tc>
          <w:tcPr>
            <w:tcW w:w="1283" w:type="dxa"/>
            <w:tcBorders>
              <w:top w:val="single" w:sz="4" w:space="0" w:color="auto"/>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&lt;0.0001</w:t>
            </w:r>
          </w:p>
        </w:tc>
        <w:tc>
          <w:tcPr>
            <w:tcW w:w="1424" w:type="dxa"/>
            <w:tcBorders>
              <w:top w:val="single" w:sz="4" w:space="0" w:color="auto"/>
              <w:bottom w:val="nil"/>
              <w:right w:val="single" w:sz="6" w:space="0" w:color="000000"/>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44%</w:t>
            </w:r>
          </w:p>
        </w:tc>
      </w:tr>
      <w:tr w:rsidR="007B7C69" w:rsidRPr="007642DC" w:rsidTr="007B7C69">
        <w:trPr>
          <w:trHeight w:val="561"/>
        </w:trPr>
        <w:tc>
          <w:tcPr>
            <w:tcW w:w="3124" w:type="dxa"/>
            <w:tcBorders>
              <w:top w:val="single" w:sz="4" w:space="0" w:color="auto"/>
              <w:left w:val="single" w:sz="4" w:space="0" w:color="auto"/>
              <w:bottom w:val="nil"/>
            </w:tcBorders>
            <w:shd w:val="clear" w:color="auto" w:fill="auto"/>
          </w:tcPr>
          <w:p w:rsidR="007B7C69" w:rsidRPr="0055610F" w:rsidRDefault="007B7C69" w:rsidP="004D5825">
            <w:pPr>
              <w:jc w:val="both"/>
              <w:rPr>
                <w:i/>
                <w:sz w:val="22"/>
                <w:szCs w:val="22"/>
                <w:lang w:val="sr-Latn-ME"/>
              </w:rPr>
            </w:pPr>
            <w:r w:rsidRPr="0055610F">
              <w:rPr>
                <w:i/>
                <w:sz w:val="22"/>
                <w:szCs w:val="22"/>
                <w:lang w:val="sr-Latn-ME"/>
              </w:rPr>
              <w:t>Stopa odgovora na terapiju  (CR, nPR, ili PR)</w:t>
            </w:r>
          </w:p>
        </w:tc>
        <w:tc>
          <w:tcPr>
            <w:tcW w:w="1448" w:type="dxa"/>
            <w:tcBorders>
              <w:top w:val="single" w:sz="4" w:space="0" w:color="auto"/>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72.6%</w:t>
            </w:r>
          </w:p>
        </w:tc>
        <w:tc>
          <w:tcPr>
            <w:tcW w:w="1379" w:type="dxa"/>
            <w:tcBorders>
              <w:top w:val="single" w:sz="4" w:space="0" w:color="auto"/>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85.8%</w:t>
            </w:r>
          </w:p>
        </w:tc>
        <w:tc>
          <w:tcPr>
            <w:tcW w:w="1283" w:type="dxa"/>
            <w:tcBorders>
              <w:top w:val="single" w:sz="4" w:space="0" w:color="auto"/>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&lt;0.0001</w:t>
            </w:r>
          </w:p>
        </w:tc>
        <w:tc>
          <w:tcPr>
            <w:tcW w:w="1424" w:type="dxa"/>
            <w:tcBorders>
              <w:top w:val="single" w:sz="4" w:space="0" w:color="auto"/>
              <w:bottom w:val="nil"/>
              <w:right w:val="single" w:sz="6" w:space="0" w:color="000000"/>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n.a.</w:t>
            </w:r>
          </w:p>
        </w:tc>
      </w:tr>
      <w:tr w:rsidR="007B7C69" w:rsidRPr="007642DC" w:rsidTr="007B7C69">
        <w:trPr>
          <w:trHeight w:val="535"/>
        </w:trPr>
        <w:tc>
          <w:tcPr>
            <w:tcW w:w="3124" w:type="dxa"/>
            <w:tcBorders>
              <w:left w:val="single" w:sz="4" w:space="0" w:color="auto"/>
              <w:bottom w:val="nil"/>
            </w:tcBorders>
            <w:shd w:val="clear" w:color="auto" w:fill="auto"/>
          </w:tcPr>
          <w:p w:rsidR="007B7C69" w:rsidRPr="0055610F" w:rsidRDefault="007B7C69" w:rsidP="004D5825">
            <w:pPr>
              <w:jc w:val="both"/>
              <w:rPr>
                <w:i/>
                <w:sz w:val="22"/>
                <w:szCs w:val="22"/>
                <w:lang w:val="sr-Latn-ME"/>
              </w:rPr>
            </w:pPr>
            <w:r w:rsidRPr="0055610F">
              <w:rPr>
                <w:i/>
                <w:sz w:val="22"/>
                <w:szCs w:val="22"/>
                <w:lang w:val="sr-Latn-ME"/>
              </w:rPr>
              <w:t>CR stopa</w:t>
            </w:r>
          </w:p>
        </w:tc>
        <w:tc>
          <w:tcPr>
            <w:tcW w:w="1448" w:type="dxa"/>
            <w:tcBorders>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16.9%</w:t>
            </w:r>
          </w:p>
        </w:tc>
        <w:tc>
          <w:tcPr>
            <w:tcW w:w="1379" w:type="dxa"/>
            <w:tcBorders>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36.0%</w:t>
            </w:r>
          </w:p>
        </w:tc>
        <w:tc>
          <w:tcPr>
            <w:tcW w:w="1283" w:type="dxa"/>
            <w:tcBorders>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&lt;0.0001</w:t>
            </w:r>
          </w:p>
        </w:tc>
        <w:tc>
          <w:tcPr>
            <w:tcW w:w="1424" w:type="dxa"/>
            <w:tcBorders>
              <w:bottom w:val="nil"/>
              <w:right w:val="single" w:sz="6" w:space="0" w:color="000000"/>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n.a.</w:t>
            </w:r>
          </w:p>
        </w:tc>
      </w:tr>
      <w:tr w:rsidR="007B7C69" w:rsidRPr="007642DC" w:rsidTr="007B7C69">
        <w:trPr>
          <w:trHeight w:val="263"/>
        </w:trPr>
        <w:tc>
          <w:tcPr>
            <w:tcW w:w="3124" w:type="dxa"/>
            <w:tcBorders>
              <w:top w:val="nil"/>
              <w:left w:val="single" w:sz="4" w:space="0" w:color="auto"/>
              <w:bottom w:val="nil"/>
            </w:tcBorders>
            <w:shd w:val="clear" w:color="auto" w:fill="auto"/>
          </w:tcPr>
          <w:p w:rsidR="007B7C69" w:rsidRPr="0055610F" w:rsidRDefault="007B7C69" w:rsidP="004D5825">
            <w:pPr>
              <w:jc w:val="both"/>
              <w:rPr>
                <w:i/>
                <w:sz w:val="22"/>
                <w:szCs w:val="22"/>
                <w:lang w:val="sr-Latn-ME"/>
              </w:rPr>
            </w:pPr>
            <w:r w:rsidRPr="0055610F">
              <w:rPr>
                <w:i/>
                <w:sz w:val="22"/>
                <w:szCs w:val="22"/>
                <w:lang w:val="sr-Latn-ME"/>
              </w:rPr>
              <w:t xml:space="preserve"> Trajanje odgovora*</w:t>
            </w:r>
          </w:p>
        </w:tc>
        <w:tc>
          <w:tcPr>
            <w:tcW w:w="1448" w:type="dxa"/>
            <w:tcBorders>
              <w:top w:val="nil"/>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36.2</w:t>
            </w:r>
          </w:p>
        </w:tc>
        <w:tc>
          <w:tcPr>
            <w:tcW w:w="1379" w:type="dxa"/>
            <w:tcBorders>
              <w:top w:val="nil"/>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57.3</w:t>
            </w:r>
          </w:p>
        </w:tc>
        <w:tc>
          <w:tcPr>
            <w:tcW w:w="1283" w:type="dxa"/>
            <w:tcBorders>
              <w:top w:val="nil"/>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&lt;0.0001</w:t>
            </w:r>
          </w:p>
        </w:tc>
        <w:tc>
          <w:tcPr>
            <w:tcW w:w="1424" w:type="dxa"/>
            <w:tcBorders>
              <w:top w:val="nil"/>
              <w:bottom w:val="nil"/>
              <w:right w:val="single" w:sz="6" w:space="0" w:color="000000"/>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44%</w:t>
            </w:r>
          </w:p>
        </w:tc>
      </w:tr>
      <w:tr w:rsidR="007B7C69" w:rsidRPr="007642DC" w:rsidTr="007B7C69">
        <w:trPr>
          <w:trHeight w:val="263"/>
        </w:trPr>
        <w:tc>
          <w:tcPr>
            <w:tcW w:w="3124" w:type="dxa"/>
            <w:tcBorders>
              <w:top w:val="nil"/>
              <w:left w:val="single" w:sz="4" w:space="0" w:color="auto"/>
              <w:bottom w:val="nil"/>
            </w:tcBorders>
            <w:shd w:val="clear" w:color="auto" w:fill="auto"/>
          </w:tcPr>
          <w:p w:rsidR="007B7C69" w:rsidRPr="0055610F" w:rsidRDefault="007B7C69" w:rsidP="004D5825">
            <w:pPr>
              <w:jc w:val="both"/>
              <w:rPr>
                <w:i/>
                <w:sz w:val="22"/>
                <w:szCs w:val="22"/>
                <w:lang w:val="sr-Latn-ME"/>
              </w:rPr>
            </w:pPr>
            <w:r w:rsidRPr="0055610F">
              <w:rPr>
                <w:i/>
                <w:sz w:val="22"/>
                <w:szCs w:val="22"/>
                <w:lang w:val="sr-Latn-ME"/>
              </w:rPr>
              <w:t>Preživljavanje bez bolesti (DFS)**</w:t>
            </w:r>
          </w:p>
        </w:tc>
        <w:tc>
          <w:tcPr>
            <w:tcW w:w="1448" w:type="dxa"/>
            <w:tcBorders>
              <w:top w:val="nil"/>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48.9</w:t>
            </w:r>
          </w:p>
        </w:tc>
        <w:tc>
          <w:tcPr>
            <w:tcW w:w="1379" w:type="dxa"/>
            <w:tcBorders>
              <w:top w:val="nil"/>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69.7</w:t>
            </w:r>
          </w:p>
        </w:tc>
        <w:tc>
          <w:tcPr>
            <w:tcW w:w="1283" w:type="dxa"/>
            <w:tcBorders>
              <w:top w:val="nil"/>
              <w:bottom w:val="nil"/>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&lt;0.0001</w:t>
            </w:r>
          </w:p>
        </w:tc>
        <w:tc>
          <w:tcPr>
            <w:tcW w:w="1424" w:type="dxa"/>
            <w:tcBorders>
              <w:top w:val="nil"/>
              <w:bottom w:val="nil"/>
              <w:right w:val="single" w:sz="6" w:space="0" w:color="000000"/>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31%</w:t>
            </w:r>
          </w:p>
        </w:tc>
      </w:tr>
      <w:tr w:rsidR="007B7C69" w:rsidRPr="007642DC" w:rsidTr="007B7C69">
        <w:trPr>
          <w:trHeight w:val="526"/>
        </w:trPr>
        <w:tc>
          <w:tcPr>
            <w:tcW w:w="3124" w:type="dxa"/>
            <w:tcBorders>
              <w:top w:val="nil"/>
              <w:left w:val="single" w:sz="4" w:space="0" w:color="auto"/>
              <w:bottom w:val="single" w:sz="4" w:space="0" w:color="auto"/>
            </w:tcBorders>
            <w:shd w:val="clear" w:color="auto" w:fill="auto"/>
          </w:tcPr>
          <w:p w:rsidR="007B7C69" w:rsidRPr="0055610F" w:rsidRDefault="007B7C69" w:rsidP="004D5825">
            <w:pPr>
              <w:jc w:val="both"/>
              <w:rPr>
                <w:i/>
                <w:sz w:val="22"/>
                <w:szCs w:val="22"/>
                <w:lang w:val="sr-Latn-ME"/>
              </w:rPr>
            </w:pPr>
            <w:r w:rsidRPr="0055610F">
              <w:rPr>
                <w:i/>
                <w:sz w:val="22"/>
                <w:szCs w:val="22"/>
                <w:lang w:val="sr-Latn-ME"/>
              </w:rPr>
              <w:t xml:space="preserve">Vrijeme do nove terapije </w:t>
            </w:r>
          </w:p>
        </w:tc>
        <w:tc>
          <w:tcPr>
            <w:tcW w:w="1448" w:type="dxa"/>
            <w:tcBorders>
              <w:top w:val="nil"/>
              <w:bottom w:val="single" w:sz="4" w:space="0" w:color="auto"/>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47.2.</w:t>
            </w:r>
          </w:p>
        </w:tc>
        <w:tc>
          <w:tcPr>
            <w:tcW w:w="1379" w:type="dxa"/>
            <w:tcBorders>
              <w:top w:val="nil"/>
              <w:bottom w:val="single" w:sz="4" w:space="0" w:color="auto"/>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69.7</w:t>
            </w:r>
          </w:p>
        </w:tc>
        <w:tc>
          <w:tcPr>
            <w:tcW w:w="1283" w:type="dxa"/>
            <w:tcBorders>
              <w:top w:val="nil"/>
              <w:bottom w:val="single" w:sz="4" w:space="0" w:color="auto"/>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&lt;0.0001</w:t>
            </w:r>
          </w:p>
        </w:tc>
        <w:tc>
          <w:tcPr>
            <w:tcW w:w="1424" w:type="dxa"/>
            <w:tcBorders>
              <w:top w:val="nil"/>
              <w:bottom w:val="single" w:sz="4" w:space="0" w:color="auto"/>
              <w:right w:val="single" w:sz="6" w:space="0" w:color="000000"/>
            </w:tcBorders>
            <w:shd w:val="clear" w:color="auto" w:fill="auto"/>
          </w:tcPr>
          <w:p w:rsidR="007B7C69" w:rsidRPr="0055610F" w:rsidRDefault="007B7C69" w:rsidP="0055610F">
            <w:pPr>
              <w:jc w:val="center"/>
              <w:rPr>
                <w:i/>
                <w:sz w:val="22"/>
                <w:szCs w:val="22"/>
                <w:lang w:val="sr-Latn-ME"/>
              </w:rPr>
            </w:pPr>
            <w:r w:rsidRPr="0055610F">
              <w:rPr>
                <w:i/>
                <w:sz w:val="22"/>
                <w:szCs w:val="22"/>
                <w:lang w:val="sr-Latn-ME"/>
              </w:rPr>
              <w:t>42%</w:t>
            </w:r>
          </w:p>
        </w:tc>
      </w:tr>
    </w:tbl>
    <w:p w:rsidR="007B7C69" w:rsidRPr="0055610F" w:rsidRDefault="007B7C69" w:rsidP="004D5825">
      <w:pPr>
        <w:jc w:val="both"/>
        <w:rPr>
          <w:i/>
          <w:sz w:val="22"/>
          <w:szCs w:val="22"/>
          <w:lang w:val="sr-Latn-ME"/>
        </w:rPr>
      </w:pPr>
      <w:r w:rsidRPr="0055610F">
        <w:rPr>
          <w:i/>
          <w:sz w:val="22"/>
          <w:szCs w:val="22"/>
          <w:lang w:val="sr-Latn-ME"/>
        </w:rPr>
        <w:t>Stopa odgovora na terapiju i stopa CR  analizirane primjenom Chi-kvadrat testa.</w:t>
      </w:r>
    </w:p>
    <w:p w:rsidR="007B7C69" w:rsidRPr="0055610F" w:rsidRDefault="007B7C69" w:rsidP="004D5825">
      <w:pPr>
        <w:jc w:val="both"/>
        <w:rPr>
          <w:sz w:val="22"/>
          <w:szCs w:val="22"/>
          <w:lang w:val="sr-Latn-ME"/>
        </w:rPr>
      </w:pPr>
      <w:r w:rsidRPr="0055610F">
        <w:rPr>
          <w:sz w:val="22"/>
          <w:szCs w:val="22"/>
          <w:lang w:val="sr-Latn-ME"/>
        </w:rPr>
        <w:t>*: odnosi se samo na pacijente koji su postigli CR, nPR, PR; NR: nije postignut</w:t>
      </w:r>
      <w:r w:rsidR="00B21971" w:rsidRPr="0055610F">
        <w:rPr>
          <w:sz w:val="22"/>
          <w:szCs w:val="22"/>
          <w:lang w:val="sr-Latn-ME"/>
        </w:rPr>
        <w:t xml:space="preserve">; </w:t>
      </w:r>
      <w:r w:rsidRPr="0055610F">
        <w:rPr>
          <w:sz w:val="22"/>
          <w:szCs w:val="22"/>
          <w:lang w:val="sr-Latn-ME"/>
        </w:rPr>
        <w:t>n.a. nije priem</w:t>
      </w:r>
      <w:r w:rsidR="00430A27" w:rsidRPr="0055610F">
        <w:rPr>
          <w:sz w:val="22"/>
          <w:szCs w:val="22"/>
          <w:lang w:val="sr-Latn-ME"/>
        </w:rPr>
        <w:t>j</w:t>
      </w:r>
      <w:r w:rsidRPr="0055610F">
        <w:rPr>
          <w:sz w:val="22"/>
          <w:szCs w:val="22"/>
          <w:lang w:val="sr-Latn-ME"/>
        </w:rPr>
        <w:t xml:space="preserve">enljivo </w:t>
      </w:r>
    </w:p>
    <w:p w:rsidR="007B7C69" w:rsidRPr="0055610F" w:rsidRDefault="007B7C69" w:rsidP="004D5825">
      <w:pPr>
        <w:tabs>
          <w:tab w:val="left" w:pos="540"/>
          <w:tab w:val="left" w:pos="569"/>
        </w:tabs>
        <w:jc w:val="both"/>
        <w:rPr>
          <w:sz w:val="22"/>
          <w:szCs w:val="22"/>
          <w:lang w:val="sr-Latn-ME"/>
        </w:rPr>
      </w:pPr>
      <w:r w:rsidRPr="0055610F">
        <w:rPr>
          <w:sz w:val="22"/>
          <w:szCs w:val="22"/>
          <w:lang w:val="sr-Latn-ME"/>
        </w:rPr>
        <w:t>**: prim</w:t>
      </w:r>
      <w:r w:rsidR="00430A27" w:rsidRPr="0055610F">
        <w:rPr>
          <w:sz w:val="22"/>
          <w:szCs w:val="22"/>
          <w:lang w:val="sr-Latn-ME"/>
        </w:rPr>
        <w:t>j</w:t>
      </w:r>
      <w:r w:rsidRPr="0055610F">
        <w:rPr>
          <w:sz w:val="22"/>
          <w:szCs w:val="22"/>
          <w:lang w:val="sr-Latn-ME"/>
        </w:rPr>
        <w:t>enljivo samo n</w:t>
      </w:r>
      <w:r w:rsidR="00B21971" w:rsidRPr="0055610F">
        <w:rPr>
          <w:sz w:val="22"/>
          <w:szCs w:val="22"/>
          <w:lang w:val="sr-Latn-ME"/>
        </w:rPr>
        <w:t>a pacijente koji su postigli CR</w:t>
      </w:r>
    </w:p>
    <w:p w:rsidR="007B7C69" w:rsidRDefault="007B7C69" w:rsidP="004D5825">
      <w:pPr>
        <w:tabs>
          <w:tab w:val="left" w:pos="540"/>
          <w:tab w:val="left" w:pos="569"/>
        </w:tabs>
        <w:jc w:val="both"/>
        <w:rPr>
          <w:sz w:val="22"/>
          <w:szCs w:val="22"/>
          <w:lang w:val="sr-Latn-ME"/>
        </w:rPr>
      </w:pPr>
    </w:p>
    <w:p w:rsidR="00831702" w:rsidRDefault="00831702" w:rsidP="004D5825">
      <w:pPr>
        <w:tabs>
          <w:tab w:val="left" w:pos="540"/>
          <w:tab w:val="left" w:pos="569"/>
        </w:tabs>
        <w:jc w:val="both"/>
        <w:rPr>
          <w:sz w:val="22"/>
          <w:szCs w:val="22"/>
          <w:lang w:val="sr-Latn-ME"/>
        </w:rPr>
      </w:pPr>
    </w:p>
    <w:p w:rsidR="00831702" w:rsidRDefault="00831702" w:rsidP="004D5825">
      <w:pPr>
        <w:tabs>
          <w:tab w:val="left" w:pos="540"/>
          <w:tab w:val="left" w:pos="569"/>
        </w:tabs>
        <w:jc w:val="both"/>
        <w:rPr>
          <w:sz w:val="22"/>
          <w:szCs w:val="22"/>
          <w:lang w:val="sr-Latn-ME"/>
        </w:rPr>
      </w:pPr>
    </w:p>
    <w:p w:rsidR="00831702" w:rsidRPr="0055610F" w:rsidRDefault="00831702" w:rsidP="004D5825">
      <w:pPr>
        <w:tabs>
          <w:tab w:val="left" w:pos="540"/>
          <w:tab w:val="left" w:pos="569"/>
        </w:tabs>
        <w:jc w:val="both"/>
        <w:rPr>
          <w:sz w:val="22"/>
          <w:szCs w:val="22"/>
          <w:lang w:val="sr-Latn-ME"/>
        </w:rPr>
      </w:pPr>
    </w:p>
    <w:p w:rsidR="007B7C69" w:rsidRPr="0055610F" w:rsidRDefault="007B7C69" w:rsidP="004D5825">
      <w:pPr>
        <w:keepNext/>
        <w:ind w:left="1134" w:hanging="1134"/>
        <w:jc w:val="both"/>
        <w:outlineLvl w:val="0"/>
        <w:rPr>
          <w:b/>
          <w:sz w:val="22"/>
          <w:szCs w:val="22"/>
          <w:lang w:val="sr-Latn-ME"/>
        </w:rPr>
      </w:pPr>
      <w:r w:rsidRPr="0055610F">
        <w:rPr>
          <w:b/>
          <w:sz w:val="22"/>
          <w:szCs w:val="22"/>
          <w:lang w:val="sr-Latn-ME"/>
        </w:rPr>
        <w:lastRenderedPageBreak/>
        <w:t>Tabela 12b. Prva linija liječenja hronične limfociten leukemije. Odnos rizika za preživljavanje bez progresije bolesti prema Binetovom stadijumu (ITT populacija) - medijan</w:t>
      </w:r>
      <w:r w:rsidR="00430A27" w:rsidRPr="0055610F">
        <w:rPr>
          <w:b/>
          <w:sz w:val="22"/>
          <w:szCs w:val="22"/>
          <w:lang w:val="sr-Latn-ME"/>
        </w:rPr>
        <w:t>a</w:t>
      </w:r>
      <w:r w:rsidRPr="0055610F">
        <w:rPr>
          <w:b/>
          <w:sz w:val="22"/>
          <w:szCs w:val="22"/>
          <w:lang w:val="sr-Latn-ME"/>
        </w:rPr>
        <w:t xml:space="preserve"> vremena praćenja je 48,1 mjesec</w:t>
      </w:r>
      <w:r w:rsidR="00430A27" w:rsidRPr="0055610F">
        <w:rPr>
          <w:b/>
          <w:sz w:val="22"/>
          <w:szCs w:val="22"/>
          <w:lang w:val="sr-Latn-ME"/>
        </w:rPr>
        <w:t>i</w:t>
      </w:r>
    </w:p>
    <w:p w:rsidR="007B7C69" w:rsidRPr="0055610F" w:rsidRDefault="007B7C69" w:rsidP="004D5825">
      <w:pPr>
        <w:jc w:val="both"/>
        <w:rPr>
          <w:b/>
          <w:sz w:val="22"/>
          <w:szCs w:val="22"/>
          <w:lang w:val="sr-Latn-ME"/>
        </w:rPr>
      </w:pP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1"/>
        <w:gridCol w:w="1154"/>
        <w:gridCol w:w="1260"/>
        <w:gridCol w:w="2880"/>
        <w:gridCol w:w="1530"/>
      </w:tblGrid>
      <w:tr w:rsidR="007B7C69" w:rsidRPr="007642DC" w:rsidTr="00507E75">
        <w:tc>
          <w:tcPr>
            <w:tcW w:w="1991" w:type="dxa"/>
            <w:vMerge w:val="restart"/>
            <w:shd w:val="clear" w:color="auto" w:fill="auto"/>
          </w:tcPr>
          <w:p w:rsidR="007B7C69" w:rsidRPr="0055610F" w:rsidRDefault="007B7C69" w:rsidP="004D5825">
            <w:pPr>
              <w:jc w:val="both"/>
              <w:rPr>
                <w:b/>
                <w:sz w:val="22"/>
                <w:szCs w:val="22"/>
                <w:lang w:val="sr-Latn-ME"/>
              </w:rPr>
            </w:pPr>
            <w:r w:rsidRPr="0055610F">
              <w:rPr>
                <w:b/>
                <w:sz w:val="22"/>
                <w:szCs w:val="22"/>
                <w:lang w:val="sr-Latn-ME"/>
              </w:rPr>
              <w:t>Preživljavanje bez progresije bolesti (PFS)</w:t>
            </w:r>
          </w:p>
        </w:tc>
        <w:tc>
          <w:tcPr>
            <w:tcW w:w="2414" w:type="dxa"/>
            <w:gridSpan w:val="2"/>
            <w:shd w:val="clear" w:color="auto" w:fill="auto"/>
          </w:tcPr>
          <w:p w:rsidR="007B7C69" w:rsidRPr="0055610F" w:rsidRDefault="007B7C69" w:rsidP="0055610F">
            <w:pPr>
              <w:jc w:val="center"/>
              <w:rPr>
                <w:b/>
                <w:sz w:val="22"/>
                <w:szCs w:val="22"/>
                <w:lang w:val="sr-Latn-ME"/>
              </w:rPr>
            </w:pPr>
            <w:r w:rsidRPr="0055610F">
              <w:rPr>
                <w:b/>
                <w:sz w:val="22"/>
                <w:szCs w:val="22"/>
                <w:lang w:val="sr-Latn-ME"/>
              </w:rPr>
              <w:t>Broj pacijenata</w:t>
            </w:r>
          </w:p>
        </w:tc>
        <w:tc>
          <w:tcPr>
            <w:tcW w:w="2880" w:type="dxa"/>
            <w:vMerge w:val="restart"/>
            <w:shd w:val="clear" w:color="auto" w:fill="auto"/>
          </w:tcPr>
          <w:p w:rsidR="007B7C69" w:rsidRPr="0055610F" w:rsidRDefault="007B7C69" w:rsidP="0055610F">
            <w:pPr>
              <w:jc w:val="center"/>
              <w:rPr>
                <w:b/>
                <w:sz w:val="22"/>
                <w:szCs w:val="22"/>
                <w:lang w:val="sr-Latn-ME"/>
              </w:rPr>
            </w:pPr>
            <w:r w:rsidRPr="0055610F">
              <w:rPr>
                <w:b/>
                <w:sz w:val="22"/>
                <w:szCs w:val="22"/>
                <w:lang w:val="sr-Latn-ME"/>
              </w:rPr>
              <w:t>Odnos rizika          (95% CI)</w:t>
            </w:r>
          </w:p>
        </w:tc>
        <w:tc>
          <w:tcPr>
            <w:tcW w:w="1530" w:type="dxa"/>
            <w:vMerge w:val="restart"/>
            <w:shd w:val="clear" w:color="auto" w:fill="auto"/>
          </w:tcPr>
          <w:p w:rsidR="007B7C69" w:rsidRPr="0055610F" w:rsidRDefault="007B7C69" w:rsidP="0055610F">
            <w:pPr>
              <w:jc w:val="center"/>
              <w:rPr>
                <w:b/>
                <w:sz w:val="22"/>
                <w:szCs w:val="22"/>
                <w:lang w:val="sr-Latn-ME"/>
              </w:rPr>
            </w:pPr>
            <w:r w:rsidRPr="0055610F">
              <w:rPr>
                <w:b/>
                <w:sz w:val="22"/>
                <w:szCs w:val="22"/>
                <w:lang w:val="sr-Latn-ME"/>
              </w:rPr>
              <w:t>p</w:t>
            </w:r>
            <w:r w:rsidRPr="0055610F">
              <w:rPr>
                <w:b/>
                <w:sz w:val="22"/>
                <w:szCs w:val="22"/>
                <w:lang w:val="sr-Latn-ME"/>
              </w:rPr>
              <w:noBreakHyphen/>
              <w:t>vrijednost (Waldov test, bez prilagođavanja)</w:t>
            </w:r>
          </w:p>
        </w:tc>
      </w:tr>
      <w:tr w:rsidR="007B7C69" w:rsidRPr="007642DC" w:rsidTr="00507E75">
        <w:tc>
          <w:tcPr>
            <w:tcW w:w="1991" w:type="dxa"/>
            <w:vMerge/>
            <w:shd w:val="clear" w:color="auto" w:fill="auto"/>
          </w:tcPr>
          <w:p w:rsidR="007B7C69" w:rsidRPr="0055610F" w:rsidRDefault="007B7C69" w:rsidP="004D5825">
            <w:pPr>
              <w:jc w:val="both"/>
              <w:rPr>
                <w:sz w:val="22"/>
                <w:szCs w:val="22"/>
                <w:lang w:val="sr-Latn-ME"/>
              </w:rPr>
            </w:pPr>
          </w:p>
        </w:tc>
        <w:tc>
          <w:tcPr>
            <w:tcW w:w="1154" w:type="dxa"/>
            <w:shd w:val="clear" w:color="auto" w:fill="auto"/>
          </w:tcPr>
          <w:p w:rsidR="007B7C69" w:rsidRPr="0055610F" w:rsidRDefault="007B7C69" w:rsidP="0055610F">
            <w:pPr>
              <w:jc w:val="center"/>
              <w:rPr>
                <w:b/>
                <w:sz w:val="22"/>
                <w:szCs w:val="22"/>
                <w:lang w:val="sr-Latn-ME"/>
              </w:rPr>
            </w:pPr>
            <w:r w:rsidRPr="0055610F">
              <w:rPr>
                <w:b/>
                <w:sz w:val="22"/>
                <w:szCs w:val="22"/>
                <w:lang w:val="sr-Latn-ME"/>
              </w:rPr>
              <w:t>FC</w:t>
            </w:r>
          </w:p>
        </w:tc>
        <w:tc>
          <w:tcPr>
            <w:tcW w:w="1260" w:type="dxa"/>
            <w:shd w:val="clear" w:color="auto" w:fill="auto"/>
          </w:tcPr>
          <w:p w:rsidR="007B7C69" w:rsidRPr="0055610F" w:rsidRDefault="007B7C69" w:rsidP="0055610F">
            <w:pPr>
              <w:jc w:val="center"/>
              <w:rPr>
                <w:b/>
                <w:sz w:val="22"/>
                <w:szCs w:val="22"/>
                <w:lang w:val="sr-Latn-ME"/>
              </w:rPr>
            </w:pPr>
            <w:r w:rsidRPr="0055610F">
              <w:rPr>
                <w:b/>
                <w:sz w:val="22"/>
                <w:szCs w:val="22"/>
                <w:lang w:val="sr-Latn-ME"/>
              </w:rPr>
              <w:t>R-FC</w:t>
            </w:r>
          </w:p>
        </w:tc>
        <w:tc>
          <w:tcPr>
            <w:tcW w:w="2880" w:type="dxa"/>
            <w:vMerge/>
            <w:shd w:val="clear" w:color="auto" w:fill="auto"/>
          </w:tcPr>
          <w:p w:rsidR="007B7C69" w:rsidRPr="0055610F" w:rsidRDefault="007B7C69" w:rsidP="0055610F">
            <w:pPr>
              <w:jc w:val="center"/>
              <w:rPr>
                <w:sz w:val="22"/>
                <w:szCs w:val="22"/>
                <w:lang w:val="sr-Latn-ME"/>
              </w:rPr>
            </w:pPr>
          </w:p>
        </w:tc>
        <w:tc>
          <w:tcPr>
            <w:tcW w:w="1530" w:type="dxa"/>
            <w:vMerge/>
            <w:shd w:val="clear" w:color="auto" w:fill="auto"/>
          </w:tcPr>
          <w:p w:rsidR="007B7C69" w:rsidRPr="0055610F" w:rsidRDefault="007B7C69" w:rsidP="0055610F">
            <w:pPr>
              <w:jc w:val="center"/>
              <w:rPr>
                <w:sz w:val="22"/>
                <w:szCs w:val="22"/>
                <w:lang w:val="sr-Latn-ME"/>
              </w:rPr>
            </w:pPr>
          </w:p>
        </w:tc>
      </w:tr>
      <w:tr w:rsidR="007B7C69" w:rsidRPr="007642DC" w:rsidTr="00507E75">
        <w:tc>
          <w:tcPr>
            <w:tcW w:w="1991" w:type="dxa"/>
            <w:shd w:val="clear" w:color="auto" w:fill="auto"/>
          </w:tcPr>
          <w:p w:rsidR="007B7C69" w:rsidRPr="0055610F" w:rsidRDefault="007B7C69" w:rsidP="004D5825">
            <w:pPr>
              <w:jc w:val="both"/>
              <w:rPr>
                <w:sz w:val="22"/>
                <w:szCs w:val="22"/>
                <w:lang w:val="sr-Latn-ME"/>
              </w:rPr>
            </w:pPr>
            <w:r w:rsidRPr="0055610F">
              <w:rPr>
                <w:sz w:val="22"/>
                <w:szCs w:val="22"/>
                <w:lang w:val="sr-Latn-ME"/>
              </w:rPr>
              <w:t>Binet stadijum A</w:t>
            </w:r>
          </w:p>
        </w:tc>
        <w:tc>
          <w:tcPr>
            <w:tcW w:w="1154" w:type="dxa"/>
            <w:shd w:val="clear" w:color="auto" w:fill="auto"/>
          </w:tcPr>
          <w:p w:rsidR="007B7C69" w:rsidRPr="0055610F" w:rsidRDefault="007B7C69" w:rsidP="0055610F">
            <w:pPr>
              <w:jc w:val="center"/>
              <w:rPr>
                <w:sz w:val="22"/>
                <w:szCs w:val="22"/>
                <w:lang w:val="sr-Latn-ME"/>
              </w:rPr>
            </w:pPr>
            <w:r w:rsidRPr="0055610F">
              <w:rPr>
                <w:sz w:val="22"/>
                <w:szCs w:val="22"/>
                <w:lang w:val="sr-Latn-ME"/>
              </w:rPr>
              <w:t>22</w:t>
            </w:r>
          </w:p>
        </w:tc>
        <w:tc>
          <w:tcPr>
            <w:tcW w:w="1260" w:type="dxa"/>
            <w:shd w:val="clear" w:color="auto" w:fill="auto"/>
          </w:tcPr>
          <w:p w:rsidR="007B7C69" w:rsidRPr="0055610F" w:rsidRDefault="007B7C69" w:rsidP="0055610F">
            <w:pPr>
              <w:jc w:val="center"/>
              <w:rPr>
                <w:sz w:val="22"/>
                <w:szCs w:val="22"/>
                <w:lang w:val="sr-Latn-ME"/>
              </w:rPr>
            </w:pPr>
            <w:r w:rsidRPr="0055610F">
              <w:rPr>
                <w:sz w:val="22"/>
                <w:szCs w:val="22"/>
                <w:lang w:val="sr-Latn-ME"/>
              </w:rPr>
              <w:t>18</w:t>
            </w:r>
          </w:p>
        </w:tc>
        <w:tc>
          <w:tcPr>
            <w:tcW w:w="2880" w:type="dxa"/>
            <w:shd w:val="clear" w:color="auto" w:fill="auto"/>
          </w:tcPr>
          <w:p w:rsidR="007B7C69" w:rsidRPr="0055610F" w:rsidRDefault="007B7C69" w:rsidP="0055610F">
            <w:pPr>
              <w:jc w:val="center"/>
              <w:rPr>
                <w:sz w:val="22"/>
                <w:szCs w:val="22"/>
                <w:lang w:val="sr-Latn-ME"/>
              </w:rPr>
            </w:pPr>
            <w:r w:rsidRPr="0055610F">
              <w:rPr>
                <w:sz w:val="22"/>
                <w:szCs w:val="22"/>
                <w:lang w:val="sr-Latn-ME"/>
              </w:rPr>
              <w:t>0,39 (0,15; 0,98)</w:t>
            </w:r>
          </w:p>
        </w:tc>
        <w:tc>
          <w:tcPr>
            <w:tcW w:w="1530" w:type="dxa"/>
            <w:shd w:val="clear" w:color="auto" w:fill="auto"/>
          </w:tcPr>
          <w:p w:rsidR="007B7C69" w:rsidRPr="0055610F" w:rsidRDefault="007B7C69" w:rsidP="0055610F">
            <w:pPr>
              <w:jc w:val="center"/>
              <w:rPr>
                <w:sz w:val="22"/>
                <w:szCs w:val="22"/>
                <w:lang w:val="sr-Latn-ME"/>
              </w:rPr>
            </w:pPr>
            <w:r w:rsidRPr="0055610F">
              <w:rPr>
                <w:sz w:val="22"/>
                <w:szCs w:val="22"/>
                <w:lang w:val="sr-Latn-ME"/>
              </w:rPr>
              <w:t>0,0442</w:t>
            </w:r>
          </w:p>
        </w:tc>
      </w:tr>
      <w:tr w:rsidR="007B7C69" w:rsidRPr="007642DC" w:rsidTr="00507E75">
        <w:tc>
          <w:tcPr>
            <w:tcW w:w="1991" w:type="dxa"/>
            <w:shd w:val="clear" w:color="auto" w:fill="auto"/>
          </w:tcPr>
          <w:p w:rsidR="007B7C69" w:rsidRPr="0055610F" w:rsidRDefault="007B7C69" w:rsidP="004D5825">
            <w:pPr>
              <w:jc w:val="both"/>
              <w:rPr>
                <w:sz w:val="22"/>
                <w:szCs w:val="22"/>
                <w:lang w:val="sr-Latn-ME"/>
              </w:rPr>
            </w:pPr>
            <w:r w:rsidRPr="0055610F">
              <w:rPr>
                <w:sz w:val="22"/>
                <w:szCs w:val="22"/>
                <w:lang w:val="sr-Latn-ME"/>
              </w:rPr>
              <w:t>Binet stadijum B</w:t>
            </w:r>
          </w:p>
        </w:tc>
        <w:tc>
          <w:tcPr>
            <w:tcW w:w="1154" w:type="dxa"/>
            <w:shd w:val="clear" w:color="auto" w:fill="auto"/>
          </w:tcPr>
          <w:p w:rsidR="007B7C69" w:rsidRPr="0055610F" w:rsidRDefault="007B7C69" w:rsidP="0055610F">
            <w:pPr>
              <w:jc w:val="center"/>
              <w:rPr>
                <w:sz w:val="22"/>
                <w:szCs w:val="22"/>
                <w:lang w:val="sr-Latn-ME"/>
              </w:rPr>
            </w:pPr>
            <w:r w:rsidRPr="0055610F">
              <w:rPr>
                <w:sz w:val="22"/>
                <w:szCs w:val="22"/>
                <w:lang w:val="sr-Latn-ME"/>
              </w:rPr>
              <w:t>259</w:t>
            </w:r>
          </w:p>
        </w:tc>
        <w:tc>
          <w:tcPr>
            <w:tcW w:w="1260" w:type="dxa"/>
            <w:shd w:val="clear" w:color="auto" w:fill="auto"/>
          </w:tcPr>
          <w:p w:rsidR="007B7C69" w:rsidRPr="0055610F" w:rsidRDefault="007B7C69" w:rsidP="0055610F">
            <w:pPr>
              <w:jc w:val="center"/>
              <w:rPr>
                <w:sz w:val="22"/>
                <w:szCs w:val="22"/>
                <w:lang w:val="sr-Latn-ME"/>
              </w:rPr>
            </w:pPr>
            <w:r w:rsidRPr="0055610F">
              <w:rPr>
                <w:sz w:val="22"/>
                <w:szCs w:val="22"/>
                <w:lang w:val="sr-Latn-ME"/>
              </w:rPr>
              <w:t>263</w:t>
            </w:r>
          </w:p>
        </w:tc>
        <w:tc>
          <w:tcPr>
            <w:tcW w:w="2880" w:type="dxa"/>
            <w:shd w:val="clear" w:color="auto" w:fill="auto"/>
          </w:tcPr>
          <w:p w:rsidR="007B7C69" w:rsidRPr="0055610F" w:rsidRDefault="007B7C69" w:rsidP="0055610F">
            <w:pPr>
              <w:jc w:val="center"/>
              <w:rPr>
                <w:sz w:val="22"/>
                <w:szCs w:val="22"/>
                <w:lang w:val="sr-Latn-ME"/>
              </w:rPr>
            </w:pPr>
            <w:r w:rsidRPr="0055610F">
              <w:rPr>
                <w:sz w:val="22"/>
                <w:szCs w:val="22"/>
                <w:lang w:val="sr-Latn-ME"/>
              </w:rPr>
              <w:t>0,52 (0,41; 0,66)</w:t>
            </w:r>
          </w:p>
        </w:tc>
        <w:tc>
          <w:tcPr>
            <w:tcW w:w="1530" w:type="dxa"/>
            <w:shd w:val="clear" w:color="auto" w:fill="auto"/>
          </w:tcPr>
          <w:p w:rsidR="007B7C69" w:rsidRPr="0055610F" w:rsidRDefault="007B7C69" w:rsidP="0055610F">
            <w:pPr>
              <w:jc w:val="center"/>
              <w:rPr>
                <w:sz w:val="22"/>
                <w:szCs w:val="22"/>
                <w:lang w:val="sr-Latn-ME"/>
              </w:rPr>
            </w:pPr>
            <w:r w:rsidRPr="0055610F">
              <w:rPr>
                <w:sz w:val="22"/>
                <w:szCs w:val="22"/>
                <w:lang w:val="sr-Latn-ME"/>
              </w:rPr>
              <w:t>&lt; 0,0001</w:t>
            </w:r>
          </w:p>
        </w:tc>
      </w:tr>
      <w:tr w:rsidR="007B7C69" w:rsidRPr="007642DC" w:rsidTr="00507E75">
        <w:tc>
          <w:tcPr>
            <w:tcW w:w="1991" w:type="dxa"/>
            <w:shd w:val="clear" w:color="auto" w:fill="auto"/>
          </w:tcPr>
          <w:p w:rsidR="007B7C69" w:rsidRPr="0055610F" w:rsidRDefault="007B7C69" w:rsidP="004D5825">
            <w:pPr>
              <w:jc w:val="both"/>
              <w:rPr>
                <w:sz w:val="22"/>
                <w:szCs w:val="22"/>
                <w:lang w:val="sr-Latn-ME"/>
              </w:rPr>
            </w:pPr>
            <w:r w:rsidRPr="0055610F">
              <w:rPr>
                <w:sz w:val="22"/>
                <w:szCs w:val="22"/>
                <w:lang w:val="sr-Latn-ME"/>
              </w:rPr>
              <w:t>Binet stadijum C</w:t>
            </w:r>
          </w:p>
        </w:tc>
        <w:tc>
          <w:tcPr>
            <w:tcW w:w="1154" w:type="dxa"/>
            <w:shd w:val="clear" w:color="auto" w:fill="auto"/>
          </w:tcPr>
          <w:p w:rsidR="007B7C69" w:rsidRPr="0055610F" w:rsidRDefault="007B7C69" w:rsidP="0055610F">
            <w:pPr>
              <w:jc w:val="center"/>
              <w:rPr>
                <w:sz w:val="22"/>
                <w:szCs w:val="22"/>
                <w:lang w:val="sr-Latn-ME"/>
              </w:rPr>
            </w:pPr>
            <w:r w:rsidRPr="0055610F">
              <w:rPr>
                <w:sz w:val="22"/>
                <w:szCs w:val="22"/>
                <w:lang w:val="sr-Latn-ME"/>
              </w:rPr>
              <w:t>126</w:t>
            </w:r>
          </w:p>
        </w:tc>
        <w:tc>
          <w:tcPr>
            <w:tcW w:w="1260" w:type="dxa"/>
            <w:shd w:val="clear" w:color="auto" w:fill="auto"/>
          </w:tcPr>
          <w:p w:rsidR="007B7C69" w:rsidRPr="0055610F" w:rsidRDefault="007B7C69" w:rsidP="0055610F">
            <w:pPr>
              <w:jc w:val="center"/>
              <w:rPr>
                <w:sz w:val="22"/>
                <w:szCs w:val="22"/>
                <w:lang w:val="sr-Latn-ME"/>
              </w:rPr>
            </w:pPr>
            <w:r w:rsidRPr="0055610F">
              <w:rPr>
                <w:sz w:val="22"/>
                <w:szCs w:val="22"/>
                <w:lang w:val="sr-Latn-ME"/>
              </w:rPr>
              <w:t>126</w:t>
            </w:r>
          </w:p>
        </w:tc>
        <w:tc>
          <w:tcPr>
            <w:tcW w:w="2880" w:type="dxa"/>
            <w:shd w:val="clear" w:color="auto" w:fill="auto"/>
          </w:tcPr>
          <w:p w:rsidR="007B7C69" w:rsidRPr="0055610F" w:rsidRDefault="007B7C69" w:rsidP="0055610F">
            <w:pPr>
              <w:jc w:val="center"/>
              <w:rPr>
                <w:sz w:val="22"/>
                <w:szCs w:val="22"/>
                <w:lang w:val="sr-Latn-ME"/>
              </w:rPr>
            </w:pPr>
            <w:r w:rsidRPr="0055610F">
              <w:rPr>
                <w:sz w:val="22"/>
                <w:szCs w:val="22"/>
                <w:lang w:val="sr-Latn-ME"/>
              </w:rPr>
              <w:t>0,68 (0,49; 0,95)</w:t>
            </w:r>
          </w:p>
        </w:tc>
        <w:tc>
          <w:tcPr>
            <w:tcW w:w="1530" w:type="dxa"/>
            <w:shd w:val="clear" w:color="auto" w:fill="auto"/>
          </w:tcPr>
          <w:p w:rsidR="007B7C69" w:rsidRPr="0055610F" w:rsidRDefault="007B7C69" w:rsidP="0055610F">
            <w:pPr>
              <w:jc w:val="center"/>
              <w:rPr>
                <w:sz w:val="22"/>
                <w:szCs w:val="22"/>
                <w:lang w:val="sr-Latn-ME"/>
              </w:rPr>
            </w:pPr>
            <w:r w:rsidRPr="0055610F">
              <w:rPr>
                <w:sz w:val="22"/>
                <w:szCs w:val="22"/>
                <w:lang w:val="sr-Latn-ME"/>
              </w:rPr>
              <w:t>0,0224</w:t>
            </w:r>
          </w:p>
        </w:tc>
      </w:tr>
    </w:tbl>
    <w:p w:rsidR="007B7C69" w:rsidRPr="0055610F" w:rsidRDefault="007B7C69" w:rsidP="004D5825">
      <w:pPr>
        <w:jc w:val="both"/>
        <w:rPr>
          <w:sz w:val="22"/>
          <w:szCs w:val="22"/>
          <w:lang w:val="sr-Latn-ME"/>
        </w:rPr>
      </w:pPr>
      <w:r w:rsidRPr="0055610F">
        <w:rPr>
          <w:sz w:val="22"/>
          <w:szCs w:val="22"/>
          <w:lang w:val="sr-Latn-ME"/>
        </w:rPr>
        <w:t>CI</w:t>
      </w:r>
      <w:r w:rsidR="00B21971" w:rsidRPr="0055610F">
        <w:rPr>
          <w:sz w:val="22"/>
          <w:szCs w:val="22"/>
          <w:lang w:val="sr-Latn-ME"/>
        </w:rPr>
        <w:t>:</w:t>
      </w:r>
      <w:r w:rsidRPr="0055610F">
        <w:rPr>
          <w:sz w:val="22"/>
          <w:szCs w:val="22"/>
          <w:lang w:val="sr-Latn-ME"/>
        </w:rPr>
        <w:t xml:space="preserve"> interval pouzdanosti</w:t>
      </w:r>
    </w:p>
    <w:p w:rsidR="007B7C69" w:rsidRPr="0055610F" w:rsidRDefault="007B7C69" w:rsidP="004D5825">
      <w:pPr>
        <w:jc w:val="both"/>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U ispitivanju relapsirajućeg/refraktornog CLL</w:t>
      </w:r>
      <w:r w:rsidRPr="0055610F">
        <w:rPr>
          <w:sz w:val="22"/>
          <w:szCs w:val="22"/>
          <w:lang w:val="sr-Latn-ME"/>
        </w:rPr>
        <w:noBreakHyphen/>
        <w:t>a medijan</w:t>
      </w:r>
      <w:r w:rsidR="00430A27" w:rsidRPr="0055610F">
        <w:rPr>
          <w:sz w:val="22"/>
          <w:szCs w:val="22"/>
          <w:lang w:val="sr-Latn-ME"/>
        </w:rPr>
        <w:t>a</w:t>
      </w:r>
      <w:r w:rsidRPr="0055610F">
        <w:rPr>
          <w:sz w:val="22"/>
          <w:szCs w:val="22"/>
          <w:lang w:val="sr-Latn-ME"/>
        </w:rPr>
        <w:t xml:space="preserve"> preživljenja bez progresije bolesti (primarna mjera ishoda) bi</w:t>
      </w:r>
      <w:r w:rsidR="00430A27" w:rsidRPr="0055610F">
        <w:rPr>
          <w:sz w:val="22"/>
          <w:szCs w:val="22"/>
          <w:lang w:val="sr-Latn-ME"/>
        </w:rPr>
        <w:t>la</w:t>
      </w:r>
      <w:r w:rsidRPr="0055610F">
        <w:rPr>
          <w:sz w:val="22"/>
          <w:szCs w:val="22"/>
          <w:lang w:val="sr-Latn-ME"/>
        </w:rPr>
        <w:t xml:space="preserve"> je 30,6 mjeseci u grupi R</w:t>
      </w:r>
      <w:r w:rsidRPr="0055610F">
        <w:rPr>
          <w:sz w:val="22"/>
          <w:szCs w:val="22"/>
          <w:lang w:val="sr-Latn-ME"/>
        </w:rPr>
        <w:noBreakHyphen/>
        <w:t>FC i 20,6 mjeseci u grupi FC (p = 0,0002, log</w:t>
      </w:r>
      <w:r w:rsidRPr="0055610F">
        <w:rPr>
          <w:sz w:val="22"/>
          <w:szCs w:val="22"/>
          <w:lang w:val="sr-Latn-ME"/>
        </w:rPr>
        <w:noBreakHyphen/>
        <w:t>rang test). Korist u smislu PFS</w:t>
      </w:r>
      <w:r w:rsidRPr="0055610F">
        <w:rPr>
          <w:sz w:val="22"/>
          <w:szCs w:val="22"/>
          <w:lang w:val="sr-Latn-ME"/>
        </w:rPr>
        <w:noBreakHyphen/>
        <w:t>a bila je uočena u gotovo svim podgrupama pacijenata analiziranima prema početnom riziku bolesti. Prijavljeno je blago, ali ne značajno poboljšanje ukupnog preživljenja u R</w:t>
      </w:r>
      <w:r w:rsidRPr="0055610F">
        <w:rPr>
          <w:sz w:val="22"/>
          <w:szCs w:val="22"/>
          <w:lang w:val="sr-Latn-ME"/>
        </w:rPr>
        <w:noBreakHyphen/>
        <w:t>FC grupi u poređenju sa FC grupom.</w:t>
      </w:r>
    </w:p>
    <w:p w:rsidR="007B7C69" w:rsidRPr="0055610F" w:rsidRDefault="007B7C69" w:rsidP="004D5825">
      <w:pPr>
        <w:jc w:val="both"/>
        <w:rPr>
          <w:sz w:val="22"/>
          <w:szCs w:val="22"/>
          <w:lang w:val="sr-Latn-ME"/>
        </w:rPr>
      </w:pPr>
    </w:p>
    <w:p w:rsidR="00BD3210" w:rsidRDefault="00BD3210" w:rsidP="004D5825">
      <w:pPr>
        <w:keepNext/>
        <w:keepLines/>
        <w:ind w:left="1134" w:hanging="1134"/>
        <w:jc w:val="both"/>
        <w:outlineLvl w:val="0"/>
        <w:rPr>
          <w:b/>
          <w:sz w:val="22"/>
          <w:szCs w:val="22"/>
          <w:lang w:val="sr-Latn-ME"/>
        </w:rPr>
      </w:pPr>
    </w:p>
    <w:p w:rsidR="007B7C69" w:rsidRPr="0055610F" w:rsidRDefault="007B7C69" w:rsidP="004D5825">
      <w:pPr>
        <w:keepNext/>
        <w:keepLines/>
        <w:ind w:left="1134" w:hanging="1134"/>
        <w:jc w:val="both"/>
        <w:outlineLvl w:val="0"/>
        <w:rPr>
          <w:b/>
          <w:sz w:val="22"/>
          <w:szCs w:val="22"/>
          <w:lang w:val="sr-Latn-ME"/>
        </w:rPr>
      </w:pPr>
      <w:r w:rsidRPr="0055610F">
        <w:rPr>
          <w:b/>
          <w:sz w:val="22"/>
          <w:szCs w:val="22"/>
          <w:lang w:val="sr-Latn-ME"/>
        </w:rPr>
        <w:t>Tabela 13.</w:t>
      </w:r>
      <w:r w:rsidRPr="0055610F">
        <w:rPr>
          <w:sz w:val="22"/>
          <w:szCs w:val="22"/>
          <w:lang w:val="sr-Latn-ME"/>
        </w:rPr>
        <w:t xml:space="preserve"> </w:t>
      </w:r>
      <w:r w:rsidRPr="0055610F">
        <w:rPr>
          <w:b/>
          <w:sz w:val="22"/>
          <w:szCs w:val="22"/>
          <w:lang w:val="sr-Latn-ME"/>
        </w:rPr>
        <w:t>Liječenje relapsirajuće/refraktorne hronične limfocitne leukemije - pregled rezultata efikasnosti za lijek MabThera + FC u odnosu na samo FC (medijana vremena praćenja je 25,3 mjesec</w:t>
      </w:r>
      <w:r w:rsidR="00430A27" w:rsidRPr="0055610F">
        <w:rPr>
          <w:b/>
          <w:sz w:val="22"/>
          <w:szCs w:val="22"/>
          <w:lang w:val="sr-Latn-ME"/>
        </w:rPr>
        <w:t>i</w:t>
      </w:r>
      <w:r w:rsidRPr="0055610F">
        <w:rPr>
          <w:b/>
          <w:sz w:val="22"/>
          <w:szCs w:val="22"/>
          <w:lang w:val="sr-Latn-ME"/>
        </w:rPr>
        <w:t>)</w:t>
      </w:r>
    </w:p>
    <w:p w:rsidR="007B7C69" w:rsidRPr="0055610F" w:rsidRDefault="007B7C69" w:rsidP="004D5825">
      <w:pPr>
        <w:jc w:val="both"/>
        <w:rPr>
          <w:b/>
          <w:sz w:val="22"/>
          <w:szCs w:val="22"/>
          <w:lang w:val="sr-Latn-ME"/>
        </w:rPr>
      </w:pPr>
    </w:p>
    <w:tbl>
      <w:tblPr>
        <w:tblW w:w="0" w:type="auto"/>
        <w:tblInd w:w="108" w:type="dxa"/>
        <w:tblLayout w:type="fixed"/>
        <w:tblLook w:val="0000" w:firstRow="0" w:lastRow="0" w:firstColumn="0" w:lastColumn="0" w:noHBand="0" w:noVBand="0"/>
      </w:tblPr>
      <w:tblGrid>
        <w:gridCol w:w="3261"/>
        <w:gridCol w:w="1412"/>
        <w:gridCol w:w="1276"/>
        <w:gridCol w:w="1559"/>
        <w:gridCol w:w="1342"/>
      </w:tblGrid>
      <w:tr w:rsidR="007B7C69" w:rsidRPr="007642DC" w:rsidTr="007B7C69">
        <w:trPr>
          <w:cantSplit/>
          <w:trHeight w:hRule="exact" w:val="586"/>
        </w:trPr>
        <w:tc>
          <w:tcPr>
            <w:tcW w:w="3261" w:type="dxa"/>
            <w:vMerge w:val="restart"/>
            <w:tcBorders>
              <w:top w:val="single" w:sz="4" w:space="0" w:color="000000"/>
              <w:left w:val="single" w:sz="4" w:space="0" w:color="000000"/>
              <w:bottom w:val="single" w:sz="4" w:space="0" w:color="000000"/>
            </w:tcBorders>
          </w:tcPr>
          <w:p w:rsidR="007B7C69" w:rsidRPr="0055610F" w:rsidRDefault="007B7C69" w:rsidP="0055610F">
            <w:pPr>
              <w:keepNext/>
              <w:keepLines/>
              <w:snapToGrid w:val="0"/>
              <w:jc w:val="center"/>
              <w:outlineLvl w:val="0"/>
              <w:rPr>
                <w:rFonts w:eastAsia="MS Mincho"/>
                <w:b/>
                <w:sz w:val="22"/>
                <w:szCs w:val="22"/>
                <w:lang w:val="sr-Latn-ME" w:eastAsia="ja-JP"/>
              </w:rPr>
            </w:pPr>
            <w:r w:rsidRPr="0055610F">
              <w:rPr>
                <w:rFonts w:eastAsia="MS Mincho"/>
                <w:b/>
                <w:sz w:val="22"/>
                <w:szCs w:val="22"/>
                <w:lang w:val="sr-Latn-ME" w:eastAsia="ja-JP"/>
              </w:rPr>
              <w:t>Parametar efikasnosti</w:t>
            </w:r>
          </w:p>
        </w:tc>
        <w:tc>
          <w:tcPr>
            <w:tcW w:w="4247" w:type="dxa"/>
            <w:gridSpan w:val="3"/>
            <w:tcBorders>
              <w:top w:val="single" w:sz="4" w:space="0" w:color="000000"/>
              <w:left w:val="single" w:sz="4" w:space="0" w:color="000000"/>
              <w:bottom w:val="single" w:sz="4" w:space="0" w:color="000000"/>
            </w:tcBorders>
          </w:tcPr>
          <w:p w:rsidR="007B7C69" w:rsidRPr="0055610F" w:rsidRDefault="007B7C69" w:rsidP="0055610F">
            <w:pPr>
              <w:keepNext/>
              <w:keepLines/>
              <w:snapToGrid w:val="0"/>
              <w:jc w:val="center"/>
              <w:outlineLvl w:val="0"/>
              <w:rPr>
                <w:rFonts w:eastAsia="MS Mincho"/>
                <w:b/>
                <w:sz w:val="22"/>
                <w:szCs w:val="22"/>
                <w:lang w:val="sr-Latn-ME" w:eastAsia="ja-JP"/>
              </w:rPr>
            </w:pPr>
            <w:r w:rsidRPr="0055610F">
              <w:rPr>
                <w:rFonts w:eastAsia="MS Mincho"/>
                <w:b/>
                <w:sz w:val="22"/>
                <w:szCs w:val="22"/>
                <w:lang w:val="sr-Latn-ME" w:eastAsia="ja-JP"/>
              </w:rPr>
              <w:t>Kaplan-Meierova procjena medijana vremena do pojave događaja (mjeseci)</w:t>
            </w:r>
          </w:p>
        </w:tc>
        <w:tc>
          <w:tcPr>
            <w:tcW w:w="1342" w:type="dxa"/>
            <w:vMerge w:val="restart"/>
            <w:tcBorders>
              <w:top w:val="single" w:sz="4" w:space="0" w:color="000000"/>
              <w:left w:val="single" w:sz="4" w:space="0" w:color="000000"/>
              <w:bottom w:val="single" w:sz="4" w:space="0" w:color="000000"/>
              <w:right w:val="single" w:sz="4" w:space="0" w:color="000000"/>
            </w:tcBorders>
          </w:tcPr>
          <w:p w:rsidR="007B7C69" w:rsidRPr="0055610F" w:rsidRDefault="007B7C69" w:rsidP="0055610F">
            <w:pPr>
              <w:keepNext/>
              <w:keepLines/>
              <w:snapToGrid w:val="0"/>
              <w:jc w:val="center"/>
              <w:outlineLvl w:val="0"/>
              <w:rPr>
                <w:rFonts w:eastAsia="MS Mincho"/>
                <w:b/>
                <w:sz w:val="22"/>
                <w:szCs w:val="22"/>
                <w:lang w:val="sr-Latn-ME" w:eastAsia="ja-JP"/>
              </w:rPr>
            </w:pPr>
            <w:r w:rsidRPr="0055610F">
              <w:rPr>
                <w:rFonts w:eastAsia="MS Mincho"/>
                <w:b/>
                <w:sz w:val="22"/>
                <w:szCs w:val="22"/>
                <w:lang w:val="sr-Latn-ME" w:eastAsia="ja-JP"/>
              </w:rPr>
              <w:t>Smanjenje rizika</w:t>
            </w:r>
          </w:p>
        </w:tc>
      </w:tr>
      <w:tr w:rsidR="007B7C69" w:rsidRPr="007642DC" w:rsidTr="007B7C69">
        <w:trPr>
          <w:cantSplit/>
          <w:trHeight w:hRule="exact" w:val="533"/>
        </w:trPr>
        <w:tc>
          <w:tcPr>
            <w:tcW w:w="3261" w:type="dxa"/>
            <w:vMerge/>
            <w:tcBorders>
              <w:top w:val="single" w:sz="4" w:space="0" w:color="000000"/>
              <w:left w:val="single" w:sz="4" w:space="0" w:color="000000"/>
              <w:bottom w:val="single" w:sz="4" w:space="0" w:color="000000"/>
            </w:tcBorders>
          </w:tcPr>
          <w:p w:rsidR="007B7C69" w:rsidRPr="0055610F" w:rsidRDefault="007B7C69" w:rsidP="0055610F">
            <w:pPr>
              <w:keepNext/>
              <w:keepLines/>
              <w:jc w:val="center"/>
              <w:outlineLvl w:val="0"/>
              <w:rPr>
                <w:sz w:val="22"/>
                <w:szCs w:val="22"/>
                <w:lang w:val="sr-Latn-ME"/>
              </w:rPr>
            </w:pPr>
          </w:p>
        </w:tc>
        <w:tc>
          <w:tcPr>
            <w:tcW w:w="1412" w:type="dxa"/>
            <w:tcBorders>
              <w:top w:val="single" w:sz="4" w:space="0" w:color="000000"/>
              <w:left w:val="single" w:sz="4" w:space="0" w:color="000000"/>
              <w:bottom w:val="single" w:sz="4" w:space="0" w:color="000000"/>
            </w:tcBorders>
          </w:tcPr>
          <w:p w:rsidR="007B7C69" w:rsidRPr="0055610F" w:rsidRDefault="007B7C69" w:rsidP="0055610F">
            <w:pPr>
              <w:keepNext/>
              <w:keepLines/>
              <w:snapToGrid w:val="0"/>
              <w:jc w:val="center"/>
              <w:outlineLvl w:val="0"/>
              <w:rPr>
                <w:rFonts w:eastAsia="MS Mincho"/>
                <w:b/>
                <w:sz w:val="22"/>
                <w:szCs w:val="22"/>
                <w:lang w:val="sr-Latn-ME" w:eastAsia="ja-JP"/>
              </w:rPr>
            </w:pPr>
            <w:r w:rsidRPr="0055610F">
              <w:rPr>
                <w:rFonts w:eastAsia="MS Mincho"/>
                <w:b/>
                <w:sz w:val="22"/>
                <w:szCs w:val="22"/>
                <w:lang w:val="sr-Latn-ME" w:eastAsia="ja-JP"/>
              </w:rPr>
              <w:t>FC</w:t>
            </w:r>
          </w:p>
          <w:p w:rsidR="007B7C69" w:rsidRPr="0055610F" w:rsidRDefault="007B7C69" w:rsidP="0055610F">
            <w:pPr>
              <w:keepNext/>
              <w:keepLines/>
              <w:jc w:val="center"/>
              <w:outlineLvl w:val="0"/>
              <w:rPr>
                <w:rFonts w:eastAsia="MS Mincho"/>
                <w:b/>
                <w:sz w:val="22"/>
                <w:szCs w:val="22"/>
                <w:lang w:val="sr-Latn-ME" w:eastAsia="ja-JP"/>
              </w:rPr>
            </w:pPr>
            <w:r w:rsidRPr="0055610F">
              <w:rPr>
                <w:rFonts w:eastAsia="MS Mincho"/>
                <w:b/>
                <w:sz w:val="22"/>
                <w:szCs w:val="22"/>
                <w:lang w:val="sr-Latn-ME" w:eastAsia="ja-JP"/>
              </w:rPr>
              <w:t>(N = 276)</w:t>
            </w:r>
          </w:p>
        </w:tc>
        <w:tc>
          <w:tcPr>
            <w:tcW w:w="1276" w:type="dxa"/>
            <w:tcBorders>
              <w:top w:val="single" w:sz="4" w:space="0" w:color="000000"/>
              <w:left w:val="single" w:sz="4" w:space="0" w:color="000000"/>
              <w:bottom w:val="single" w:sz="4" w:space="0" w:color="000000"/>
            </w:tcBorders>
          </w:tcPr>
          <w:p w:rsidR="007B7C69" w:rsidRPr="0055610F" w:rsidRDefault="007B7C69" w:rsidP="0055610F">
            <w:pPr>
              <w:keepNext/>
              <w:keepLines/>
              <w:snapToGrid w:val="0"/>
              <w:jc w:val="center"/>
              <w:outlineLvl w:val="0"/>
              <w:rPr>
                <w:rFonts w:eastAsia="MS Mincho"/>
                <w:b/>
                <w:sz w:val="22"/>
                <w:szCs w:val="22"/>
                <w:lang w:val="sr-Latn-ME" w:eastAsia="ja-JP"/>
              </w:rPr>
            </w:pPr>
            <w:r w:rsidRPr="0055610F">
              <w:rPr>
                <w:rFonts w:eastAsia="MS Mincho"/>
                <w:b/>
                <w:sz w:val="22"/>
                <w:szCs w:val="22"/>
                <w:lang w:val="sr-Latn-ME" w:eastAsia="ja-JP"/>
              </w:rPr>
              <w:t>R-FC</w:t>
            </w:r>
          </w:p>
          <w:p w:rsidR="007B7C69" w:rsidRPr="0055610F" w:rsidRDefault="007B7C69" w:rsidP="0055610F">
            <w:pPr>
              <w:keepNext/>
              <w:keepLines/>
              <w:jc w:val="center"/>
              <w:outlineLvl w:val="0"/>
              <w:rPr>
                <w:rFonts w:eastAsia="MS Mincho"/>
                <w:b/>
                <w:sz w:val="22"/>
                <w:szCs w:val="22"/>
                <w:lang w:val="sr-Latn-ME" w:eastAsia="ja-JP"/>
              </w:rPr>
            </w:pPr>
            <w:r w:rsidRPr="0055610F">
              <w:rPr>
                <w:rFonts w:eastAsia="MS Mincho"/>
                <w:b/>
                <w:sz w:val="22"/>
                <w:szCs w:val="22"/>
                <w:lang w:val="sr-Latn-ME" w:eastAsia="ja-JP"/>
              </w:rPr>
              <w:t>(N = 276)</w:t>
            </w:r>
          </w:p>
        </w:tc>
        <w:tc>
          <w:tcPr>
            <w:tcW w:w="1559" w:type="dxa"/>
            <w:tcBorders>
              <w:top w:val="single" w:sz="4" w:space="0" w:color="000000"/>
              <w:left w:val="single" w:sz="4" w:space="0" w:color="000000"/>
              <w:bottom w:val="single" w:sz="4" w:space="0" w:color="000000"/>
            </w:tcBorders>
          </w:tcPr>
          <w:p w:rsidR="007B7C69" w:rsidRPr="0055610F" w:rsidRDefault="007B7C69" w:rsidP="0055610F">
            <w:pPr>
              <w:keepNext/>
              <w:keepLines/>
              <w:snapToGrid w:val="0"/>
              <w:jc w:val="center"/>
              <w:outlineLvl w:val="0"/>
              <w:rPr>
                <w:rFonts w:eastAsia="MS Mincho"/>
                <w:b/>
                <w:sz w:val="22"/>
                <w:szCs w:val="22"/>
                <w:lang w:val="sr-Latn-ME" w:eastAsia="ja-JP"/>
              </w:rPr>
            </w:pPr>
            <w:r w:rsidRPr="0055610F">
              <w:rPr>
                <w:rFonts w:eastAsia="MS Mincho"/>
                <w:b/>
                <w:sz w:val="22"/>
                <w:szCs w:val="22"/>
                <w:lang w:val="sr-Latn-ME" w:eastAsia="ja-JP"/>
              </w:rPr>
              <w:t xml:space="preserve">log-rang </w:t>
            </w:r>
            <w:r w:rsidRPr="0055610F">
              <w:rPr>
                <w:rFonts w:eastAsia="MS Mincho"/>
                <w:b/>
                <w:sz w:val="22"/>
                <w:szCs w:val="22"/>
                <w:lang w:val="sr-Latn-ME" w:eastAsia="ja-JP"/>
              </w:rPr>
              <w:br/>
              <w:t>p</w:t>
            </w:r>
            <w:r w:rsidRPr="0055610F">
              <w:rPr>
                <w:rFonts w:eastAsia="MS Mincho"/>
                <w:b/>
                <w:sz w:val="22"/>
                <w:szCs w:val="22"/>
                <w:lang w:val="sr-Latn-ME" w:eastAsia="ja-JP"/>
              </w:rPr>
              <w:noBreakHyphen/>
              <w:t>vrijednost</w:t>
            </w:r>
          </w:p>
        </w:tc>
        <w:tc>
          <w:tcPr>
            <w:tcW w:w="1342" w:type="dxa"/>
            <w:vMerge/>
            <w:tcBorders>
              <w:top w:val="single" w:sz="4" w:space="0" w:color="000000"/>
              <w:left w:val="single" w:sz="4" w:space="0" w:color="000000"/>
              <w:bottom w:val="single" w:sz="4" w:space="0" w:color="000000"/>
              <w:right w:val="single" w:sz="4" w:space="0" w:color="000000"/>
            </w:tcBorders>
          </w:tcPr>
          <w:p w:rsidR="007B7C69" w:rsidRPr="0055610F" w:rsidRDefault="007B7C69" w:rsidP="004D5825">
            <w:pPr>
              <w:keepNext/>
              <w:keepLines/>
              <w:jc w:val="both"/>
              <w:outlineLvl w:val="0"/>
              <w:rPr>
                <w:sz w:val="22"/>
                <w:szCs w:val="22"/>
                <w:lang w:val="sr-Latn-ME"/>
              </w:rPr>
            </w:pPr>
          </w:p>
        </w:tc>
      </w:tr>
      <w:tr w:rsidR="007B7C69" w:rsidRPr="007642DC" w:rsidTr="007B7C69">
        <w:trPr>
          <w:trHeight w:val="263"/>
        </w:trPr>
        <w:tc>
          <w:tcPr>
            <w:tcW w:w="3261" w:type="dxa"/>
            <w:tcBorders>
              <w:top w:val="single" w:sz="4" w:space="0" w:color="000000"/>
              <w:left w:val="single" w:sz="4" w:space="0" w:color="000000"/>
            </w:tcBorders>
          </w:tcPr>
          <w:p w:rsidR="007B7C69" w:rsidRPr="0055610F" w:rsidRDefault="007B7C69" w:rsidP="004D5825">
            <w:pPr>
              <w:keepNext/>
              <w:keepLines/>
              <w:snapToGrid w:val="0"/>
              <w:jc w:val="both"/>
              <w:outlineLvl w:val="0"/>
              <w:rPr>
                <w:rFonts w:eastAsia="MS Mincho"/>
                <w:i/>
                <w:sz w:val="22"/>
                <w:szCs w:val="22"/>
                <w:lang w:val="sr-Latn-ME" w:eastAsia="ja-JP"/>
              </w:rPr>
            </w:pPr>
            <w:r w:rsidRPr="0055610F">
              <w:rPr>
                <w:rFonts w:eastAsia="MS Mincho"/>
                <w:i/>
                <w:sz w:val="22"/>
                <w:szCs w:val="22"/>
                <w:lang w:val="sr-Latn-ME" w:eastAsia="ja-JP"/>
              </w:rPr>
              <w:t>Preživljenje bez progresije bolesti (PFS)</w:t>
            </w:r>
          </w:p>
        </w:tc>
        <w:tc>
          <w:tcPr>
            <w:tcW w:w="1412" w:type="dxa"/>
            <w:tcBorders>
              <w:top w:val="single" w:sz="4" w:space="0" w:color="000000"/>
              <w:lef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r w:rsidRPr="0055610F">
              <w:rPr>
                <w:rFonts w:eastAsia="MS Mincho"/>
                <w:i/>
                <w:sz w:val="22"/>
                <w:szCs w:val="22"/>
                <w:lang w:val="sr-Latn-ME" w:eastAsia="ja-JP"/>
              </w:rPr>
              <w:t>20,6</w:t>
            </w:r>
          </w:p>
        </w:tc>
        <w:tc>
          <w:tcPr>
            <w:tcW w:w="1276" w:type="dxa"/>
            <w:tcBorders>
              <w:top w:val="single" w:sz="4" w:space="0" w:color="000000"/>
              <w:lef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r w:rsidRPr="0055610F">
              <w:rPr>
                <w:rFonts w:eastAsia="MS Mincho"/>
                <w:i/>
                <w:sz w:val="22"/>
                <w:szCs w:val="22"/>
                <w:lang w:val="sr-Latn-ME" w:eastAsia="ja-JP"/>
              </w:rPr>
              <w:t>30,6</w:t>
            </w:r>
          </w:p>
        </w:tc>
        <w:tc>
          <w:tcPr>
            <w:tcW w:w="1559" w:type="dxa"/>
            <w:tcBorders>
              <w:top w:val="single" w:sz="4" w:space="0" w:color="000000"/>
              <w:lef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r w:rsidRPr="0055610F">
              <w:rPr>
                <w:rFonts w:eastAsia="MS Mincho"/>
                <w:i/>
                <w:sz w:val="22"/>
                <w:szCs w:val="22"/>
                <w:lang w:val="sr-Latn-ME" w:eastAsia="ja-JP"/>
              </w:rPr>
              <w:t>0,0002</w:t>
            </w:r>
          </w:p>
        </w:tc>
        <w:tc>
          <w:tcPr>
            <w:tcW w:w="1342" w:type="dxa"/>
            <w:tcBorders>
              <w:top w:val="single" w:sz="4" w:space="0" w:color="000000"/>
              <w:left w:val="single" w:sz="4" w:space="0" w:color="000000"/>
              <w:righ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r w:rsidRPr="0055610F">
              <w:rPr>
                <w:rFonts w:eastAsia="MS Mincho"/>
                <w:i/>
                <w:sz w:val="22"/>
                <w:szCs w:val="22"/>
                <w:lang w:val="sr-Latn-ME" w:eastAsia="ja-JP"/>
              </w:rPr>
              <w:t>35%</w:t>
            </w:r>
          </w:p>
        </w:tc>
      </w:tr>
      <w:tr w:rsidR="007B7C69" w:rsidRPr="007642DC" w:rsidTr="007B7C69">
        <w:trPr>
          <w:trHeight w:val="263"/>
        </w:trPr>
        <w:tc>
          <w:tcPr>
            <w:tcW w:w="3261" w:type="dxa"/>
            <w:tcBorders>
              <w:left w:val="single" w:sz="4" w:space="0" w:color="000000"/>
              <w:bottom w:val="single" w:sz="4" w:space="0" w:color="000000"/>
            </w:tcBorders>
          </w:tcPr>
          <w:p w:rsidR="007B7C69" w:rsidRPr="0055610F" w:rsidRDefault="007B7C69" w:rsidP="004D5825">
            <w:pPr>
              <w:keepNext/>
              <w:keepLines/>
              <w:snapToGrid w:val="0"/>
              <w:jc w:val="both"/>
              <w:outlineLvl w:val="0"/>
              <w:rPr>
                <w:rFonts w:eastAsia="MS Mincho"/>
                <w:i/>
                <w:sz w:val="22"/>
                <w:szCs w:val="22"/>
                <w:lang w:val="sr-Latn-ME" w:eastAsia="ja-JP"/>
              </w:rPr>
            </w:pPr>
          </w:p>
        </w:tc>
        <w:tc>
          <w:tcPr>
            <w:tcW w:w="1412" w:type="dxa"/>
            <w:tcBorders>
              <w:left w:val="single" w:sz="4" w:space="0" w:color="000000"/>
              <w:bottom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p>
        </w:tc>
        <w:tc>
          <w:tcPr>
            <w:tcW w:w="1276" w:type="dxa"/>
            <w:tcBorders>
              <w:left w:val="single" w:sz="4" w:space="0" w:color="000000"/>
              <w:bottom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p>
        </w:tc>
        <w:tc>
          <w:tcPr>
            <w:tcW w:w="1559" w:type="dxa"/>
            <w:tcBorders>
              <w:left w:val="single" w:sz="4" w:space="0" w:color="000000"/>
              <w:bottom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p>
        </w:tc>
        <w:tc>
          <w:tcPr>
            <w:tcW w:w="1342" w:type="dxa"/>
            <w:tcBorders>
              <w:left w:val="single" w:sz="4" w:space="0" w:color="000000"/>
              <w:bottom w:val="single" w:sz="4" w:space="0" w:color="000000"/>
              <w:righ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p>
        </w:tc>
      </w:tr>
      <w:tr w:rsidR="007B7C69" w:rsidRPr="007642DC" w:rsidTr="007B7C69">
        <w:trPr>
          <w:trHeight w:val="248"/>
        </w:trPr>
        <w:tc>
          <w:tcPr>
            <w:tcW w:w="3261" w:type="dxa"/>
            <w:tcBorders>
              <w:top w:val="single" w:sz="4" w:space="0" w:color="000000"/>
              <w:left w:val="single" w:sz="4" w:space="0" w:color="000000"/>
            </w:tcBorders>
          </w:tcPr>
          <w:p w:rsidR="007B7C69" w:rsidRPr="0055610F" w:rsidRDefault="007B7C69" w:rsidP="004D5825">
            <w:pPr>
              <w:keepNext/>
              <w:keepLines/>
              <w:snapToGrid w:val="0"/>
              <w:jc w:val="both"/>
              <w:outlineLvl w:val="0"/>
              <w:rPr>
                <w:rFonts w:eastAsia="MS Mincho"/>
                <w:i/>
                <w:sz w:val="22"/>
                <w:szCs w:val="22"/>
                <w:lang w:val="sr-Latn-ME" w:eastAsia="ja-JP"/>
              </w:rPr>
            </w:pPr>
            <w:r w:rsidRPr="0055610F">
              <w:rPr>
                <w:rFonts w:eastAsia="MS Mincho"/>
                <w:i/>
                <w:sz w:val="22"/>
                <w:szCs w:val="22"/>
                <w:lang w:val="sr-Latn-ME" w:eastAsia="ja-JP"/>
              </w:rPr>
              <w:t>Ukupno preživljenje</w:t>
            </w:r>
          </w:p>
        </w:tc>
        <w:tc>
          <w:tcPr>
            <w:tcW w:w="1412" w:type="dxa"/>
            <w:tcBorders>
              <w:top w:val="single" w:sz="4" w:space="0" w:color="000000"/>
              <w:lef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r w:rsidRPr="0055610F">
              <w:rPr>
                <w:rFonts w:eastAsia="MS Mincho"/>
                <w:i/>
                <w:sz w:val="22"/>
                <w:szCs w:val="22"/>
                <w:lang w:val="sr-Latn-ME" w:eastAsia="ja-JP"/>
              </w:rPr>
              <w:t>51,9</w:t>
            </w:r>
          </w:p>
        </w:tc>
        <w:tc>
          <w:tcPr>
            <w:tcW w:w="1276" w:type="dxa"/>
            <w:tcBorders>
              <w:top w:val="single" w:sz="4" w:space="0" w:color="000000"/>
              <w:lef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r w:rsidRPr="0055610F">
              <w:rPr>
                <w:rFonts w:eastAsia="MS Mincho"/>
                <w:i/>
                <w:sz w:val="22"/>
                <w:szCs w:val="22"/>
                <w:lang w:val="sr-Latn-ME" w:eastAsia="ja-JP"/>
              </w:rPr>
              <w:t>NR</w:t>
            </w:r>
          </w:p>
        </w:tc>
        <w:tc>
          <w:tcPr>
            <w:tcW w:w="1559" w:type="dxa"/>
            <w:tcBorders>
              <w:top w:val="single" w:sz="4" w:space="0" w:color="000000"/>
              <w:lef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r w:rsidRPr="0055610F">
              <w:rPr>
                <w:rFonts w:eastAsia="MS Mincho"/>
                <w:i/>
                <w:sz w:val="22"/>
                <w:szCs w:val="22"/>
                <w:lang w:val="sr-Latn-ME" w:eastAsia="ja-JP"/>
              </w:rPr>
              <w:t>0,2874</w:t>
            </w:r>
          </w:p>
        </w:tc>
        <w:tc>
          <w:tcPr>
            <w:tcW w:w="1342" w:type="dxa"/>
            <w:tcBorders>
              <w:top w:val="single" w:sz="4" w:space="0" w:color="000000"/>
              <w:left w:val="single" w:sz="4" w:space="0" w:color="000000"/>
              <w:righ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r w:rsidRPr="0055610F">
              <w:rPr>
                <w:rFonts w:eastAsia="MS Mincho"/>
                <w:i/>
                <w:sz w:val="22"/>
                <w:szCs w:val="22"/>
                <w:lang w:val="sr-Latn-ME" w:eastAsia="ja-JP"/>
              </w:rPr>
              <w:t>17%</w:t>
            </w:r>
          </w:p>
        </w:tc>
      </w:tr>
      <w:tr w:rsidR="007B7C69" w:rsidRPr="007642DC" w:rsidTr="007B7C69">
        <w:trPr>
          <w:trHeight w:val="263"/>
        </w:trPr>
        <w:tc>
          <w:tcPr>
            <w:tcW w:w="3261" w:type="dxa"/>
            <w:tcBorders>
              <w:left w:val="single" w:sz="4" w:space="0" w:color="000000"/>
              <w:bottom w:val="single" w:sz="4" w:space="0" w:color="000000"/>
            </w:tcBorders>
          </w:tcPr>
          <w:p w:rsidR="007B7C69" w:rsidRPr="0055610F" w:rsidRDefault="007B7C69" w:rsidP="004D5825">
            <w:pPr>
              <w:keepNext/>
              <w:keepLines/>
              <w:snapToGrid w:val="0"/>
              <w:jc w:val="both"/>
              <w:outlineLvl w:val="0"/>
              <w:rPr>
                <w:rFonts w:eastAsia="MS Mincho"/>
                <w:i/>
                <w:sz w:val="22"/>
                <w:szCs w:val="22"/>
                <w:lang w:val="sr-Latn-ME" w:eastAsia="ja-JP"/>
              </w:rPr>
            </w:pPr>
          </w:p>
        </w:tc>
        <w:tc>
          <w:tcPr>
            <w:tcW w:w="1412" w:type="dxa"/>
            <w:tcBorders>
              <w:left w:val="single" w:sz="4" w:space="0" w:color="000000"/>
              <w:bottom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p>
        </w:tc>
        <w:tc>
          <w:tcPr>
            <w:tcW w:w="1276" w:type="dxa"/>
            <w:tcBorders>
              <w:left w:val="single" w:sz="4" w:space="0" w:color="000000"/>
              <w:bottom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p>
        </w:tc>
        <w:tc>
          <w:tcPr>
            <w:tcW w:w="1559" w:type="dxa"/>
            <w:tcBorders>
              <w:left w:val="single" w:sz="4" w:space="0" w:color="000000"/>
              <w:bottom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p>
        </w:tc>
        <w:tc>
          <w:tcPr>
            <w:tcW w:w="1342" w:type="dxa"/>
            <w:tcBorders>
              <w:left w:val="single" w:sz="4" w:space="0" w:color="000000"/>
              <w:bottom w:val="single" w:sz="4" w:space="0" w:color="000000"/>
              <w:righ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p>
        </w:tc>
      </w:tr>
      <w:tr w:rsidR="007B7C69" w:rsidRPr="007642DC" w:rsidTr="007B7C69">
        <w:trPr>
          <w:trHeight w:val="345"/>
        </w:trPr>
        <w:tc>
          <w:tcPr>
            <w:tcW w:w="3261" w:type="dxa"/>
            <w:tcBorders>
              <w:top w:val="single" w:sz="4" w:space="0" w:color="000000"/>
              <w:left w:val="single" w:sz="4" w:space="0" w:color="000000"/>
            </w:tcBorders>
          </w:tcPr>
          <w:p w:rsidR="007B7C69" w:rsidRPr="0055610F" w:rsidRDefault="007B7C69" w:rsidP="004D5825">
            <w:pPr>
              <w:keepNext/>
              <w:keepLines/>
              <w:snapToGrid w:val="0"/>
              <w:jc w:val="both"/>
              <w:outlineLvl w:val="0"/>
              <w:rPr>
                <w:rFonts w:eastAsia="MS Mincho"/>
                <w:i/>
                <w:sz w:val="22"/>
                <w:szCs w:val="22"/>
                <w:lang w:val="sr-Latn-ME" w:eastAsia="ja-JP"/>
              </w:rPr>
            </w:pPr>
            <w:r w:rsidRPr="0055610F">
              <w:rPr>
                <w:rFonts w:eastAsia="MS Mincho"/>
                <w:i/>
                <w:sz w:val="22"/>
                <w:szCs w:val="22"/>
                <w:lang w:val="sr-Latn-ME" w:eastAsia="ja-JP"/>
              </w:rPr>
              <w:t>Preživljenje bez događaja</w:t>
            </w:r>
          </w:p>
        </w:tc>
        <w:tc>
          <w:tcPr>
            <w:tcW w:w="1412" w:type="dxa"/>
            <w:tcBorders>
              <w:top w:val="single" w:sz="4" w:space="0" w:color="000000"/>
              <w:lef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r w:rsidRPr="0055610F">
              <w:rPr>
                <w:rFonts w:eastAsia="MS Mincho"/>
                <w:i/>
                <w:sz w:val="22"/>
                <w:szCs w:val="22"/>
                <w:lang w:val="sr-Latn-ME" w:eastAsia="ja-JP"/>
              </w:rPr>
              <w:t>19,3</w:t>
            </w:r>
          </w:p>
        </w:tc>
        <w:tc>
          <w:tcPr>
            <w:tcW w:w="1276" w:type="dxa"/>
            <w:tcBorders>
              <w:top w:val="single" w:sz="4" w:space="0" w:color="000000"/>
              <w:lef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r w:rsidRPr="0055610F">
              <w:rPr>
                <w:rFonts w:eastAsia="MS Mincho"/>
                <w:i/>
                <w:sz w:val="22"/>
                <w:szCs w:val="22"/>
                <w:lang w:val="sr-Latn-ME" w:eastAsia="ja-JP"/>
              </w:rPr>
              <w:t>28,7</w:t>
            </w:r>
          </w:p>
        </w:tc>
        <w:tc>
          <w:tcPr>
            <w:tcW w:w="1559" w:type="dxa"/>
            <w:tcBorders>
              <w:top w:val="single" w:sz="4" w:space="0" w:color="000000"/>
              <w:lef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r w:rsidRPr="0055610F">
              <w:rPr>
                <w:rFonts w:eastAsia="MS Mincho"/>
                <w:i/>
                <w:sz w:val="22"/>
                <w:szCs w:val="22"/>
                <w:lang w:val="sr-Latn-ME" w:eastAsia="ja-JP"/>
              </w:rPr>
              <w:t>0,0002</w:t>
            </w:r>
          </w:p>
        </w:tc>
        <w:tc>
          <w:tcPr>
            <w:tcW w:w="1342" w:type="dxa"/>
            <w:tcBorders>
              <w:top w:val="single" w:sz="4" w:space="0" w:color="000000"/>
              <w:left w:val="single" w:sz="4" w:space="0" w:color="000000"/>
              <w:right w:val="single" w:sz="4" w:space="0" w:color="000000"/>
            </w:tcBorders>
          </w:tcPr>
          <w:p w:rsidR="007B7C69" w:rsidRPr="0055610F" w:rsidRDefault="007B7C69" w:rsidP="0055610F">
            <w:pPr>
              <w:keepNext/>
              <w:keepLines/>
              <w:snapToGrid w:val="0"/>
              <w:jc w:val="center"/>
              <w:outlineLvl w:val="0"/>
              <w:rPr>
                <w:rFonts w:eastAsia="MS Mincho"/>
                <w:i/>
                <w:sz w:val="22"/>
                <w:szCs w:val="22"/>
                <w:lang w:val="sr-Latn-ME" w:eastAsia="ja-JP"/>
              </w:rPr>
            </w:pPr>
            <w:r w:rsidRPr="0055610F">
              <w:rPr>
                <w:rFonts w:eastAsia="MS Mincho"/>
                <w:i/>
                <w:sz w:val="22"/>
                <w:szCs w:val="22"/>
                <w:lang w:val="sr-Latn-ME" w:eastAsia="ja-JP"/>
              </w:rPr>
              <w:t>36%</w:t>
            </w:r>
          </w:p>
        </w:tc>
      </w:tr>
      <w:tr w:rsidR="007B7C69" w:rsidRPr="007642DC" w:rsidTr="007B7C69">
        <w:trPr>
          <w:trHeight w:val="339"/>
        </w:trPr>
        <w:tc>
          <w:tcPr>
            <w:tcW w:w="3261" w:type="dxa"/>
            <w:tcBorders>
              <w:top w:val="single" w:sz="4" w:space="0" w:color="000000"/>
              <w:left w:val="single" w:sz="4" w:space="0" w:color="000000"/>
            </w:tcBorders>
          </w:tcPr>
          <w:p w:rsidR="007B7C69" w:rsidRPr="0055610F" w:rsidRDefault="007B7C69" w:rsidP="004D5825">
            <w:pPr>
              <w:snapToGrid w:val="0"/>
              <w:jc w:val="both"/>
              <w:outlineLvl w:val="0"/>
              <w:rPr>
                <w:rFonts w:eastAsia="MS Mincho"/>
                <w:i/>
                <w:sz w:val="22"/>
                <w:szCs w:val="22"/>
                <w:lang w:val="sr-Latn-ME" w:eastAsia="ja-JP"/>
              </w:rPr>
            </w:pPr>
            <w:r w:rsidRPr="0055610F">
              <w:rPr>
                <w:rFonts w:eastAsia="MS Mincho"/>
                <w:i/>
                <w:sz w:val="22"/>
                <w:szCs w:val="22"/>
                <w:lang w:val="sr-Latn-ME" w:eastAsia="ja-JP"/>
              </w:rPr>
              <w:t>Stopa odgovora (CR, nPR, ili PR)</w:t>
            </w:r>
          </w:p>
        </w:tc>
        <w:tc>
          <w:tcPr>
            <w:tcW w:w="1412" w:type="dxa"/>
            <w:tcBorders>
              <w:top w:val="single" w:sz="4" w:space="0" w:color="000000"/>
              <w:lef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58,0%</w:t>
            </w:r>
          </w:p>
        </w:tc>
        <w:tc>
          <w:tcPr>
            <w:tcW w:w="1276" w:type="dxa"/>
            <w:tcBorders>
              <w:top w:val="single" w:sz="4" w:space="0" w:color="000000"/>
              <w:lef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69,9%</w:t>
            </w:r>
          </w:p>
        </w:tc>
        <w:tc>
          <w:tcPr>
            <w:tcW w:w="1559" w:type="dxa"/>
            <w:tcBorders>
              <w:top w:val="single" w:sz="4" w:space="0" w:color="000000"/>
              <w:lef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0,0034</w:t>
            </w:r>
          </w:p>
        </w:tc>
        <w:tc>
          <w:tcPr>
            <w:tcW w:w="1342" w:type="dxa"/>
            <w:tcBorders>
              <w:top w:val="single" w:sz="4" w:space="0" w:color="000000"/>
              <w:left w:val="single" w:sz="4" w:space="0" w:color="000000"/>
              <w:righ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n.p.</w:t>
            </w:r>
          </w:p>
        </w:tc>
      </w:tr>
      <w:tr w:rsidR="007B7C69" w:rsidRPr="007642DC" w:rsidTr="007B7C69">
        <w:trPr>
          <w:trHeight w:val="298"/>
        </w:trPr>
        <w:tc>
          <w:tcPr>
            <w:tcW w:w="3261" w:type="dxa"/>
            <w:tcBorders>
              <w:left w:val="single" w:sz="4" w:space="0" w:color="000000"/>
            </w:tcBorders>
          </w:tcPr>
          <w:p w:rsidR="007B7C69" w:rsidRPr="0055610F" w:rsidRDefault="007B7C69" w:rsidP="004D5825">
            <w:pPr>
              <w:snapToGrid w:val="0"/>
              <w:jc w:val="both"/>
              <w:outlineLvl w:val="0"/>
              <w:rPr>
                <w:rFonts w:eastAsia="MS Mincho"/>
                <w:i/>
                <w:sz w:val="22"/>
                <w:szCs w:val="22"/>
                <w:lang w:val="sr-Latn-ME" w:eastAsia="ja-JP"/>
              </w:rPr>
            </w:pPr>
            <w:r w:rsidRPr="0055610F">
              <w:rPr>
                <w:rFonts w:eastAsia="MS Mincho"/>
                <w:i/>
                <w:sz w:val="22"/>
                <w:szCs w:val="22"/>
                <w:lang w:val="sr-Latn-ME" w:eastAsia="ja-JP"/>
              </w:rPr>
              <w:t>CR stope</w:t>
            </w:r>
          </w:p>
        </w:tc>
        <w:tc>
          <w:tcPr>
            <w:tcW w:w="1412" w:type="dxa"/>
            <w:tcBorders>
              <w:lef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13,0%</w:t>
            </w:r>
          </w:p>
        </w:tc>
        <w:tc>
          <w:tcPr>
            <w:tcW w:w="1276" w:type="dxa"/>
            <w:tcBorders>
              <w:lef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24,3%</w:t>
            </w:r>
          </w:p>
        </w:tc>
        <w:tc>
          <w:tcPr>
            <w:tcW w:w="1559" w:type="dxa"/>
            <w:tcBorders>
              <w:lef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0,0007</w:t>
            </w:r>
          </w:p>
        </w:tc>
        <w:tc>
          <w:tcPr>
            <w:tcW w:w="1342" w:type="dxa"/>
            <w:tcBorders>
              <w:left w:val="single" w:sz="4" w:space="0" w:color="000000"/>
              <w:righ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n.p.</w:t>
            </w:r>
          </w:p>
        </w:tc>
      </w:tr>
      <w:tr w:rsidR="007B7C69" w:rsidRPr="007642DC" w:rsidTr="007B7C69">
        <w:trPr>
          <w:trHeight w:val="263"/>
        </w:trPr>
        <w:tc>
          <w:tcPr>
            <w:tcW w:w="3261" w:type="dxa"/>
            <w:tcBorders>
              <w:left w:val="single" w:sz="4" w:space="0" w:color="000000"/>
            </w:tcBorders>
          </w:tcPr>
          <w:p w:rsidR="007B7C69" w:rsidRPr="0055610F" w:rsidRDefault="007B7C69" w:rsidP="004D5825">
            <w:pPr>
              <w:snapToGrid w:val="0"/>
              <w:jc w:val="both"/>
              <w:outlineLvl w:val="0"/>
              <w:rPr>
                <w:rFonts w:eastAsia="MS Mincho"/>
                <w:i/>
                <w:sz w:val="22"/>
                <w:szCs w:val="22"/>
                <w:lang w:val="sr-Latn-ME" w:eastAsia="ja-JP"/>
              </w:rPr>
            </w:pPr>
            <w:r w:rsidRPr="0055610F">
              <w:rPr>
                <w:rFonts w:eastAsia="MS Mincho"/>
                <w:i/>
                <w:sz w:val="22"/>
                <w:szCs w:val="22"/>
                <w:lang w:val="sr-Latn-ME" w:eastAsia="ja-JP"/>
              </w:rPr>
              <w:t>Trajanje odgovora*</w:t>
            </w:r>
          </w:p>
        </w:tc>
        <w:tc>
          <w:tcPr>
            <w:tcW w:w="1412" w:type="dxa"/>
            <w:tcBorders>
              <w:lef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27,6</w:t>
            </w:r>
          </w:p>
        </w:tc>
        <w:tc>
          <w:tcPr>
            <w:tcW w:w="1276" w:type="dxa"/>
            <w:tcBorders>
              <w:lef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39,6</w:t>
            </w:r>
          </w:p>
        </w:tc>
        <w:tc>
          <w:tcPr>
            <w:tcW w:w="1559" w:type="dxa"/>
            <w:tcBorders>
              <w:lef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0,0252</w:t>
            </w:r>
          </w:p>
        </w:tc>
        <w:tc>
          <w:tcPr>
            <w:tcW w:w="1342" w:type="dxa"/>
            <w:tcBorders>
              <w:left w:val="single" w:sz="4" w:space="0" w:color="000000"/>
              <w:righ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31%</w:t>
            </w:r>
          </w:p>
        </w:tc>
      </w:tr>
      <w:tr w:rsidR="007B7C69" w:rsidRPr="007642DC" w:rsidTr="007B7C69">
        <w:trPr>
          <w:trHeight w:val="263"/>
        </w:trPr>
        <w:tc>
          <w:tcPr>
            <w:tcW w:w="3261" w:type="dxa"/>
            <w:tcBorders>
              <w:left w:val="single" w:sz="4" w:space="0" w:color="000000"/>
            </w:tcBorders>
          </w:tcPr>
          <w:p w:rsidR="007B7C69" w:rsidRPr="0055610F" w:rsidRDefault="007B7C69" w:rsidP="004D5825">
            <w:pPr>
              <w:snapToGrid w:val="0"/>
              <w:jc w:val="both"/>
              <w:outlineLvl w:val="0"/>
              <w:rPr>
                <w:rFonts w:eastAsia="MS Mincho"/>
                <w:i/>
                <w:sz w:val="22"/>
                <w:szCs w:val="22"/>
                <w:lang w:val="sr-Latn-ME" w:eastAsia="ja-JP"/>
              </w:rPr>
            </w:pPr>
            <w:r w:rsidRPr="0055610F">
              <w:rPr>
                <w:rFonts w:eastAsia="MS Mincho"/>
                <w:i/>
                <w:sz w:val="22"/>
                <w:szCs w:val="22"/>
                <w:lang w:val="sr-Latn-ME" w:eastAsia="ja-JP"/>
              </w:rPr>
              <w:t>Preživljenje bez bolesti (DFS)**</w:t>
            </w:r>
          </w:p>
        </w:tc>
        <w:tc>
          <w:tcPr>
            <w:tcW w:w="1412" w:type="dxa"/>
            <w:tcBorders>
              <w:lef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42,2</w:t>
            </w:r>
          </w:p>
        </w:tc>
        <w:tc>
          <w:tcPr>
            <w:tcW w:w="1276" w:type="dxa"/>
            <w:tcBorders>
              <w:lef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39,6</w:t>
            </w:r>
          </w:p>
        </w:tc>
        <w:tc>
          <w:tcPr>
            <w:tcW w:w="1559" w:type="dxa"/>
            <w:tcBorders>
              <w:lef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i/>
                <w:sz w:val="22"/>
                <w:szCs w:val="22"/>
                <w:lang w:val="sr-Latn-ME" w:eastAsia="ja-JP"/>
              </w:rPr>
              <w:t>0,8842</w:t>
            </w:r>
          </w:p>
        </w:tc>
        <w:tc>
          <w:tcPr>
            <w:tcW w:w="1342" w:type="dxa"/>
            <w:tcBorders>
              <w:left w:val="single" w:sz="4" w:space="0" w:color="000000"/>
              <w:right w:val="single" w:sz="4" w:space="0" w:color="000000"/>
            </w:tcBorders>
          </w:tcPr>
          <w:p w:rsidR="007B7C69" w:rsidRPr="0055610F" w:rsidRDefault="007B7C69" w:rsidP="0055610F">
            <w:pPr>
              <w:snapToGrid w:val="0"/>
              <w:jc w:val="center"/>
              <w:outlineLvl w:val="0"/>
              <w:rPr>
                <w:rFonts w:eastAsia="MS Mincho"/>
                <w:i/>
                <w:sz w:val="22"/>
                <w:szCs w:val="22"/>
                <w:lang w:val="sr-Latn-ME" w:eastAsia="ja-JP"/>
              </w:rPr>
            </w:pPr>
            <w:r w:rsidRPr="0055610F">
              <w:rPr>
                <w:rFonts w:eastAsia="MS Mincho"/>
                <w:color w:val="000000"/>
                <w:sz w:val="22"/>
                <w:szCs w:val="22"/>
                <w:lang w:val="sr-Latn-ME" w:eastAsia="ja-JP"/>
              </w:rPr>
              <w:noBreakHyphen/>
            </w:r>
            <w:r w:rsidRPr="0055610F">
              <w:rPr>
                <w:rFonts w:eastAsia="MS Mincho"/>
                <w:i/>
                <w:sz w:val="22"/>
                <w:szCs w:val="22"/>
                <w:lang w:val="sr-Latn-ME" w:eastAsia="ja-JP"/>
              </w:rPr>
              <w:t>6%</w:t>
            </w:r>
          </w:p>
        </w:tc>
      </w:tr>
      <w:tr w:rsidR="007B7C69" w:rsidRPr="007642DC" w:rsidTr="007B7C69">
        <w:trPr>
          <w:trHeight w:val="323"/>
        </w:trPr>
        <w:tc>
          <w:tcPr>
            <w:tcW w:w="3261" w:type="dxa"/>
            <w:tcBorders>
              <w:left w:val="single" w:sz="4" w:space="0" w:color="000000"/>
              <w:bottom w:val="single" w:sz="4" w:space="0" w:color="000000"/>
            </w:tcBorders>
          </w:tcPr>
          <w:p w:rsidR="007B7C69" w:rsidRPr="0055610F" w:rsidRDefault="007B7C69" w:rsidP="004D5825">
            <w:pPr>
              <w:keepNext/>
              <w:snapToGrid w:val="0"/>
              <w:jc w:val="both"/>
              <w:outlineLvl w:val="0"/>
              <w:rPr>
                <w:rFonts w:eastAsia="MS Mincho"/>
                <w:i/>
                <w:sz w:val="22"/>
                <w:szCs w:val="22"/>
                <w:lang w:val="sr-Latn-ME" w:eastAsia="ja-JP"/>
              </w:rPr>
            </w:pPr>
            <w:r w:rsidRPr="0055610F">
              <w:rPr>
                <w:rFonts w:eastAsia="MS Mincho"/>
                <w:i/>
                <w:sz w:val="22"/>
                <w:szCs w:val="22"/>
                <w:lang w:val="sr-Latn-ME" w:eastAsia="ja-JP"/>
              </w:rPr>
              <w:t>Vrijeme do nove terapije</w:t>
            </w:r>
          </w:p>
        </w:tc>
        <w:tc>
          <w:tcPr>
            <w:tcW w:w="1412" w:type="dxa"/>
            <w:tcBorders>
              <w:left w:val="single" w:sz="4" w:space="0" w:color="000000"/>
              <w:bottom w:val="single" w:sz="4" w:space="0" w:color="000000"/>
            </w:tcBorders>
          </w:tcPr>
          <w:p w:rsidR="007B7C69" w:rsidRPr="0055610F" w:rsidRDefault="007B7C69" w:rsidP="0055610F">
            <w:pPr>
              <w:keepNext/>
              <w:snapToGrid w:val="0"/>
              <w:jc w:val="center"/>
              <w:outlineLvl w:val="0"/>
              <w:rPr>
                <w:rFonts w:eastAsia="MS Mincho"/>
                <w:i/>
                <w:sz w:val="22"/>
                <w:szCs w:val="22"/>
                <w:lang w:val="sr-Latn-ME" w:eastAsia="ja-JP"/>
              </w:rPr>
            </w:pPr>
            <w:r w:rsidRPr="0055610F">
              <w:rPr>
                <w:rFonts w:eastAsia="MS Mincho"/>
                <w:i/>
                <w:sz w:val="22"/>
                <w:szCs w:val="22"/>
                <w:lang w:val="sr-Latn-ME" w:eastAsia="ja-JP"/>
              </w:rPr>
              <w:t>34,2</w:t>
            </w:r>
          </w:p>
        </w:tc>
        <w:tc>
          <w:tcPr>
            <w:tcW w:w="1276" w:type="dxa"/>
            <w:tcBorders>
              <w:left w:val="single" w:sz="4" w:space="0" w:color="000000"/>
              <w:bottom w:val="single" w:sz="4" w:space="0" w:color="000000"/>
            </w:tcBorders>
          </w:tcPr>
          <w:p w:rsidR="007B7C69" w:rsidRPr="0055610F" w:rsidRDefault="007B7C69" w:rsidP="0055610F">
            <w:pPr>
              <w:keepNext/>
              <w:snapToGrid w:val="0"/>
              <w:jc w:val="center"/>
              <w:outlineLvl w:val="0"/>
              <w:rPr>
                <w:rFonts w:eastAsia="MS Mincho"/>
                <w:i/>
                <w:sz w:val="22"/>
                <w:szCs w:val="22"/>
                <w:lang w:val="sr-Latn-ME" w:eastAsia="ja-JP"/>
              </w:rPr>
            </w:pPr>
            <w:r w:rsidRPr="0055610F">
              <w:rPr>
                <w:rFonts w:eastAsia="MS Mincho"/>
                <w:i/>
                <w:sz w:val="22"/>
                <w:szCs w:val="22"/>
                <w:lang w:val="sr-Latn-ME" w:eastAsia="ja-JP"/>
              </w:rPr>
              <w:t>ND</w:t>
            </w:r>
          </w:p>
        </w:tc>
        <w:tc>
          <w:tcPr>
            <w:tcW w:w="1559" w:type="dxa"/>
            <w:tcBorders>
              <w:left w:val="single" w:sz="4" w:space="0" w:color="000000"/>
              <w:bottom w:val="single" w:sz="4" w:space="0" w:color="000000"/>
            </w:tcBorders>
          </w:tcPr>
          <w:p w:rsidR="007B7C69" w:rsidRPr="0055610F" w:rsidRDefault="007B7C69" w:rsidP="0055610F">
            <w:pPr>
              <w:keepNext/>
              <w:snapToGrid w:val="0"/>
              <w:jc w:val="center"/>
              <w:outlineLvl w:val="0"/>
              <w:rPr>
                <w:rFonts w:eastAsia="MS Mincho"/>
                <w:i/>
                <w:sz w:val="22"/>
                <w:szCs w:val="22"/>
                <w:lang w:val="sr-Latn-ME" w:eastAsia="ja-JP"/>
              </w:rPr>
            </w:pPr>
            <w:r w:rsidRPr="0055610F">
              <w:rPr>
                <w:rFonts w:eastAsia="MS Mincho"/>
                <w:i/>
                <w:sz w:val="22"/>
                <w:szCs w:val="22"/>
                <w:lang w:val="sr-Latn-ME" w:eastAsia="ja-JP"/>
              </w:rPr>
              <w:t>0,0024</w:t>
            </w:r>
          </w:p>
        </w:tc>
        <w:tc>
          <w:tcPr>
            <w:tcW w:w="1342" w:type="dxa"/>
            <w:tcBorders>
              <w:left w:val="single" w:sz="4" w:space="0" w:color="000000"/>
              <w:bottom w:val="single" w:sz="4" w:space="0" w:color="000000"/>
              <w:right w:val="single" w:sz="4" w:space="0" w:color="000000"/>
            </w:tcBorders>
          </w:tcPr>
          <w:p w:rsidR="007B7C69" w:rsidRPr="0055610F" w:rsidRDefault="007B7C69" w:rsidP="0055610F">
            <w:pPr>
              <w:keepNext/>
              <w:snapToGrid w:val="0"/>
              <w:jc w:val="center"/>
              <w:outlineLvl w:val="0"/>
              <w:rPr>
                <w:rFonts w:eastAsia="MS Mincho"/>
                <w:i/>
                <w:sz w:val="22"/>
                <w:szCs w:val="22"/>
                <w:lang w:val="sr-Latn-ME" w:eastAsia="ja-JP"/>
              </w:rPr>
            </w:pPr>
            <w:r w:rsidRPr="0055610F">
              <w:rPr>
                <w:rFonts w:eastAsia="MS Mincho"/>
                <w:i/>
                <w:sz w:val="22"/>
                <w:szCs w:val="22"/>
                <w:lang w:val="sr-Latn-ME" w:eastAsia="ja-JP"/>
              </w:rPr>
              <w:t>35%</w:t>
            </w:r>
          </w:p>
        </w:tc>
      </w:tr>
    </w:tbl>
    <w:p w:rsidR="007B7C69" w:rsidRPr="0055610F" w:rsidRDefault="007B7C69" w:rsidP="004D5825">
      <w:pPr>
        <w:keepNext/>
        <w:jc w:val="both"/>
        <w:outlineLvl w:val="0"/>
        <w:rPr>
          <w:i/>
          <w:sz w:val="22"/>
          <w:szCs w:val="22"/>
          <w:lang w:val="sr-Latn-ME"/>
        </w:rPr>
      </w:pPr>
      <w:r w:rsidRPr="0055610F">
        <w:rPr>
          <w:i/>
          <w:sz w:val="22"/>
          <w:szCs w:val="22"/>
          <w:lang w:val="sr-Latn-ME"/>
        </w:rPr>
        <w:t>Stopa odgovora i  CR stope analizirani su pomoću hi-kvadrat testa.</w:t>
      </w:r>
    </w:p>
    <w:p w:rsidR="007B7C69" w:rsidRPr="0055610F" w:rsidRDefault="007B7C69" w:rsidP="004D5825">
      <w:pPr>
        <w:keepNext/>
        <w:jc w:val="both"/>
        <w:outlineLvl w:val="0"/>
        <w:rPr>
          <w:sz w:val="22"/>
          <w:szCs w:val="22"/>
          <w:lang w:val="sr-Latn-ME"/>
        </w:rPr>
      </w:pPr>
      <w:r w:rsidRPr="0055610F">
        <w:rPr>
          <w:i/>
          <w:sz w:val="22"/>
          <w:szCs w:val="22"/>
          <w:lang w:val="sr-Latn-ME"/>
        </w:rPr>
        <w:t>*</w:t>
      </w:r>
      <w:r w:rsidRPr="0055610F">
        <w:rPr>
          <w:sz w:val="22"/>
          <w:szCs w:val="22"/>
          <w:lang w:val="sr-Latn-ME"/>
        </w:rPr>
        <w:t>: primjenjivo samo za pacijente koji su postigli CR, nPR ili PR; NR: nije dostignuto; n.a.: nije primjenjivo</w:t>
      </w:r>
    </w:p>
    <w:p w:rsidR="007B7C69" w:rsidRPr="0055610F" w:rsidRDefault="007B7C69" w:rsidP="004D5825">
      <w:pPr>
        <w:jc w:val="both"/>
        <w:outlineLvl w:val="0"/>
        <w:rPr>
          <w:sz w:val="22"/>
          <w:szCs w:val="22"/>
          <w:lang w:val="sr-Latn-ME"/>
        </w:rPr>
      </w:pPr>
      <w:r w:rsidRPr="0055610F">
        <w:rPr>
          <w:i/>
          <w:sz w:val="22"/>
          <w:szCs w:val="22"/>
          <w:lang w:val="sr-Latn-ME"/>
        </w:rPr>
        <w:t>**</w:t>
      </w:r>
      <w:r w:rsidRPr="0055610F">
        <w:rPr>
          <w:sz w:val="22"/>
          <w:szCs w:val="22"/>
          <w:lang w:val="sr-Latn-ME"/>
        </w:rPr>
        <w:t>:</w:t>
      </w:r>
      <w:r w:rsidRPr="0055610F">
        <w:rPr>
          <w:i/>
          <w:sz w:val="22"/>
          <w:szCs w:val="22"/>
          <w:lang w:val="sr-Latn-ME"/>
        </w:rPr>
        <w:t xml:space="preserve"> </w:t>
      </w:r>
      <w:r w:rsidRPr="0055610F">
        <w:rPr>
          <w:sz w:val="22"/>
          <w:szCs w:val="22"/>
          <w:lang w:val="sr-Latn-ME"/>
        </w:rPr>
        <w:t>primjenjivo samo za pacijente koji su postigli CR</w:t>
      </w:r>
    </w:p>
    <w:p w:rsidR="007B7C69" w:rsidRPr="0055610F" w:rsidRDefault="007B7C69" w:rsidP="004D5825">
      <w:pPr>
        <w:jc w:val="both"/>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Rezultati iz drugih studija primjene lijeka MabThera u kombinaciji sa drugim hemioterapijskim režimima (uključujući CHOP, FCM, PC, PCM, bendamustin i kladribin) u liječenju prethodno neliječenih pacijenata i/ili pacijenata sa relapsirajućim/refraktornim CLL</w:t>
      </w:r>
      <w:r w:rsidRPr="0055610F">
        <w:rPr>
          <w:sz w:val="22"/>
          <w:szCs w:val="22"/>
          <w:lang w:val="sr-Latn-ME"/>
        </w:rPr>
        <w:noBreakHyphen/>
        <w:t>om</w:t>
      </w:r>
      <w:r w:rsidRPr="0055610F" w:rsidDel="0068232A">
        <w:rPr>
          <w:sz w:val="22"/>
          <w:szCs w:val="22"/>
          <w:lang w:val="sr-Latn-ME"/>
        </w:rPr>
        <w:t xml:space="preserve"> </w:t>
      </w:r>
      <w:r w:rsidRPr="0055610F">
        <w:rPr>
          <w:sz w:val="22"/>
          <w:szCs w:val="22"/>
          <w:lang w:val="sr-Latn-ME"/>
        </w:rPr>
        <w:t>takođe su pokazali visoku stopu ukupnog odgovora i korist liječenja u smislu PFS stopa, iako s nešto višom toksičnošću (posebno mijelotoksičnošću). Ova ispitivanja podupiru primjenu lijeka MabThera sa bilo kojom hemoterapijom.</w:t>
      </w:r>
    </w:p>
    <w:p w:rsidR="007B7C69" w:rsidRPr="0055610F" w:rsidRDefault="007B7C69" w:rsidP="004D5825">
      <w:pPr>
        <w:jc w:val="both"/>
        <w:outlineLvl w:val="0"/>
        <w:rPr>
          <w:sz w:val="22"/>
          <w:szCs w:val="22"/>
          <w:lang w:val="sr-Latn-ME"/>
        </w:rPr>
      </w:pPr>
      <w:r w:rsidRPr="0055610F">
        <w:rPr>
          <w:sz w:val="22"/>
          <w:szCs w:val="22"/>
          <w:lang w:val="sr-Latn-ME"/>
        </w:rPr>
        <w:t>Podaci o približno 180 pacijenata prethodno liječenih lijekom MabThera pokazali su kliničku korist liječenja (uključujući CR) i podupiru ponovno liječenje lijekom MabThera.</w:t>
      </w:r>
    </w:p>
    <w:p w:rsidR="007B7C69" w:rsidRPr="0055610F" w:rsidRDefault="007B7C69" w:rsidP="004D5825">
      <w:pPr>
        <w:jc w:val="both"/>
        <w:rPr>
          <w:sz w:val="22"/>
          <w:szCs w:val="22"/>
          <w:lang w:val="sr-Latn-ME"/>
        </w:rPr>
      </w:pPr>
    </w:p>
    <w:p w:rsidR="007B7C69" w:rsidRPr="0055610F" w:rsidRDefault="007B7C69" w:rsidP="004D5825">
      <w:pPr>
        <w:tabs>
          <w:tab w:val="left" w:pos="284"/>
        </w:tabs>
        <w:jc w:val="both"/>
        <w:rPr>
          <w:i/>
          <w:sz w:val="22"/>
          <w:szCs w:val="22"/>
          <w:u w:val="single"/>
          <w:lang w:val="sr-Latn-ME"/>
        </w:rPr>
      </w:pPr>
      <w:r w:rsidRPr="0055610F">
        <w:rPr>
          <w:i/>
          <w:sz w:val="22"/>
          <w:szCs w:val="22"/>
          <w:u w:val="single"/>
          <w:lang w:val="sr-Latn-ME"/>
        </w:rPr>
        <w:t xml:space="preserve">Pedijatrijska populacija </w:t>
      </w:r>
    </w:p>
    <w:p w:rsidR="007B7C69" w:rsidRPr="0055610F" w:rsidRDefault="007B7C69" w:rsidP="004D5825">
      <w:pPr>
        <w:tabs>
          <w:tab w:val="left" w:pos="284"/>
        </w:tabs>
        <w:jc w:val="both"/>
        <w:rPr>
          <w:sz w:val="22"/>
          <w:szCs w:val="22"/>
          <w:lang w:val="sr-Latn-ME"/>
        </w:rPr>
      </w:pPr>
    </w:p>
    <w:p w:rsidR="007B7C69" w:rsidRPr="0055610F" w:rsidRDefault="007B7C69" w:rsidP="004D5825">
      <w:pPr>
        <w:tabs>
          <w:tab w:val="left" w:pos="284"/>
        </w:tabs>
        <w:jc w:val="both"/>
        <w:rPr>
          <w:sz w:val="22"/>
          <w:szCs w:val="22"/>
          <w:lang w:val="sr-Latn-ME"/>
        </w:rPr>
      </w:pPr>
      <w:r w:rsidRPr="0055610F">
        <w:rPr>
          <w:sz w:val="22"/>
          <w:szCs w:val="22"/>
          <w:lang w:val="sr-Latn-ME"/>
        </w:rPr>
        <w:t>Sprovedeno je multicentrično, otvoreno, randomizovano ispitivanje hemioterapije LMB (Lymphome Malin B) (kortikosteroidi, vinkristin, ciklofosfamid, visokodozni metotreksat, citarabin, doksorubicin, etopozid i trojna intratekalna terapija [metotreksat/citarabin/kortikosteroid]) primjenjene samostalno ili u kombinaciji s lijekom MabThera kod pedijatrijskih pacijenata s prethodno nelječenim uznapredovalim CD20 pozitivnim DLBCL-om/BL-om/B-AL-om/BLL-om. Uznapredovala bolest definiše se kao bolest stadijuma III praćena povišenim vrijednostima LDH (LDH &gt; 2 puta iznad gornje granice normale za odrasle osobe prema kriterijima ustanove), ili bilo koja bolest stadijuma IV ili B-AL. Pacijenti su bili randomizovani za primanje hemioterapije LMB ili šest i.v. infuzija lijeka MabThera u dozi od 375 mg/m</w:t>
      </w:r>
      <w:r w:rsidRPr="0055610F">
        <w:rPr>
          <w:sz w:val="22"/>
          <w:szCs w:val="22"/>
          <w:vertAlign w:val="superscript"/>
          <w:lang w:val="sr-Latn-ME"/>
        </w:rPr>
        <w:t>2</w:t>
      </w:r>
      <w:r w:rsidRPr="0055610F">
        <w:rPr>
          <w:sz w:val="22"/>
          <w:szCs w:val="22"/>
          <w:lang w:val="sr-Latn-ME"/>
        </w:rPr>
        <w:t xml:space="preserve"> tjelesne površine u kombinaciji s hemioterapijom LMB (po dvije tokom svakog od dva ciklusa indukcione terapije i po jednu tokom svakog od dva ciklusa terapije konsolidacije protokolom LMB). Ukupno je u analize efikasnosti bilo uključeno 328 randomizovanih pacijenata, među kojima je jedan pacijent </w:t>
      </w:r>
      <w:r w:rsidR="007642DC">
        <w:rPr>
          <w:sz w:val="22"/>
          <w:szCs w:val="22"/>
          <w:lang w:val="sr-Latn-ME"/>
        </w:rPr>
        <w:t>ml</w:t>
      </w:r>
      <w:r w:rsidRPr="0055610F">
        <w:rPr>
          <w:sz w:val="22"/>
          <w:szCs w:val="22"/>
          <w:lang w:val="sr-Latn-ME"/>
        </w:rPr>
        <w:t xml:space="preserve">ađi od 3 godine primao lijek MabThera u kombinaciji s hemioterapijom LMB. </w:t>
      </w:r>
    </w:p>
    <w:p w:rsidR="007B7C69" w:rsidRPr="0055610F" w:rsidRDefault="007B7C69" w:rsidP="004D5825">
      <w:pPr>
        <w:tabs>
          <w:tab w:val="left" w:pos="284"/>
        </w:tabs>
        <w:jc w:val="both"/>
        <w:rPr>
          <w:sz w:val="22"/>
          <w:szCs w:val="22"/>
          <w:lang w:val="sr-Latn-ME"/>
        </w:rPr>
      </w:pPr>
    </w:p>
    <w:p w:rsidR="007B7C69" w:rsidRPr="0055610F" w:rsidRDefault="007B7C69" w:rsidP="004D5825">
      <w:pPr>
        <w:tabs>
          <w:tab w:val="left" w:pos="284"/>
        </w:tabs>
        <w:jc w:val="both"/>
        <w:rPr>
          <w:sz w:val="22"/>
          <w:szCs w:val="22"/>
          <w:lang w:val="sr-Latn-ME"/>
        </w:rPr>
      </w:pPr>
      <w:r w:rsidRPr="0055610F">
        <w:rPr>
          <w:sz w:val="22"/>
          <w:szCs w:val="22"/>
          <w:lang w:val="sr-Latn-ME"/>
        </w:rPr>
        <w:t>Ob</w:t>
      </w:r>
      <w:r w:rsidR="005D3C83" w:rsidRPr="0055610F">
        <w:rPr>
          <w:sz w:val="22"/>
          <w:szCs w:val="22"/>
          <w:lang w:val="sr-Latn-ME"/>
        </w:rPr>
        <w:t>i</w:t>
      </w:r>
      <w:r w:rsidRPr="0055610F">
        <w:rPr>
          <w:sz w:val="22"/>
          <w:szCs w:val="22"/>
          <w:lang w:val="sr-Latn-ME"/>
        </w:rPr>
        <w:t>je liječene grupe – LMB (hemioterapija LMB) i R-LMB (hemioterapija LMB u kombinaciji s lijekom MabThera) – bile su dobro ujednačene s obzirom na početne faktore. Medijana starosti pacijenata iznosila je 7 godina u grupi koja je primala LMB i 8 godina u onoj koja je primala R-LMB. Približno polovina pacijenata pripadala je grupi B (50,6% onih iz grupe koja je primala LMB i 49,4% pacijenata iz grupe koja je primala R-LMB), 39,6% pacijenata iz ob</w:t>
      </w:r>
      <w:r w:rsidR="005D3C83" w:rsidRPr="0055610F">
        <w:rPr>
          <w:sz w:val="22"/>
          <w:szCs w:val="22"/>
          <w:lang w:val="sr-Latn-ME"/>
        </w:rPr>
        <w:t>i</w:t>
      </w:r>
      <w:r w:rsidRPr="0055610F">
        <w:rPr>
          <w:sz w:val="22"/>
          <w:szCs w:val="22"/>
          <w:lang w:val="sr-Latn-ME"/>
        </w:rPr>
        <w:t>je grupe pripadalo je grupi C1, a 9,8% onih koji su primali LMB i 11,0% onih koji su primali R-LMB pripadalo je grupi C3. Prema Murphy-jevoj klasifikaciji za određivanje stadijuma bolesti, većina pacijenata imala je 43 ili BL stadijuma III (45,7% u grupi koja je primala LMB i 43,4% onih u grupi koja je primala R-LMB) ili B-AL koji nije zahvatao CNS (21,3% u grupi koja je primala LMB i 24,4% onih u grupi koja je primala R-LMB). Kod manje od polovine pacijenata (45,1% u ob</w:t>
      </w:r>
      <w:r w:rsidR="005D3C83" w:rsidRPr="0055610F">
        <w:rPr>
          <w:sz w:val="22"/>
          <w:szCs w:val="22"/>
          <w:lang w:val="sr-Latn-ME"/>
        </w:rPr>
        <w:t>ij</w:t>
      </w:r>
      <w:r w:rsidRPr="0055610F">
        <w:rPr>
          <w:sz w:val="22"/>
          <w:szCs w:val="22"/>
          <w:lang w:val="sr-Latn-ME"/>
        </w:rPr>
        <w:t xml:space="preserve">e grupe) bolest je zahvatala koštanu srž, a kod većine pacijenata (72,6% u grupi koja je primala LMB i 73,2% onih u grupi koja je primala R-LMB) nije zahvatala CNS. Primarna mjera ishoda za efikasnost bio je EFS, pri čemu se događaj definisao kao progresija bolesti, relaps, druga maligna bolest, smrt zbog bilo kojeg uzroka ili izostanak odgovora utvrđen pronalaženjem rezidualnih vijabilnih ćelija nakon drugog ciklusa protokola CYVE, zavisno o tome što je nastupilo prvo. Sekundarne mjere ishoda za efikasnost bile su OS i potpuna remisija. </w:t>
      </w:r>
    </w:p>
    <w:p w:rsidR="007B7C69" w:rsidRPr="0055610F" w:rsidRDefault="007B7C69" w:rsidP="004D5825">
      <w:pPr>
        <w:tabs>
          <w:tab w:val="left" w:pos="284"/>
        </w:tabs>
        <w:jc w:val="both"/>
        <w:rPr>
          <w:sz w:val="22"/>
          <w:szCs w:val="22"/>
          <w:lang w:val="sr-Latn-ME"/>
        </w:rPr>
      </w:pPr>
    </w:p>
    <w:p w:rsidR="007B7C69" w:rsidRPr="0055610F" w:rsidRDefault="007B7C69" w:rsidP="004D5825">
      <w:pPr>
        <w:tabs>
          <w:tab w:val="left" w:pos="284"/>
        </w:tabs>
        <w:jc w:val="both"/>
        <w:rPr>
          <w:sz w:val="22"/>
          <w:szCs w:val="22"/>
          <w:lang w:val="sr-Latn-ME"/>
        </w:rPr>
      </w:pPr>
      <w:r w:rsidRPr="0055610F">
        <w:rPr>
          <w:sz w:val="22"/>
          <w:szCs w:val="22"/>
          <w:lang w:val="sr-Latn-ME"/>
        </w:rPr>
        <w:t>U trenutku sprovođenja unapr</w:t>
      </w:r>
      <w:r w:rsidR="005D3C83" w:rsidRPr="0055610F">
        <w:rPr>
          <w:sz w:val="22"/>
          <w:szCs w:val="22"/>
          <w:lang w:val="sr-Latn-ME"/>
        </w:rPr>
        <w:t>ij</w:t>
      </w:r>
      <w:r w:rsidRPr="0055610F">
        <w:rPr>
          <w:sz w:val="22"/>
          <w:szCs w:val="22"/>
          <w:lang w:val="sr-Latn-ME"/>
        </w:rPr>
        <w:t>ed specificirane interim analize nakon medijane praćenja od približno godinu dana opaženo je klinički značajno poboljšanje EFS-a kao primarne mjere ishoda, čija je proc</w:t>
      </w:r>
      <w:r w:rsidR="005D3C83" w:rsidRPr="0055610F">
        <w:rPr>
          <w:sz w:val="22"/>
          <w:szCs w:val="22"/>
          <w:lang w:val="sr-Latn-ME"/>
        </w:rPr>
        <w:t>i</w:t>
      </w:r>
      <w:r w:rsidRPr="0055610F">
        <w:rPr>
          <w:sz w:val="22"/>
          <w:szCs w:val="22"/>
          <w:lang w:val="sr-Latn-ME"/>
        </w:rPr>
        <w:t xml:space="preserve">jenjena 1-godišnja stopa iznosila 94,2% (95% CI: 88,5% - 97,2%) u grupi koja je primala R-LMB naspram 81,5% (95% CI: 73,0% - 87,8%) u onoj koja je primala LMB, uz prilagođeni Coxov odnos hazarda od 0,33 (95% CI: 0,14 - 0,79). Nakon preporuke nezavisnog povjerenstva za praćenje podataka utemeljene na tom rezultatu, randomizacija je obustavljena i pacijentima koji su primali LMB dopušteno je da pređu u drugu grupu kako bi primali lijek MabThera. </w:t>
      </w:r>
    </w:p>
    <w:p w:rsidR="007B7C69" w:rsidRPr="0055610F" w:rsidRDefault="007B7C69" w:rsidP="004D5825">
      <w:pPr>
        <w:tabs>
          <w:tab w:val="left" w:pos="284"/>
        </w:tabs>
        <w:jc w:val="both"/>
        <w:rPr>
          <w:sz w:val="22"/>
          <w:szCs w:val="22"/>
          <w:lang w:val="sr-Latn-ME"/>
        </w:rPr>
      </w:pPr>
    </w:p>
    <w:p w:rsidR="007B7C69" w:rsidRPr="0055610F" w:rsidRDefault="007B7C69" w:rsidP="004D5825">
      <w:pPr>
        <w:tabs>
          <w:tab w:val="left" w:pos="284"/>
        </w:tabs>
        <w:jc w:val="both"/>
        <w:rPr>
          <w:sz w:val="22"/>
          <w:szCs w:val="22"/>
          <w:lang w:val="sr-Latn-ME"/>
        </w:rPr>
      </w:pPr>
      <w:r w:rsidRPr="0055610F">
        <w:rPr>
          <w:sz w:val="22"/>
          <w:szCs w:val="22"/>
          <w:lang w:val="sr-Latn-ME"/>
        </w:rPr>
        <w:t xml:space="preserve">Primarne analize podataka o efikasnosti sprovedene su kod 328 randomizovanih pacijenata nakon medijane praćenja od 3,1 godine. Rezultati su opisani u Tabeli 14. </w:t>
      </w:r>
    </w:p>
    <w:p w:rsidR="007B7C69" w:rsidRPr="0055610F" w:rsidRDefault="007B7C69" w:rsidP="004D5825">
      <w:pPr>
        <w:tabs>
          <w:tab w:val="left" w:pos="284"/>
        </w:tabs>
        <w:jc w:val="both"/>
        <w:rPr>
          <w:sz w:val="22"/>
          <w:szCs w:val="22"/>
          <w:lang w:val="sr-Latn-ME"/>
        </w:rPr>
      </w:pPr>
    </w:p>
    <w:p w:rsidR="007B7C69" w:rsidRPr="0055610F" w:rsidRDefault="007B7C69" w:rsidP="004D5825">
      <w:pPr>
        <w:tabs>
          <w:tab w:val="left" w:pos="284"/>
        </w:tabs>
        <w:jc w:val="both"/>
        <w:rPr>
          <w:b/>
          <w:sz w:val="22"/>
          <w:szCs w:val="22"/>
          <w:lang w:val="sr-Latn-ME"/>
        </w:rPr>
      </w:pPr>
      <w:r w:rsidRPr="0055610F">
        <w:rPr>
          <w:b/>
          <w:sz w:val="22"/>
          <w:szCs w:val="22"/>
          <w:lang w:val="sr-Latn-ME"/>
        </w:rPr>
        <w:t>Tabela 14</w:t>
      </w:r>
      <w:r w:rsidR="001F1EC4">
        <w:rPr>
          <w:b/>
          <w:sz w:val="22"/>
          <w:szCs w:val="22"/>
          <w:lang w:val="sr-Latn-ME"/>
        </w:rPr>
        <w:t>.</w:t>
      </w:r>
      <w:r w:rsidRPr="0055610F">
        <w:rPr>
          <w:b/>
          <w:sz w:val="22"/>
          <w:szCs w:val="22"/>
          <w:lang w:val="sr-Latn-ME"/>
        </w:rPr>
        <w:t xml:space="preserve"> Pregled rezultata primarne analize podataka o efikasnosti (ITT populacija)</w:t>
      </w:r>
    </w:p>
    <w:p w:rsidR="007B7C69" w:rsidRPr="0055610F" w:rsidRDefault="007B7C69" w:rsidP="004D5825">
      <w:pPr>
        <w:tabs>
          <w:tab w:val="left" w:pos="284"/>
        </w:tabs>
        <w:jc w:val="both"/>
        <w:rPr>
          <w:sz w:val="22"/>
          <w:szCs w:val="22"/>
          <w:lang w:val="sr-Latn-ME"/>
        </w:rPr>
      </w:pPr>
    </w:p>
    <w:tbl>
      <w:tblPr>
        <w:tblW w:w="0" w:type="dxa"/>
        <w:tblLayout w:type="fixed"/>
        <w:tblLook w:val="04A0" w:firstRow="1" w:lastRow="0" w:firstColumn="1" w:lastColumn="0" w:noHBand="0" w:noVBand="1"/>
      </w:tblPr>
      <w:tblGrid>
        <w:gridCol w:w="2260"/>
        <w:gridCol w:w="3335"/>
        <w:gridCol w:w="3337"/>
      </w:tblGrid>
      <w:tr w:rsidR="007B7C69" w:rsidRPr="007642DC" w:rsidTr="00B21971">
        <w:trPr>
          <w:trHeight w:val="471"/>
        </w:trPr>
        <w:tc>
          <w:tcPr>
            <w:tcW w:w="2260"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b/>
                <w:sz w:val="22"/>
                <w:szCs w:val="22"/>
                <w:lang w:val="sr-Latn-ME"/>
              </w:rPr>
            </w:pPr>
            <w:r w:rsidRPr="0055610F">
              <w:rPr>
                <w:b/>
                <w:sz w:val="22"/>
                <w:szCs w:val="22"/>
                <w:lang w:val="sr-Latn-ME"/>
              </w:rPr>
              <w:t>Analizirani parametar</w:t>
            </w:r>
          </w:p>
        </w:tc>
        <w:tc>
          <w:tcPr>
            <w:tcW w:w="3335"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b/>
                <w:sz w:val="22"/>
                <w:szCs w:val="22"/>
                <w:lang w:val="sr-Latn-ME"/>
              </w:rPr>
            </w:pPr>
            <w:r w:rsidRPr="0055610F">
              <w:rPr>
                <w:b/>
                <w:sz w:val="22"/>
                <w:szCs w:val="22"/>
                <w:lang w:val="sr-Latn-ME"/>
              </w:rPr>
              <w:t>LMB</w:t>
            </w:r>
          </w:p>
          <w:p w:rsidR="007B7C69" w:rsidRPr="0055610F" w:rsidRDefault="007B7C69" w:rsidP="004D5825">
            <w:pPr>
              <w:keepNext/>
              <w:keepLines/>
              <w:tabs>
                <w:tab w:val="left" w:pos="284"/>
              </w:tabs>
              <w:spacing w:before="50" w:after="50"/>
              <w:jc w:val="center"/>
              <w:rPr>
                <w:b/>
                <w:sz w:val="22"/>
                <w:szCs w:val="22"/>
                <w:lang w:val="sr-Latn-ME"/>
              </w:rPr>
            </w:pPr>
            <w:r w:rsidRPr="0055610F">
              <w:rPr>
                <w:b/>
                <w:sz w:val="22"/>
                <w:szCs w:val="22"/>
                <w:lang w:val="sr-Latn-ME"/>
              </w:rPr>
              <w:t>(N = 164)</w:t>
            </w:r>
          </w:p>
        </w:tc>
        <w:tc>
          <w:tcPr>
            <w:tcW w:w="3337"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b/>
                <w:sz w:val="22"/>
                <w:szCs w:val="22"/>
                <w:lang w:val="sr-Latn-ME"/>
              </w:rPr>
            </w:pPr>
            <w:r w:rsidRPr="0055610F">
              <w:rPr>
                <w:b/>
                <w:sz w:val="22"/>
                <w:szCs w:val="22"/>
                <w:lang w:val="sr-Latn-ME"/>
              </w:rPr>
              <w:t>R-LMB</w:t>
            </w:r>
          </w:p>
          <w:p w:rsidR="007B7C69" w:rsidRPr="0055610F" w:rsidRDefault="007B7C69" w:rsidP="004D5825">
            <w:pPr>
              <w:keepNext/>
              <w:keepLines/>
              <w:tabs>
                <w:tab w:val="left" w:pos="284"/>
              </w:tabs>
              <w:spacing w:before="50" w:after="50"/>
              <w:jc w:val="center"/>
              <w:rPr>
                <w:b/>
                <w:sz w:val="22"/>
                <w:szCs w:val="22"/>
                <w:lang w:val="sr-Latn-ME"/>
              </w:rPr>
            </w:pPr>
            <w:r w:rsidRPr="0055610F">
              <w:rPr>
                <w:b/>
                <w:sz w:val="22"/>
                <w:szCs w:val="22"/>
                <w:lang w:val="sr-Latn-ME"/>
              </w:rPr>
              <w:t>(N=164)</w:t>
            </w:r>
          </w:p>
        </w:tc>
      </w:tr>
      <w:tr w:rsidR="007B7C69" w:rsidRPr="007642DC" w:rsidTr="00B21971">
        <w:trPr>
          <w:trHeight w:val="471"/>
        </w:trPr>
        <w:tc>
          <w:tcPr>
            <w:tcW w:w="2260" w:type="dxa"/>
            <w:vMerge w:val="restart"/>
            <w:tcBorders>
              <w:top w:val="single" w:sz="4" w:space="0" w:color="000000"/>
              <w:left w:val="single" w:sz="4" w:space="0" w:color="000000"/>
              <w:bottom w:val="nil"/>
              <w:right w:val="single" w:sz="4" w:space="0" w:color="000000"/>
            </w:tcBorders>
            <w:vAlign w:val="center"/>
            <w:hideMark/>
          </w:tcPr>
          <w:p w:rsidR="007B7C69" w:rsidRPr="0055610F" w:rsidRDefault="007B7C69" w:rsidP="004D5825">
            <w:pPr>
              <w:keepNext/>
              <w:keepLines/>
              <w:tabs>
                <w:tab w:val="left" w:pos="284"/>
              </w:tabs>
              <w:spacing w:before="50" w:after="50"/>
              <w:jc w:val="center"/>
              <w:rPr>
                <w:b/>
                <w:sz w:val="22"/>
                <w:szCs w:val="22"/>
                <w:vertAlign w:val="superscript"/>
                <w:lang w:val="sr-Latn-ME"/>
              </w:rPr>
            </w:pPr>
            <w:r w:rsidRPr="0055610F">
              <w:rPr>
                <w:b/>
                <w:sz w:val="22"/>
                <w:szCs w:val="22"/>
                <w:lang w:val="sr-Latn-ME"/>
              </w:rPr>
              <w:t>EFS</w:t>
            </w:r>
          </w:p>
        </w:tc>
        <w:tc>
          <w:tcPr>
            <w:tcW w:w="3335" w:type="dxa"/>
            <w:tcBorders>
              <w:top w:val="single" w:sz="4" w:space="0" w:color="000000"/>
              <w:left w:val="single" w:sz="4" w:space="0" w:color="000000"/>
              <w:bottom w:val="nil"/>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28 događaja</w:t>
            </w:r>
          </w:p>
        </w:tc>
        <w:tc>
          <w:tcPr>
            <w:tcW w:w="3337" w:type="dxa"/>
            <w:tcBorders>
              <w:top w:val="single" w:sz="4" w:space="0" w:color="000000"/>
              <w:left w:val="single" w:sz="4" w:space="0" w:color="000000"/>
              <w:bottom w:val="nil"/>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10 događaja</w:t>
            </w:r>
          </w:p>
        </w:tc>
      </w:tr>
      <w:tr w:rsidR="007B7C69" w:rsidRPr="007642DC" w:rsidTr="00B21971">
        <w:trPr>
          <w:trHeight w:val="471"/>
        </w:trPr>
        <w:tc>
          <w:tcPr>
            <w:tcW w:w="2260" w:type="dxa"/>
            <w:vMerge/>
            <w:tcBorders>
              <w:top w:val="single" w:sz="4" w:space="0" w:color="000000"/>
              <w:left w:val="single" w:sz="4" w:space="0" w:color="000000"/>
              <w:bottom w:val="nil"/>
              <w:right w:val="single" w:sz="4" w:space="0" w:color="000000"/>
            </w:tcBorders>
            <w:vAlign w:val="center"/>
            <w:hideMark/>
          </w:tcPr>
          <w:p w:rsidR="007B7C69" w:rsidRPr="0055610F" w:rsidRDefault="007B7C69" w:rsidP="004D5825">
            <w:pPr>
              <w:tabs>
                <w:tab w:val="left" w:pos="284"/>
              </w:tabs>
              <w:jc w:val="center"/>
              <w:rPr>
                <w:b/>
                <w:sz w:val="22"/>
                <w:szCs w:val="22"/>
                <w:vertAlign w:val="superscript"/>
                <w:lang w:val="sr-Latn-ME"/>
              </w:rPr>
            </w:pPr>
          </w:p>
        </w:tc>
        <w:tc>
          <w:tcPr>
            <w:tcW w:w="6672" w:type="dxa"/>
            <w:gridSpan w:val="2"/>
            <w:tcBorders>
              <w:top w:val="single" w:sz="4" w:space="0" w:color="000000"/>
              <w:left w:val="single" w:sz="4" w:space="0" w:color="000000"/>
              <w:bottom w:val="nil"/>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Jednostrana p-vr</w:t>
            </w:r>
            <w:r w:rsidR="005D3C83" w:rsidRPr="0055610F">
              <w:rPr>
                <w:sz w:val="22"/>
                <w:szCs w:val="22"/>
                <w:lang w:val="sr-Latn-ME"/>
              </w:rPr>
              <w:t>ij</w:t>
            </w:r>
            <w:r w:rsidRPr="0055610F">
              <w:rPr>
                <w:sz w:val="22"/>
                <w:szCs w:val="22"/>
                <w:lang w:val="sr-Latn-ME"/>
              </w:rPr>
              <w:t>ednost prema log-rang testu: 0,0006</w:t>
            </w:r>
          </w:p>
        </w:tc>
      </w:tr>
      <w:tr w:rsidR="007B7C69" w:rsidRPr="007642DC" w:rsidTr="00B21971">
        <w:trPr>
          <w:trHeight w:val="471"/>
        </w:trPr>
        <w:tc>
          <w:tcPr>
            <w:tcW w:w="2260" w:type="dxa"/>
            <w:vMerge/>
            <w:tcBorders>
              <w:top w:val="single" w:sz="4" w:space="0" w:color="000000"/>
              <w:left w:val="single" w:sz="4" w:space="0" w:color="000000"/>
              <w:bottom w:val="nil"/>
              <w:right w:val="single" w:sz="4" w:space="0" w:color="000000"/>
            </w:tcBorders>
            <w:vAlign w:val="center"/>
            <w:hideMark/>
          </w:tcPr>
          <w:p w:rsidR="007B7C69" w:rsidRPr="0055610F" w:rsidRDefault="007B7C69" w:rsidP="004D5825">
            <w:pPr>
              <w:tabs>
                <w:tab w:val="left" w:pos="284"/>
              </w:tabs>
              <w:jc w:val="center"/>
              <w:rPr>
                <w:b/>
                <w:sz w:val="22"/>
                <w:szCs w:val="22"/>
                <w:vertAlign w:val="superscript"/>
                <w:lang w:val="sr-Latn-ME"/>
              </w:rPr>
            </w:pPr>
          </w:p>
        </w:tc>
        <w:tc>
          <w:tcPr>
            <w:tcW w:w="6672" w:type="dxa"/>
            <w:gridSpan w:val="2"/>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Prilagođeni Coxov HR: 0,32 (90% CI: 0,17; 0,58)</w:t>
            </w:r>
          </w:p>
        </w:tc>
      </w:tr>
      <w:tr w:rsidR="007B7C69" w:rsidRPr="007642DC" w:rsidTr="00B21971">
        <w:trPr>
          <w:trHeight w:val="471"/>
        </w:trPr>
        <w:tc>
          <w:tcPr>
            <w:tcW w:w="2260"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b/>
                <w:sz w:val="22"/>
                <w:szCs w:val="22"/>
                <w:vertAlign w:val="superscript"/>
                <w:lang w:val="sr-Latn-ME"/>
              </w:rPr>
            </w:pPr>
            <w:r w:rsidRPr="0055610F">
              <w:rPr>
                <w:b/>
                <w:sz w:val="22"/>
                <w:szCs w:val="22"/>
                <w:lang w:val="sr-Latn-ME"/>
              </w:rPr>
              <w:lastRenderedPageBreak/>
              <w:t>3-godišnje stope EFS</w:t>
            </w:r>
          </w:p>
        </w:tc>
        <w:tc>
          <w:tcPr>
            <w:tcW w:w="3335"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82,3%</w:t>
            </w:r>
          </w:p>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(95% CI: 75,7%; 87,5%)</w:t>
            </w:r>
          </w:p>
        </w:tc>
        <w:tc>
          <w:tcPr>
            <w:tcW w:w="3337"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93,9%</w:t>
            </w:r>
          </w:p>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(95% CI: 89,1%; 96,7%)</w:t>
            </w:r>
          </w:p>
        </w:tc>
      </w:tr>
      <w:tr w:rsidR="007B7C69" w:rsidRPr="007642DC" w:rsidTr="00B21971">
        <w:trPr>
          <w:trHeight w:val="471"/>
        </w:trPr>
        <w:tc>
          <w:tcPr>
            <w:tcW w:w="2260" w:type="dxa"/>
            <w:vMerge w:val="restart"/>
            <w:tcBorders>
              <w:top w:val="single" w:sz="4" w:space="0" w:color="000000"/>
              <w:left w:val="single" w:sz="4" w:space="0" w:color="000000"/>
              <w:bottom w:val="nil"/>
              <w:right w:val="single" w:sz="4" w:space="0" w:color="000000"/>
            </w:tcBorders>
            <w:vAlign w:val="center"/>
            <w:hideMark/>
          </w:tcPr>
          <w:p w:rsidR="007B7C69" w:rsidRPr="0055610F" w:rsidRDefault="007B7C69" w:rsidP="004D5825">
            <w:pPr>
              <w:keepNext/>
              <w:keepLines/>
              <w:tabs>
                <w:tab w:val="left" w:pos="284"/>
              </w:tabs>
              <w:spacing w:before="50" w:after="50"/>
              <w:jc w:val="center"/>
              <w:rPr>
                <w:b/>
                <w:sz w:val="22"/>
                <w:szCs w:val="22"/>
                <w:vertAlign w:val="superscript"/>
                <w:lang w:val="sr-Latn-ME"/>
              </w:rPr>
            </w:pPr>
            <w:r w:rsidRPr="0055610F">
              <w:rPr>
                <w:b/>
                <w:sz w:val="22"/>
                <w:szCs w:val="22"/>
                <w:lang w:val="sr-Latn-ME"/>
              </w:rPr>
              <w:t>OS</w:t>
            </w:r>
          </w:p>
        </w:tc>
        <w:tc>
          <w:tcPr>
            <w:tcW w:w="3335" w:type="dxa"/>
            <w:tcBorders>
              <w:top w:val="nil"/>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20 smrtnih slučajeva</w:t>
            </w:r>
          </w:p>
        </w:tc>
        <w:tc>
          <w:tcPr>
            <w:tcW w:w="3337" w:type="dxa"/>
            <w:tcBorders>
              <w:top w:val="nil"/>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8 smrtnih slučajeva</w:t>
            </w:r>
          </w:p>
        </w:tc>
      </w:tr>
      <w:tr w:rsidR="007B7C69" w:rsidRPr="007642DC" w:rsidTr="00B21971">
        <w:trPr>
          <w:trHeight w:val="471"/>
        </w:trPr>
        <w:tc>
          <w:tcPr>
            <w:tcW w:w="2260" w:type="dxa"/>
            <w:vMerge/>
            <w:tcBorders>
              <w:top w:val="single" w:sz="4" w:space="0" w:color="000000"/>
              <w:left w:val="single" w:sz="4" w:space="0" w:color="000000"/>
              <w:bottom w:val="nil"/>
              <w:right w:val="single" w:sz="4" w:space="0" w:color="000000"/>
            </w:tcBorders>
            <w:vAlign w:val="center"/>
            <w:hideMark/>
          </w:tcPr>
          <w:p w:rsidR="007B7C69" w:rsidRPr="0055610F" w:rsidRDefault="007B7C69" w:rsidP="004D5825">
            <w:pPr>
              <w:tabs>
                <w:tab w:val="left" w:pos="284"/>
              </w:tabs>
              <w:jc w:val="center"/>
              <w:rPr>
                <w:b/>
                <w:sz w:val="22"/>
                <w:szCs w:val="22"/>
                <w:vertAlign w:val="superscript"/>
                <w:lang w:val="sr-Latn-ME"/>
              </w:rPr>
            </w:pPr>
          </w:p>
        </w:tc>
        <w:tc>
          <w:tcPr>
            <w:tcW w:w="6672" w:type="dxa"/>
            <w:gridSpan w:val="2"/>
            <w:tcBorders>
              <w:top w:val="nil"/>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Jednostrana p-vr</w:t>
            </w:r>
            <w:r w:rsidR="005D3C83" w:rsidRPr="0055610F">
              <w:rPr>
                <w:sz w:val="22"/>
                <w:szCs w:val="22"/>
                <w:lang w:val="sr-Latn-ME"/>
              </w:rPr>
              <w:t>ij</w:t>
            </w:r>
            <w:r w:rsidRPr="0055610F">
              <w:rPr>
                <w:sz w:val="22"/>
                <w:szCs w:val="22"/>
                <w:lang w:val="sr-Latn-ME"/>
              </w:rPr>
              <w:t>ednost prema log-rang testu: 0.0061</w:t>
            </w:r>
          </w:p>
        </w:tc>
      </w:tr>
      <w:tr w:rsidR="007B7C69" w:rsidRPr="007642DC" w:rsidTr="00B21971">
        <w:trPr>
          <w:trHeight w:val="471"/>
        </w:trPr>
        <w:tc>
          <w:tcPr>
            <w:tcW w:w="2260" w:type="dxa"/>
            <w:vMerge/>
            <w:tcBorders>
              <w:top w:val="single" w:sz="4" w:space="0" w:color="000000"/>
              <w:left w:val="single" w:sz="4" w:space="0" w:color="000000"/>
              <w:bottom w:val="nil"/>
              <w:right w:val="single" w:sz="4" w:space="0" w:color="000000"/>
            </w:tcBorders>
            <w:vAlign w:val="center"/>
            <w:hideMark/>
          </w:tcPr>
          <w:p w:rsidR="007B7C69" w:rsidRPr="0055610F" w:rsidRDefault="007B7C69" w:rsidP="004D5825">
            <w:pPr>
              <w:tabs>
                <w:tab w:val="left" w:pos="284"/>
              </w:tabs>
              <w:jc w:val="center"/>
              <w:rPr>
                <w:b/>
                <w:sz w:val="22"/>
                <w:szCs w:val="22"/>
                <w:vertAlign w:val="superscript"/>
                <w:lang w:val="sr-Latn-ME"/>
              </w:rPr>
            </w:pPr>
          </w:p>
        </w:tc>
        <w:tc>
          <w:tcPr>
            <w:tcW w:w="6672" w:type="dxa"/>
            <w:gridSpan w:val="2"/>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Prilagođeni Coxov HR: 0,36 (95% CI: 0,16; 0,81)</w:t>
            </w:r>
          </w:p>
        </w:tc>
      </w:tr>
      <w:tr w:rsidR="007B7C69" w:rsidRPr="007642DC" w:rsidTr="00B21971">
        <w:trPr>
          <w:trHeight w:val="471"/>
        </w:trPr>
        <w:tc>
          <w:tcPr>
            <w:tcW w:w="2260"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b/>
                <w:sz w:val="22"/>
                <w:szCs w:val="22"/>
                <w:vertAlign w:val="superscript"/>
                <w:lang w:val="sr-Latn-ME"/>
              </w:rPr>
            </w:pPr>
            <w:r w:rsidRPr="0055610F">
              <w:rPr>
                <w:b/>
                <w:sz w:val="22"/>
                <w:szCs w:val="22"/>
                <w:lang w:val="sr-Latn-ME"/>
              </w:rPr>
              <w:t>3-godišnje stope OS-a</w:t>
            </w:r>
          </w:p>
        </w:tc>
        <w:tc>
          <w:tcPr>
            <w:tcW w:w="3335"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87,3% (95% CI: 81,2%; 91,6%)</w:t>
            </w:r>
          </w:p>
        </w:tc>
        <w:tc>
          <w:tcPr>
            <w:tcW w:w="3337"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95,1% (95% CI: 90,5%; 97,5%)</w:t>
            </w:r>
          </w:p>
        </w:tc>
      </w:tr>
      <w:tr w:rsidR="007B7C69" w:rsidRPr="007642DC" w:rsidTr="00B21971">
        <w:trPr>
          <w:trHeight w:val="471"/>
        </w:trPr>
        <w:tc>
          <w:tcPr>
            <w:tcW w:w="2260"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b/>
                <w:sz w:val="22"/>
                <w:szCs w:val="22"/>
                <w:lang w:val="sr-Latn-ME"/>
              </w:rPr>
            </w:pPr>
            <w:r w:rsidRPr="0055610F">
              <w:rPr>
                <w:b/>
                <w:sz w:val="22"/>
                <w:szCs w:val="22"/>
                <w:lang w:val="sr-Latn-ME"/>
              </w:rPr>
              <w:t>Stopa potpune remisije</w:t>
            </w:r>
          </w:p>
        </w:tc>
        <w:tc>
          <w:tcPr>
            <w:tcW w:w="3335"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93,6% (95% CI: 88,2%; 97,0%)</w:t>
            </w:r>
          </w:p>
        </w:tc>
        <w:tc>
          <w:tcPr>
            <w:tcW w:w="3337"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keepNext/>
              <w:keepLines/>
              <w:tabs>
                <w:tab w:val="left" w:pos="284"/>
              </w:tabs>
              <w:spacing w:before="50" w:after="50"/>
              <w:jc w:val="center"/>
              <w:rPr>
                <w:sz w:val="22"/>
                <w:szCs w:val="22"/>
                <w:lang w:val="sr-Latn-ME"/>
              </w:rPr>
            </w:pPr>
            <w:r w:rsidRPr="0055610F">
              <w:rPr>
                <w:sz w:val="22"/>
                <w:szCs w:val="22"/>
                <w:lang w:val="sr-Latn-ME"/>
              </w:rPr>
              <w:t>94,0% (95% CI: 88,8%; 97,2%)</w:t>
            </w:r>
          </w:p>
        </w:tc>
      </w:tr>
    </w:tbl>
    <w:p w:rsidR="007B7C69" w:rsidRPr="0055610F" w:rsidRDefault="007B7C69" w:rsidP="004D5825">
      <w:pPr>
        <w:tabs>
          <w:tab w:val="left" w:pos="284"/>
        </w:tabs>
        <w:jc w:val="both"/>
        <w:rPr>
          <w:sz w:val="22"/>
          <w:szCs w:val="22"/>
          <w:lang w:val="sr-Latn-ME"/>
        </w:rPr>
      </w:pPr>
    </w:p>
    <w:p w:rsidR="007B7C69" w:rsidRPr="0055610F" w:rsidRDefault="007B7C69" w:rsidP="004D5825">
      <w:pPr>
        <w:tabs>
          <w:tab w:val="left" w:pos="284"/>
        </w:tabs>
        <w:jc w:val="both"/>
        <w:rPr>
          <w:sz w:val="22"/>
          <w:szCs w:val="22"/>
          <w:lang w:val="sr-Latn-ME"/>
        </w:rPr>
      </w:pPr>
      <w:r w:rsidRPr="0055610F">
        <w:rPr>
          <w:sz w:val="22"/>
          <w:szCs w:val="22"/>
          <w:lang w:val="sr-Latn-ME"/>
        </w:rPr>
        <w:t>Primarna analiza podataka o efikasnosti pokazala je koristan učinak na EFS kod dodavanja lijeka MabThera hemioterapijskom protokolu LMB u odnosu na primjenu samo hemioterapije LMB, uz HR za EFS od 0,32 (90% CI: 0,17 - 0,58), utvrđen Coxovom regresionom analizom prilagođenom za nacionalnu pripadnost, histološke faktore i l</w:t>
      </w:r>
      <w:r w:rsidR="005D3C83" w:rsidRPr="0055610F">
        <w:rPr>
          <w:sz w:val="22"/>
          <w:szCs w:val="22"/>
          <w:lang w:val="sr-Latn-ME"/>
        </w:rPr>
        <w:t>i</w:t>
      </w:r>
      <w:r w:rsidRPr="0055610F">
        <w:rPr>
          <w:sz w:val="22"/>
          <w:szCs w:val="22"/>
          <w:lang w:val="sr-Latn-ME"/>
        </w:rPr>
        <w:t>ječenu grupu. Iako između dvije liječene grupe ni</w:t>
      </w:r>
      <w:r w:rsidR="005D3C83" w:rsidRPr="0055610F">
        <w:rPr>
          <w:sz w:val="22"/>
          <w:szCs w:val="22"/>
          <w:lang w:val="sr-Latn-ME"/>
        </w:rPr>
        <w:t>je</w:t>
      </w:r>
      <w:r w:rsidRPr="0055610F">
        <w:rPr>
          <w:sz w:val="22"/>
          <w:szCs w:val="22"/>
          <w:lang w:val="sr-Latn-ME"/>
        </w:rPr>
        <w:t>su opažene velike razlike u broju pacijenata koji su postigli potpunu remisiju, koristan učinak dodavanja lijeka MabThera hemioterapiji LMB prim</w:t>
      </w:r>
      <w:r w:rsidR="005D3C83" w:rsidRPr="0055610F">
        <w:rPr>
          <w:sz w:val="22"/>
          <w:szCs w:val="22"/>
          <w:lang w:val="sr-Latn-ME"/>
        </w:rPr>
        <w:t>i</w:t>
      </w:r>
      <w:r w:rsidRPr="0055610F">
        <w:rPr>
          <w:sz w:val="22"/>
          <w:szCs w:val="22"/>
          <w:lang w:val="sr-Latn-ME"/>
        </w:rPr>
        <w:t xml:space="preserve">jećen je i za sekundarnu mjeru ishoda – OS, uz HR za OS od 0,36 (95% CI: 0,16 - 0,81). </w:t>
      </w:r>
    </w:p>
    <w:p w:rsidR="007B7C69" w:rsidRPr="0055610F" w:rsidRDefault="007B7C69" w:rsidP="004D5825">
      <w:pPr>
        <w:tabs>
          <w:tab w:val="left" w:pos="284"/>
        </w:tabs>
        <w:jc w:val="both"/>
        <w:rPr>
          <w:sz w:val="22"/>
          <w:szCs w:val="22"/>
          <w:lang w:val="sr-Latn-ME"/>
        </w:rPr>
      </w:pPr>
    </w:p>
    <w:p w:rsidR="00277702" w:rsidRPr="00831702" w:rsidRDefault="007B7C69" w:rsidP="00831702">
      <w:pPr>
        <w:tabs>
          <w:tab w:val="left" w:pos="284"/>
        </w:tabs>
        <w:jc w:val="both"/>
        <w:rPr>
          <w:sz w:val="22"/>
          <w:szCs w:val="22"/>
          <w:lang w:val="sr-Latn-ME"/>
        </w:rPr>
      </w:pPr>
      <w:r w:rsidRPr="0055610F">
        <w:rPr>
          <w:sz w:val="22"/>
          <w:szCs w:val="22"/>
          <w:lang w:val="sr-Latn-ME"/>
        </w:rPr>
        <w:t xml:space="preserve">Evropska agencija za ljekove izuzela je obavezu podnošenja rezultata ispitivanja lijeka MabThera u svim podgrupama pedijatrijske populacije s folikularnim limfomom i </w:t>
      </w:r>
      <w:r w:rsidR="00011D28">
        <w:rPr>
          <w:sz w:val="22"/>
          <w:szCs w:val="22"/>
          <w:lang w:val="sr-Latn-ME"/>
        </w:rPr>
        <w:t>C</w:t>
      </w:r>
      <w:r w:rsidRPr="0055610F">
        <w:rPr>
          <w:sz w:val="22"/>
          <w:szCs w:val="22"/>
          <w:lang w:val="sr-Latn-ME"/>
        </w:rPr>
        <w:t xml:space="preserve">LL-om te u pedijatrijskoj populaciji djece </w:t>
      </w:r>
      <w:r w:rsidR="007642DC">
        <w:rPr>
          <w:sz w:val="22"/>
          <w:szCs w:val="22"/>
          <w:lang w:val="sr-Latn-ME"/>
        </w:rPr>
        <w:t>ml</w:t>
      </w:r>
      <w:r w:rsidRPr="0055610F">
        <w:rPr>
          <w:sz w:val="22"/>
          <w:szCs w:val="22"/>
          <w:lang w:val="sr-Latn-ME"/>
        </w:rPr>
        <w:t>ađe od 6 mjeseci s CD20 pozitivnim difuznim B-krupnoćelijskim limfomom. Vidjeti dio 4.2 za informacije o pedijatrijskoj primjeni.</w:t>
      </w:r>
    </w:p>
    <w:p w:rsidR="00277702" w:rsidRDefault="00277702" w:rsidP="004D5825">
      <w:pPr>
        <w:jc w:val="both"/>
        <w:rPr>
          <w:sz w:val="22"/>
          <w:szCs w:val="22"/>
          <w:u w:val="single"/>
          <w:lang w:val="sr-Latn-ME"/>
        </w:rPr>
      </w:pPr>
    </w:p>
    <w:p w:rsidR="007B7C69" w:rsidRPr="0055610F" w:rsidRDefault="007B7C69" w:rsidP="004D5825">
      <w:pPr>
        <w:jc w:val="both"/>
        <w:rPr>
          <w:sz w:val="22"/>
          <w:szCs w:val="22"/>
          <w:u w:val="single"/>
          <w:lang w:val="sr-Latn-ME"/>
        </w:rPr>
      </w:pPr>
      <w:r w:rsidRPr="0055610F">
        <w:rPr>
          <w:sz w:val="22"/>
          <w:szCs w:val="22"/>
          <w:u w:val="single"/>
          <w:lang w:val="sr-Latn-ME"/>
        </w:rPr>
        <w:t>Kliničk</w:t>
      </w:r>
      <w:r w:rsidR="001F1EC4">
        <w:rPr>
          <w:sz w:val="22"/>
          <w:szCs w:val="22"/>
          <w:u w:val="single"/>
          <w:lang w:val="sr-Latn-ME"/>
        </w:rPr>
        <w:t>a efikasnost i bezbjednost u liječenju</w:t>
      </w:r>
      <w:r w:rsidRPr="0055610F">
        <w:rPr>
          <w:sz w:val="22"/>
          <w:szCs w:val="22"/>
          <w:u w:val="single"/>
          <w:lang w:val="sr-Latn-ME"/>
        </w:rPr>
        <w:t xml:space="preserve"> reumatoidnog artritisa</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Efikasnost i bezbjednost lijeka MabThera za ublažavanje simptoma i znakova reumatoidnog artritisa kod pacijenata kod kojih nije postignut zadovoljavajući odgovor na liječenje TNF-inhibitorima pokazani su u  pivotalnoj, randomizovanoj, kontrolisanoj, dvostrukoslijepoj, multicentričnoj kliničkoj studiji (Prva studija). </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Prva studija je obuhvatila  517 </w:t>
      </w:r>
      <w:r w:rsidR="00B16626" w:rsidRPr="0055610F">
        <w:rPr>
          <w:sz w:val="22"/>
          <w:szCs w:val="22"/>
          <w:lang w:val="sr-Latn-ME"/>
        </w:rPr>
        <w:t>pacijenata</w:t>
      </w:r>
      <w:r w:rsidRPr="0055610F">
        <w:rPr>
          <w:sz w:val="22"/>
          <w:szCs w:val="22"/>
          <w:lang w:val="sr-Latn-ME"/>
        </w:rPr>
        <w:t xml:space="preserve"> koji su imali ili neadekvatni odgovor ili ni</w:t>
      </w:r>
      <w:r w:rsidR="005D3C83" w:rsidRPr="0055610F">
        <w:rPr>
          <w:sz w:val="22"/>
          <w:szCs w:val="22"/>
          <w:lang w:val="sr-Latn-ME"/>
        </w:rPr>
        <w:t>je</w:t>
      </w:r>
      <w:r w:rsidRPr="0055610F">
        <w:rPr>
          <w:sz w:val="22"/>
          <w:szCs w:val="22"/>
          <w:lang w:val="sr-Latn-ME"/>
        </w:rPr>
        <w:t xml:space="preserve">su podnosili jednu ili više terapija inhibitorima TNF. Uključeni su </w:t>
      </w:r>
      <w:r w:rsidR="00B16626" w:rsidRPr="0055610F">
        <w:rPr>
          <w:sz w:val="22"/>
          <w:szCs w:val="22"/>
          <w:lang w:val="sr-Latn-ME"/>
        </w:rPr>
        <w:t>pacijenti</w:t>
      </w:r>
      <w:r w:rsidRPr="0055610F">
        <w:rPr>
          <w:sz w:val="22"/>
          <w:szCs w:val="22"/>
          <w:lang w:val="sr-Latn-ME"/>
        </w:rPr>
        <w:t xml:space="preserve"> koji su imali aktivni reumatoidni artritis, dijagnostikovan u skladu sa kriterijumima Američkog koledža za reumatologiju (ACR).Lijek MabThera su primali u obliku dvije zasebne intravenske infuzije u razmaku od 15 dana. Pacijenti su primali dvije intravenske infuzije od 1000 mg MabThere, ili placebo u kombinaciji sa metotreksatom. Svi pacijenti su primali istovremeno i 60 mg oralnog prednizolona od 2-7 dana, i 30 mg od 8-14 dana, poslije prve infuzije. Pacijenti su praćeni i poslije 24. ned</w:t>
      </w:r>
      <w:r w:rsidR="00093B73" w:rsidRPr="0055610F">
        <w:rPr>
          <w:sz w:val="22"/>
          <w:szCs w:val="22"/>
          <w:lang w:val="sr-Latn-ME"/>
        </w:rPr>
        <w:t>j</w:t>
      </w:r>
      <w:r w:rsidRPr="0055610F">
        <w:rPr>
          <w:sz w:val="22"/>
          <w:szCs w:val="22"/>
          <w:lang w:val="sr-Latn-ME"/>
        </w:rPr>
        <w:t>elje zbog dugoročnih ciljeva studije, uključujući i radiološku procjenu u 56. nedjelji i 104. nedjelji. Tokom ovog perioda, 81% pacijenata koji su u početku bili u grupi na placebu, dobili su rituksimab između 24. i 56. ned</w:t>
      </w:r>
      <w:r w:rsidR="00093B73" w:rsidRPr="0055610F">
        <w:rPr>
          <w:sz w:val="22"/>
          <w:szCs w:val="22"/>
          <w:lang w:val="sr-Latn-ME"/>
        </w:rPr>
        <w:t>j</w:t>
      </w:r>
      <w:r w:rsidRPr="0055610F">
        <w:rPr>
          <w:sz w:val="22"/>
          <w:szCs w:val="22"/>
          <w:lang w:val="sr-Latn-ME"/>
        </w:rPr>
        <w:t xml:space="preserve">elje, u otvorenoj produženoj studiji. </w:t>
      </w:r>
    </w:p>
    <w:p w:rsidR="007B7C69" w:rsidRPr="0055610F" w:rsidRDefault="007B7C69" w:rsidP="004D5825">
      <w:pPr>
        <w:jc w:val="both"/>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U ispitivanjima primjene lijeka MabThera kod pacijenata sa ranim artritisom (pacijenata koji prethodno ni</w:t>
      </w:r>
      <w:r w:rsidR="00093B73" w:rsidRPr="0055610F">
        <w:rPr>
          <w:sz w:val="22"/>
          <w:szCs w:val="22"/>
          <w:lang w:val="sr-Latn-ME"/>
        </w:rPr>
        <w:t>je</w:t>
      </w:r>
      <w:r w:rsidRPr="0055610F">
        <w:rPr>
          <w:sz w:val="22"/>
          <w:szCs w:val="22"/>
          <w:lang w:val="sr-Latn-ME"/>
        </w:rPr>
        <w:t>su liječeni metotreksatom i pacijenta koji nisu dovoljno dobro odgovorili na metotreksat, no još ni</w:t>
      </w:r>
      <w:r w:rsidR="00093B73" w:rsidRPr="0055610F">
        <w:rPr>
          <w:sz w:val="22"/>
          <w:szCs w:val="22"/>
          <w:lang w:val="sr-Latn-ME"/>
        </w:rPr>
        <w:t>je</w:t>
      </w:r>
      <w:r w:rsidRPr="0055610F">
        <w:rPr>
          <w:sz w:val="22"/>
          <w:szCs w:val="22"/>
          <w:lang w:val="sr-Latn-ME"/>
        </w:rPr>
        <w:t>su liječeni inhibitorima TNF</w:t>
      </w:r>
      <w:r w:rsidRPr="0055610F">
        <w:rPr>
          <w:sz w:val="22"/>
          <w:szCs w:val="22"/>
          <w:lang w:val="sr-Latn-ME"/>
        </w:rPr>
        <w:noBreakHyphen/>
        <w:t>alfa) postignute su primarne mjere ishoda. MabThera nije indikovana za te pacijente jer nema dovoljno podataka o bezbjednosti dugotrajnog liječenja lijekom MabThera, naročito u pogledu rizika od razvoja malignih bolesti i P</w:t>
      </w:r>
      <w:r w:rsidR="007642DC">
        <w:rPr>
          <w:sz w:val="22"/>
          <w:szCs w:val="22"/>
          <w:lang w:val="sr-Latn-ME"/>
        </w:rPr>
        <w:t>ML</w:t>
      </w:r>
      <w:r w:rsidRPr="0055610F">
        <w:rPr>
          <w:sz w:val="22"/>
          <w:szCs w:val="22"/>
          <w:lang w:val="sr-Latn-ME"/>
        </w:rPr>
        <w:noBreakHyphen/>
        <w:t>a.</w:t>
      </w:r>
    </w:p>
    <w:p w:rsidR="007B7C69" w:rsidRPr="0055610F" w:rsidRDefault="007B7C69" w:rsidP="004D5825">
      <w:pPr>
        <w:jc w:val="both"/>
        <w:rPr>
          <w:sz w:val="22"/>
          <w:szCs w:val="22"/>
          <w:lang w:val="sr-Latn-ME"/>
        </w:rPr>
      </w:pPr>
      <w:r w:rsidRPr="0055610F">
        <w:rPr>
          <w:sz w:val="22"/>
          <w:szCs w:val="22"/>
          <w:lang w:val="sr-Latn-ME"/>
        </w:rPr>
        <w:t xml:space="preserve"> </w:t>
      </w:r>
    </w:p>
    <w:p w:rsidR="007B7C69" w:rsidRPr="0055610F" w:rsidRDefault="007B7C69" w:rsidP="004D5825">
      <w:pPr>
        <w:jc w:val="both"/>
        <w:rPr>
          <w:i/>
          <w:sz w:val="22"/>
          <w:szCs w:val="22"/>
          <w:lang w:val="sr-Latn-ME"/>
        </w:rPr>
      </w:pPr>
      <w:r w:rsidRPr="0055610F">
        <w:rPr>
          <w:i/>
          <w:sz w:val="22"/>
          <w:szCs w:val="22"/>
          <w:lang w:val="sr-Latn-ME"/>
        </w:rPr>
        <w:t>Ishod u pogledu aktivnosti bolesti</w:t>
      </w:r>
    </w:p>
    <w:p w:rsidR="007B7C69" w:rsidRPr="0055610F" w:rsidRDefault="007B7C69" w:rsidP="004D5825">
      <w:pPr>
        <w:jc w:val="both"/>
        <w:rPr>
          <w:sz w:val="22"/>
          <w:szCs w:val="22"/>
          <w:lang w:val="sr-Latn-ME"/>
        </w:rPr>
      </w:pPr>
      <w:r w:rsidRPr="0055610F">
        <w:rPr>
          <w:sz w:val="22"/>
          <w:szCs w:val="22"/>
          <w:lang w:val="sr-Latn-ME"/>
        </w:rPr>
        <w:t>MabThera je u kombinaciji sa metotreksatom značajno povećala procenat pacijenata koji su postigli najmanje 20% poboljšanje skora ACR u poređenju sa onima koji su primali samo metotreksat (Tabela 15</w:t>
      </w:r>
      <w:r w:rsidR="00B21971" w:rsidRPr="0055610F">
        <w:rPr>
          <w:sz w:val="22"/>
          <w:szCs w:val="22"/>
          <w:lang w:val="sr-Latn-ME"/>
        </w:rPr>
        <w:t>)</w:t>
      </w:r>
      <w:r w:rsidRPr="0055610F">
        <w:rPr>
          <w:sz w:val="22"/>
          <w:szCs w:val="22"/>
          <w:lang w:val="sr-Latn-ME"/>
        </w:rPr>
        <w:t>. U svim razvojnim isoitivanjima korist liječenja</w:t>
      </w:r>
      <w:r w:rsidR="00093B73" w:rsidRPr="0055610F">
        <w:rPr>
          <w:sz w:val="22"/>
          <w:szCs w:val="22"/>
          <w:lang w:val="sr-Latn-ME"/>
        </w:rPr>
        <w:t xml:space="preserve"> </w:t>
      </w:r>
      <w:r w:rsidRPr="0055610F">
        <w:rPr>
          <w:sz w:val="22"/>
          <w:szCs w:val="22"/>
          <w:lang w:val="sr-Latn-ME"/>
        </w:rPr>
        <w:t>za pacijente bio je sličan nezavisno</w:t>
      </w:r>
      <w:r w:rsidR="00B21971" w:rsidRPr="0055610F">
        <w:rPr>
          <w:sz w:val="22"/>
          <w:szCs w:val="22"/>
          <w:lang w:val="sr-Latn-ME"/>
        </w:rPr>
        <w:t xml:space="preserve"> </w:t>
      </w:r>
      <w:r w:rsidRPr="0055610F">
        <w:rPr>
          <w:sz w:val="22"/>
          <w:szCs w:val="22"/>
          <w:lang w:val="sr-Latn-ME"/>
        </w:rPr>
        <w:t xml:space="preserve">od godina starosti, pola, površine tijela, rase, broja prethodnih terapija ili stanja bolesti. </w:t>
      </w:r>
    </w:p>
    <w:p w:rsidR="00B21971" w:rsidRPr="0055610F" w:rsidRDefault="00B21971"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lastRenderedPageBreak/>
        <w:t xml:space="preserve">Klinički i statistički značajno poboljšanje zabilježeno je i po svim pojedinačnim komponentama odgovora ACR (broj bolno osjetljivih i otečenih zglobova, globalna procjena stanja od strane ljekara i samog pacijenta, skorovi indeksa onesposobljenosti (HAQ), procjena bola i C-reaktivni protein (mg/dL). </w:t>
      </w:r>
    </w:p>
    <w:p w:rsidR="007B7C69" w:rsidRPr="0055610F" w:rsidRDefault="007B7C69" w:rsidP="004D5825">
      <w:pPr>
        <w:jc w:val="both"/>
        <w:rPr>
          <w:sz w:val="22"/>
          <w:szCs w:val="22"/>
          <w:lang w:val="sr-Latn-ME"/>
        </w:rPr>
      </w:pPr>
    </w:p>
    <w:p w:rsidR="007B7C69" w:rsidRPr="0055610F" w:rsidRDefault="007B7C69" w:rsidP="004D5825">
      <w:pPr>
        <w:keepNext/>
        <w:ind w:left="1134" w:hanging="1134"/>
        <w:jc w:val="both"/>
        <w:outlineLvl w:val="0"/>
        <w:rPr>
          <w:b/>
          <w:sz w:val="22"/>
          <w:szCs w:val="22"/>
          <w:lang w:val="sr-Latn-ME"/>
        </w:rPr>
      </w:pPr>
      <w:r w:rsidRPr="0055610F">
        <w:rPr>
          <w:b/>
          <w:sz w:val="22"/>
          <w:szCs w:val="22"/>
          <w:lang w:val="sr-Latn-ME"/>
        </w:rPr>
        <w:t>Tabela 15.</w:t>
      </w:r>
      <w:r w:rsidR="00B21971" w:rsidRPr="0055610F">
        <w:rPr>
          <w:b/>
          <w:sz w:val="22"/>
          <w:szCs w:val="22"/>
          <w:lang w:val="sr-Latn-ME"/>
        </w:rPr>
        <w:t xml:space="preserve"> </w:t>
      </w:r>
      <w:r w:rsidRPr="0055610F">
        <w:rPr>
          <w:b/>
          <w:sz w:val="22"/>
          <w:szCs w:val="22"/>
          <w:lang w:val="sr-Latn-ME"/>
        </w:rPr>
        <w:t xml:space="preserve">Klinički odgovor u trenutku primarne mjere ishoda </w:t>
      </w:r>
      <w:r w:rsidR="00CA6E91" w:rsidRPr="0055610F">
        <w:rPr>
          <w:b/>
          <w:sz w:val="22"/>
          <w:szCs w:val="22"/>
          <w:lang w:val="sr-Latn-ME"/>
        </w:rPr>
        <w:t>1. studiji</w:t>
      </w:r>
      <w:r w:rsidRPr="0055610F">
        <w:rPr>
          <w:b/>
          <w:sz w:val="22"/>
          <w:szCs w:val="22"/>
          <w:lang w:val="sr-Latn-ME"/>
        </w:rPr>
        <w:t xml:space="preserve"> (ITT populacija) </w:t>
      </w:r>
    </w:p>
    <w:p w:rsidR="007B7C69" w:rsidRPr="0055610F" w:rsidRDefault="007B7C69" w:rsidP="004D5825">
      <w:pPr>
        <w:keepNext/>
        <w:ind w:left="1134" w:hanging="1134"/>
        <w:jc w:val="both"/>
        <w:outlineLvl w:val="0"/>
        <w:rPr>
          <w:b/>
          <w:sz w:val="22"/>
          <w:szCs w:val="22"/>
          <w:lang w:val="sr-Latn-ME"/>
        </w:rPr>
      </w:pPr>
    </w:p>
    <w:tbl>
      <w:tblPr>
        <w:tblW w:w="0" w:type="auto"/>
        <w:tblInd w:w="55" w:type="dxa"/>
        <w:tblLayout w:type="fixed"/>
        <w:tblLook w:val="0000" w:firstRow="0" w:lastRow="0" w:firstColumn="0" w:lastColumn="0" w:noHBand="0" w:noVBand="0"/>
      </w:tblPr>
      <w:tblGrid>
        <w:gridCol w:w="1316"/>
        <w:gridCol w:w="2139"/>
        <w:gridCol w:w="2127"/>
        <w:gridCol w:w="2127"/>
      </w:tblGrid>
      <w:tr w:rsidR="007B7C69" w:rsidRPr="007642DC" w:rsidTr="007B7C69">
        <w:trPr>
          <w:cantSplit/>
          <w:tblHeader/>
        </w:trPr>
        <w:tc>
          <w:tcPr>
            <w:tcW w:w="1316" w:type="dxa"/>
            <w:tcBorders>
              <w:top w:val="single" w:sz="4" w:space="0" w:color="000000"/>
              <w:left w:val="single" w:sz="4" w:space="0" w:color="000000"/>
              <w:bottom w:val="single" w:sz="4" w:space="0" w:color="000000"/>
            </w:tcBorders>
          </w:tcPr>
          <w:p w:rsidR="007B7C69" w:rsidRPr="0055610F" w:rsidRDefault="007B7C69" w:rsidP="004D5825">
            <w:pPr>
              <w:keepNext/>
              <w:snapToGrid w:val="0"/>
              <w:jc w:val="both"/>
              <w:outlineLvl w:val="0"/>
              <w:rPr>
                <w:sz w:val="22"/>
                <w:szCs w:val="22"/>
                <w:lang w:val="sr-Latn-ME"/>
              </w:rPr>
            </w:pPr>
          </w:p>
        </w:tc>
        <w:tc>
          <w:tcPr>
            <w:tcW w:w="2139" w:type="dxa"/>
            <w:tcBorders>
              <w:top w:val="single" w:sz="4" w:space="0" w:color="000000"/>
              <w:left w:val="single" w:sz="4" w:space="0" w:color="000000"/>
              <w:bottom w:val="single" w:sz="4" w:space="0" w:color="000000"/>
            </w:tcBorders>
          </w:tcPr>
          <w:p w:rsidR="007B7C69" w:rsidRPr="0055610F" w:rsidRDefault="007B7C69" w:rsidP="0055610F">
            <w:pPr>
              <w:keepNext/>
              <w:snapToGrid w:val="0"/>
              <w:jc w:val="center"/>
              <w:outlineLvl w:val="0"/>
              <w:rPr>
                <w:sz w:val="22"/>
                <w:szCs w:val="22"/>
                <w:lang w:val="sr-Latn-ME"/>
              </w:rPr>
            </w:pPr>
            <w:r w:rsidRPr="0055610F">
              <w:rPr>
                <w:sz w:val="22"/>
                <w:szCs w:val="22"/>
                <w:lang w:val="sr-Latn-ME"/>
              </w:rPr>
              <w:t>Ishod†</w:t>
            </w:r>
          </w:p>
        </w:tc>
        <w:tc>
          <w:tcPr>
            <w:tcW w:w="2127" w:type="dxa"/>
            <w:tcBorders>
              <w:top w:val="single" w:sz="4" w:space="0" w:color="000000"/>
              <w:left w:val="single" w:sz="4" w:space="0" w:color="000000"/>
              <w:bottom w:val="single" w:sz="4" w:space="0" w:color="000000"/>
              <w:right w:val="single" w:sz="4" w:space="0" w:color="auto"/>
            </w:tcBorders>
          </w:tcPr>
          <w:p w:rsidR="007B7C69" w:rsidRPr="0055610F" w:rsidRDefault="007B7C69" w:rsidP="0055610F">
            <w:pPr>
              <w:keepNext/>
              <w:snapToGrid w:val="0"/>
              <w:jc w:val="center"/>
              <w:outlineLvl w:val="0"/>
              <w:rPr>
                <w:sz w:val="22"/>
                <w:szCs w:val="22"/>
                <w:lang w:val="sr-Latn-ME"/>
              </w:rPr>
            </w:pPr>
            <w:r w:rsidRPr="0055610F">
              <w:rPr>
                <w:sz w:val="22"/>
                <w:szCs w:val="22"/>
                <w:lang w:val="sr-Latn-ME"/>
              </w:rPr>
              <w:t>Placebo+MTX</w:t>
            </w:r>
          </w:p>
        </w:tc>
        <w:tc>
          <w:tcPr>
            <w:tcW w:w="2127" w:type="dxa"/>
            <w:tcBorders>
              <w:top w:val="single" w:sz="4" w:space="0" w:color="auto"/>
              <w:left w:val="single" w:sz="4" w:space="0" w:color="auto"/>
              <w:bottom w:val="single" w:sz="4" w:space="0" w:color="000000"/>
              <w:right w:val="single" w:sz="4" w:space="0" w:color="auto"/>
            </w:tcBorders>
          </w:tcPr>
          <w:p w:rsidR="007B7C69" w:rsidRPr="0055610F" w:rsidRDefault="007B7C69" w:rsidP="0055610F">
            <w:pPr>
              <w:keepNext/>
              <w:snapToGrid w:val="0"/>
              <w:jc w:val="center"/>
              <w:outlineLvl w:val="0"/>
              <w:rPr>
                <w:sz w:val="22"/>
                <w:szCs w:val="22"/>
                <w:lang w:val="sr-Latn-ME"/>
              </w:rPr>
            </w:pPr>
            <w:r w:rsidRPr="0055610F">
              <w:rPr>
                <w:sz w:val="22"/>
                <w:szCs w:val="22"/>
                <w:lang w:val="sr-Latn-ME"/>
              </w:rPr>
              <w:t>MabThera+MTX</w:t>
            </w:r>
          </w:p>
          <w:p w:rsidR="007B7C69" w:rsidRPr="0055610F" w:rsidRDefault="007B7C69" w:rsidP="0055610F">
            <w:pPr>
              <w:keepNext/>
              <w:snapToGrid w:val="0"/>
              <w:jc w:val="center"/>
              <w:outlineLvl w:val="0"/>
              <w:rPr>
                <w:sz w:val="22"/>
                <w:szCs w:val="22"/>
                <w:lang w:val="sr-Latn-ME"/>
              </w:rPr>
            </w:pPr>
            <w:r w:rsidRPr="0055610F">
              <w:rPr>
                <w:sz w:val="22"/>
                <w:szCs w:val="22"/>
                <w:lang w:val="sr-Latn-ME"/>
              </w:rPr>
              <w:t>(2 x 1000 mg)</w:t>
            </w:r>
          </w:p>
        </w:tc>
      </w:tr>
      <w:tr w:rsidR="007B7C69" w:rsidRPr="007642DC" w:rsidTr="007B7C69">
        <w:trPr>
          <w:cantSplit/>
          <w:trHeight w:val="341"/>
          <w:tblHeader/>
        </w:trPr>
        <w:tc>
          <w:tcPr>
            <w:tcW w:w="1316" w:type="dxa"/>
            <w:tcBorders>
              <w:top w:val="single" w:sz="4" w:space="0" w:color="000000"/>
              <w:left w:val="single" w:sz="4" w:space="0" w:color="000000"/>
              <w:bottom w:val="single" w:sz="4" w:space="0" w:color="000000"/>
            </w:tcBorders>
          </w:tcPr>
          <w:p w:rsidR="007B7C69" w:rsidRPr="0055610F" w:rsidRDefault="00CA6E91" w:rsidP="004D5825">
            <w:pPr>
              <w:keepNext/>
              <w:snapToGrid w:val="0"/>
              <w:jc w:val="both"/>
              <w:outlineLvl w:val="0"/>
              <w:rPr>
                <w:sz w:val="22"/>
                <w:szCs w:val="22"/>
                <w:lang w:val="sr-Latn-ME"/>
              </w:rPr>
            </w:pPr>
            <w:r w:rsidRPr="0055610F">
              <w:rPr>
                <w:sz w:val="22"/>
                <w:szCs w:val="22"/>
                <w:lang w:val="sr-Latn-ME"/>
              </w:rPr>
              <w:t>1. studija</w:t>
            </w:r>
          </w:p>
        </w:tc>
        <w:tc>
          <w:tcPr>
            <w:tcW w:w="2139" w:type="dxa"/>
            <w:tcBorders>
              <w:top w:val="single" w:sz="4" w:space="0" w:color="000000"/>
              <w:left w:val="single" w:sz="4" w:space="0" w:color="000000"/>
              <w:bottom w:val="single" w:sz="4" w:space="0" w:color="000000"/>
            </w:tcBorders>
          </w:tcPr>
          <w:p w:rsidR="007B7C69" w:rsidRPr="0055610F" w:rsidRDefault="007B7C69" w:rsidP="0055610F">
            <w:pPr>
              <w:keepNext/>
              <w:snapToGrid w:val="0"/>
              <w:jc w:val="center"/>
              <w:outlineLvl w:val="0"/>
              <w:rPr>
                <w:sz w:val="22"/>
                <w:szCs w:val="22"/>
                <w:lang w:val="sr-Latn-ME"/>
              </w:rPr>
            </w:pPr>
          </w:p>
        </w:tc>
        <w:tc>
          <w:tcPr>
            <w:tcW w:w="2127" w:type="dxa"/>
            <w:tcBorders>
              <w:top w:val="single" w:sz="4" w:space="0" w:color="000000"/>
              <w:left w:val="single" w:sz="4" w:space="0" w:color="000000"/>
              <w:bottom w:val="single" w:sz="4" w:space="0" w:color="000000"/>
              <w:right w:val="single" w:sz="4" w:space="0" w:color="auto"/>
            </w:tcBorders>
          </w:tcPr>
          <w:p w:rsidR="007B7C69" w:rsidRPr="0055610F" w:rsidRDefault="007B7C69" w:rsidP="0055610F">
            <w:pPr>
              <w:keepNext/>
              <w:snapToGrid w:val="0"/>
              <w:jc w:val="center"/>
              <w:outlineLvl w:val="0"/>
              <w:rPr>
                <w:sz w:val="22"/>
                <w:szCs w:val="22"/>
                <w:lang w:val="sr-Latn-ME"/>
              </w:rPr>
            </w:pPr>
            <w:r w:rsidRPr="0055610F">
              <w:rPr>
                <w:sz w:val="22"/>
                <w:szCs w:val="22"/>
                <w:lang w:val="sr-Latn-ME"/>
              </w:rPr>
              <w:t>N = 201</w:t>
            </w:r>
          </w:p>
        </w:tc>
        <w:tc>
          <w:tcPr>
            <w:tcW w:w="2127" w:type="dxa"/>
            <w:tcBorders>
              <w:top w:val="single" w:sz="4" w:space="0" w:color="000000"/>
              <w:left w:val="single" w:sz="4" w:space="0" w:color="auto"/>
              <w:bottom w:val="single" w:sz="4" w:space="0" w:color="000000"/>
              <w:right w:val="single" w:sz="4" w:space="0" w:color="auto"/>
            </w:tcBorders>
          </w:tcPr>
          <w:p w:rsidR="007B7C69" w:rsidRPr="0055610F" w:rsidRDefault="007B7C69" w:rsidP="0055610F">
            <w:pPr>
              <w:keepNext/>
              <w:snapToGrid w:val="0"/>
              <w:jc w:val="center"/>
              <w:outlineLvl w:val="0"/>
              <w:rPr>
                <w:sz w:val="22"/>
                <w:szCs w:val="22"/>
                <w:lang w:val="sr-Latn-ME"/>
              </w:rPr>
            </w:pPr>
            <w:r w:rsidRPr="0055610F">
              <w:rPr>
                <w:sz w:val="22"/>
                <w:szCs w:val="22"/>
                <w:lang w:val="sr-Latn-ME"/>
              </w:rPr>
              <w:t>N = 298</w:t>
            </w:r>
          </w:p>
        </w:tc>
      </w:tr>
      <w:tr w:rsidR="007B7C69" w:rsidRPr="007642DC" w:rsidTr="007B7C69">
        <w:trPr>
          <w:cantSplit/>
        </w:trPr>
        <w:tc>
          <w:tcPr>
            <w:tcW w:w="1316" w:type="dxa"/>
            <w:tcBorders>
              <w:top w:val="single" w:sz="4" w:space="0" w:color="000000"/>
              <w:left w:val="single" w:sz="4" w:space="0" w:color="000000"/>
            </w:tcBorders>
          </w:tcPr>
          <w:p w:rsidR="007B7C69" w:rsidRPr="0055610F" w:rsidRDefault="007B7C69" w:rsidP="004D5825">
            <w:pPr>
              <w:snapToGrid w:val="0"/>
              <w:jc w:val="both"/>
              <w:outlineLvl w:val="0"/>
              <w:rPr>
                <w:sz w:val="22"/>
                <w:szCs w:val="22"/>
                <w:lang w:val="sr-Latn-ME"/>
              </w:rPr>
            </w:pPr>
          </w:p>
        </w:tc>
        <w:tc>
          <w:tcPr>
            <w:tcW w:w="2139" w:type="dxa"/>
            <w:tcBorders>
              <w:top w:val="single" w:sz="4" w:space="0" w:color="000000"/>
              <w:left w:val="single" w:sz="4" w:space="0" w:color="000000"/>
            </w:tcBorders>
          </w:tcPr>
          <w:p w:rsidR="007B7C69" w:rsidRPr="0055610F" w:rsidRDefault="007B7C69" w:rsidP="0055610F">
            <w:pPr>
              <w:snapToGrid w:val="0"/>
              <w:jc w:val="center"/>
              <w:outlineLvl w:val="0"/>
              <w:rPr>
                <w:sz w:val="22"/>
                <w:szCs w:val="22"/>
                <w:lang w:val="sr-Latn-ME"/>
              </w:rPr>
            </w:pPr>
            <w:r w:rsidRPr="0055610F">
              <w:rPr>
                <w:sz w:val="22"/>
                <w:szCs w:val="22"/>
                <w:lang w:val="sr-Latn-ME"/>
              </w:rPr>
              <w:t>ACR20</w:t>
            </w:r>
          </w:p>
        </w:tc>
        <w:tc>
          <w:tcPr>
            <w:tcW w:w="2127" w:type="dxa"/>
            <w:tcBorders>
              <w:top w:val="single" w:sz="4" w:space="0" w:color="000000"/>
              <w:left w:val="single" w:sz="4" w:space="0" w:color="000000"/>
              <w:right w:val="single" w:sz="4" w:space="0" w:color="auto"/>
            </w:tcBorders>
          </w:tcPr>
          <w:p w:rsidR="007B7C69" w:rsidRPr="0055610F" w:rsidRDefault="007B7C69" w:rsidP="0055610F">
            <w:pPr>
              <w:snapToGrid w:val="0"/>
              <w:jc w:val="center"/>
              <w:outlineLvl w:val="0"/>
              <w:rPr>
                <w:sz w:val="22"/>
                <w:szCs w:val="22"/>
                <w:lang w:val="sr-Latn-ME"/>
              </w:rPr>
            </w:pPr>
            <w:r w:rsidRPr="0055610F">
              <w:rPr>
                <w:sz w:val="22"/>
                <w:szCs w:val="22"/>
                <w:lang w:val="sr-Latn-ME"/>
              </w:rPr>
              <w:t>36 (18%)</w:t>
            </w:r>
          </w:p>
        </w:tc>
        <w:tc>
          <w:tcPr>
            <w:tcW w:w="2127" w:type="dxa"/>
            <w:tcBorders>
              <w:top w:val="single" w:sz="4" w:space="0" w:color="000000"/>
              <w:left w:val="single" w:sz="4" w:space="0" w:color="auto"/>
              <w:right w:val="single" w:sz="4" w:space="0" w:color="auto"/>
            </w:tcBorders>
          </w:tcPr>
          <w:p w:rsidR="007B7C69" w:rsidRPr="0055610F" w:rsidRDefault="007B7C69" w:rsidP="0055610F">
            <w:pPr>
              <w:snapToGrid w:val="0"/>
              <w:jc w:val="center"/>
              <w:outlineLvl w:val="0"/>
              <w:rPr>
                <w:sz w:val="22"/>
                <w:szCs w:val="22"/>
                <w:lang w:val="sr-Latn-ME"/>
              </w:rPr>
            </w:pPr>
            <w:r w:rsidRPr="0055610F">
              <w:rPr>
                <w:sz w:val="22"/>
                <w:szCs w:val="22"/>
                <w:lang w:val="sr-Latn-ME"/>
              </w:rPr>
              <w:t>153 (51%)</w:t>
            </w:r>
            <w:r w:rsidRPr="0055610F">
              <w:rPr>
                <w:sz w:val="22"/>
                <w:szCs w:val="22"/>
                <w:vertAlign w:val="superscript"/>
                <w:lang w:val="sr-Latn-ME"/>
              </w:rPr>
              <w:t>***</w:t>
            </w:r>
          </w:p>
        </w:tc>
      </w:tr>
      <w:tr w:rsidR="007B7C69" w:rsidRPr="007642DC" w:rsidTr="007B7C69">
        <w:trPr>
          <w:cantSplit/>
        </w:trPr>
        <w:tc>
          <w:tcPr>
            <w:tcW w:w="1316" w:type="dxa"/>
            <w:tcBorders>
              <w:left w:val="single" w:sz="4" w:space="0" w:color="000000"/>
            </w:tcBorders>
          </w:tcPr>
          <w:p w:rsidR="007B7C69" w:rsidRPr="0055610F" w:rsidRDefault="007B7C69" w:rsidP="004D5825">
            <w:pPr>
              <w:snapToGrid w:val="0"/>
              <w:jc w:val="both"/>
              <w:outlineLvl w:val="0"/>
              <w:rPr>
                <w:sz w:val="22"/>
                <w:szCs w:val="22"/>
                <w:lang w:val="sr-Latn-ME"/>
              </w:rPr>
            </w:pPr>
          </w:p>
        </w:tc>
        <w:tc>
          <w:tcPr>
            <w:tcW w:w="2139" w:type="dxa"/>
            <w:tcBorders>
              <w:left w:val="single" w:sz="4" w:space="0" w:color="000000"/>
            </w:tcBorders>
          </w:tcPr>
          <w:p w:rsidR="007B7C69" w:rsidRPr="0055610F" w:rsidRDefault="007B7C69" w:rsidP="0055610F">
            <w:pPr>
              <w:snapToGrid w:val="0"/>
              <w:jc w:val="center"/>
              <w:outlineLvl w:val="0"/>
              <w:rPr>
                <w:sz w:val="22"/>
                <w:szCs w:val="22"/>
                <w:lang w:val="sr-Latn-ME"/>
              </w:rPr>
            </w:pPr>
            <w:r w:rsidRPr="0055610F">
              <w:rPr>
                <w:sz w:val="22"/>
                <w:szCs w:val="22"/>
                <w:lang w:val="sr-Latn-ME"/>
              </w:rPr>
              <w:t>ACR50</w:t>
            </w:r>
          </w:p>
        </w:tc>
        <w:tc>
          <w:tcPr>
            <w:tcW w:w="2127" w:type="dxa"/>
            <w:tcBorders>
              <w:left w:val="single" w:sz="4" w:space="0" w:color="000000"/>
              <w:right w:val="single" w:sz="4" w:space="0" w:color="auto"/>
            </w:tcBorders>
          </w:tcPr>
          <w:p w:rsidR="007B7C69" w:rsidRPr="0055610F" w:rsidRDefault="007B7C69" w:rsidP="0055610F">
            <w:pPr>
              <w:snapToGrid w:val="0"/>
              <w:jc w:val="center"/>
              <w:outlineLvl w:val="0"/>
              <w:rPr>
                <w:sz w:val="22"/>
                <w:szCs w:val="22"/>
                <w:lang w:val="sr-Latn-ME"/>
              </w:rPr>
            </w:pPr>
            <w:r w:rsidRPr="0055610F">
              <w:rPr>
                <w:sz w:val="22"/>
                <w:szCs w:val="22"/>
                <w:lang w:val="sr-Latn-ME"/>
              </w:rPr>
              <w:t>11 (5%)</w:t>
            </w:r>
          </w:p>
        </w:tc>
        <w:tc>
          <w:tcPr>
            <w:tcW w:w="2127" w:type="dxa"/>
            <w:tcBorders>
              <w:left w:val="single" w:sz="4" w:space="0" w:color="auto"/>
              <w:right w:val="single" w:sz="4" w:space="0" w:color="auto"/>
            </w:tcBorders>
          </w:tcPr>
          <w:p w:rsidR="007B7C69" w:rsidRPr="0055610F" w:rsidRDefault="007B7C69" w:rsidP="0055610F">
            <w:pPr>
              <w:snapToGrid w:val="0"/>
              <w:jc w:val="center"/>
              <w:outlineLvl w:val="0"/>
              <w:rPr>
                <w:sz w:val="22"/>
                <w:szCs w:val="22"/>
                <w:lang w:val="sr-Latn-ME"/>
              </w:rPr>
            </w:pPr>
            <w:r w:rsidRPr="0055610F">
              <w:rPr>
                <w:sz w:val="22"/>
                <w:szCs w:val="22"/>
                <w:lang w:val="sr-Latn-ME"/>
              </w:rPr>
              <w:t>80 (27%)</w:t>
            </w:r>
            <w:r w:rsidRPr="0055610F">
              <w:rPr>
                <w:sz w:val="22"/>
                <w:szCs w:val="22"/>
                <w:vertAlign w:val="superscript"/>
                <w:lang w:val="sr-Latn-ME"/>
              </w:rPr>
              <w:t>***</w:t>
            </w:r>
          </w:p>
        </w:tc>
      </w:tr>
      <w:tr w:rsidR="007B7C69" w:rsidRPr="007642DC" w:rsidTr="007B7C69">
        <w:trPr>
          <w:cantSplit/>
        </w:trPr>
        <w:tc>
          <w:tcPr>
            <w:tcW w:w="1316" w:type="dxa"/>
            <w:tcBorders>
              <w:left w:val="single" w:sz="4" w:space="0" w:color="000000"/>
              <w:bottom w:val="single" w:sz="4" w:space="0" w:color="000000"/>
            </w:tcBorders>
          </w:tcPr>
          <w:p w:rsidR="007B7C69" w:rsidRPr="0055610F" w:rsidRDefault="007B7C69" w:rsidP="004D5825">
            <w:pPr>
              <w:snapToGrid w:val="0"/>
              <w:jc w:val="both"/>
              <w:outlineLvl w:val="0"/>
              <w:rPr>
                <w:sz w:val="22"/>
                <w:szCs w:val="22"/>
                <w:lang w:val="sr-Latn-ME"/>
              </w:rPr>
            </w:pPr>
          </w:p>
        </w:tc>
        <w:tc>
          <w:tcPr>
            <w:tcW w:w="2139" w:type="dxa"/>
            <w:tcBorders>
              <w:left w:val="single" w:sz="4" w:space="0" w:color="000000"/>
              <w:bottom w:val="single" w:sz="4" w:space="0" w:color="000000"/>
            </w:tcBorders>
          </w:tcPr>
          <w:p w:rsidR="007B7C69" w:rsidRPr="0055610F" w:rsidRDefault="007B7C69" w:rsidP="0055610F">
            <w:pPr>
              <w:snapToGrid w:val="0"/>
              <w:jc w:val="center"/>
              <w:outlineLvl w:val="0"/>
              <w:rPr>
                <w:sz w:val="22"/>
                <w:szCs w:val="22"/>
                <w:lang w:val="sr-Latn-ME"/>
              </w:rPr>
            </w:pPr>
            <w:r w:rsidRPr="0055610F">
              <w:rPr>
                <w:sz w:val="22"/>
                <w:szCs w:val="22"/>
                <w:lang w:val="sr-Latn-ME"/>
              </w:rPr>
              <w:t>ACR70</w:t>
            </w:r>
          </w:p>
        </w:tc>
        <w:tc>
          <w:tcPr>
            <w:tcW w:w="2127" w:type="dxa"/>
            <w:tcBorders>
              <w:left w:val="single" w:sz="4" w:space="0" w:color="000000"/>
              <w:bottom w:val="single" w:sz="4" w:space="0" w:color="000000"/>
              <w:right w:val="single" w:sz="4" w:space="0" w:color="auto"/>
            </w:tcBorders>
          </w:tcPr>
          <w:p w:rsidR="007B7C69" w:rsidRPr="0055610F" w:rsidRDefault="007B7C69" w:rsidP="0055610F">
            <w:pPr>
              <w:snapToGrid w:val="0"/>
              <w:jc w:val="center"/>
              <w:outlineLvl w:val="0"/>
              <w:rPr>
                <w:sz w:val="22"/>
                <w:szCs w:val="22"/>
                <w:lang w:val="sr-Latn-ME"/>
              </w:rPr>
            </w:pPr>
            <w:r w:rsidRPr="0055610F">
              <w:rPr>
                <w:sz w:val="22"/>
                <w:szCs w:val="22"/>
                <w:lang w:val="sr-Latn-ME"/>
              </w:rPr>
              <w:t>3 (1%)</w:t>
            </w:r>
          </w:p>
        </w:tc>
        <w:tc>
          <w:tcPr>
            <w:tcW w:w="2127" w:type="dxa"/>
            <w:tcBorders>
              <w:left w:val="single" w:sz="4" w:space="0" w:color="auto"/>
              <w:bottom w:val="single" w:sz="4" w:space="0" w:color="000000"/>
              <w:right w:val="single" w:sz="4" w:space="0" w:color="auto"/>
            </w:tcBorders>
          </w:tcPr>
          <w:p w:rsidR="007B7C69" w:rsidRPr="0055610F" w:rsidRDefault="007B7C69" w:rsidP="0055610F">
            <w:pPr>
              <w:snapToGrid w:val="0"/>
              <w:jc w:val="center"/>
              <w:outlineLvl w:val="0"/>
              <w:rPr>
                <w:sz w:val="22"/>
                <w:szCs w:val="22"/>
                <w:lang w:val="sr-Latn-ME"/>
              </w:rPr>
            </w:pPr>
            <w:r w:rsidRPr="0055610F">
              <w:rPr>
                <w:sz w:val="22"/>
                <w:szCs w:val="22"/>
                <w:lang w:val="sr-Latn-ME"/>
              </w:rPr>
              <w:t>37 (12%)</w:t>
            </w:r>
            <w:r w:rsidRPr="0055610F">
              <w:rPr>
                <w:sz w:val="22"/>
                <w:szCs w:val="22"/>
                <w:vertAlign w:val="superscript"/>
                <w:lang w:val="sr-Latn-ME"/>
              </w:rPr>
              <w:t>***</w:t>
            </w:r>
          </w:p>
        </w:tc>
      </w:tr>
      <w:tr w:rsidR="007B7C69" w:rsidRPr="007642DC" w:rsidTr="007B7C69">
        <w:trPr>
          <w:cantSplit/>
        </w:trPr>
        <w:tc>
          <w:tcPr>
            <w:tcW w:w="1316" w:type="dxa"/>
            <w:tcBorders>
              <w:top w:val="single" w:sz="4" w:space="0" w:color="000000"/>
              <w:left w:val="single" w:sz="4" w:space="0" w:color="000000"/>
              <w:bottom w:val="single" w:sz="4" w:space="0" w:color="000000"/>
            </w:tcBorders>
          </w:tcPr>
          <w:p w:rsidR="007B7C69" w:rsidRPr="0055610F" w:rsidRDefault="007B7C69" w:rsidP="004D5825">
            <w:pPr>
              <w:snapToGrid w:val="0"/>
              <w:jc w:val="both"/>
              <w:outlineLvl w:val="0"/>
              <w:rPr>
                <w:sz w:val="22"/>
                <w:szCs w:val="22"/>
                <w:lang w:val="sr-Latn-ME"/>
              </w:rPr>
            </w:pPr>
          </w:p>
        </w:tc>
        <w:tc>
          <w:tcPr>
            <w:tcW w:w="2139"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sz w:val="22"/>
                <w:szCs w:val="22"/>
                <w:lang w:val="sr-Latn-ME"/>
              </w:rPr>
            </w:pPr>
            <w:r w:rsidRPr="0055610F">
              <w:rPr>
                <w:sz w:val="22"/>
                <w:szCs w:val="22"/>
                <w:lang w:val="sr-Latn-ME"/>
              </w:rPr>
              <w:t>EULAR odgovor (dobar/umjeren)</w:t>
            </w:r>
          </w:p>
        </w:tc>
        <w:tc>
          <w:tcPr>
            <w:tcW w:w="2127" w:type="dxa"/>
            <w:tcBorders>
              <w:top w:val="single" w:sz="4" w:space="0" w:color="000000"/>
              <w:left w:val="single" w:sz="4" w:space="0" w:color="000000"/>
              <w:bottom w:val="single" w:sz="4" w:space="0" w:color="000000"/>
              <w:right w:val="single" w:sz="4" w:space="0" w:color="auto"/>
            </w:tcBorders>
          </w:tcPr>
          <w:p w:rsidR="007B7C69" w:rsidRPr="0055610F" w:rsidRDefault="007B7C69" w:rsidP="0055610F">
            <w:pPr>
              <w:snapToGrid w:val="0"/>
              <w:jc w:val="center"/>
              <w:outlineLvl w:val="0"/>
              <w:rPr>
                <w:sz w:val="22"/>
                <w:szCs w:val="22"/>
                <w:lang w:val="sr-Latn-ME"/>
              </w:rPr>
            </w:pPr>
            <w:r w:rsidRPr="0055610F">
              <w:rPr>
                <w:sz w:val="22"/>
                <w:szCs w:val="22"/>
                <w:lang w:val="sr-Latn-ME"/>
              </w:rPr>
              <w:t>44 (22%)</w:t>
            </w:r>
          </w:p>
        </w:tc>
        <w:tc>
          <w:tcPr>
            <w:tcW w:w="2127" w:type="dxa"/>
            <w:tcBorders>
              <w:top w:val="single" w:sz="4" w:space="0" w:color="000000"/>
              <w:left w:val="single" w:sz="4" w:space="0" w:color="auto"/>
              <w:bottom w:val="single" w:sz="4" w:space="0" w:color="000000"/>
              <w:right w:val="single" w:sz="4" w:space="0" w:color="auto"/>
            </w:tcBorders>
          </w:tcPr>
          <w:p w:rsidR="007B7C69" w:rsidRPr="0055610F" w:rsidRDefault="007B7C69" w:rsidP="0055610F">
            <w:pPr>
              <w:snapToGrid w:val="0"/>
              <w:jc w:val="center"/>
              <w:outlineLvl w:val="0"/>
              <w:rPr>
                <w:sz w:val="22"/>
                <w:szCs w:val="22"/>
                <w:lang w:val="sr-Latn-ME"/>
              </w:rPr>
            </w:pPr>
            <w:r w:rsidRPr="0055610F">
              <w:rPr>
                <w:sz w:val="22"/>
                <w:szCs w:val="22"/>
                <w:lang w:val="sr-Latn-ME"/>
              </w:rPr>
              <w:t>193 (65%)</w:t>
            </w:r>
            <w:r w:rsidRPr="0055610F">
              <w:rPr>
                <w:sz w:val="22"/>
                <w:szCs w:val="22"/>
                <w:vertAlign w:val="superscript"/>
                <w:lang w:val="sr-Latn-ME"/>
              </w:rPr>
              <w:t>***</w:t>
            </w:r>
          </w:p>
        </w:tc>
      </w:tr>
      <w:tr w:rsidR="007B7C69" w:rsidRPr="007642DC" w:rsidTr="007B7C69">
        <w:trPr>
          <w:cantSplit/>
        </w:trPr>
        <w:tc>
          <w:tcPr>
            <w:tcW w:w="1316" w:type="dxa"/>
            <w:tcBorders>
              <w:top w:val="single" w:sz="4" w:space="0" w:color="000000"/>
              <w:left w:val="single" w:sz="4" w:space="0" w:color="000000"/>
              <w:bottom w:val="single" w:sz="4" w:space="0" w:color="000000"/>
              <w:right w:val="single" w:sz="4" w:space="0" w:color="000000"/>
            </w:tcBorders>
          </w:tcPr>
          <w:p w:rsidR="007B7C69" w:rsidRPr="0055610F" w:rsidRDefault="007B7C69" w:rsidP="004D5825">
            <w:pPr>
              <w:keepNext/>
              <w:jc w:val="both"/>
              <w:outlineLvl w:val="0"/>
              <w:rPr>
                <w:sz w:val="22"/>
                <w:szCs w:val="22"/>
                <w:lang w:val="sr-Latn-ME"/>
              </w:rPr>
            </w:pPr>
          </w:p>
        </w:tc>
        <w:tc>
          <w:tcPr>
            <w:tcW w:w="2139" w:type="dxa"/>
            <w:tcBorders>
              <w:top w:val="single" w:sz="4" w:space="0" w:color="000000"/>
              <w:left w:val="single" w:sz="4" w:space="0" w:color="000000"/>
              <w:bottom w:val="single" w:sz="4" w:space="0" w:color="000000"/>
              <w:right w:val="single" w:sz="4" w:space="0" w:color="000000"/>
            </w:tcBorders>
          </w:tcPr>
          <w:p w:rsidR="007B7C69" w:rsidRPr="0055610F" w:rsidRDefault="007B7C69" w:rsidP="0055610F">
            <w:pPr>
              <w:keepNext/>
              <w:snapToGrid w:val="0"/>
              <w:jc w:val="center"/>
              <w:outlineLvl w:val="0"/>
              <w:rPr>
                <w:sz w:val="22"/>
                <w:szCs w:val="22"/>
                <w:lang w:val="sr-Latn-ME"/>
              </w:rPr>
            </w:pPr>
            <w:r w:rsidRPr="0055610F">
              <w:rPr>
                <w:sz w:val="22"/>
                <w:szCs w:val="22"/>
                <w:lang w:val="sr-Latn-ME"/>
              </w:rPr>
              <w:t>Srednja vrijednost promjene rezultata aktivnosti bolesti (DAS)</w:t>
            </w:r>
          </w:p>
        </w:tc>
        <w:tc>
          <w:tcPr>
            <w:tcW w:w="2127" w:type="dxa"/>
            <w:tcBorders>
              <w:top w:val="single" w:sz="4" w:space="0" w:color="000000"/>
              <w:left w:val="single" w:sz="4" w:space="0" w:color="000000"/>
              <w:bottom w:val="single" w:sz="4" w:space="0" w:color="000000"/>
              <w:right w:val="single" w:sz="4" w:space="0" w:color="auto"/>
            </w:tcBorders>
          </w:tcPr>
          <w:p w:rsidR="007B7C69" w:rsidRPr="0055610F" w:rsidRDefault="007B7C69" w:rsidP="0055610F">
            <w:pPr>
              <w:keepNext/>
              <w:jc w:val="center"/>
              <w:outlineLvl w:val="0"/>
              <w:rPr>
                <w:sz w:val="22"/>
                <w:szCs w:val="22"/>
                <w:lang w:val="sr-Latn-ME"/>
              </w:rPr>
            </w:pPr>
            <w:r w:rsidRPr="0055610F">
              <w:rPr>
                <w:color w:val="000000"/>
                <w:sz w:val="22"/>
                <w:szCs w:val="22"/>
                <w:lang w:val="sr-Latn-ME"/>
              </w:rPr>
              <w:noBreakHyphen/>
            </w:r>
            <w:r w:rsidRPr="0055610F">
              <w:rPr>
                <w:sz w:val="22"/>
                <w:szCs w:val="22"/>
                <w:lang w:val="sr-Latn-ME"/>
              </w:rPr>
              <w:t>0,34</w:t>
            </w:r>
          </w:p>
        </w:tc>
        <w:tc>
          <w:tcPr>
            <w:tcW w:w="2127" w:type="dxa"/>
            <w:tcBorders>
              <w:top w:val="single" w:sz="4" w:space="0" w:color="000000"/>
              <w:left w:val="single" w:sz="4" w:space="0" w:color="auto"/>
              <w:bottom w:val="single" w:sz="4" w:space="0" w:color="auto"/>
              <w:right w:val="single" w:sz="4" w:space="0" w:color="auto"/>
            </w:tcBorders>
          </w:tcPr>
          <w:p w:rsidR="007B7C69" w:rsidRPr="0055610F" w:rsidRDefault="007B7C69" w:rsidP="0055610F">
            <w:pPr>
              <w:keepNext/>
              <w:jc w:val="center"/>
              <w:outlineLvl w:val="0"/>
              <w:rPr>
                <w:sz w:val="22"/>
                <w:szCs w:val="22"/>
                <w:lang w:val="sr-Latn-ME"/>
              </w:rPr>
            </w:pPr>
            <w:r w:rsidRPr="0055610F">
              <w:rPr>
                <w:color w:val="000000"/>
                <w:sz w:val="22"/>
                <w:szCs w:val="22"/>
                <w:lang w:val="sr-Latn-ME"/>
              </w:rPr>
              <w:noBreakHyphen/>
            </w:r>
            <w:r w:rsidRPr="0055610F">
              <w:rPr>
                <w:sz w:val="22"/>
                <w:szCs w:val="22"/>
                <w:lang w:val="sr-Latn-ME"/>
              </w:rPr>
              <w:t>1,83</w:t>
            </w:r>
            <w:r w:rsidRPr="0055610F">
              <w:rPr>
                <w:sz w:val="22"/>
                <w:szCs w:val="22"/>
                <w:vertAlign w:val="superscript"/>
                <w:lang w:val="sr-Latn-ME"/>
              </w:rPr>
              <w:t>***</w:t>
            </w:r>
          </w:p>
        </w:tc>
      </w:tr>
    </w:tbl>
    <w:p w:rsidR="007B7C69" w:rsidRPr="0055610F" w:rsidRDefault="007B7C69" w:rsidP="004D5825">
      <w:pPr>
        <w:keepNext/>
        <w:jc w:val="both"/>
        <w:outlineLvl w:val="0"/>
        <w:rPr>
          <w:sz w:val="22"/>
          <w:szCs w:val="22"/>
          <w:lang w:val="sr-Latn-ME"/>
        </w:rPr>
      </w:pPr>
      <w:r w:rsidRPr="0055610F">
        <w:rPr>
          <w:sz w:val="22"/>
          <w:szCs w:val="22"/>
          <w:lang w:val="sr-Latn-ME"/>
        </w:rPr>
        <w:t>† Ishod nakon 24 nedjelje</w:t>
      </w:r>
    </w:p>
    <w:p w:rsidR="007B7C69" w:rsidRPr="0055610F" w:rsidRDefault="007B7C69" w:rsidP="004D5825">
      <w:pPr>
        <w:jc w:val="both"/>
        <w:outlineLvl w:val="0"/>
        <w:rPr>
          <w:sz w:val="22"/>
          <w:szCs w:val="22"/>
          <w:vertAlign w:val="superscript"/>
          <w:lang w:val="sr-Latn-ME"/>
        </w:rPr>
      </w:pPr>
      <w:r w:rsidRPr="0055610F">
        <w:rPr>
          <w:sz w:val="22"/>
          <w:szCs w:val="22"/>
          <w:lang w:val="sr-Latn-ME"/>
        </w:rPr>
        <w:t>Značajna razlika u odnosu na placebo + metotreksat u trenutku primarne mjere ishoda: ***p ≤ 0,0001</w:t>
      </w:r>
    </w:p>
    <w:p w:rsidR="007B7C69" w:rsidRPr="0055610F" w:rsidRDefault="007B7C69" w:rsidP="004D5825">
      <w:pPr>
        <w:jc w:val="both"/>
        <w:outlineLvl w:val="0"/>
        <w:rPr>
          <w:sz w:val="22"/>
          <w:szCs w:val="22"/>
          <w:vertAlign w:val="superscript"/>
          <w:lang w:val="sr-Latn-ME"/>
        </w:rPr>
      </w:pPr>
    </w:p>
    <w:p w:rsidR="007B7C69" w:rsidRPr="0055610F" w:rsidRDefault="007B7C69" w:rsidP="004D5825">
      <w:pPr>
        <w:jc w:val="both"/>
        <w:rPr>
          <w:sz w:val="22"/>
          <w:szCs w:val="22"/>
          <w:lang w:val="sr-Latn-ME"/>
        </w:rPr>
      </w:pPr>
      <w:r w:rsidRPr="0055610F">
        <w:rPr>
          <w:sz w:val="22"/>
          <w:szCs w:val="22"/>
          <w:lang w:val="sr-Latn-ME"/>
        </w:rPr>
        <w:t>Pacijenti liječeni lijekom MabThera u kombinaciji sa metotreksatom imali su značajno veći skor smanjenja aktivnosti bolesti (DAS28) od pacijenata koji su liječeni samo metotreksatom (Tabela 15). Slično tome dobar do umjeren odgovor EULAR</w:t>
      </w:r>
      <w:r w:rsidRPr="0055610F">
        <w:rPr>
          <w:sz w:val="22"/>
          <w:szCs w:val="22"/>
          <w:lang w:val="sr-Latn-ME" w:eastAsia="ja-JP"/>
        </w:rPr>
        <w:t xml:space="preserve"> (</w:t>
      </w:r>
      <w:r w:rsidRPr="0055610F">
        <w:rPr>
          <w:sz w:val="22"/>
          <w:szCs w:val="22"/>
          <w:lang w:val="sr-Latn-ME"/>
        </w:rPr>
        <w:t xml:space="preserve">European League Against Rheumatism) postiglo je značajno više </w:t>
      </w:r>
      <w:r w:rsidR="00B16626" w:rsidRPr="0055610F">
        <w:rPr>
          <w:sz w:val="22"/>
          <w:szCs w:val="22"/>
          <w:lang w:val="sr-Latn-ME"/>
        </w:rPr>
        <w:t>pacijenata</w:t>
      </w:r>
      <w:r w:rsidRPr="0055610F">
        <w:rPr>
          <w:sz w:val="22"/>
          <w:szCs w:val="22"/>
          <w:lang w:val="sr-Latn-ME"/>
        </w:rPr>
        <w:t xml:space="preserve"> liječenih lijekom MabThera nego onih koji su dobijali samo metotreksat (Tabela 15).</w:t>
      </w:r>
    </w:p>
    <w:p w:rsidR="00B21971" w:rsidRPr="0055610F" w:rsidRDefault="00B21971" w:rsidP="004D5825">
      <w:pPr>
        <w:jc w:val="both"/>
        <w:rPr>
          <w:sz w:val="22"/>
          <w:szCs w:val="22"/>
          <w:lang w:val="sr-Latn-ME"/>
        </w:rPr>
      </w:pPr>
    </w:p>
    <w:p w:rsidR="007B7C69" w:rsidRPr="0055610F" w:rsidRDefault="007B7C69" w:rsidP="004D5825">
      <w:pPr>
        <w:jc w:val="both"/>
        <w:rPr>
          <w:i/>
          <w:sz w:val="22"/>
          <w:szCs w:val="22"/>
          <w:lang w:val="sr-Latn-ME"/>
        </w:rPr>
      </w:pPr>
      <w:r w:rsidRPr="0055610F">
        <w:rPr>
          <w:i/>
          <w:sz w:val="22"/>
          <w:szCs w:val="22"/>
          <w:lang w:val="sr-Latn-ME"/>
        </w:rPr>
        <w:t xml:space="preserve">Radiografski odgovor </w:t>
      </w:r>
    </w:p>
    <w:p w:rsidR="007B7C69" w:rsidRPr="0055610F" w:rsidRDefault="007B7C69" w:rsidP="004D5825">
      <w:pPr>
        <w:jc w:val="both"/>
        <w:rPr>
          <w:i/>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Strukturno oštećenje zglobova proc</w:t>
      </w:r>
      <w:r w:rsidR="00093B73" w:rsidRPr="0055610F">
        <w:rPr>
          <w:sz w:val="22"/>
          <w:szCs w:val="22"/>
          <w:lang w:val="sr-Latn-ME"/>
        </w:rPr>
        <w:t>i</w:t>
      </w:r>
      <w:r w:rsidRPr="0055610F">
        <w:rPr>
          <w:sz w:val="22"/>
          <w:szCs w:val="22"/>
          <w:lang w:val="sr-Latn-ME"/>
        </w:rPr>
        <w:t>jenjeno je radiološki i iskazano kao promjena u prilagođenom ukupnom rezultatu na Sharpovoj skali (engl. Modified Total Sharp Score, mTSS) i njegovim komponentama, erozionom skoru i skoru suženja prostora zgloba.</w:t>
      </w:r>
    </w:p>
    <w:p w:rsidR="007B7C69" w:rsidRPr="0055610F" w:rsidRDefault="007B7C69" w:rsidP="004D5825">
      <w:pPr>
        <w:jc w:val="both"/>
        <w:outlineLvl w:val="0"/>
        <w:rPr>
          <w:i/>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U </w:t>
      </w:r>
      <w:r w:rsidR="00CA6E91" w:rsidRPr="0055610F">
        <w:rPr>
          <w:sz w:val="22"/>
          <w:szCs w:val="22"/>
          <w:lang w:val="sr-Latn-ME"/>
        </w:rPr>
        <w:t>1. studiji</w:t>
      </w:r>
      <w:r w:rsidRPr="0055610F">
        <w:rPr>
          <w:sz w:val="22"/>
          <w:szCs w:val="22"/>
          <w:lang w:val="sr-Latn-ME"/>
        </w:rPr>
        <w:t>, sprovedenoj kod pacijenata sa neadekvatnim odgovorom ili netolerancijom na terapiju sa  jednim ili više inhibitora TNF, bolest je, proc</w:t>
      </w:r>
      <w:r w:rsidR="00093B73" w:rsidRPr="0055610F">
        <w:rPr>
          <w:sz w:val="22"/>
          <w:szCs w:val="22"/>
          <w:lang w:val="sr-Latn-ME"/>
        </w:rPr>
        <w:t>i</w:t>
      </w:r>
      <w:r w:rsidRPr="0055610F">
        <w:rPr>
          <w:sz w:val="22"/>
          <w:szCs w:val="22"/>
          <w:lang w:val="sr-Latn-ME"/>
        </w:rPr>
        <w:t>jenjivana radiograafski, nakon 56. nedjelje napredovala znatno manje kod pacijenata liječenih lijekom MabThera u kombinaciji sa metotreksatom negó kod pacijenata koji su prvobitno primali samo metotreksat.  Od onih pacijenata koji su prvobitno dobijali samo metotreksat, 81% dobio je lijek MabThera ili kao “spasonosnu terapiju” u periodu od 16. do 24. ned</w:t>
      </w:r>
      <w:r w:rsidR="00093B73" w:rsidRPr="0055610F">
        <w:rPr>
          <w:sz w:val="22"/>
          <w:szCs w:val="22"/>
          <w:lang w:val="sr-Latn-ME"/>
        </w:rPr>
        <w:t>j</w:t>
      </w:r>
      <w:r w:rsidRPr="0055610F">
        <w:rPr>
          <w:sz w:val="22"/>
          <w:szCs w:val="22"/>
          <w:lang w:val="sr-Latn-ME"/>
        </w:rPr>
        <w:t>elje, ili u produžetku studije, prije 56. ned</w:t>
      </w:r>
      <w:r w:rsidR="00093B73" w:rsidRPr="0055610F">
        <w:rPr>
          <w:sz w:val="22"/>
          <w:szCs w:val="22"/>
          <w:lang w:val="sr-Latn-ME"/>
        </w:rPr>
        <w:t>j</w:t>
      </w:r>
      <w:r w:rsidRPr="0055610F">
        <w:rPr>
          <w:sz w:val="22"/>
          <w:szCs w:val="22"/>
          <w:lang w:val="sr-Latn-ME"/>
        </w:rPr>
        <w:t>elje. Veći dio pacijenata koji su dobijali  kombinovanu  terapiju MabThera/metotreksat takođe ni</w:t>
      </w:r>
      <w:r w:rsidR="00093B73" w:rsidRPr="0055610F">
        <w:rPr>
          <w:sz w:val="22"/>
          <w:szCs w:val="22"/>
          <w:lang w:val="sr-Latn-ME"/>
        </w:rPr>
        <w:t>je</w:t>
      </w:r>
      <w:r w:rsidRPr="0055610F">
        <w:rPr>
          <w:sz w:val="22"/>
          <w:szCs w:val="22"/>
          <w:lang w:val="sr-Latn-ME"/>
        </w:rPr>
        <w:t>su imali ni erozivne progresije tokom 56 ned</w:t>
      </w:r>
      <w:r w:rsidR="00093B73" w:rsidRPr="0055610F">
        <w:rPr>
          <w:sz w:val="22"/>
          <w:szCs w:val="22"/>
          <w:lang w:val="sr-Latn-ME"/>
        </w:rPr>
        <w:t>j</w:t>
      </w:r>
      <w:r w:rsidRPr="0055610F">
        <w:rPr>
          <w:sz w:val="22"/>
          <w:szCs w:val="22"/>
          <w:lang w:val="sr-Latn-ME"/>
        </w:rPr>
        <w:t xml:space="preserve">elja (Tabela 16). </w:t>
      </w:r>
    </w:p>
    <w:p w:rsidR="007B7C69" w:rsidRPr="0055610F" w:rsidRDefault="007B7C69" w:rsidP="004D5825">
      <w:pPr>
        <w:jc w:val="both"/>
        <w:rPr>
          <w:sz w:val="22"/>
          <w:szCs w:val="22"/>
          <w:lang w:val="sr-Latn-ME"/>
        </w:rPr>
      </w:pPr>
    </w:p>
    <w:p w:rsidR="007B7C69" w:rsidRPr="0055610F" w:rsidRDefault="007B7C69" w:rsidP="004D5825">
      <w:pPr>
        <w:jc w:val="both"/>
        <w:rPr>
          <w:b/>
          <w:sz w:val="22"/>
          <w:szCs w:val="22"/>
          <w:lang w:val="sr-Latn-ME"/>
        </w:rPr>
      </w:pPr>
      <w:r w:rsidRPr="0055610F">
        <w:rPr>
          <w:b/>
          <w:sz w:val="22"/>
          <w:szCs w:val="22"/>
          <w:lang w:val="sr-Latn-ME"/>
        </w:rPr>
        <w:t>Tabela 16. Radiološki ishodi nakon 1 godine (prilag</w:t>
      </w:r>
      <w:r w:rsidR="00CA6E91" w:rsidRPr="0055610F">
        <w:rPr>
          <w:b/>
          <w:sz w:val="22"/>
          <w:szCs w:val="22"/>
          <w:lang w:val="sr-Latn-ME"/>
        </w:rPr>
        <w:t>o</w:t>
      </w:r>
      <w:r w:rsidRPr="0055610F">
        <w:rPr>
          <w:b/>
          <w:sz w:val="22"/>
          <w:szCs w:val="22"/>
          <w:lang w:val="sr-Latn-ME"/>
        </w:rPr>
        <w:t>đena ITT populacija)</w:t>
      </w:r>
    </w:p>
    <w:p w:rsidR="007B7C69" w:rsidRPr="0055610F" w:rsidRDefault="007B7C69" w:rsidP="004D5825">
      <w:pPr>
        <w:jc w:val="both"/>
        <w:rPr>
          <w:sz w:val="22"/>
          <w:szCs w:val="22"/>
          <w:lang w:val="sr-Latn-ME"/>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9"/>
        <w:gridCol w:w="2913"/>
        <w:gridCol w:w="2694"/>
      </w:tblGrid>
      <w:tr w:rsidR="007B7C69" w:rsidRPr="007642DC" w:rsidTr="0055610F">
        <w:tc>
          <w:tcPr>
            <w:tcW w:w="3319" w:type="dxa"/>
            <w:shd w:val="clear" w:color="auto" w:fill="auto"/>
          </w:tcPr>
          <w:p w:rsidR="007B7C69" w:rsidRPr="0055610F" w:rsidRDefault="007B7C69" w:rsidP="004D5825">
            <w:pPr>
              <w:jc w:val="both"/>
              <w:rPr>
                <w:b/>
                <w:sz w:val="22"/>
                <w:szCs w:val="22"/>
                <w:lang w:val="sr-Latn-ME"/>
              </w:rPr>
            </w:pPr>
          </w:p>
        </w:tc>
        <w:tc>
          <w:tcPr>
            <w:tcW w:w="2913" w:type="dxa"/>
            <w:shd w:val="clear" w:color="auto" w:fill="auto"/>
          </w:tcPr>
          <w:p w:rsidR="007B7C69" w:rsidRPr="0055610F" w:rsidRDefault="007B7C69" w:rsidP="004D5825">
            <w:pPr>
              <w:jc w:val="both"/>
              <w:rPr>
                <w:sz w:val="22"/>
                <w:szCs w:val="22"/>
                <w:lang w:val="sr-Latn-ME"/>
              </w:rPr>
            </w:pPr>
            <w:r w:rsidRPr="0055610F">
              <w:rPr>
                <w:sz w:val="22"/>
                <w:szCs w:val="22"/>
                <w:lang w:val="sr-Latn-ME"/>
              </w:rPr>
              <w:t>Placebo + metotreksat</w:t>
            </w:r>
          </w:p>
        </w:tc>
        <w:tc>
          <w:tcPr>
            <w:tcW w:w="2694" w:type="dxa"/>
            <w:shd w:val="clear" w:color="auto" w:fill="auto"/>
          </w:tcPr>
          <w:p w:rsidR="007B7C69" w:rsidRPr="0055610F" w:rsidRDefault="007B7C69" w:rsidP="004D5825">
            <w:pPr>
              <w:jc w:val="both"/>
              <w:rPr>
                <w:sz w:val="22"/>
                <w:szCs w:val="22"/>
                <w:lang w:val="sr-Latn-ME"/>
              </w:rPr>
            </w:pPr>
            <w:r w:rsidRPr="0055610F">
              <w:rPr>
                <w:sz w:val="22"/>
                <w:szCs w:val="22"/>
                <w:lang w:val="sr-Latn-ME"/>
              </w:rPr>
              <w:t>Rituksimab + metotreksat</w:t>
            </w:r>
          </w:p>
          <w:p w:rsidR="007B7C69" w:rsidRPr="0055610F" w:rsidRDefault="007B7C69" w:rsidP="004D5825">
            <w:pPr>
              <w:jc w:val="both"/>
              <w:rPr>
                <w:sz w:val="22"/>
                <w:szCs w:val="22"/>
                <w:lang w:val="sr-Latn-ME"/>
              </w:rPr>
            </w:pPr>
            <w:r w:rsidRPr="0055610F">
              <w:rPr>
                <w:sz w:val="22"/>
                <w:szCs w:val="22"/>
                <w:lang w:val="sr-Latn-ME"/>
              </w:rPr>
              <w:t>2 x 1g</w:t>
            </w:r>
          </w:p>
        </w:tc>
      </w:tr>
      <w:tr w:rsidR="007B7C69" w:rsidRPr="007642DC" w:rsidTr="0055610F">
        <w:tc>
          <w:tcPr>
            <w:tcW w:w="3319" w:type="dxa"/>
            <w:shd w:val="clear" w:color="auto" w:fill="auto"/>
          </w:tcPr>
          <w:p w:rsidR="007B7C69" w:rsidRPr="0055610F" w:rsidRDefault="00CA6E91" w:rsidP="004D5825">
            <w:pPr>
              <w:jc w:val="both"/>
              <w:rPr>
                <w:b/>
                <w:sz w:val="22"/>
                <w:szCs w:val="22"/>
                <w:lang w:val="sr-Latn-ME"/>
              </w:rPr>
            </w:pPr>
            <w:r w:rsidRPr="0055610F">
              <w:rPr>
                <w:b/>
                <w:sz w:val="22"/>
                <w:szCs w:val="22"/>
                <w:lang w:val="sr-Latn-ME"/>
              </w:rPr>
              <w:t>1. studija</w:t>
            </w:r>
          </w:p>
        </w:tc>
        <w:tc>
          <w:tcPr>
            <w:tcW w:w="2913" w:type="dxa"/>
            <w:shd w:val="clear" w:color="auto" w:fill="auto"/>
          </w:tcPr>
          <w:p w:rsidR="007B7C69" w:rsidRPr="0055610F" w:rsidRDefault="007B7C69" w:rsidP="004D5825">
            <w:pPr>
              <w:jc w:val="both"/>
              <w:rPr>
                <w:sz w:val="22"/>
                <w:szCs w:val="22"/>
                <w:lang w:val="sr-Latn-ME"/>
              </w:rPr>
            </w:pPr>
            <w:r w:rsidRPr="0055610F">
              <w:rPr>
                <w:sz w:val="22"/>
                <w:szCs w:val="22"/>
                <w:lang w:val="sr-Latn-ME"/>
              </w:rPr>
              <w:t>(n=184)</w:t>
            </w:r>
          </w:p>
        </w:tc>
        <w:tc>
          <w:tcPr>
            <w:tcW w:w="2694" w:type="dxa"/>
            <w:shd w:val="clear" w:color="auto" w:fill="auto"/>
          </w:tcPr>
          <w:p w:rsidR="007B7C69" w:rsidRPr="0055610F" w:rsidRDefault="007B7C69" w:rsidP="004D5825">
            <w:pPr>
              <w:jc w:val="both"/>
              <w:rPr>
                <w:sz w:val="22"/>
                <w:szCs w:val="22"/>
                <w:lang w:val="sr-Latn-ME"/>
              </w:rPr>
            </w:pPr>
            <w:r w:rsidRPr="0055610F">
              <w:rPr>
                <w:sz w:val="22"/>
                <w:szCs w:val="22"/>
                <w:lang w:val="sr-Latn-ME"/>
              </w:rPr>
              <w:t>(n=273)</w:t>
            </w:r>
          </w:p>
        </w:tc>
      </w:tr>
      <w:tr w:rsidR="007B7C69" w:rsidRPr="007642DC" w:rsidTr="0055610F">
        <w:trPr>
          <w:trHeight w:val="2054"/>
        </w:trPr>
        <w:tc>
          <w:tcPr>
            <w:tcW w:w="3319" w:type="dxa"/>
            <w:shd w:val="clear" w:color="auto" w:fill="auto"/>
          </w:tcPr>
          <w:p w:rsidR="007B7C69" w:rsidRPr="0055610F" w:rsidRDefault="007B7C69" w:rsidP="004D5825">
            <w:pPr>
              <w:jc w:val="both"/>
              <w:rPr>
                <w:sz w:val="22"/>
                <w:szCs w:val="22"/>
                <w:lang w:val="sr-Latn-ME"/>
              </w:rPr>
            </w:pPr>
            <w:r w:rsidRPr="0055610F">
              <w:rPr>
                <w:sz w:val="22"/>
                <w:szCs w:val="22"/>
                <w:lang w:val="sr-Latn-ME"/>
              </w:rPr>
              <w:t>Srednja vrijednost promjene od početnih vrijednosti:</w:t>
            </w:r>
          </w:p>
          <w:p w:rsidR="007B7C69" w:rsidRPr="0055610F" w:rsidRDefault="007B7C69" w:rsidP="004D5825">
            <w:pPr>
              <w:jc w:val="both"/>
              <w:rPr>
                <w:sz w:val="22"/>
                <w:szCs w:val="22"/>
                <w:lang w:val="sr-Latn-ME"/>
              </w:rPr>
            </w:pPr>
            <w:r w:rsidRPr="0055610F">
              <w:rPr>
                <w:sz w:val="22"/>
                <w:szCs w:val="22"/>
                <w:lang w:val="sr-Latn-ME"/>
              </w:rPr>
              <w:t>Prilagođen ukupni Sharp      skor</w:t>
            </w:r>
          </w:p>
          <w:p w:rsidR="007B7C69" w:rsidRPr="0055610F" w:rsidRDefault="007B7C69" w:rsidP="004D5825">
            <w:pPr>
              <w:jc w:val="both"/>
              <w:rPr>
                <w:sz w:val="22"/>
                <w:szCs w:val="22"/>
                <w:lang w:val="sr-Latn-ME"/>
              </w:rPr>
            </w:pPr>
            <w:r w:rsidRPr="0055610F">
              <w:rPr>
                <w:sz w:val="22"/>
                <w:szCs w:val="22"/>
                <w:lang w:val="sr-Latn-ME"/>
              </w:rPr>
              <w:t>Erozioni skor</w:t>
            </w:r>
          </w:p>
          <w:p w:rsidR="007B7C69" w:rsidRPr="0055610F" w:rsidRDefault="007B7C69" w:rsidP="004D5825">
            <w:pPr>
              <w:jc w:val="both"/>
              <w:rPr>
                <w:sz w:val="22"/>
                <w:szCs w:val="22"/>
                <w:lang w:val="sr-Latn-ME"/>
              </w:rPr>
            </w:pPr>
            <w:r w:rsidRPr="0055610F">
              <w:rPr>
                <w:sz w:val="22"/>
                <w:szCs w:val="22"/>
                <w:lang w:val="sr-Latn-ME"/>
              </w:rPr>
              <w:t>Skor suženja prostora zgloba</w:t>
            </w:r>
          </w:p>
          <w:p w:rsidR="007B7C69" w:rsidRPr="0055610F" w:rsidRDefault="007B7C69" w:rsidP="004D5825">
            <w:pPr>
              <w:jc w:val="both"/>
              <w:rPr>
                <w:sz w:val="22"/>
                <w:szCs w:val="22"/>
                <w:lang w:val="sr-Latn-ME"/>
              </w:rPr>
            </w:pPr>
            <w:r w:rsidRPr="0055610F">
              <w:rPr>
                <w:sz w:val="22"/>
                <w:szCs w:val="22"/>
                <w:lang w:val="sr-Latn-ME"/>
              </w:rPr>
              <w:t>Udio pacijenata bez radiografskih promjena</w:t>
            </w:r>
          </w:p>
          <w:p w:rsidR="007B7C69" w:rsidRPr="0055610F" w:rsidRDefault="007B7C69" w:rsidP="004D5825">
            <w:pPr>
              <w:jc w:val="both"/>
              <w:rPr>
                <w:sz w:val="22"/>
                <w:szCs w:val="22"/>
                <w:lang w:val="sr-Latn-ME"/>
              </w:rPr>
            </w:pPr>
            <w:r w:rsidRPr="0055610F">
              <w:rPr>
                <w:sz w:val="22"/>
                <w:szCs w:val="22"/>
                <w:lang w:val="sr-Latn-ME"/>
              </w:rPr>
              <w:lastRenderedPageBreak/>
              <w:t xml:space="preserve">Udio pacijenata bez erozivne progresije </w:t>
            </w:r>
          </w:p>
        </w:tc>
        <w:tc>
          <w:tcPr>
            <w:tcW w:w="2913"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2.30</w:t>
            </w: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1.32</w:t>
            </w:r>
          </w:p>
          <w:p w:rsidR="007B7C69" w:rsidRPr="0055610F" w:rsidRDefault="007B7C69" w:rsidP="0055610F">
            <w:pPr>
              <w:jc w:val="center"/>
              <w:rPr>
                <w:sz w:val="22"/>
                <w:szCs w:val="22"/>
                <w:lang w:val="sr-Latn-ME"/>
              </w:rPr>
            </w:pPr>
            <w:r w:rsidRPr="0055610F">
              <w:rPr>
                <w:sz w:val="22"/>
                <w:szCs w:val="22"/>
                <w:lang w:val="sr-Latn-ME"/>
              </w:rPr>
              <w:t>0.99</w:t>
            </w:r>
          </w:p>
          <w:p w:rsidR="007B7C69" w:rsidRPr="0055610F" w:rsidRDefault="007B7C69" w:rsidP="0055610F">
            <w:pPr>
              <w:jc w:val="center"/>
              <w:rPr>
                <w:sz w:val="22"/>
                <w:szCs w:val="22"/>
                <w:lang w:val="sr-Latn-ME"/>
              </w:rPr>
            </w:pPr>
            <w:r w:rsidRPr="0055610F">
              <w:rPr>
                <w:sz w:val="22"/>
                <w:szCs w:val="22"/>
                <w:lang w:val="sr-Latn-ME"/>
              </w:rPr>
              <w:t>46%</w:t>
            </w: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lastRenderedPageBreak/>
              <w:t>52%</w:t>
            </w:r>
          </w:p>
        </w:tc>
        <w:tc>
          <w:tcPr>
            <w:tcW w:w="2694" w:type="dxa"/>
            <w:shd w:val="clear" w:color="auto" w:fill="auto"/>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1.01*</w:t>
            </w:r>
          </w:p>
          <w:p w:rsidR="007B7C69" w:rsidRPr="0055610F" w:rsidRDefault="007B7C69" w:rsidP="0055610F">
            <w:pPr>
              <w:jc w:val="center"/>
              <w:rPr>
                <w:sz w:val="22"/>
                <w:szCs w:val="22"/>
                <w:lang w:val="sr-Latn-ME"/>
              </w:rPr>
            </w:pPr>
            <w:r w:rsidRPr="0055610F">
              <w:rPr>
                <w:sz w:val="22"/>
                <w:szCs w:val="22"/>
                <w:lang w:val="sr-Latn-ME"/>
              </w:rPr>
              <w:t>0.60*</w:t>
            </w:r>
          </w:p>
          <w:p w:rsidR="007B7C69" w:rsidRPr="0055610F" w:rsidRDefault="007B7C69" w:rsidP="0055610F">
            <w:pPr>
              <w:jc w:val="center"/>
              <w:rPr>
                <w:sz w:val="22"/>
                <w:szCs w:val="22"/>
                <w:lang w:val="sr-Latn-ME"/>
              </w:rPr>
            </w:pPr>
            <w:r w:rsidRPr="0055610F">
              <w:rPr>
                <w:sz w:val="22"/>
                <w:szCs w:val="22"/>
                <w:lang w:val="sr-Latn-ME"/>
              </w:rPr>
              <w:t>0.41**</w:t>
            </w:r>
          </w:p>
          <w:p w:rsidR="007B7C69" w:rsidRPr="0055610F" w:rsidRDefault="007B7C69" w:rsidP="0055610F">
            <w:pPr>
              <w:jc w:val="center"/>
              <w:rPr>
                <w:sz w:val="22"/>
                <w:szCs w:val="22"/>
                <w:lang w:val="sr-Latn-ME"/>
              </w:rPr>
            </w:pPr>
            <w:r w:rsidRPr="0055610F">
              <w:rPr>
                <w:sz w:val="22"/>
                <w:szCs w:val="22"/>
                <w:lang w:val="sr-Latn-ME"/>
              </w:rPr>
              <w:t>53%</w:t>
            </w: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60%</w:t>
            </w:r>
          </w:p>
        </w:tc>
      </w:tr>
    </w:tbl>
    <w:p w:rsidR="007B7C69" w:rsidRPr="0055610F" w:rsidRDefault="007B7C69" w:rsidP="004D5825">
      <w:pPr>
        <w:keepNext/>
        <w:jc w:val="both"/>
        <w:outlineLvl w:val="0"/>
        <w:rPr>
          <w:sz w:val="22"/>
          <w:szCs w:val="22"/>
          <w:lang w:val="sr-Latn-ME"/>
        </w:rPr>
      </w:pPr>
      <w:r w:rsidRPr="0055610F">
        <w:rPr>
          <w:sz w:val="22"/>
          <w:szCs w:val="22"/>
          <w:lang w:val="sr-Latn-ME"/>
        </w:rPr>
        <w:t xml:space="preserve">150 pacijenata prvobitmo nasumično raspodijeljenih u grupu koja je primala placebo + metotreksat u </w:t>
      </w:r>
      <w:r w:rsidR="00CA6E91" w:rsidRPr="0055610F">
        <w:rPr>
          <w:sz w:val="22"/>
          <w:szCs w:val="22"/>
          <w:lang w:val="sr-Latn-ME"/>
        </w:rPr>
        <w:t xml:space="preserve">1. studija </w:t>
      </w:r>
      <w:r w:rsidRPr="0055610F">
        <w:rPr>
          <w:sz w:val="22"/>
          <w:szCs w:val="22"/>
          <w:lang w:val="sr-Latn-ME"/>
        </w:rPr>
        <w:t>primilo je barem jedan ciklus terapije MabThera + metotreksat do kraja jedne godine studije</w:t>
      </w:r>
    </w:p>
    <w:p w:rsidR="007B7C69" w:rsidRPr="0055610F" w:rsidRDefault="007B7C69" w:rsidP="004D5825">
      <w:pPr>
        <w:jc w:val="both"/>
        <w:outlineLvl w:val="0"/>
        <w:rPr>
          <w:sz w:val="22"/>
          <w:szCs w:val="22"/>
          <w:lang w:val="sr-Latn-ME"/>
        </w:rPr>
      </w:pPr>
      <w:r w:rsidRPr="0055610F">
        <w:rPr>
          <w:sz w:val="22"/>
          <w:szCs w:val="22"/>
          <w:lang w:val="sr-Latn-ME"/>
        </w:rPr>
        <w:t>* p &lt; 0,05; ** p &lt; 0,001. Skraćenica: NZ, nije značajno</w:t>
      </w:r>
    </w:p>
    <w:p w:rsidR="007B7C69" w:rsidRPr="0055610F" w:rsidRDefault="007B7C69" w:rsidP="004D5825">
      <w:pPr>
        <w:jc w:val="both"/>
        <w:outlineLvl w:val="0"/>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 xml:space="preserve">Posmatralo se i dugoročno usporavanje napredovanja oštećenja zglobova. Radiološka analiza nakon dvije godine u </w:t>
      </w:r>
      <w:r w:rsidR="00CA6E91" w:rsidRPr="0055610F">
        <w:rPr>
          <w:sz w:val="22"/>
          <w:szCs w:val="22"/>
          <w:lang w:val="sr-Latn-ME"/>
        </w:rPr>
        <w:t>1. studiji</w:t>
      </w:r>
      <w:r w:rsidRPr="0055610F">
        <w:rPr>
          <w:sz w:val="22"/>
          <w:szCs w:val="22"/>
          <w:lang w:val="sr-Latn-ME"/>
        </w:rPr>
        <w:t xml:space="preserve"> pokazala je znatno smanjenje napredovanja strukturnog oštećenja zglobova kod pacijenta koji su primali lijek MabThera u kombinaciji sa metotreksatom u poređenju sa pacijentima koji su primali samo metotreksat, kao i znatno veći udio pacijenata kod kojih oštećenje zglobova uopštee nije napredovalo tokom te dvije godine.</w:t>
      </w:r>
    </w:p>
    <w:p w:rsidR="007B7C69" w:rsidRPr="0055610F" w:rsidRDefault="007B7C69" w:rsidP="004D5825">
      <w:pPr>
        <w:jc w:val="both"/>
        <w:outlineLvl w:val="0"/>
        <w:rPr>
          <w:sz w:val="22"/>
          <w:szCs w:val="22"/>
          <w:lang w:val="sr-Latn-ME"/>
        </w:rPr>
      </w:pPr>
    </w:p>
    <w:p w:rsidR="007B7C69" w:rsidRPr="0055610F" w:rsidRDefault="007B7C69" w:rsidP="004D5825">
      <w:pPr>
        <w:jc w:val="both"/>
        <w:rPr>
          <w:i/>
          <w:sz w:val="22"/>
          <w:szCs w:val="22"/>
          <w:lang w:val="sr-Latn-ME"/>
        </w:rPr>
      </w:pPr>
      <w:r w:rsidRPr="0055610F">
        <w:rPr>
          <w:i/>
          <w:sz w:val="22"/>
          <w:szCs w:val="22"/>
          <w:lang w:val="sr-Latn-ME"/>
        </w:rPr>
        <w:t>Ishod u pogledu fizičke funkcije i kvaliteta života</w:t>
      </w:r>
    </w:p>
    <w:p w:rsidR="007B7C69" w:rsidRPr="0055610F" w:rsidRDefault="007B7C69" w:rsidP="004D5825">
      <w:pPr>
        <w:jc w:val="both"/>
        <w:rPr>
          <w:sz w:val="22"/>
          <w:szCs w:val="22"/>
          <w:lang w:val="sr-Latn-ME"/>
        </w:rPr>
      </w:pPr>
      <w:r w:rsidRPr="0055610F">
        <w:rPr>
          <w:sz w:val="22"/>
          <w:szCs w:val="22"/>
          <w:lang w:val="sr-Latn-ME"/>
        </w:rPr>
        <w:t>Značajno smanjenje skorova indeksa onesposobljenosti (HAQ-DI), i zamora (FACIT-Fatigue) zab</w:t>
      </w:r>
      <w:r w:rsidR="00093B73" w:rsidRPr="0055610F">
        <w:rPr>
          <w:sz w:val="22"/>
          <w:szCs w:val="22"/>
          <w:lang w:val="sr-Latn-ME"/>
        </w:rPr>
        <w:t>i</w:t>
      </w:r>
      <w:r w:rsidRPr="0055610F">
        <w:rPr>
          <w:sz w:val="22"/>
          <w:szCs w:val="22"/>
          <w:lang w:val="sr-Latn-ME"/>
        </w:rPr>
        <w:t>l</w:t>
      </w:r>
      <w:r w:rsidR="00093B73" w:rsidRPr="0055610F">
        <w:rPr>
          <w:sz w:val="22"/>
          <w:szCs w:val="22"/>
          <w:lang w:val="sr-Latn-ME"/>
        </w:rPr>
        <w:t>j</w:t>
      </w:r>
      <w:r w:rsidRPr="0055610F">
        <w:rPr>
          <w:sz w:val="22"/>
          <w:szCs w:val="22"/>
          <w:lang w:val="sr-Latn-ME"/>
        </w:rPr>
        <w:t>eženi su kod pacijenata koji su l</w:t>
      </w:r>
      <w:r w:rsidR="00093B73" w:rsidRPr="0055610F">
        <w:rPr>
          <w:sz w:val="22"/>
          <w:szCs w:val="22"/>
          <w:lang w:val="sr-Latn-ME"/>
        </w:rPr>
        <w:t>ij</w:t>
      </w:r>
      <w:r w:rsidRPr="0055610F">
        <w:rPr>
          <w:sz w:val="22"/>
          <w:szCs w:val="22"/>
          <w:lang w:val="sr-Latn-ME"/>
        </w:rPr>
        <w:t>ečeni l</w:t>
      </w:r>
      <w:r w:rsidR="00093B73" w:rsidRPr="0055610F">
        <w:rPr>
          <w:sz w:val="22"/>
          <w:szCs w:val="22"/>
          <w:lang w:val="sr-Latn-ME"/>
        </w:rPr>
        <w:t>ij</w:t>
      </w:r>
      <w:r w:rsidRPr="0055610F">
        <w:rPr>
          <w:sz w:val="22"/>
          <w:szCs w:val="22"/>
          <w:lang w:val="sr-Latn-ME"/>
        </w:rPr>
        <w:t>ekom MabThera u poređenju sa onima koji su primali samo metotreksat. Ud</w:t>
      </w:r>
      <w:r w:rsidR="00093B73" w:rsidRPr="0055610F">
        <w:rPr>
          <w:sz w:val="22"/>
          <w:szCs w:val="22"/>
          <w:lang w:val="sr-Latn-ME"/>
        </w:rPr>
        <w:t>i</w:t>
      </w:r>
      <w:r w:rsidRPr="0055610F">
        <w:rPr>
          <w:sz w:val="22"/>
          <w:szCs w:val="22"/>
          <w:lang w:val="sr-Latn-ME"/>
        </w:rPr>
        <w:t>o pacijenata l</w:t>
      </w:r>
      <w:r w:rsidR="00093B73" w:rsidRPr="0055610F">
        <w:rPr>
          <w:sz w:val="22"/>
          <w:szCs w:val="22"/>
          <w:lang w:val="sr-Latn-ME"/>
        </w:rPr>
        <w:t>ij</w:t>
      </w:r>
      <w:r w:rsidRPr="0055610F">
        <w:rPr>
          <w:sz w:val="22"/>
          <w:szCs w:val="22"/>
          <w:lang w:val="sr-Latn-ME"/>
        </w:rPr>
        <w:t>ečenih l</w:t>
      </w:r>
      <w:r w:rsidR="00093B73" w:rsidRPr="0055610F">
        <w:rPr>
          <w:sz w:val="22"/>
          <w:szCs w:val="22"/>
          <w:lang w:val="sr-Latn-ME"/>
        </w:rPr>
        <w:t>ij</w:t>
      </w:r>
      <w:r w:rsidRPr="0055610F">
        <w:rPr>
          <w:sz w:val="22"/>
          <w:szCs w:val="22"/>
          <w:lang w:val="sr-Latn-ME"/>
        </w:rPr>
        <w:t>ekom MabThera koji su pokazali minimalnu klinički značajnu razliku (MCID) kod HAQ-DI skora (koja je definisana kao individualno smanjanje ukupnog skora za &gt;0,22) je bio viši nego kod pacijenata koji su primali samo metotreksat (Tabela 17).</w:t>
      </w:r>
    </w:p>
    <w:p w:rsidR="00277702" w:rsidRDefault="007B7C69" w:rsidP="00BD3210">
      <w:pPr>
        <w:jc w:val="both"/>
        <w:outlineLvl w:val="0"/>
        <w:rPr>
          <w:sz w:val="22"/>
          <w:szCs w:val="22"/>
          <w:lang w:val="sr-Latn-ME"/>
        </w:rPr>
      </w:pPr>
      <w:r w:rsidRPr="0055610F">
        <w:rPr>
          <w:sz w:val="22"/>
          <w:szCs w:val="22"/>
          <w:lang w:val="sr-Latn-ME"/>
        </w:rPr>
        <w:t>Značajno poboljšanje kvaliteta života vezane uz zdravlje takođe je potvrđeno značajnim poboljšanjem rezultata fizičkog zdravlja (PHS) i mentalnog zdravlja (MHS) dobivenih upitnikom SF-36. Nadalje, značajno je veći udio pacijenta postigao MCID za ove rezultate (Tabela 17).</w:t>
      </w:r>
    </w:p>
    <w:p w:rsidR="00277702" w:rsidRPr="0055610F" w:rsidRDefault="00277702" w:rsidP="004D5825">
      <w:pPr>
        <w:jc w:val="both"/>
        <w:rPr>
          <w:sz w:val="22"/>
          <w:szCs w:val="22"/>
          <w:lang w:val="sr-Latn-ME"/>
        </w:rPr>
      </w:pPr>
    </w:p>
    <w:p w:rsidR="007B7C69" w:rsidRPr="0055610F" w:rsidRDefault="007B7C69" w:rsidP="004D5825">
      <w:pPr>
        <w:jc w:val="both"/>
        <w:rPr>
          <w:b/>
          <w:sz w:val="22"/>
          <w:szCs w:val="22"/>
          <w:lang w:val="sr-Latn-ME"/>
        </w:rPr>
      </w:pPr>
      <w:r w:rsidRPr="0055610F">
        <w:rPr>
          <w:b/>
          <w:sz w:val="22"/>
          <w:szCs w:val="22"/>
          <w:lang w:val="sr-Latn-ME"/>
        </w:rPr>
        <w:t>Tabela 17. Ishod u pogledu fizičke funkcije i kvaliteta života 24. ned</w:t>
      </w:r>
      <w:r w:rsidR="00093B73" w:rsidRPr="0055610F">
        <w:rPr>
          <w:b/>
          <w:sz w:val="22"/>
          <w:szCs w:val="22"/>
          <w:lang w:val="sr-Latn-ME"/>
        </w:rPr>
        <w:t>j</w:t>
      </w:r>
      <w:r w:rsidRPr="0055610F">
        <w:rPr>
          <w:b/>
          <w:sz w:val="22"/>
          <w:szCs w:val="22"/>
          <w:lang w:val="sr-Latn-ME"/>
        </w:rPr>
        <w:t xml:space="preserve">elje u </w:t>
      </w:r>
      <w:r w:rsidR="00CA6E91" w:rsidRPr="0055610F">
        <w:rPr>
          <w:b/>
          <w:sz w:val="22"/>
          <w:szCs w:val="22"/>
          <w:lang w:val="sr-Latn-ME"/>
        </w:rPr>
        <w:t>1. studiji</w:t>
      </w:r>
    </w:p>
    <w:p w:rsidR="007B7C69" w:rsidRPr="0055610F" w:rsidRDefault="007B7C69" w:rsidP="004D5825">
      <w:pPr>
        <w:jc w:val="both"/>
        <w:rPr>
          <w:sz w:val="22"/>
          <w:szCs w:val="22"/>
          <w:lang w:val="sr-Latn-ME"/>
        </w:rPr>
      </w:pPr>
    </w:p>
    <w:tbl>
      <w:tblPr>
        <w:tblW w:w="0" w:type="auto"/>
        <w:tblInd w:w="55" w:type="dxa"/>
        <w:tblLayout w:type="fixed"/>
        <w:tblLook w:val="0000" w:firstRow="0" w:lastRow="0" w:firstColumn="0" w:lastColumn="0" w:noHBand="0" w:noVBand="0"/>
      </w:tblPr>
      <w:tblGrid>
        <w:gridCol w:w="3430"/>
        <w:gridCol w:w="1985"/>
        <w:gridCol w:w="2176"/>
      </w:tblGrid>
      <w:tr w:rsidR="007B7C69" w:rsidRPr="007642DC" w:rsidTr="007B7C69">
        <w:tc>
          <w:tcPr>
            <w:tcW w:w="3430" w:type="dxa"/>
            <w:tcBorders>
              <w:top w:val="single" w:sz="4" w:space="0" w:color="000000"/>
              <w:left w:val="single" w:sz="4" w:space="0" w:color="000000"/>
              <w:bottom w:val="single" w:sz="4" w:space="0" w:color="000000"/>
            </w:tcBorders>
          </w:tcPr>
          <w:p w:rsidR="007B7C69" w:rsidRPr="0055610F" w:rsidRDefault="007B7C69" w:rsidP="0055610F">
            <w:pPr>
              <w:keepNext/>
              <w:keepLines/>
              <w:snapToGrid w:val="0"/>
              <w:jc w:val="center"/>
              <w:outlineLvl w:val="0"/>
              <w:rPr>
                <w:b/>
                <w:sz w:val="22"/>
                <w:szCs w:val="22"/>
                <w:lang w:val="sr-Latn-ME"/>
              </w:rPr>
            </w:pPr>
            <w:r w:rsidRPr="0055610F">
              <w:rPr>
                <w:b/>
                <w:sz w:val="22"/>
                <w:szCs w:val="22"/>
                <w:lang w:val="sr-Latn-ME"/>
              </w:rPr>
              <w:t>Ishod†</w:t>
            </w:r>
          </w:p>
        </w:tc>
        <w:tc>
          <w:tcPr>
            <w:tcW w:w="1985" w:type="dxa"/>
            <w:tcBorders>
              <w:top w:val="single" w:sz="4" w:space="0" w:color="000000"/>
              <w:left w:val="single" w:sz="4" w:space="0" w:color="000000"/>
              <w:bottom w:val="single" w:sz="4" w:space="0" w:color="000000"/>
            </w:tcBorders>
          </w:tcPr>
          <w:p w:rsidR="007B7C69" w:rsidRPr="0055610F" w:rsidRDefault="007B7C69" w:rsidP="0055610F">
            <w:pPr>
              <w:keepNext/>
              <w:keepLines/>
              <w:snapToGrid w:val="0"/>
              <w:jc w:val="center"/>
              <w:outlineLvl w:val="0"/>
              <w:rPr>
                <w:b/>
                <w:sz w:val="22"/>
                <w:szCs w:val="22"/>
                <w:lang w:val="sr-Latn-ME"/>
              </w:rPr>
            </w:pPr>
            <w:r w:rsidRPr="0055610F">
              <w:rPr>
                <w:b/>
                <w:sz w:val="22"/>
                <w:szCs w:val="22"/>
                <w:lang w:val="sr-Latn-ME"/>
              </w:rPr>
              <w:t>Placebo + metotreksat</w:t>
            </w:r>
          </w:p>
        </w:tc>
        <w:tc>
          <w:tcPr>
            <w:tcW w:w="2176" w:type="dxa"/>
            <w:tcBorders>
              <w:top w:val="single" w:sz="4" w:space="0" w:color="000000"/>
              <w:left w:val="single" w:sz="4" w:space="0" w:color="000000"/>
              <w:bottom w:val="single" w:sz="4" w:space="0" w:color="000000"/>
              <w:right w:val="single" w:sz="4" w:space="0" w:color="000000"/>
            </w:tcBorders>
          </w:tcPr>
          <w:p w:rsidR="007B7C69" w:rsidRPr="0055610F" w:rsidRDefault="007B7C69" w:rsidP="0055610F">
            <w:pPr>
              <w:keepNext/>
              <w:keepLines/>
              <w:snapToGrid w:val="0"/>
              <w:jc w:val="center"/>
              <w:outlineLvl w:val="0"/>
              <w:rPr>
                <w:rFonts w:eastAsia="MS Mincho"/>
                <w:b/>
                <w:sz w:val="22"/>
                <w:szCs w:val="22"/>
                <w:lang w:val="sr-Latn-ME" w:eastAsia="ja-JP"/>
              </w:rPr>
            </w:pPr>
            <w:r w:rsidRPr="0055610F">
              <w:rPr>
                <w:rFonts w:eastAsia="MS Mincho"/>
                <w:b/>
                <w:sz w:val="22"/>
                <w:szCs w:val="22"/>
                <w:lang w:val="sr-Latn-ME" w:eastAsia="ja-JP"/>
              </w:rPr>
              <w:t>MabThera + metotreksat</w:t>
            </w:r>
          </w:p>
          <w:p w:rsidR="007B7C69" w:rsidRPr="0055610F" w:rsidRDefault="007B7C69" w:rsidP="0055610F">
            <w:pPr>
              <w:keepNext/>
              <w:keepLines/>
              <w:jc w:val="center"/>
              <w:rPr>
                <w:rFonts w:eastAsia="MS Mincho"/>
                <w:b/>
                <w:sz w:val="22"/>
                <w:szCs w:val="22"/>
                <w:shd w:val="clear" w:color="auto" w:fill="FFFF00"/>
                <w:lang w:val="sr-Latn-ME" w:eastAsia="ja-JP"/>
              </w:rPr>
            </w:pPr>
            <w:r w:rsidRPr="0055610F">
              <w:rPr>
                <w:rFonts w:eastAsia="MS Mincho"/>
                <w:b/>
                <w:sz w:val="22"/>
                <w:szCs w:val="22"/>
                <w:lang w:val="sr-Latn-ME" w:eastAsia="ja-JP"/>
              </w:rPr>
              <w:t>(2 x 1000 mg)</w:t>
            </w:r>
          </w:p>
        </w:tc>
      </w:tr>
      <w:tr w:rsidR="007B7C69" w:rsidRPr="007642DC" w:rsidTr="007B7C69">
        <w:tc>
          <w:tcPr>
            <w:tcW w:w="3430" w:type="dxa"/>
            <w:tcBorders>
              <w:top w:val="single" w:sz="4" w:space="0" w:color="000000"/>
              <w:left w:val="single" w:sz="4" w:space="0" w:color="000000"/>
            </w:tcBorders>
            <w:vAlign w:val="bottom"/>
          </w:tcPr>
          <w:p w:rsidR="007B7C69" w:rsidRPr="0055610F" w:rsidRDefault="007B7C69" w:rsidP="004D5825">
            <w:pPr>
              <w:keepNext/>
              <w:keepLines/>
              <w:snapToGrid w:val="0"/>
              <w:jc w:val="both"/>
              <w:outlineLvl w:val="0"/>
              <w:rPr>
                <w:sz w:val="22"/>
                <w:szCs w:val="22"/>
                <w:shd w:val="clear" w:color="auto" w:fill="FFFF00"/>
                <w:lang w:val="sr-Latn-ME"/>
              </w:rPr>
            </w:pPr>
          </w:p>
          <w:p w:rsidR="007B7C69" w:rsidRPr="0055610F" w:rsidRDefault="007B7C69" w:rsidP="004D5825">
            <w:pPr>
              <w:keepNext/>
              <w:keepLines/>
              <w:snapToGrid w:val="0"/>
              <w:jc w:val="both"/>
              <w:outlineLvl w:val="0"/>
              <w:rPr>
                <w:sz w:val="22"/>
                <w:szCs w:val="22"/>
                <w:shd w:val="clear" w:color="auto" w:fill="FFFF00"/>
                <w:lang w:val="sr-Latn-ME"/>
              </w:rPr>
            </w:pPr>
          </w:p>
          <w:p w:rsidR="007B7C69" w:rsidRPr="0055610F" w:rsidRDefault="007B7C69" w:rsidP="004D5825">
            <w:pPr>
              <w:keepNext/>
              <w:keepLines/>
              <w:jc w:val="both"/>
              <w:outlineLvl w:val="0"/>
              <w:rPr>
                <w:sz w:val="22"/>
                <w:szCs w:val="22"/>
                <w:lang w:val="sr-Latn-ME"/>
              </w:rPr>
            </w:pPr>
            <w:r w:rsidRPr="0055610F">
              <w:rPr>
                <w:sz w:val="22"/>
                <w:szCs w:val="22"/>
                <w:lang w:val="sr-Latn-ME"/>
              </w:rPr>
              <w:t>Srednja vrijednost promjene HAQ-DI</w:t>
            </w:r>
          </w:p>
        </w:tc>
        <w:tc>
          <w:tcPr>
            <w:tcW w:w="1985" w:type="dxa"/>
            <w:tcBorders>
              <w:top w:val="single" w:sz="4" w:space="0" w:color="000000"/>
              <w:left w:val="single" w:sz="4" w:space="0" w:color="000000"/>
            </w:tcBorders>
          </w:tcPr>
          <w:p w:rsidR="007B7C69" w:rsidRPr="0055610F" w:rsidRDefault="007B7C69" w:rsidP="004D5825">
            <w:pPr>
              <w:keepNext/>
              <w:keepLines/>
              <w:snapToGrid w:val="0"/>
              <w:jc w:val="both"/>
              <w:outlineLvl w:val="0"/>
              <w:rPr>
                <w:sz w:val="22"/>
                <w:szCs w:val="22"/>
                <w:lang w:val="sr-Latn-ME"/>
              </w:rPr>
            </w:pPr>
            <w:r w:rsidRPr="0055610F">
              <w:rPr>
                <w:sz w:val="22"/>
                <w:szCs w:val="22"/>
                <w:lang w:val="sr-Latn-ME"/>
              </w:rPr>
              <w:t>n = 201</w:t>
            </w:r>
          </w:p>
          <w:p w:rsidR="007B7C69" w:rsidRPr="0055610F" w:rsidRDefault="007B7C69" w:rsidP="004D5825">
            <w:pPr>
              <w:keepNext/>
              <w:keepLines/>
              <w:jc w:val="both"/>
              <w:outlineLvl w:val="0"/>
              <w:rPr>
                <w:sz w:val="22"/>
                <w:szCs w:val="22"/>
                <w:lang w:val="sr-Latn-ME"/>
              </w:rPr>
            </w:pPr>
          </w:p>
          <w:p w:rsidR="007B7C69" w:rsidRPr="0055610F" w:rsidRDefault="007B7C69" w:rsidP="004D5825">
            <w:pPr>
              <w:keepNext/>
              <w:keepLines/>
              <w:jc w:val="both"/>
              <w:outlineLvl w:val="0"/>
              <w:rPr>
                <w:sz w:val="22"/>
                <w:szCs w:val="22"/>
                <w:lang w:val="sr-Latn-ME"/>
              </w:rPr>
            </w:pPr>
            <w:r w:rsidRPr="0055610F">
              <w:rPr>
                <w:sz w:val="22"/>
                <w:szCs w:val="22"/>
                <w:lang w:val="sr-Latn-ME"/>
              </w:rPr>
              <w:t>0,1</w:t>
            </w:r>
          </w:p>
        </w:tc>
        <w:tc>
          <w:tcPr>
            <w:tcW w:w="2176" w:type="dxa"/>
            <w:tcBorders>
              <w:top w:val="single" w:sz="4" w:space="0" w:color="000000"/>
              <w:left w:val="single" w:sz="4" w:space="0" w:color="000000"/>
              <w:right w:val="single" w:sz="4" w:space="0" w:color="000000"/>
            </w:tcBorders>
          </w:tcPr>
          <w:p w:rsidR="007B7C69" w:rsidRPr="0055610F" w:rsidRDefault="007B7C69" w:rsidP="004D5825">
            <w:pPr>
              <w:keepNext/>
              <w:keepLines/>
              <w:snapToGrid w:val="0"/>
              <w:jc w:val="both"/>
              <w:outlineLvl w:val="0"/>
              <w:rPr>
                <w:sz w:val="22"/>
                <w:szCs w:val="22"/>
                <w:lang w:val="sr-Latn-ME"/>
              </w:rPr>
            </w:pPr>
            <w:r w:rsidRPr="0055610F">
              <w:rPr>
                <w:sz w:val="22"/>
                <w:szCs w:val="22"/>
                <w:lang w:val="sr-Latn-ME"/>
              </w:rPr>
              <w:t>n = 298</w:t>
            </w:r>
          </w:p>
          <w:p w:rsidR="007B7C69" w:rsidRPr="0055610F" w:rsidRDefault="007B7C69" w:rsidP="004D5825">
            <w:pPr>
              <w:keepNext/>
              <w:keepLines/>
              <w:jc w:val="both"/>
              <w:outlineLvl w:val="0"/>
              <w:rPr>
                <w:sz w:val="22"/>
                <w:szCs w:val="22"/>
                <w:lang w:val="sr-Latn-ME"/>
              </w:rPr>
            </w:pPr>
          </w:p>
          <w:p w:rsidR="007B7C69" w:rsidRPr="0055610F" w:rsidRDefault="007B7C69" w:rsidP="004D5825">
            <w:pPr>
              <w:keepNext/>
              <w:keepLines/>
              <w:jc w:val="both"/>
              <w:outlineLvl w:val="0"/>
              <w:rPr>
                <w:sz w:val="22"/>
                <w:szCs w:val="22"/>
                <w:lang w:val="sr-Latn-ME"/>
              </w:rPr>
            </w:pPr>
            <w:r w:rsidRPr="0055610F">
              <w:rPr>
                <w:sz w:val="22"/>
                <w:szCs w:val="22"/>
                <w:lang w:val="sr-Latn-ME"/>
              </w:rPr>
              <w:noBreakHyphen/>
              <w:t>0,4</w:t>
            </w:r>
            <w:r w:rsidRPr="0055610F">
              <w:rPr>
                <w:sz w:val="22"/>
                <w:szCs w:val="22"/>
                <w:vertAlign w:val="superscript"/>
                <w:lang w:val="sr-Latn-ME"/>
              </w:rPr>
              <w:t>***</w:t>
            </w:r>
          </w:p>
        </w:tc>
      </w:tr>
      <w:tr w:rsidR="007B7C69" w:rsidRPr="007642DC" w:rsidTr="007B7C69">
        <w:tc>
          <w:tcPr>
            <w:tcW w:w="3430" w:type="dxa"/>
            <w:tcBorders>
              <w:left w:val="single" w:sz="4" w:space="0" w:color="000000"/>
            </w:tcBorders>
            <w:vAlign w:val="bottom"/>
          </w:tcPr>
          <w:p w:rsidR="007B7C69" w:rsidRPr="0055610F" w:rsidRDefault="007B7C69" w:rsidP="004D5825">
            <w:pPr>
              <w:keepNext/>
              <w:keepLines/>
              <w:snapToGrid w:val="0"/>
              <w:jc w:val="both"/>
              <w:outlineLvl w:val="0"/>
              <w:rPr>
                <w:sz w:val="22"/>
                <w:szCs w:val="22"/>
                <w:lang w:val="sr-Latn-ME"/>
              </w:rPr>
            </w:pPr>
            <w:r w:rsidRPr="0055610F">
              <w:rPr>
                <w:sz w:val="22"/>
                <w:szCs w:val="22"/>
                <w:lang w:val="sr-Latn-ME"/>
              </w:rPr>
              <w:t>% pacijenata sa HAQ-DI MCID</w:t>
            </w:r>
          </w:p>
        </w:tc>
        <w:tc>
          <w:tcPr>
            <w:tcW w:w="1985" w:type="dxa"/>
            <w:tcBorders>
              <w:left w:val="single" w:sz="4" w:space="0" w:color="000000"/>
            </w:tcBorders>
          </w:tcPr>
          <w:p w:rsidR="007B7C69" w:rsidRPr="0055610F" w:rsidRDefault="007B7C69" w:rsidP="004D5825">
            <w:pPr>
              <w:keepNext/>
              <w:keepLines/>
              <w:snapToGrid w:val="0"/>
              <w:jc w:val="both"/>
              <w:outlineLvl w:val="0"/>
              <w:rPr>
                <w:sz w:val="22"/>
                <w:szCs w:val="22"/>
                <w:lang w:val="sr-Latn-ME"/>
              </w:rPr>
            </w:pPr>
            <w:r w:rsidRPr="0055610F">
              <w:rPr>
                <w:sz w:val="22"/>
                <w:szCs w:val="22"/>
                <w:lang w:val="sr-Latn-ME"/>
              </w:rPr>
              <w:t>20%</w:t>
            </w:r>
          </w:p>
        </w:tc>
        <w:tc>
          <w:tcPr>
            <w:tcW w:w="2176" w:type="dxa"/>
            <w:tcBorders>
              <w:left w:val="single" w:sz="4" w:space="0" w:color="000000"/>
              <w:right w:val="single" w:sz="4" w:space="0" w:color="000000"/>
            </w:tcBorders>
          </w:tcPr>
          <w:p w:rsidR="007B7C69" w:rsidRPr="0055610F" w:rsidRDefault="007B7C69" w:rsidP="004D5825">
            <w:pPr>
              <w:keepNext/>
              <w:keepLines/>
              <w:snapToGrid w:val="0"/>
              <w:jc w:val="both"/>
              <w:outlineLvl w:val="0"/>
              <w:rPr>
                <w:sz w:val="22"/>
                <w:szCs w:val="22"/>
                <w:lang w:val="sr-Latn-ME"/>
              </w:rPr>
            </w:pPr>
            <w:r w:rsidRPr="0055610F">
              <w:rPr>
                <w:sz w:val="22"/>
                <w:szCs w:val="22"/>
                <w:lang w:val="sr-Latn-ME"/>
              </w:rPr>
              <w:t>51%</w:t>
            </w:r>
          </w:p>
        </w:tc>
      </w:tr>
      <w:tr w:rsidR="007B7C69" w:rsidRPr="007642DC" w:rsidTr="007B7C69">
        <w:tc>
          <w:tcPr>
            <w:tcW w:w="3430" w:type="dxa"/>
            <w:tcBorders>
              <w:left w:val="single" w:sz="4" w:space="0" w:color="000000"/>
            </w:tcBorders>
            <w:vAlign w:val="bottom"/>
          </w:tcPr>
          <w:p w:rsidR="007B7C69" w:rsidRPr="0055610F" w:rsidRDefault="007B7C69" w:rsidP="004D5825">
            <w:pPr>
              <w:keepNext/>
              <w:keepLines/>
              <w:snapToGrid w:val="0"/>
              <w:jc w:val="both"/>
              <w:outlineLvl w:val="0"/>
              <w:rPr>
                <w:sz w:val="22"/>
                <w:szCs w:val="22"/>
                <w:lang w:val="sr-Latn-ME"/>
              </w:rPr>
            </w:pPr>
            <w:r w:rsidRPr="0055610F">
              <w:rPr>
                <w:sz w:val="22"/>
                <w:szCs w:val="22"/>
                <w:lang w:val="sr-Latn-ME"/>
              </w:rPr>
              <w:t>Srednja vrijednost promjene FACIT-T</w:t>
            </w:r>
          </w:p>
        </w:tc>
        <w:tc>
          <w:tcPr>
            <w:tcW w:w="1985" w:type="dxa"/>
            <w:tcBorders>
              <w:left w:val="single" w:sz="4" w:space="0" w:color="000000"/>
            </w:tcBorders>
          </w:tcPr>
          <w:p w:rsidR="007B7C69" w:rsidRPr="0055610F" w:rsidRDefault="007B7C69" w:rsidP="004D5825">
            <w:pPr>
              <w:keepNext/>
              <w:keepLines/>
              <w:snapToGrid w:val="0"/>
              <w:jc w:val="both"/>
              <w:outlineLvl w:val="0"/>
              <w:rPr>
                <w:sz w:val="22"/>
                <w:szCs w:val="22"/>
                <w:lang w:val="sr-Latn-ME"/>
              </w:rPr>
            </w:pPr>
            <w:r w:rsidRPr="0055610F">
              <w:rPr>
                <w:sz w:val="22"/>
                <w:szCs w:val="22"/>
                <w:lang w:val="sr-Latn-ME"/>
              </w:rPr>
              <w:noBreakHyphen/>
              <w:t>0,5</w:t>
            </w:r>
          </w:p>
        </w:tc>
        <w:tc>
          <w:tcPr>
            <w:tcW w:w="2176" w:type="dxa"/>
            <w:tcBorders>
              <w:left w:val="single" w:sz="4" w:space="0" w:color="000000"/>
              <w:right w:val="single" w:sz="4" w:space="0" w:color="000000"/>
            </w:tcBorders>
          </w:tcPr>
          <w:p w:rsidR="007B7C69" w:rsidRPr="0055610F" w:rsidRDefault="007B7C69" w:rsidP="004D5825">
            <w:pPr>
              <w:keepNext/>
              <w:keepLines/>
              <w:snapToGrid w:val="0"/>
              <w:jc w:val="both"/>
              <w:outlineLvl w:val="0"/>
              <w:rPr>
                <w:sz w:val="22"/>
                <w:szCs w:val="22"/>
                <w:shd w:val="clear" w:color="auto" w:fill="FFFF00"/>
                <w:lang w:val="sr-Latn-ME"/>
              </w:rPr>
            </w:pPr>
            <w:r w:rsidRPr="0055610F">
              <w:rPr>
                <w:sz w:val="22"/>
                <w:szCs w:val="22"/>
                <w:lang w:val="sr-Latn-ME"/>
              </w:rPr>
              <w:noBreakHyphen/>
              <w:t>9,1</w:t>
            </w:r>
            <w:r w:rsidRPr="0055610F">
              <w:rPr>
                <w:sz w:val="22"/>
                <w:szCs w:val="22"/>
                <w:vertAlign w:val="superscript"/>
                <w:lang w:val="sr-Latn-ME"/>
              </w:rPr>
              <w:t>***</w:t>
            </w:r>
          </w:p>
        </w:tc>
      </w:tr>
      <w:tr w:rsidR="007B7C69" w:rsidRPr="007642DC" w:rsidTr="007B7C69">
        <w:tc>
          <w:tcPr>
            <w:tcW w:w="3430" w:type="dxa"/>
            <w:tcBorders>
              <w:left w:val="single" w:sz="4" w:space="0" w:color="000000"/>
            </w:tcBorders>
            <w:vAlign w:val="bottom"/>
          </w:tcPr>
          <w:p w:rsidR="007B7C69" w:rsidRPr="0055610F" w:rsidRDefault="007B7C69" w:rsidP="004D5825">
            <w:pPr>
              <w:keepNext/>
              <w:keepLines/>
              <w:snapToGrid w:val="0"/>
              <w:jc w:val="both"/>
              <w:outlineLvl w:val="0"/>
              <w:rPr>
                <w:sz w:val="22"/>
                <w:szCs w:val="22"/>
                <w:shd w:val="clear" w:color="auto" w:fill="FFFF00"/>
                <w:lang w:val="sr-Latn-ME"/>
              </w:rPr>
            </w:pPr>
          </w:p>
          <w:p w:rsidR="007B7C69" w:rsidRPr="0055610F" w:rsidRDefault="007B7C69" w:rsidP="004D5825">
            <w:pPr>
              <w:keepNext/>
              <w:keepLines/>
              <w:snapToGrid w:val="0"/>
              <w:jc w:val="both"/>
              <w:outlineLvl w:val="0"/>
              <w:rPr>
                <w:sz w:val="22"/>
                <w:szCs w:val="22"/>
                <w:lang w:val="sr-Latn-ME"/>
              </w:rPr>
            </w:pPr>
          </w:p>
          <w:p w:rsidR="007B7C69" w:rsidRPr="0055610F" w:rsidRDefault="007B7C69" w:rsidP="004D5825">
            <w:pPr>
              <w:keepNext/>
              <w:keepLines/>
              <w:jc w:val="both"/>
              <w:outlineLvl w:val="0"/>
              <w:rPr>
                <w:sz w:val="22"/>
                <w:szCs w:val="22"/>
                <w:lang w:val="sr-Latn-ME"/>
              </w:rPr>
            </w:pPr>
            <w:r w:rsidRPr="0055610F">
              <w:rPr>
                <w:sz w:val="22"/>
                <w:szCs w:val="22"/>
                <w:lang w:val="sr-Latn-ME"/>
              </w:rPr>
              <w:t>Srednja vrijednost promjene SF-36 PHS</w:t>
            </w:r>
          </w:p>
        </w:tc>
        <w:tc>
          <w:tcPr>
            <w:tcW w:w="1985" w:type="dxa"/>
            <w:tcBorders>
              <w:left w:val="single" w:sz="4" w:space="0" w:color="000000"/>
            </w:tcBorders>
          </w:tcPr>
          <w:p w:rsidR="007B7C69" w:rsidRPr="0055610F" w:rsidRDefault="007B7C69" w:rsidP="004D5825">
            <w:pPr>
              <w:keepNext/>
              <w:keepLines/>
              <w:snapToGrid w:val="0"/>
              <w:jc w:val="both"/>
              <w:outlineLvl w:val="0"/>
              <w:rPr>
                <w:sz w:val="22"/>
                <w:szCs w:val="22"/>
                <w:lang w:val="sr-Latn-ME"/>
              </w:rPr>
            </w:pPr>
            <w:r w:rsidRPr="0055610F">
              <w:rPr>
                <w:sz w:val="22"/>
                <w:szCs w:val="22"/>
                <w:lang w:val="sr-Latn-ME"/>
              </w:rPr>
              <w:t>n = 197</w:t>
            </w:r>
          </w:p>
          <w:p w:rsidR="007B7C69" w:rsidRPr="0055610F" w:rsidRDefault="007B7C69" w:rsidP="004D5825">
            <w:pPr>
              <w:keepNext/>
              <w:keepLines/>
              <w:jc w:val="both"/>
              <w:outlineLvl w:val="0"/>
              <w:rPr>
                <w:sz w:val="22"/>
                <w:szCs w:val="22"/>
                <w:lang w:val="sr-Latn-ME"/>
              </w:rPr>
            </w:pPr>
          </w:p>
          <w:p w:rsidR="007B7C69" w:rsidRPr="0055610F" w:rsidRDefault="007B7C69" w:rsidP="004D5825">
            <w:pPr>
              <w:keepNext/>
              <w:keepLines/>
              <w:jc w:val="both"/>
              <w:outlineLvl w:val="0"/>
              <w:rPr>
                <w:sz w:val="22"/>
                <w:szCs w:val="22"/>
                <w:lang w:val="sr-Latn-ME"/>
              </w:rPr>
            </w:pPr>
            <w:r w:rsidRPr="0055610F">
              <w:rPr>
                <w:sz w:val="22"/>
                <w:szCs w:val="22"/>
                <w:lang w:val="sr-Latn-ME"/>
              </w:rPr>
              <w:t>0,9</w:t>
            </w:r>
          </w:p>
        </w:tc>
        <w:tc>
          <w:tcPr>
            <w:tcW w:w="2176" w:type="dxa"/>
            <w:tcBorders>
              <w:left w:val="single" w:sz="4" w:space="0" w:color="000000"/>
              <w:right w:val="single" w:sz="4" w:space="0" w:color="000000"/>
            </w:tcBorders>
          </w:tcPr>
          <w:p w:rsidR="007B7C69" w:rsidRPr="0055610F" w:rsidRDefault="007B7C69" w:rsidP="004D5825">
            <w:pPr>
              <w:keepNext/>
              <w:keepLines/>
              <w:snapToGrid w:val="0"/>
              <w:jc w:val="both"/>
              <w:outlineLvl w:val="0"/>
              <w:rPr>
                <w:sz w:val="22"/>
                <w:szCs w:val="22"/>
                <w:lang w:val="sr-Latn-ME"/>
              </w:rPr>
            </w:pPr>
            <w:r w:rsidRPr="0055610F">
              <w:rPr>
                <w:sz w:val="22"/>
                <w:szCs w:val="22"/>
                <w:lang w:val="sr-Latn-ME"/>
              </w:rPr>
              <w:t>n = 294</w:t>
            </w:r>
          </w:p>
          <w:p w:rsidR="007B7C69" w:rsidRPr="0055610F" w:rsidRDefault="007B7C69" w:rsidP="004D5825">
            <w:pPr>
              <w:keepNext/>
              <w:keepLines/>
              <w:jc w:val="both"/>
              <w:outlineLvl w:val="0"/>
              <w:rPr>
                <w:sz w:val="22"/>
                <w:szCs w:val="22"/>
                <w:lang w:val="sr-Latn-ME"/>
              </w:rPr>
            </w:pPr>
          </w:p>
          <w:p w:rsidR="007B7C69" w:rsidRPr="0055610F" w:rsidRDefault="007B7C69" w:rsidP="004D5825">
            <w:pPr>
              <w:keepNext/>
              <w:keepLines/>
              <w:jc w:val="both"/>
              <w:outlineLvl w:val="0"/>
              <w:rPr>
                <w:sz w:val="22"/>
                <w:szCs w:val="22"/>
                <w:lang w:val="sr-Latn-ME"/>
              </w:rPr>
            </w:pPr>
            <w:r w:rsidRPr="0055610F">
              <w:rPr>
                <w:sz w:val="22"/>
                <w:szCs w:val="22"/>
                <w:lang w:val="sr-Latn-ME"/>
              </w:rPr>
              <w:t>5,8</w:t>
            </w:r>
            <w:r w:rsidRPr="0055610F">
              <w:rPr>
                <w:sz w:val="22"/>
                <w:szCs w:val="22"/>
                <w:vertAlign w:val="superscript"/>
                <w:lang w:val="sr-Latn-ME"/>
              </w:rPr>
              <w:t>***</w:t>
            </w:r>
          </w:p>
        </w:tc>
      </w:tr>
      <w:tr w:rsidR="007B7C69" w:rsidRPr="007642DC" w:rsidTr="007B7C69">
        <w:tc>
          <w:tcPr>
            <w:tcW w:w="3430" w:type="dxa"/>
            <w:tcBorders>
              <w:left w:val="single" w:sz="4" w:space="0" w:color="000000"/>
            </w:tcBorders>
            <w:vAlign w:val="bottom"/>
          </w:tcPr>
          <w:p w:rsidR="007B7C69" w:rsidRPr="0055610F" w:rsidRDefault="007B7C69" w:rsidP="004D5825">
            <w:pPr>
              <w:keepNext/>
              <w:keepLines/>
              <w:snapToGrid w:val="0"/>
              <w:jc w:val="both"/>
              <w:outlineLvl w:val="0"/>
              <w:rPr>
                <w:sz w:val="22"/>
                <w:szCs w:val="22"/>
                <w:lang w:val="sr-Latn-ME"/>
              </w:rPr>
            </w:pPr>
            <w:r w:rsidRPr="0055610F">
              <w:rPr>
                <w:sz w:val="22"/>
                <w:szCs w:val="22"/>
                <w:lang w:val="sr-Latn-ME"/>
              </w:rPr>
              <w:t>% pacijenata sa SF-36 PHS MCID</w:t>
            </w:r>
          </w:p>
        </w:tc>
        <w:tc>
          <w:tcPr>
            <w:tcW w:w="1985" w:type="dxa"/>
            <w:tcBorders>
              <w:left w:val="single" w:sz="4" w:space="0" w:color="000000"/>
            </w:tcBorders>
          </w:tcPr>
          <w:p w:rsidR="007B7C69" w:rsidRPr="0055610F" w:rsidRDefault="007B7C69" w:rsidP="004D5825">
            <w:pPr>
              <w:keepNext/>
              <w:keepLines/>
              <w:snapToGrid w:val="0"/>
              <w:jc w:val="both"/>
              <w:outlineLvl w:val="0"/>
              <w:rPr>
                <w:sz w:val="22"/>
                <w:szCs w:val="22"/>
                <w:lang w:val="sr-Latn-ME"/>
              </w:rPr>
            </w:pPr>
            <w:r w:rsidRPr="0055610F">
              <w:rPr>
                <w:sz w:val="22"/>
                <w:szCs w:val="22"/>
                <w:lang w:val="sr-Latn-ME"/>
              </w:rPr>
              <w:t>13%</w:t>
            </w:r>
          </w:p>
        </w:tc>
        <w:tc>
          <w:tcPr>
            <w:tcW w:w="2176" w:type="dxa"/>
            <w:tcBorders>
              <w:left w:val="single" w:sz="4" w:space="0" w:color="000000"/>
              <w:right w:val="single" w:sz="4" w:space="0" w:color="000000"/>
            </w:tcBorders>
          </w:tcPr>
          <w:p w:rsidR="007B7C69" w:rsidRPr="0055610F" w:rsidRDefault="007B7C69" w:rsidP="004D5825">
            <w:pPr>
              <w:keepNext/>
              <w:keepLines/>
              <w:snapToGrid w:val="0"/>
              <w:jc w:val="both"/>
              <w:outlineLvl w:val="0"/>
              <w:rPr>
                <w:sz w:val="22"/>
                <w:szCs w:val="22"/>
                <w:lang w:val="sr-Latn-ME"/>
              </w:rPr>
            </w:pPr>
            <w:r w:rsidRPr="0055610F">
              <w:rPr>
                <w:sz w:val="22"/>
                <w:szCs w:val="22"/>
                <w:lang w:val="sr-Latn-ME"/>
              </w:rPr>
              <w:t>48%</w:t>
            </w:r>
            <w:r w:rsidRPr="0055610F">
              <w:rPr>
                <w:sz w:val="22"/>
                <w:szCs w:val="22"/>
                <w:vertAlign w:val="superscript"/>
                <w:lang w:val="sr-Latn-ME"/>
              </w:rPr>
              <w:t>***</w:t>
            </w:r>
          </w:p>
        </w:tc>
      </w:tr>
      <w:tr w:rsidR="007B7C69" w:rsidRPr="007642DC" w:rsidTr="007B7C69">
        <w:tc>
          <w:tcPr>
            <w:tcW w:w="3430" w:type="dxa"/>
            <w:tcBorders>
              <w:left w:val="single" w:sz="4" w:space="0" w:color="000000"/>
            </w:tcBorders>
            <w:vAlign w:val="bottom"/>
          </w:tcPr>
          <w:p w:rsidR="007B7C69" w:rsidRPr="0055610F" w:rsidRDefault="007B7C69" w:rsidP="004D5825">
            <w:pPr>
              <w:snapToGrid w:val="0"/>
              <w:jc w:val="both"/>
              <w:outlineLvl w:val="0"/>
              <w:rPr>
                <w:sz w:val="22"/>
                <w:szCs w:val="22"/>
                <w:lang w:val="sr-Latn-ME"/>
              </w:rPr>
            </w:pPr>
            <w:r w:rsidRPr="0055610F">
              <w:rPr>
                <w:sz w:val="22"/>
                <w:szCs w:val="22"/>
                <w:lang w:val="sr-Latn-ME"/>
              </w:rPr>
              <w:t>Srednja vrijednost promjene SF-36 MHS</w:t>
            </w:r>
          </w:p>
        </w:tc>
        <w:tc>
          <w:tcPr>
            <w:tcW w:w="1985" w:type="dxa"/>
            <w:tcBorders>
              <w:left w:val="single" w:sz="4" w:space="0" w:color="000000"/>
            </w:tcBorders>
          </w:tcPr>
          <w:p w:rsidR="007B7C69" w:rsidRPr="0055610F" w:rsidRDefault="007B7C69" w:rsidP="004D5825">
            <w:pPr>
              <w:snapToGrid w:val="0"/>
              <w:jc w:val="both"/>
              <w:outlineLvl w:val="0"/>
              <w:rPr>
                <w:sz w:val="22"/>
                <w:szCs w:val="22"/>
                <w:lang w:val="sr-Latn-ME"/>
              </w:rPr>
            </w:pPr>
            <w:r w:rsidRPr="0055610F">
              <w:rPr>
                <w:sz w:val="22"/>
                <w:szCs w:val="22"/>
                <w:lang w:val="sr-Latn-ME"/>
              </w:rPr>
              <w:t>1,3</w:t>
            </w:r>
          </w:p>
        </w:tc>
        <w:tc>
          <w:tcPr>
            <w:tcW w:w="2176" w:type="dxa"/>
            <w:tcBorders>
              <w:left w:val="single" w:sz="4" w:space="0" w:color="000000"/>
              <w:right w:val="single" w:sz="4" w:space="0" w:color="000000"/>
            </w:tcBorders>
          </w:tcPr>
          <w:p w:rsidR="007B7C69" w:rsidRPr="0055610F" w:rsidRDefault="007B7C69" w:rsidP="004D5825">
            <w:pPr>
              <w:snapToGrid w:val="0"/>
              <w:jc w:val="both"/>
              <w:outlineLvl w:val="0"/>
              <w:rPr>
                <w:sz w:val="22"/>
                <w:szCs w:val="22"/>
                <w:lang w:val="sr-Latn-ME"/>
              </w:rPr>
            </w:pPr>
            <w:r w:rsidRPr="0055610F">
              <w:rPr>
                <w:sz w:val="22"/>
                <w:szCs w:val="22"/>
                <w:lang w:val="sr-Latn-ME"/>
              </w:rPr>
              <w:t>4,7</w:t>
            </w:r>
            <w:r w:rsidRPr="0055610F">
              <w:rPr>
                <w:sz w:val="22"/>
                <w:szCs w:val="22"/>
                <w:vertAlign w:val="superscript"/>
                <w:lang w:val="sr-Latn-ME"/>
              </w:rPr>
              <w:t>**</w:t>
            </w:r>
          </w:p>
        </w:tc>
      </w:tr>
      <w:tr w:rsidR="007B7C69" w:rsidRPr="007642DC" w:rsidTr="007B7C69">
        <w:tc>
          <w:tcPr>
            <w:tcW w:w="3430" w:type="dxa"/>
            <w:tcBorders>
              <w:left w:val="single" w:sz="4" w:space="0" w:color="000000"/>
              <w:bottom w:val="single" w:sz="4" w:space="0" w:color="000000"/>
            </w:tcBorders>
            <w:vAlign w:val="bottom"/>
          </w:tcPr>
          <w:p w:rsidR="007B7C69" w:rsidRPr="0055610F" w:rsidRDefault="007B7C69" w:rsidP="004D5825">
            <w:pPr>
              <w:keepNext/>
              <w:snapToGrid w:val="0"/>
              <w:jc w:val="both"/>
              <w:outlineLvl w:val="0"/>
              <w:rPr>
                <w:sz w:val="22"/>
                <w:szCs w:val="22"/>
                <w:lang w:val="sr-Latn-ME"/>
              </w:rPr>
            </w:pPr>
            <w:r w:rsidRPr="0055610F">
              <w:rPr>
                <w:sz w:val="22"/>
                <w:szCs w:val="22"/>
                <w:lang w:val="sr-Latn-ME"/>
              </w:rPr>
              <w:t>% pacijenata sa SF-36 MHS MCID</w:t>
            </w:r>
          </w:p>
        </w:tc>
        <w:tc>
          <w:tcPr>
            <w:tcW w:w="1985" w:type="dxa"/>
            <w:tcBorders>
              <w:left w:val="single" w:sz="4" w:space="0" w:color="000000"/>
              <w:bottom w:val="single" w:sz="4" w:space="0" w:color="000000"/>
            </w:tcBorders>
          </w:tcPr>
          <w:p w:rsidR="007B7C69" w:rsidRPr="0055610F" w:rsidRDefault="007B7C69" w:rsidP="004D5825">
            <w:pPr>
              <w:keepNext/>
              <w:snapToGrid w:val="0"/>
              <w:jc w:val="both"/>
              <w:outlineLvl w:val="0"/>
              <w:rPr>
                <w:sz w:val="22"/>
                <w:szCs w:val="22"/>
                <w:lang w:val="sr-Latn-ME"/>
              </w:rPr>
            </w:pPr>
            <w:r w:rsidRPr="0055610F">
              <w:rPr>
                <w:sz w:val="22"/>
                <w:szCs w:val="22"/>
                <w:lang w:val="sr-Latn-ME"/>
              </w:rPr>
              <w:t>20%</w:t>
            </w:r>
          </w:p>
        </w:tc>
        <w:tc>
          <w:tcPr>
            <w:tcW w:w="2176" w:type="dxa"/>
            <w:tcBorders>
              <w:left w:val="single" w:sz="4" w:space="0" w:color="000000"/>
              <w:bottom w:val="single" w:sz="4" w:space="0" w:color="000000"/>
              <w:right w:val="single" w:sz="4" w:space="0" w:color="000000"/>
            </w:tcBorders>
          </w:tcPr>
          <w:p w:rsidR="007B7C69" w:rsidRPr="0055610F" w:rsidRDefault="007B7C69" w:rsidP="004D5825">
            <w:pPr>
              <w:keepNext/>
              <w:snapToGrid w:val="0"/>
              <w:jc w:val="both"/>
              <w:outlineLvl w:val="0"/>
              <w:rPr>
                <w:sz w:val="22"/>
                <w:szCs w:val="22"/>
                <w:lang w:val="sr-Latn-ME"/>
              </w:rPr>
            </w:pPr>
            <w:r w:rsidRPr="0055610F">
              <w:rPr>
                <w:sz w:val="22"/>
                <w:szCs w:val="22"/>
                <w:lang w:val="sr-Latn-ME"/>
              </w:rPr>
              <w:t>38%</w:t>
            </w:r>
            <w:r w:rsidRPr="0055610F">
              <w:rPr>
                <w:sz w:val="22"/>
                <w:szCs w:val="22"/>
                <w:vertAlign w:val="superscript"/>
                <w:lang w:val="sr-Latn-ME"/>
              </w:rPr>
              <w:t>*</w:t>
            </w:r>
          </w:p>
        </w:tc>
      </w:tr>
    </w:tbl>
    <w:p w:rsidR="007B7C69" w:rsidRPr="0055610F" w:rsidRDefault="007B7C69" w:rsidP="004D5825">
      <w:pPr>
        <w:keepNext/>
        <w:jc w:val="both"/>
        <w:outlineLvl w:val="0"/>
        <w:rPr>
          <w:sz w:val="22"/>
          <w:szCs w:val="22"/>
          <w:lang w:val="sr-Latn-ME"/>
        </w:rPr>
      </w:pPr>
      <w:r w:rsidRPr="0055610F">
        <w:rPr>
          <w:sz w:val="22"/>
          <w:szCs w:val="22"/>
          <w:lang w:val="sr-Latn-ME"/>
        </w:rPr>
        <w:t>† Ishod nakon 24 nedjelje</w:t>
      </w:r>
    </w:p>
    <w:p w:rsidR="007B7C69" w:rsidRPr="0055610F" w:rsidRDefault="007B7C69" w:rsidP="004D5825">
      <w:pPr>
        <w:keepNext/>
        <w:jc w:val="both"/>
        <w:outlineLvl w:val="0"/>
        <w:rPr>
          <w:sz w:val="22"/>
          <w:szCs w:val="22"/>
          <w:lang w:val="sr-Latn-ME"/>
        </w:rPr>
      </w:pPr>
      <w:r w:rsidRPr="0055610F">
        <w:rPr>
          <w:sz w:val="22"/>
          <w:szCs w:val="22"/>
          <w:lang w:val="sr-Latn-ME"/>
        </w:rPr>
        <w:t>Značajna razlika u odnosu na placebo u primarnoj vremenskoj tački: * p &lt; 0,05, **p &lt; 0,001, ***p ≤ 0,0001</w:t>
      </w:r>
    </w:p>
    <w:p w:rsidR="007B7C69" w:rsidRPr="0055610F" w:rsidRDefault="007B7C69" w:rsidP="004D5825">
      <w:pPr>
        <w:jc w:val="both"/>
        <w:outlineLvl w:val="0"/>
        <w:rPr>
          <w:sz w:val="22"/>
          <w:szCs w:val="22"/>
          <w:lang w:val="sr-Latn-ME"/>
        </w:rPr>
      </w:pPr>
      <w:r w:rsidRPr="0055610F">
        <w:rPr>
          <w:sz w:val="22"/>
          <w:szCs w:val="22"/>
          <w:lang w:val="sr-Latn-ME"/>
        </w:rPr>
        <w:t>MCID HAQ-DI ≥ 0,22, MCID SF-36 PHS &gt; 5,42, MCID SF-36 MHS &gt; 6,33</w:t>
      </w:r>
    </w:p>
    <w:p w:rsidR="007B7C69" w:rsidRPr="0055610F" w:rsidRDefault="007B7C69" w:rsidP="004D5825">
      <w:pPr>
        <w:jc w:val="both"/>
        <w:outlineLvl w:val="0"/>
        <w:rPr>
          <w:sz w:val="22"/>
          <w:szCs w:val="22"/>
          <w:lang w:val="sr-Latn-ME"/>
        </w:rPr>
      </w:pPr>
    </w:p>
    <w:p w:rsidR="007B7C69" w:rsidRPr="0055610F" w:rsidRDefault="007B7C69" w:rsidP="004D5825">
      <w:pPr>
        <w:keepNext/>
        <w:jc w:val="both"/>
        <w:outlineLvl w:val="0"/>
        <w:rPr>
          <w:i/>
          <w:sz w:val="22"/>
          <w:szCs w:val="22"/>
          <w:lang w:val="sr-Latn-ME"/>
        </w:rPr>
      </w:pPr>
      <w:r w:rsidRPr="0055610F">
        <w:rPr>
          <w:i/>
          <w:sz w:val="22"/>
          <w:szCs w:val="22"/>
          <w:lang w:val="sr-Latn-ME"/>
        </w:rPr>
        <w:t>Efikasnost kod pacijenata seropozitivnih na autoantitijela (RF i/ili anti</w:t>
      </w:r>
      <w:r w:rsidRPr="0055610F">
        <w:rPr>
          <w:i/>
          <w:sz w:val="22"/>
          <w:szCs w:val="22"/>
          <w:lang w:val="sr-Latn-ME"/>
        </w:rPr>
        <w:noBreakHyphen/>
        <w:t xml:space="preserve">CCP) </w:t>
      </w:r>
    </w:p>
    <w:p w:rsidR="007B7C69" w:rsidRPr="0055610F" w:rsidRDefault="007B7C69" w:rsidP="004D5825">
      <w:pPr>
        <w:jc w:val="both"/>
        <w:outlineLvl w:val="0"/>
        <w:rPr>
          <w:sz w:val="22"/>
          <w:szCs w:val="22"/>
          <w:lang w:val="sr-Latn-ME"/>
        </w:rPr>
      </w:pPr>
      <w:r w:rsidRPr="0055610F">
        <w:rPr>
          <w:sz w:val="22"/>
          <w:szCs w:val="22"/>
          <w:lang w:val="sr-Latn-ME"/>
        </w:rPr>
        <w:t>Pacijenti seropozitivni na reumatoidni faktor (RF) i/ili antitijela na ciklične citrulinirane peptide (anti</w:t>
      </w:r>
      <w:r w:rsidRPr="0055610F">
        <w:rPr>
          <w:sz w:val="22"/>
          <w:szCs w:val="22"/>
          <w:lang w:val="sr-Latn-ME"/>
        </w:rPr>
        <w:noBreakHyphen/>
        <w:t>CCP) koji su liječeni lijekom MabThera i metotreksatom na liječenje su odgovorili bolje nego pacijenti koji su bili negativni na oba antitijela.</w:t>
      </w:r>
    </w:p>
    <w:p w:rsidR="007B7C69" w:rsidRPr="0055610F" w:rsidRDefault="007B7C69" w:rsidP="004D5825">
      <w:pPr>
        <w:jc w:val="both"/>
        <w:outlineLvl w:val="0"/>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Ishodi djelotvornosti kod pacijenata liječenih lijekom MabThera analizirani su na osnovu statusa autoantitijela prije početka liječenja. Pacijenti koji su bili seropozitivni na RF i/ili anti</w:t>
      </w:r>
      <w:r w:rsidRPr="0055610F">
        <w:rPr>
          <w:sz w:val="22"/>
          <w:szCs w:val="22"/>
          <w:lang w:val="sr-Latn-ME"/>
        </w:rPr>
        <w:noBreakHyphen/>
        <w:t>CCP na početku liječenja u 24. su nedjelji imali značajno veću vjerovatnost da će postići odgovor ACR20 i ACR50 u pore</w:t>
      </w:r>
      <w:r w:rsidR="009B5886" w:rsidRPr="007642DC">
        <w:rPr>
          <w:sz w:val="22"/>
          <w:szCs w:val="22"/>
          <w:lang w:val="sr-Latn-ME"/>
        </w:rPr>
        <w:t>đ</w:t>
      </w:r>
      <w:r w:rsidRPr="0055610F">
        <w:rPr>
          <w:sz w:val="22"/>
          <w:szCs w:val="22"/>
          <w:lang w:val="sr-Latn-ME"/>
        </w:rPr>
        <w:t>enju sa seronegativnim pacijentima (p = 0,0312 i p = 0,0096) (Tabela 18). Ti su nalazi ponovljeni u 48. nedjelji, kada je seropozitivnost na autoantitijela takođe prouzrokovala značajno veću vjerovatnost postizanja odgovora ACR70. Seropozitivni pacijenti imali su 2-3 puta veću vjerovatnost postizanja ACR odgovora u 48. nedjelji nego seronegativni pacijenti. Seropozitivni pacijenti također su pokazali značajno veće smanjenje indeksa DAS28</w:t>
      </w:r>
      <w:r w:rsidRPr="0055610F">
        <w:rPr>
          <w:sz w:val="22"/>
          <w:szCs w:val="22"/>
          <w:lang w:val="sr-Latn-ME"/>
        </w:rPr>
        <w:noBreakHyphen/>
        <w:t>ESR (engl. Eritrocite Sedimentation Rate) u pore</w:t>
      </w:r>
      <w:r w:rsidRPr="007642DC">
        <w:rPr>
          <w:sz w:val="22"/>
          <w:szCs w:val="22"/>
          <w:lang w:val="sr-Latn-ME"/>
        </w:rPr>
        <w:t>đenju</w:t>
      </w:r>
      <w:r w:rsidRPr="0055610F">
        <w:rPr>
          <w:sz w:val="22"/>
          <w:szCs w:val="22"/>
          <w:lang w:val="sr-Latn-ME"/>
        </w:rPr>
        <w:t xml:space="preserve"> sa seronegativnim pacijentima (Slika 1).</w:t>
      </w:r>
    </w:p>
    <w:p w:rsidR="007B7C69" w:rsidRPr="0055610F" w:rsidRDefault="007B7C69" w:rsidP="004D5825">
      <w:pPr>
        <w:jc w:val="both"/>
        <w:outlineLvl w:val="0"/>
        <w:rPr>
          <w:sz w:val="22"/>
          <w:szCs w:val="22"/>
          <w:lang w:val="sr-Latn-ME"/>
        </w:rPr>
      </w:pPr>
    </w:p>
    <w:p w:rsidR="007B7C69" w:rsidRPr="0055610F" w:rsidRDefault="007B7C69" w:rsidP="004D5825">
      <w:pPr>
        <w:keepNext/>
        <w:ind w:left="1134" w:hanging="1134"/>
        <w:jc w:val="both"/>
        <w:outlineLvl w:val="0"/>
        <w:rPr>
          <w:b/>
          <w:sz w:val="22"/>
          <w:szCs w:val="22"/>
          <w:lang w:val="sr-Latn-ME"/>
        </w:rPr>
      </w:pPr>
      <w:r w:rsidRPr="0055610F">
        <w:rPr>
          <w:b/>
          <w:sz w:val="22"/>
          <w:szCs w:val="22"/>
          <w:lang w:val="sr-Latn-ME"/>
        </w:rPr>
        <w:t xml:space="preserve">Tabela 18. </w:t>
      </w:r>
      <w:r w:rsidRPr="0055610F">
        <w:rPr>
          <w:b/>
          <w:sz w:val="22"/>
          <w:szCs w:val="22"/>
          <w:lang w:val="sr-Latn-ME"/>
        </w:rPr>
        <w:tab/>
        <w:t>Sažetak efikasnosti prema početnom statusu autoantitijela</w:t>
      </w:r>
    </w:p>
    <w:p w:rsidR="007B7C69" w:rsidRPr="0055610F" w:rsidRDefault="007B7C69" w:rsidP="004D5825">
      <w:pPr>
        <w:keepNext/>
        <w:jc w:val="both"/>
        <w:outlineLvl w:val="0"/>
        <w:rPr>
          <w:b/>
          <w:sz w:val="22"/>
          <w:szCs w:val="22"/>
          <w:lang w:val="sr-Latn-ME"/>
        </w:rPr>
      </w:pPr>
    </w:p>
    <w:tbl>
      <w:tblPr>
        <w:tblW w:w="0" w:type="auto"/>
        <w:tblInd w:w="108" w:type="dxa"/>
        <w:tblLayout w:type="fixed"/>
        <w:tblLook w:val="0000" w:firstRow="0" w:lastRow="0" w:firstColumn="0" w:lastColumn="0" w:noHBand="0" w:noVBand="0"/>
      </w:tblPr>
      <w:tblGrid>
        <w:gridCol w:w="2552"/>
        <w:gridCol w:w="1559"/>
        <w:gridCol w:w="1559"/>
        <w:gridCol w:w="1560"/>
        <w:gridCol w:w="1701"/>
      </w:tblGrid>
      <w:tr w:rsidR="007B7C69" w:rsidRPr="007642DC" w:rsidTr="007B7C69">
        <w:tc>
          <w:tcPr>
            <w:tcW w:w="2552" w:type="dxa"/>
            <w:tcBorders>
              <w:top w:val="single" w:sz="4" w:space="0" w:color="000000"/>
              <w:left w:val="single" w:sz="4" w:space="0" w:color="000000"/>
              <w:bottom w:val="single" w:sz="4" w:space="0" w:color="000000"/>
            </w:tcBorders>
          </w:tcPr>
          <w:p w:rsidR="007B7C69" w:rsidRPr="0055610F" w:rsidRDefault="007B7C69" w:rsidP="004D5825">
            <w:pPr>
              <w:snapToGrid w:val="0"/>
              <w:jc w:val="both"/>
              <w:outlineLvl w:val="0"/>
              <w:rPr>
                <w:rFonts w:eastAsia="SimSun"/>
                <w:sz w:val="22"/>
                <w:szCs w:val="22"/>
                <w:lang w:val="sr-Latn-ME" w:eastAsia="ja-JP"/>
              </w:rPr>
            </w:pPr>
          </w:p>
        </w:tc>
        <w:tc>
          <w:tcPr>
            <w:tcW w:w="3118" w:type="dxa"/>
            <w:gridSpan w:val="2"/>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b/>
                <w:sz w:val="22"/>
                <w:szCs w:val="22"/>
                <w:lang w:val="sr-Latn-ME" w:eastAsia="ja-JP"/>
              </w:rPr>
            </w:pPr>
            <w:r w:rsidRPr="0055610F">
              <w:rPr>
                <w:rFonts w:eastAsia="SimSun"/>
                <w:b/>
                <w:sz w:val="22"/>
                <w:szCs w:val="22"/>
                <w:lang w:val="sr-Latn-ME" w:eastAsia="ja-JP"/>
              </w:rPr>
              <w:t>24. nedjelja</w:t>
            </w:r>
          </w:p>
        </w:tc>
        <w:tc>
          <w:tcPr>
            <w:tcW w:w="3261" w:type="dxa"/>
            <w:gridSpan w:val="2"/>
            <w:tcBorders>
              <w:top w:val="single" w:sz="4" w:space="0" w:color="000000"/>
              <w:left w:val="single" w:sz="4" w:space="0" w:color="000000"/>
              <w:bottom w:val="single" w:sz="4" w:space="0" w:color="000000"/>
              <w:right w:val="single" w:sz="4" w:space="0" w:color="000000"/>
            </w:tcBorders>
          </w:tcPr>
          <w:p w:rsidR="007B7C69" w:rsidRPr="0055610F" w:rsidRDefault="007B7C69" w:rsidP="0055610F">
            <w:pPr>
              <w:snapToGrid w:val="0"/>
              <w:jc w:val="center"/>
              <w:outlineLvl w:val="0"/>
              <w:rPr>
                <w:rFonts w:eastAsia="SimSun"/>
                <w:b/>
                <w:sz w:val="22"/>
                <w:szCs w:val="22"/>
                <w:lang w:val="sr-Latn-ME" w:eastAsia="ja-JP"/>
              </w:rPr>
            </w:pPr>
            <w:r w:rsidRPr="0055610F">
              <w:rPr>
                <w:rFonts w:eastAsia="SimSun"/>
                <w:b/>
                <w:sz w:val="22"/>
                <w:szCs w:val="22"/>
                <w:lang w:val="sr-Latn-ME" w:eastAsia="ja-JP"/>
              </w:rPr>
              <w:t>48. nedjelja</w:t>
            </w:r>
          </w:p>
        </w:tc>
      </w:tr>
      <w:tr w:rsidR="007B7C69" w:rsidRPr="007642DC" w:rsidTr="007B7C69">
        <w:tc>
          <w:tcPr>
            <w:tcW w:w="2552" w:type="dxa"/>
            <w:tcBorders>
              <w:top w:val="single" w:sz="4" w:space="0" w:color="000000"/>
              <w:left w:val="single" w:sz="4" w:space="0" w:color="000000"/>
              <w:bottom w:val="single" w:sz="4" w:space="0" w:color="000000"/>
            </w:tcBorders>
          </w:tcPr>
          <w:p w:rsidR="007B7C69" w:rsidRPr="0055610F" w:rsidRDefault="007B7C69" w:rsidP="004D5825">
            <w:pPr>
              <w:snapToGrid w:val="0"/>
              <w:jc w:val="both"/>
              <w:outlineLvl w:val="0"/>
              <w:rPr>
                <w:rFonts w:eastAsia="SimSun"/>
                <w:b/>
                <w:sz w:val="22"/>
                <w:szCs w:val="22"/>
                <w:lang w:val="sr-Latn-ME" w:eastAsia="ja-JP"/>
              </w:rPr>
            </w:pPr>
          </w:p>
        </w:tc>
        <w:tc>
          <w:tcPr>
            <w:tcW w:w="1559"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b/>
                <w:sz w:val="22"/>
                <w:szCs w:val="22"/>
                <w:lang w:val="sr-Latn-ME" w:eastAsia="ja-JP"/>
              </w:rPr>
            </w:pPr>
            <w:r w:rsidRPr="0055610F">
              <w:rPr>
                <w:rFonts w:eastAsia="SimSun"/>
                <w:b/>
                <w:sz w:val="22"/>
                <w:szCs w:val="22"/>
                <w:lang w:val="sr-Latn-ME" w:eastAsia="ja-JP"/>
              </w:rPr>
              <w:t>Seropozitivni</w:t>
            </w:r>
          </w:p>
          <w:p w:rsidR="007B7C69" w:rsidRPr="0055610F" w:rsidRDefault="007B7C69" w:rsidP="0055610F">
            <w:pPr>
              <w:jc w:val="center"/>
              <w:outlineLvl w:val="0"/>
              <w:rPr>
                <w:rFonts w:eastAsia="SimSun"/>
                <w:b/>
                <w:sz w:val="22"/>
                <w:szCs w:val="22"/>
                <w:lang w:val="sr-Latn-ME" w:eastAsia="ja-JP"/>
              </w:rPr>
            </w:pPr>
            <w:r w:rsidRPr="0055610F">
              <w:rPr>
                <w:rFonts w:eastAsia="SimSun"/>
                <w:b/>
                <w:sz w:val="22"/>
                <w:szCs w:val="22"/>
                <w:lang w:val="sr-Latn-ME" w:eastAsia="ja-JP"/>
              </w:rPr>
              <w:t>(n = 514)</w:t>
            </w:r>
          </w:p>
        </w:tc>
        <w:tc>
          <w:tcPr>
            <w:tcW w:w="1559"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b/>
                <w:sz w:val="22"/>
                <w:szCs w:val="22"/>
                <w:lang w:val="sr-Latn-ME" w:eastAsia="ja-JP"/>
              </w:rPr>
            </w:pPr>
            <w:r w:rsidRPr="0055610F">
              <w:rPr>
                <w:rFonts w:eastAsia="SimSun"/>
                <w:b/>
                <w:sz w:val="22"/>
                <w:szCs w:val="22"/>
                <w:lang w:val="sr-Latn-ME" w:eastAsia="ja-JP"/>
              </w:rPr>
              <w:t>Seronegativni</w:t>
            </w:r>
          </w:p>
          <w:p w:rsidR="007B7C69" w:rsidRPr="0055610F" w:rsidRDefault="007B7C69" w:rsidP="0055610F">
            <w:pPr>
              <w:jc w:val="center"/>
              <w:outlineLvl w:val="0"/>
              <w:rPr>
                <w:rFonts w:eastAsia="SimSun"/>
                <w:b/>
                <w:sz w:val="22"/>
                <w:szCs w:val="22"/>
                <w:lang w:val="sr-Latn-ME" w:eastAsia="ja-JP"/>
              </w:rPr>
            </w:pPr>
            <w:r w:rsidRPr="0055610F">
              <w:rPr>
                <w:rFonts w:eastAsia="SimSun"/>
                <w:b/>
                <w:sz w:val="22"/>
                <w:szCs w:val="22"/>
                <w:lang w:val="sr-Latn-ME" w:eastAsia="ja-JP"/>
              </w:rPr>
              <w:t>(n = 106)</w:t>
            </w:r>
          </w:p>
        </w:tc>
        <w:tc>
          <w:tcPr>
            <w:tcW w:w="1560"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b/>
                <w:sz w:val="22"/>
                <w:szCs w:val="22"/>
                <w:lang w:val="sr-Latn-ME" w:eastAsia="ja-JP"/>
              </w:rPr>
            </w:pPr>
            <w:r w:rsidRPr="0055610F">
              <w:rPr>
                <w:rFonts w:eastAsia="SimSun"/>
                <w:b/>
                <w:sz w:val="22"/>
                <w:szCs w:val="22"/>
                <w:lang w:val="sr-Latn-ME" w:eastAsia="ja-JP"/>
              </w:rPr>
              <w:t>Seropozitivni</w:t>
            </w:r>
          </w:p>
          <w:p w:rsidR="007B7C69" w:rsidRPr="0055610F" w:rsidRDefault="007B7C69" w:rsidP="0055610F">
            <w:pPr>
              <w:jc w:val="center"/>
              <w:outlineLvl w:val="0"/>
              <w:rPr>
                <w:rFonts w:eastAsia="SimSun"/>
                <w:b/>
                <w:sz w:val="22"/>
                <w:szCs w:val="22"/>
                <w:lang w:val="sr-Latn-ME" w:eastAsia="ja-JP"/>
              </w:rPr>
            </w:pPr>
            <w:r w:rsidRPr="0055610F">
              <w:rPr>
                <w:rFonts w:eastAsia="SimSun"/>
                <w:b/>
                <w:sz w:val="22"/>
                <w:szCs w:val="22"/>
                <w:lang w:val="sr-Latn-ME" w:eastAsia="ja-JP"/>
              </w:rPr>
              <w:t>(n = 506)</w:t>
            </w:r>
          </w:p>
        </w:tc>
        <w:tc>
          <w:tcPr>
            <w:tcW w:w="1701" w:type="dxa"/>
            <w:tcBorders>
              <w:top w:val="single" w:sz="4" w:space="0" w:color="000000"/>
              <w:left w:val="single" w:sz="4" w:space="0" w:color="000000"/>
              <w:bottom w:val="single" w:sz="4" w:space="0" w:color="000000"/>
              <w:right w:val="single" w:sz="4" w:space="0" w:color="000000"/>
            </w:tcBorders>
          </w:tcPr>
          <w:p w:rsidR="007B7C69" w:rsidRPr="0055610F" w:rsidRDefault="007B7C69" w:rsidP="0055610F">
            <w:pPr>
              <w:snapToGrid w:val="0"/>
              <w:jc w:val="center"/>
              <w:outlineLvl w:val="0"/>
              <w:rPr>
                <w:rFonts w:eastAsia="SimSun"/>
                <w:b/>
                <w:sz w:val="22"/>
                <w:szCs w:val="22"/>
                <w:lang w:val="sr-Latn-ME" w:eastAsia="ja-JP"/>
              </w:rPr>
            </w:pPr>
            <w:r w:rsidRPr="0055610F">
              <w:rPr>
                <w:rFonts w:eastAsia="SimSun"/>
                <w:b/>
                <w:sz w:val="22"/>
                <w:szCs w:val="22"/>
                <w:lang w:val="sr-Latn-ME" w:eastAsia="ja-JP"/>
              </w:rPr>
              <w:t>Seronegativni</w:t>
            </w:r>
          </w:p>
          <w:p w:rsidR="007B7C69" w:rsidRPr="0055610F" w:rsidRDefault="007B7C69" w:rsidP="0055610F">
            <w:pPr>
              <w:jc w:val="center"/>
              <w:outlineLvl w:val="0"/>
              <w:rPr>
                <w:rFonts w:eastAsia="SimSun"/>
                <w:sz w:val="22"/>
                <w:szCs w:val="22"/>
                <w:lang w:val="sr-Latn-ME" w:eastAsia="ja-JP"/>
              </w:rPr>
            </w:pPr>
            <w:r w:rsidRPr="0055610F">
              <w:rPr>
                <w:rFonts w:eastAsia="SimSun"/>
                <w:b/>
                <w:sz w:val="22"/>
                <w:szCs w:val="22"/>
                <w:lang w:val="sr-Latn-ME" w:eastAsia="ja-JP"/>
              </w:rPr>
              <w:t>(n = 101)</w:t>
            </w:r>
          </w:p>
        </w:tc>
      </w:tr>
      <w:tr w:rsidR="007B7C69" w:rsidRPr="007642DC" w:rsidTr="007B7C69">
        <w:tc>
          <w:tcPr>
            <w:tcW w:w="2552" w:type="dxa"/>
            <w:tcBorders>
              <w:top w:val="single" w:sz="4" w:space="0" w:color="000000"/>
              <w:left w:val="single" w:sz="4" w:space="0" w:color="000000"/>
              <w:bottom w:val="single" w:sz="4" w:space="0" w:color="000000"/>
            </w:tcBorders>
          </w:tcPr>
          <w:p w:rsidR="007B7C69" w:rsidRPr="0055610F" w:rsidRDefault="007B7C69" w:rsidP="004D5825">
            <w:pPr>
              <w:snapToGrid w:val="0"/>
              <w:jc w:val="both"/>
              <w:outlineLvl w:val="0"/>
              <w:rPr>
                <w:rFonts w:eastAsia="SimSun"/>
                <w:sz w:val="22"/>
                <w:szCs w:val="22"/>
                <w:lang w:val="sr-Latn-ME" w:eastAsia="ja-JP"/>
              </w:rPr>
            </w:pPr>
            <w:r w:rsidRPr="0055610F">
              <w:rPr>
                <w:rFonts w:eastAsia="SimSun"/>
                <w:sz w:val="22"/>
                <w:szCs w:val="22"/>
                <w:lang w:val="sr-Latn-ME" w:eastAsia="ja-JP"/>
              </w:rPr>
              <w:t>ACR20 (%)</w:t>
            </w:r>
          </w:p>
        </w:tc>
        <w:tc>
          <w:tcPr>
            <w:tcW w:w="1559"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62,3</w:t>
            </w:r>
            <w:r w:rsidRPr="0055610F">
              <w:rPr>
                <w:rFonts w:eastAsia="SimSun"/>
                <w:sz w:val="22"/>
                <w:szCs w:val="22"/>
                <w:vertAlign w:val="superscript"/>
                <w:lang w:val="sr-Latn-ME" w:eastAsia="ja-JP"/>
              </w:rPr>
              <w:t>*</w:t>
            </w:r>
          </w:p>
        </w:tc>
        <w:tc>
          <w:tcPr>
            <w:tcW w:w="1559"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50,9</w:t>
            </w:r>
          </w:p>
        </w:tc>
        <w:tc>
          <w:tcPr>
            <w:tcW w:w="1560"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71,1</w:t>
            </w:r>
            <w:r w:rsidRPr="0055610F">
              <w:rPr>
                <w:rFonts w:eastAsia="SimSun"/>
                <w:sz w:val="22"/>
                <w:szCs w:val="22"/>
                <w:vertAlign w:val="superscript"/>
                <w:lang w:val="sr-Latn-ME" w:eastAsia="ja-JP"/>
              </w:rPr>
              <w:t>*</w:t>
            </w:r>
          </w:p>
        </w:tc>
        <w:tc>
          <w:tcPr>
            <w:tcW w:w="1701" w:type="dxa"/>
            <w:tcBorders>
              <w:top w:val="single" w:sz="4" w:space="0" w:color="000000"/>
              <w:left w:val="single" w:sz="4" w:space="0" w:color="000000"/>
              <w:bottom w:val="single" w:sz="4" w:space="0" w:color="000000"/>
              <w:right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51,5</w:t>
            </w:r>
          </w:p>
        </w:tc>
      </w:tr>
      <w:tr w:rsidR="007B7C69" w:rsidRPr="007642DC" w:rsidTr="007B7C69">
        <w:tc>
          <w:tcPr>
            <w:tcW w:w="2552" w:type="dxa"/>
            <w:tcBorders>
              <w:top w:val="single" w:sz="4" w:space="0" w:color="000000"/>
              <w:left w:val="single" w:sz="4" w:space="0" w:color="000000"/>
              <w:bottom w:val="single" w:sz="4" w:space="0" w:color="000000"/>
            </w:tcBorders>
          </w:tcPr>
          <w:p w:rsidR="007B7C69" w:rsidRPr="0055610F" w:rsidRDefault="007B7C69" w:rsidP="004D5825">
            <w:pPr>
              <w:snapToGrid w:val="0"/>
              <w:jc w:val="both"/>
              <w:outlineLvl w:val="0"/>
              <w:rPr>
                <w:rFonts w:eastAsia="SimSun"/>
                <w:sz w:val="22"/>
                <w:szCs w:val="22"/>
                <w:lang w:val="sr-Latn-ME" w:eastAsia="ja-JP"/>
              </w:rPr>
            </w:pPr>
            <w:r w:rsidRPr="0055610F">
              <w:rPr>
                <w:rFonts w:eastAsia="SimSun"/>
                <w:sz w:val="22"/>
                <w:szCs w:val="22"/>
                <w:lang w:val="sr-Latn-ME" w:eastAsia="ja-JP"/>
              </w:rPr>
              <w:t>ACR50 (%)</w:t>
            </w:r>
          </w:p>
        </w:tc>
        <w:tc>
          <w:tcPr>
            <w:tcW w:w="1559"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32,7</w:t>
            </w:r>
            <w:r w:rsidRPr="0055610F">
              <w:rPr>
                <w:rFonts w:eastAsia="SimSun"/>
                <w:sz w:val="22"/>
                <w:szCs w:val="22"/>
                <w:vertAlign w:val="superscript"/>
                <w:lang w:val="sr-Latn-ME" w:eastAsia="ja-JP"/>
              </w:rPr>
              <w:t>*</w:t>
            </w:r>
          </w:p>
        </w:tc>
        <w:tc>
          <w:tcPr>
            <w:tcW w:w="1559"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19,8</w:t>
            </w:r>
          </w:p>
        </w:tc>
        <w:tc>
          <w:tcPr>
            <w:tcW w:w="1560"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44,9</w:t>
            </w:r>
            <w:r w:rsidRPr="0055610F">
              <w:rPr>
                <w:rFonts w:eastAsia="SimSun"/>
                <w:sz w:val="22"/>
                <w:szCs w:val="22"/>
                <w:vertAlign w:val="superscript"/>
                <w:lang w:val="sr-Latn-ME" w:eastAsia="ja-JP"/>
              </w:rPr>
              <w:t>**</w:t>
            </w:r>
          </w:p>
        </w:tc>
        <w:tc>
          <w:tcPr>
            <w:tcW w:w="1701" w:type="dxa"/>
            <w:tcBorders>
              <w:top w:val="single" w:sz="4" w:space="0" w:color="000000"/>
              <w:left w:val="single" w:sz="4" w:space="0" w:color="000000"/>
              <w:bottom w:val="single" w:sz="4" w:space="0" w:color="000000"/>
              <w:right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22,8</w:t>
            </w:r>
          </w:p>
        </w:tc>
      </w:tr>
      <w:tr w:rsidR="007B7C69" w:rsidRPr="007642DC" w:rsidTr="007B7C69">
        <w:tc>
          <w:tcPr>
            <w:tcW w:w="2552" w:type="dxa"/>
            <w:tcBorders>
              <w:top w:val="single" w:sz="4" w:space="0" w:color="000000"/>
              <w:left w:val="single" w:sz="4" w:space="0" w:color="000000"/>
              <w:bottom w:val="single" w:sz="4" w:space="0" w:color="000000"/>
            </w:tcBorders>
          </w:tcPr>
          <w:p w:rsidR="007B7C69" w:rsidRPr="0055610F" w:rsidRDefault="007B7C69" w:rsidP="004D5825">
            <w:pPr>
              <w:snapToGrid w:val="0"/>
              <w:jc w:val="both"/>
              <w:outlineLvl w:val="0"/>
              <w:rPr>
                <w:rFonts w:eastAsia="SimSun"/>
                <w:sz w:val="22"/>
                <w:szCs w:val="22"/>
                <w:lang w:val="sr-Latn-ME" w:eastAsia="ja-JP"/>
              </w:rPr>
            </w:pPr>
            <w:r w:rsidRPr="0055610F">
              <w:rPr>
                <w:rFonts w:eastAsia="SimSun"/>
                <w:sz w:val="22"/>
                <w:szCs w:val="22"/>
                <w:lang w:val="sr-Latn-ME" w:eastAsia="ja-JP"/>
              </w:rPr>
              <w:t>ACR70 (%)</w:t>
            </w:r>
          </w:p>
        </w:tc>
        <w:tc>
          <w:tcPr>
            <w:tcW w:w="1559"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12,1</w:t>
            </w:r>
          </w:p>
        </w:tc>
        <w:tc>
          <w:tcPr>
            <w:tcW w:w="1559"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5,7</w:t>
            </w:r>
          </w:p>
        </w:tc>
        <w:tc>
          <w:tcPr>
            <w:tcW w:w="1560"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20,9</w:t>
            </w:r>
            <w:r w:rsidRPr="0055610F">
              <w:rPr>
                <w:rFonts w:eastAsia="SimSun"/>
                <w:sz w:val="22"/>
                <w:szCs w:val="22"/>
                <w:vertAlign w:val="superscript"/>
                <w:lang w:val="sr-Latn-ME" w:eastAsia="ja-JP"/>
              </w:rPr>
              <w:t>*</w:t>
            </w:r>
          </w:p>
        </w:tc>
        <w:tc>
          <w:tcPr>
            <w:tcW w:w="1701" w:type="dxa"/>
            <w:tcBorders>
              <w:top w:val="single" w:sz="4" w:space="0" w:color="000000"/>
              <w:left w:val="single" w:sz="4" w:space="0" w:color="000000"/>
              <w:bottom w:val="single" w:sz="4" w:space="0" w:color="000000"/>
              <w:right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6,9</w:t>
            </w:r>
          </w:p>
        </w:tc>
      </w:tr>
      <w:tr w:rsidR="007B7C69" w:rsidRPr="007642DC" w:rsidTr="007B7C69">
        <w:tc>
          <w:tcPr>
            <w:tcW w:w="2552" w:type="dxa"/>
            <w:tcBorders>
              <w:top w:val="single" w:sz="4" w:space="0" w:color="000000"/>
              <w:left w:val="single" w:sz="4" w:space="0" w:color="000000"/>
              <w:bottom w:val="single" w:sz="4" w:space="0" w:color="000000"/>
            </w:tcBorders>
          </w:tcPr>
          <w:p w:rsidR="007B7C69" w:rsidRPr="0055610F" w:rsidRDefault="007B7C69" w:rsidP="004D5825">
            <w:pPr>
              <w:snapToGrid w:val="0"/>
              <w:jc w:val="both"/>
              <w:outlineLvl w:val="0"/>
              <w:rPr>
                <w:rFonts w:eastAsia="SimSun"/>
                <w:sz w:val="22"/>
                <w:szCs w:val="22"/>
                <w:lang w:val="sr-Latn-ME" w:eastAsia="ja-JP"/>
              </w:rPr>
            </w:pPr>
            <w:r w:rsidRPr="0055610F">
              <w:rPr>
                <w:rFonts w:eastAsia="SimSun"/>
                <w:sz w:val="22"/>
                <w:szCs w:val="22"/>
                <w:lang w:val="sr-Latn-ME" w:eastAsia="ja-JP"/>
              </w:rPr>
              <w:t>EULAR odgovor (%)</w:t>
            </w:r>
          </w:p>
        </w:tc>
        <w:tc>
          <w:tcPr>
            <w:tcW w:w="1559"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74,8</w:t>
            </w:r>
            <w:r w:rsidRPr="0055610F">
              <w:rPr>
                <w:rFonts w:eastAsia="SimSun"/>
                <w:sz w:val="22"/>
                <w:szCs w:val="22"/>
                <w:vertAlign w:val="superscript"/>
                <w:lang w:val="sr-Latn-ME" w:eastAsia="ja-JP"/>
              </w:rPr>
              <w:t>*</w:t>
            </w:r>
          </w:p>
        </w:tc>
        <w:tc>
          <w:tcPr>
            <w:tcW w:w="1559"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62,9</w:t>
            </w:r>
          </w:p>
        </w:tc>
        <w:tc>
          <w:tcPr>
            <w:tcW w:w="1560" w:type="dxa"/>
            <w:tcBorders>
              <w:top w:val="single" w:sz="4" w:space="0" w:color="000000"/>
              <w:left w:val="single" w:sz="4" w:space="0" w:color="000000"/>
              <w:bottom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84,3</w:t>
            </w:r>
            <w:r w:rsidRPr="0055610F">
              <w:rPr>
                <w:rFonts w:eastAsia="SimSun"/>
                <w:sz w:val="22"/>
                <w:szCs w:val="22"/>
                <w:vertAlign w:val="superscript"/>
                <w:lang w:val="sr-Latn-ME" w:eastAsia="ja-JP"/>
              </w:rPr>
              <w:t>*</w:t>
            </w:r>
          </w:p>
        </w:tc>
        <w:tc>
          <w:tcPr>
            <w:tcW w:w="1701" w:type="dxa"/>
            <w:tcBorders>
              <w:top w:val="single" w:sz="4" w:space="0" w:color="000000"/>
              <w:left w:val="single" w:sz="4" w:space="0" w:color="000000"/>
              <w:bottom w:val="single" w:sz="4" w:space="0" w:color="000000"/>
              <w:right w:val="single" w:sz="4" w:space="0" w:color="000000"/>
            </w:tcBorders>
          </w:tcPr>
          <w:p w:rsidR="007B7C69" w:rsidRPr="0055610F" w:rsidRDefault="007B7C69" w:rsidP="0055610F">
            <w:pPr>
              <w:snapToGrid w:val="0"/>
              <w:jc w:val="center"/>
              <w:outlineLvl w:val="0"/>
              <w:rPr>
                <w:rFonts w:eastAsia="SimSun"/>
                <w:sz w:val="22"/>
                <w:szCs w:val="22"/>
                <w:lang w:val="sr-Latn-ME" w:eastAsia="ja-JP"/>
              </w:rPr>
            </w:pPr>
            <w:r w:rsidRPr="0055610F">
              <w:rPr>
                <w:rFonts w:eastAsia="SimSun"/>
                <w:sz w:val="22"/>
                <w:szCs w:val="22"/>
                <w:lang w:val="sr-Latn-ME" w:eastAsia="ja-JP"/>
              </w:rPr>
              <w:t>72,3</w:t>
            </w:r>
          </w:p>
        </w:tc>
      </w:tr>
      <w:tr w:rsidR="007B7C69" w:rsidRPr="007642DC" w:rsidTr="007B7C69">
        <w:tc>
          <w:tcPr>
            <w:tcW w:w="2552" w:type="dxa"/>
            <w:tcBorders>
              <w:top w:val="single" w:sz="4" w:space="0" w:color="000000"/>
              <w:left w:val="single" w:sz="4" w:space="0" w:color="000000"/>
              <w:bottom w:val="single" w:sz="4" w:space="0" w:color="000000"/>
            </w:tcBorders>
          </w:tcPr>
          <w:p w:rsidR="007B7C69" w:rsidRPr="0055610F" w:rsidRDefault="007B7C69" w:rsidP="0055610F">
            <w:pPr>
              <w:keepNext/>
              <w:snapToGrid w:val="0"/>
              <w:outlineLvl w:val="0"/>
              <w:rPr>
                <w:rFonts w:eastAsia="SimSun"/>
                <w:sz w:val="22"/>
                <w:szCs w:val="22"/>
                <w:lang w:val="sr-Latn-ME" w:eastAsia="ja-JP"/>
              </w:rPr>
            </w:pPr>
            <w:r w:rsidRPr="0055610F">
              <w:rPr>
                <w:rFonts w:eastAsia="SimSun"/>
                <w:sz w:val="22"/>
                <w:szCs w:val="22"/>
                <w:lang w:val="sr-Latn-ME" w:eastAsia="ja-JP"/>
              </w:rPr>
              <w:t>Srednja vrijednost promjene DAS28</w:t>
            </w:r>
            <w:r w:rsidRPr="0055610F">
              <w:rPr>
                <w:rFonts w:eastAsia="SimSun"/>
                <w:color w:val="000000"/>
                <w:sz w:val="22"/>
                <w:szCs w:val="22"/>
                <w:lang w:val="sr-Latn-ME" w:eastAsia="ja-JP"/>
              </w:rPr>
              <w:noBreakHyphen/>
            </w:r>
            <w:r w:rsidRPr="0055610F">
              <w:rPr>
                <w:rFonts w:eastAsia="SimSun"/>
                <w:sz w:val="22"/>
                <w:szCs w:val="22"/>
                <w:lang w:val="sr-Latn-ME" w:eastAsia="ja-JP"/>
              </w:rPr>
              <w:t>ESR indeksa</w:t>
            </w:r>
          </w:p>
        </w:tc>
        <w:tc>
          <w:tcPr>
            <w:tcW w:w="1559" w:type="dxa"/>
            <w:tcBorders>
              <w:top w:val="single" w:sz="4" w:space="0" w:color="000000"/>
              <w:left w:val="single" w:sz="4" w:space="0" w:color="000000"/>
              <w:bottom w:val="single" w:sz="4" w:space="0" w:color="000000"/>
            </w:tcBorders>
          </w:tcPr>
          <w:p w:rsidR="007B7C69" w:rsidRPr="0055610F" w:rsidRDefault="007B7C69" w:rsidP="0055610F">
            <w:pPr>
              <w:keepNext/>
              <w:snapToGrid w:val="0"/>
              <w:jc w:val="center"/>
              <w:outlineLvl w:val="0"/>
              <w:rPr>
                <w:rFonts w:eastAsia="SimSun"/>
                <w:sz w:val="22"/>
                <w:szCs w:val="22"/>
                <w:lang w:val="sr-Latn-ME" w:eastAsia="ja-JP"/>
              </w:rPr>
            </w:pPr>
            <w:r w:rsidRPr="0055610F">
              <w:rPr>
                <w:rFonts w:eastAsia="SimSun"/>
                <w:color w:val="000000"/>
                <w:sz w:val="22"/>
                <w:szCs w:val="22"/>
                <w:lang w:val="sr-Latn-ME" w:eastAsia="ja-JP"/>
              </w:rPr>
              <w:noBreakHyphen/>
            </w:r>
            <w:r w:rsidRPr="0055610F">
              <w:rPr>
                <w:rFonts w:eastAsia="SimSun"/>
                <w:sz w:val="22"/>
                <w:szCs w:val="22"/>
                <w:lang w:val="sr-Latn-ME" w:eastAsia="ja-JP"/>
              </w:rPr>
              <w:t>1,97</w:t>
            </w:r>
            <w:r w:rsidRPr="0055610F">
              <w:rPr>
                <w:rFonts w:eastAsia="SimSun"/>
                <w:sz w:val="22"/>
                <w:szCs w:val="22"/>
                <w:vertAlign w:val="superscript"/>
                <w:lang w:val="sr-Latn-ME" w:eastAsia="ja-JP"/>
              </w:rPr>
              <w:t>**</w:t>
            </w:r>
          </w:p>
        </w:tc>
        <w:tc>
          <w:tcPr>
            <w:tcW w:w="1559" w:type="dxa"/>
            <w:tcBorders>
              <w:top w:val="single" w:sz="4" w:space="0" w:color="000000"/>
              <w:left w:val="single" w:sz="4" w:space="0" w:color="000000"/>
              <w:bottom w:val="single" w:sz="4" w:space="0" w:color="000000"/>
            </w:tcBorders>
          </w:tcPr>
          <w:p w:rsidR="007B7C69" w:rsidRPr="0055610F" w:rsidRDefault="007B7C69" w:rsidP="0055610F">
            <w:pPr>
              <w:keepNext/>
              <w:snapToGrid w:val="0"/>
              <w:jc w:val="center"/>
              <w:outlineLvl w:val="0"/>
              <w:rPr>
                <w:rFonts w:eastAsia="SimSun"/>
                <w:sz w:val="22"/>
                <w:szCs w:val="22"/>
                <w:lang w:val="sr-Latn-ME" w:eastAsia="ja-JP"/>
              </w:rPr>
            </w:pPr>
            <w:r w:rsidRPr="0055610F">
              <w:rPr>
                <w:rFonts w:eastAsia="SimSun"/>
                <w:color w:val="000000"/>
                <w:sz w:val="22"/>
                <w:szCs w:val="22"/>
                <w:lang w:val="sr-Latn-ME" w:eastAsia="ja-JP"/>
              </w:rPr>
              <w:noBreakHyphen/>
            </w:r>
            <w:r w:rsidRPr="0055610F">
              <w:rPr>
                <w:rFonts w:eastAsia="SimSun"/>
                <w:sz w:val="22"/>
                <w:szCs w:val="22"/>
                <w:lang w:val="sr-Latn-ME" w:eastAsia="ja-JP"/>
              </w:rPr>
              <w:t>1,50</w:t>
            </w:r>
          </w:p>
        </w:tc>
        <w:tc>
          <w:tcPr>
            <w:tcW w:w="1560" w:type="dxa"/>
            <w:tcBorders>
              <w:top w:val="single" w:sz="4" w:space="0" w:color="000000"/>
              <w:left w:val="single" w:sz="4" w:space="0" w:color="000000"/>
              <w:bottom w:val="single" w:sz="4" w:space="0" w:color="000000"/>
            </w:tcBorders>
          </w:tcPr>
          <w:p w:rsidR="007B7C69" w:rsidRPr="0055610F" w:rsidRDefault="007B7C69" w:rsidP="0055610F">
            <w:pPr>
              <w:keepNext/>
              <w:snapToGrid w:val="0"/>
              <w:jc w:val="center"/>
              <w:outlineLvl w:val="0"/>
              <w:rPr>
                <w:rFonts w:eastAsia="SimSun"/>
                <w:sz w:val="22"/>
                <w:szCs w:val="22"/>
                <w:lang w:val="sr-Latn-ME" w:eastAsia="ja-JP"/>
              </w:rPr>
            </w:pPr>
            <w:r w:rsidRPr="0055610F">
              <w:rPr>
                <w:rFonts w:eastAsia="SimSun"/>
                <w:color w:val="000000"/>
                <w:sz w:val="22"/>
                <w:szCs w:val="22"/>
                <w:lang w:val="sr-Latn-ME" w:eastAsia="ja-JP"/>
              </w:rPr>
              <w:noBreakHyphen/>
            </w:r>
            <w:r w:rsidRPr="0055610F">
              <w:rPr>
                <w:rFonts w:eastAsia="SimSun"/>
                <w:sz w:val="22"/>
                <w:szCs w:val="22"/>
                <w:lang w:val="sr-Latn-ME" w:eastAsia="ja-JP"/>
              </w:rPr>
              <w:t>2,48</w:t>
            </w:r>
            <w:r w:rsidRPr="0055610F">
              <w:rPr>
                <w:rFonts w:eastAsia="SimSun"/>
                <w:sz w:val="22"/>
                <w:szCs w:val="22"/>
                <w:vertAlign w:val="superscript"/>
                <w:lang w:val="sr-Latn-ME" w:eastAsia="ja-JP"/>
              </w:rPr>
              <w:t>***</w:t>
            </w:r>
          </w:p>
        </w:tc>
        <w:tc>
          <w:tcPr>
            <w:tcW w:w="1701" w:type="dxa"/>
            <w:tcBorders>
              <w:top w:val="single" w:sz="4" w:space="0" w:color="000000"/>
              <w:left w:val="single" w:sz="4" w:space="0" w:color="000000"/>
              <w:bottom w:val="single" w:sz="4" w:space="0" w:color="000000"/>
              <w:right w:val="single" w:sz="4" w:space="0" w:color="000000"/>
            </w:tcBorders>
          </w:tcPr>
          <w:p w:rsidR="007B7C69" w:rsidRPr="0055610F" w:rsidRDefault="007B7C69" w:rsidP="0055610F">
            <w:pPr>
              <w:keepNext/>
              <w:snapToGrid w:val="0"/>
              <w:jc w:val="center"/>
              <w:outlineLvl w:val="0"/>
              <w:rPr>
                <w:rFonts w:eastAsia="SimSun"/>
                <w:sz w:val="22"/>
                <w:szCs w:val="22"/>
                <w:lang w:val="sr-Latn-ME" w:eastAsia="ja-JP"/>
              </w:rPr>
            </w:pPr>
            <w:r w:rsidRPr="0055610F">
              <w:rPr>
                <w:rFonts w:eastAsia="SimSun"/>
                <w:color w:val="000000"/>
                <w:sz w:val="22"/>
                <w:szCs w:val="22"/>
                <w:lang w:val="sr-Latn-ME" w:eastAsia="ja-JP"/>
              </w:rPr>
              <w:noBreakHyphen/>
            </w:r>
            <w:r w:rsidRPr="0055610F">
              <w:rPr>
                <w:rFonts w:eastAsia="SimSun"/>
                <w:sz w:val="22"/>
                <w:szCs w:val="22"/>
                <w:lang w:val="sr-Latn-ME" w:eastAsia="ja-JP"/>
              </w:rPr>
              <w:t>1,72</w:t>
            </w:r>
          </w:p>
        </w:tc>
      </w:tr>
    </w:tbl>
    <w:p w:rsidR="007B7C69" w:rsidRDefault="007B7C69" w:rsidP="004D5825">
      <w:pPr>
        <w:jc w:val="both"/>
        <w:outlineLvl w:val="0"/>
        <w:rPr>
          <w:i/>
          <w:sz w:val="22"/>
          <w:szCs w:val="22"/>
          <w:lang w:val="sr-Latn-ME"/>
        </w:rPr>
      </w:pPr>
      <w:r w:rsidRPr="0055610F">
        <w:rPr>
          <w:sz w:val="22"/>
          <w:szCs w:val="22"/>
          <w:lang w:val="sr-Latn-ME"/>
        </w:rPr>
        <w:t xml:space="preserve">Nivoi značajnosti definisane su kao </w:t>
      </w:r>
      <w:r w:rsidRPr="0055610F">
        <w:rPr>
          <w:i/>
          <w:sz w:val="22"/>
          <w:szCs w:val="22"/>
          <w:lang w:val="sr-Latn-ME"/>
        </w:rPr>
        <w:t>* p &lt; 0,05, **p &lt; 0,001, ***p &lt; 0,0001</w:t>
      </w:r>
    </w:p>
    <w:p w:rsidR="00507E75" w:rsidRPr="0055610F" w:rsidRDefault="00507E75" w:rsidP="004D5825">
      <w:pPr>
        <w:jc w:val="both"/>
        <w:outlineLvl w:val="0"/>
        <w:rPr>
          <w:i/>
          <w:sz w:val="22"/>
          <w:szCs w:val="22"/>
          <w:lang w:val="sr-Latn-ME"/>
        </w:rPr>
      </w:pPr>
    </w:p>
    <w:p w:rsidR="007B7C69" w:rsidRPr="0055610F" w:rsidRDefault="007B7C69" w:rsidP="004D5825">
      <w:pPr>
        <w:keepNext/>
        <w:keepLines/>
        <w:ind w:left="1134" w:hanging="1134"/>
        <w:jc w:val="both"/>
        <w:outlineLvl w:val="0"/>
        <w:rPr>
          <w:b/>
          <w:sz w:val="22"/>
          <w:szCs w:val="22"/>
          <w:lang w:val="sr-Latn-ME"/>
        </w:rPr>
      </w:pPr>
      <w:r w:rsidRPr="0055610F">
        <w:rPr>
          <w:b/>
          <w:sz w:val="22"/>
          <w:szCs w:val="22"/>
          <w:lang w:val="sr-Latn-ME"/>
        </w:rPr>
        <w:t>Slika 1</w:t>
      </w:r>
      <w:r w:rsidRPr="0055610F">
        <w:rPr>
          <w:b/>
          <w:sz w:val="22"/>
          <w:szCs w:val="22"/>
          <w:lang w:val="sr-Latn-ME"/>
        </w:rPr>
        <w:tab/>
        <w:t>Promjena DAS28</w:t>
      </w:r>
      <w:r w:rsidRPr="0055610F">
        <w:rPr>
          <w:b/>
          <w:sz w:val="22"/>
          <w:szCs w:val="22"/>
          <w:lang w:val="sr-Latn-ME"/>
        </w:rPr>
        <w:noBreakHyphen/>
        <w:t>ESR indeksa od početne vrijednosti, prema početnom statusu autoantitijela</w:t>
      </w:r>
    </w:p>
    <w:p w:rsidR="007B7C69" w:rsidRPr="0055610F" w:rsidRDefault="007B7C69" w:rsidP="004D5825">
      <w:pPr>
        <w:jc w:val="both"/>
        <w:rPr>
          <w:i/>
          <w:sz w:val="22"/>
          <w:szCs w:val="22"/>
          <w:lang w:val="sr-Latn-ME"/>
        </w:rPr>
      </w:pPr>
      <w:r w:rsidRPr="0055610F">
        <w:rPr>
          <w:noProof/>
          <w:sz w:val="22"/>
          <w:szCs w:val="22"/>
        </w:rPr>
        <mc:AlternateContent>
          <mc:Choice Requires="wps">
            <w:drawing>
              <wp:anchor distT="0" distB="0" distL="114300" distR="114300" simplePos="0" relativeHeight="251659264" behindDoc="0" locked="0" layoutInCell="1" allowOverlap="1" wp14:anchorId="52BECB2D" wp14:editId="7C857036">
                <wp:simplePos x="0" y="0"/>
                <wp:positionH relativeFrom="column">
                  <wp:posOffset>38100</wp:posOffset>
                </wp:positionH>
                <wp:positionV relativeFrom="paragraph">
                  <wp:posOffset>469900</wp:posOffset>
                </wp:positionV>
                <wp:extent cx="114300" cy="1898650"/>
                <wp:effectExtent l="0" t="0" r="127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89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E58" w:rsidRPr="00745F33" w:rsidRDefault="009F7E58" w:rsidP="007B7C69">
                            <w:pPr>
                              <w:rPr>
                                <w:b/>
                                <w:sz w:val="12"/>
                                <w:szCs w:val="12"/>
                                <w:lang w:val="de-CH"/>
                              </w:rPr>
                            </w:pPr>
                            <w:r w:rsidRPr="00745F33">
                              <w:rPr>
                                <w:rFonts w:ascii="Arial" w:hAnsi="Arial"/>
                                <w:b/>
                                <w:sz w:val="12"/>
                                <w:szCs w:val="12"/>
                                <w:lang w:val="de-CH"/>
                              </w:rPr>
                              <w:t>srednja vrijednost promjene DAS28-ESR indeksa</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ECB2D" id="_x0000_t202" coordsize="21600,21600" o:spt="202" path="m,l,21600r21600,l21600,xe">
                <v:stroke joinstyle="miter"/>
                <v:path gradientshapeok="t" o:connecttype="rect"/>
              </v:shapetype>
              <v:shape id="Text Box 14" o:spid="_x0000_s1026" type="#_x0000_t202" style="position:absolute;left:0;text-align:left;margin-left:3pt;margin-top:37pt;width:9pt;height:1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" stroked="f">
                <v:textbox style="layout-flow:vertical;mso-layout-flow-alt:bottom-to-top" inset="0,0,0,0">
                  <w:txbxContent>
                    <w:p w:rsidR="009F7E58" w:rsidRPr="00745F33" w:rsidRDefault="009F7E58" w:rsidP="007B7C69">
                      <w:pPr>
                        <w:rPr>
                          <w:b/>
                          <w:sz w:val="12"/>
                          <w:szCs w:val="12"/>
                          <w:lang w:val="de-CH"/>
                        </w:rPr>
                      </w:pPr>
                      <w:r w:rsidRPr="00745F33">
                        <w:rPr>
                          <w:rFonts w:ascii="Arial" w:hAnsi="Arial"/>
                          <w:b/>
                          <w:sz w:val="12"/>
                          <w:szCs w:val="12"/>
                          <w:lang w:val="de-CH"/>
                        </w:rPr>
                        <w:t>srednja vrijednost promjene DAS28-ESR indeksa</w:t>
                      </w:r>
                    </w:p>
                  </w:txbxContent>
                </v:textbox>
              </v:shape>
            </w:pict>
          </mc:Fallback>
        </mc:AlternateContent>
      </w:r>
      <w:r w:rsidRPr="0055610F">
        <w:rPr>
          <w:noProof/>
          <w:sz w:val="22"/>
          <w:szCs w:val="22"/>
        </w:rPr>
        <mc:AlternateContent>
          <mc:Choice Requires="wps">
            <w:drawing>
              <wp:anchor distT="0" distB="0" distL="114300" distR="114300" simplePos="0" relativeHeight="251660288" behindDoc="0" locked="0" layoutInCell="1" allowOverlap="1" wp14:anchorId="262EB2EB" wp14:editId="6892990A">
                <wp:simplePos x="0" y="0"/>
                <wp:positionH relativeFrom="column">
                  <wp:posOffset>3092450</wp:posOffset>
                </wp:positionH>
                <wp:positionV relativeFrom="paragraph">
                  <wp:posOffset>3270250</wp:posOffset>
                </wp:positionV>
                <wp:extent cx="1485900" cy="114300"/>
                <wp:effectExtent l="0" t="0" r="4445"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E58" w:rsidRPr="008342E1" w:rsidRDefault="009F7E58" w:rsidP="007B7C69">
                            <w:pPr>
                              <w:rPr>
                                <w:b/>
                                <w:sz w:val="12"/>
                                <w:szCs w:val="12"/>
                              </w:rPr>
                            </w:pPr>
                            <w:r>
                              <w:rPr>
                                <w:rFonts w:ascii="Arial" w:hAnsi="Arial"/>
                                <w:b/>
                                <w:sz w:val="12"/>
                                <w:szCs w:val="12"/>
                              </w:rPr>
                              <w:t>Anti-CCP i</w:t>
                            </w:r>
                            <w:r w:rsidRPr="008342E1">
                              <w:rPr>
                                <w:rFonts w:ascii="Arial" w:hAnsi="Arial"/>
                                <w:b/>
                                <w:sz w:val="12"/>
                                <w:szCs w:val="12"/>
                              </w:rPr>
                              <w:t xml:space="preserve"> RF </w:t>
                            </w:r>
                            <w:r>
                              <w:rPr>
                                <w:rFonts w:ascii="Arial" w:hAnsi="Arial"/>
                                <w:b/>
                                <w:sz w:val="12"/>
                                <w:szCs w:val="12"/>
                              </w:rPr>
                              <w:t>seronegativni</w:t>
                            </w:r>
                            <w:r w:rsidRPr="008342E1">
                              <w:rPr>
                                <w:rFonts w:ascii="Arial" w:hAnsi="Arial"/>
                                <w:b/>
                                <w:sz w:val="12"/>
                                <w:szCs w:val="12"/>
                              </w:rPr>
                              <w:t xml:space="preserve"> (N=</w:t>
                            </w:r>
                            <w:r>
                              <w:rPr>
                                <w:rFonts w:ascii="Arial" w:hAnsi="Arial"/>
                                <w:b/>
                                <w:sz w:val="12"/>
                                <w:szCs w:val="12"/>
                              </w:rPr>
                              <w:t>116</w:t>
                            </w:r>
                            <w:r w:rsidRPr="008342E1">
                              <w:rPr>
                                <w:rFonts w:ascii="Arial" w:hAnsi="Arial"/>
                                <w:b/>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EB2EB" id="Text Box 13" o:spid="_x0000_s1027" type="#_x0000_t202" style="position:absolute;left:0;text-align:left;margin-left:243.5pt;margin-top:257.5pt;width:117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" stroked="f">
                <v:textbox inset="0,0,0,0">
                  <w:txbxContent>
                    <w:p w:rsidR="009F7E58" w:rsidRPr="008342E1" w:rsidRDefault="009F7E58" w:rsidP="007B7C69">
                      <w:pPr>
                        <w:rPr>
                          <w:b/>
                          <w:sz w:val="12"/>
                          <w:szCs w:val="12"/>
                        </w:rPr>
                      </w:pPr>
                      <w:r>
                        <w:rPr>
                          <w:rFonts w:ascii="Arial" w:hAnsi="Arial"/>
                          <w:b/>
                          <w:sz w:val="12"/>
                          <w:szCs w:val="12"/>
                        </w:rPr>
                        <w:t>Anti-CCP i</w:t>
                      </w:r>
                      <w:r w:rsidRPr="008342E1">
                        <w:rPr>
                          <w:rFonts w:ascii="Arial" w:hAnsi="Arial"/>
                          <w:b/>
                          <w:sz w:val="12"/>
                          <w:szCs w:val="12"/>
                        </w:rPr>
                        <w:t xml:space="preserve"> RF </w:t>
                      </w:r>
                      <w:r>
                        <w:rPr>
                          <w:rFonts w:ascii="Arial" w:hAnsi="Arial"/>
                          <w:b/>
                          <w:sz w:val="12"/>
                          <w:szCs w:val="12"/>
                        </w:rPr>
                        <w:t>seronegativni</w:t>
                      </w:r>
                      <w:r w:rsidRPr="008342E1">
                        <w:rPr>
                          <w:rFonts w:ascii="Arial" w:hAnsi="Arial"/>
                          <w:b/>
                          <w:sz w:val="12"/>
                          <w:szCs w:val="12"/>
                        </w:rPr>
                        <w:t xml:space="preserve"> (N=</w:t>
                      </w:r>
                      <w:r>
                        <w:rPr>
                          <w:rFonts w:ascii="Arial" w:hAnsi="Arial"/>
                          <w:b/>
                          <w:sz w:val="12"/>
                          <w:szCs w:val="12"/>
                        </w:rPr>
                        <w:t>116</w:t>
                      </w:r>
                      <w:r w:rsidRPr="008342E1">
                        <w:rPr>
                          <w:rFonts w:ascii="Arial" w:hAnsi="Arial"/>
                          <w:b/>
                          <w:sz w:val="12"/>
                          <w:szCs w:val="12"/>
                        </w:rPr>
                        <w:t>)</w:t>
                      </w:r>
                    </w:p>
                  </w:txbxContent>
                </v:textbox>
              </v:shape>
            </w:pict>
          </mc:Fallback>
        </mc:AlternateContent>
      </w:r>
      <w:r w:rsidRPr="0055610F">
        <w:rPr>
          <w:noProof/>
          <w:sz w:val="22"/>
          <w:szCs w:val="22"/>
        </w:rPr>
        <mc:AlternateContent>
          <mc:Choice Requires="wps">
            <w:drawing>
              <wp:anchor distT="0" distB="0" distL="114300" distR="114300" simplePos="0" relativeHeight="251661312" behindDoc="0" locked="0" layoutInCell="1" allowOverlap="1" wp14:anchorId="5B061343" wp14:editId="131DCA22">
                <wp:simplePos x="0" y="0"/>
                <wp:positionH relativeFrom="column">
                  <wp:posOffset>984250</wp:posOffset>
                </wp:positionH>
                <wp:positionV relativeFrom="paragraph">
                  <wp:posOffset>3270250</wp:posOffset>
                </wp:positionV>
                <wp:extent cx="1485900" cy="114300"/>
                <wp:effectExtent l="1905" t="0"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E58" w:rsidRPr="0097570C" w:rsidRDefault="009F7E58" w:rsidP="007B7C69">
                            <w:pPr>
                              <w:rPr>
                                <w:b/>
                                <w:sz w:val="12"/>
                                <w:szCs w:val="12"/>
                                <w:lang w:val="it-IT"/>
                              </w:rPr>
                            </w:pPr>
                            <w:r w:rsidRPr="0097570C">
                              <w:rPr>
                                <w:rFonts w:ascii="Arial" w:hAnsi="Arial"/>
                                <w:b/>
                                <w:sz w:val="12"/>
                                <w:szCs w:val="12"/>
                                <w:lang w:val="it-IT"/>
                              </w:rPr>
                              <w:t>Anti-CCP i/ili RF seropozitivni (N=562)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61343" id="Text Box 12" o:spid="_x0000_s1028" type="#_x0000_t202" style="position:absolute;left:0;text-align:left;margin-left:77.5pt;margin-top:257.5pt;width:117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" stroked="f">
                <v:textbox inset="0,0,0,0">
                  <w:txbxContent>
                    <w:p w:rsidR="009F7E58" w:rsidRPr="0097570C" w:rsidRDefault="009F7E58" w:rsidP="007B7C69">
                      <w:pPr>
                        <w:rPr>
                          <w:b/>
                          <w:sz w:val="12"/>
                          <w:szCs w:val="12"/>
                          <w:lang w:val="it-IT"/>
                        </w:rPr>
                      </w:pPr>
                      <w:r w:rsidRPr="0097570C">
                        <w:rPr>
                          <w:rFonts w:ascii="Arial" w:hAnsi="Arial"/>
                          <w:b/>
                          <w:sz w:val="12"/>
                          <w:szCs w:val="12"/>
                          <w:lang w:val="it-IT"/>
                        </w:rPr>
                        <w:t>Anti-CCP i/ili RF seropozitivni (N=562)</w:t>
                      </w:r>
                    </w:p>
                  </w:txbxContent>
                </v:textbox>
              </v:shape>
            </w:pict>
          </mc:Fallback>
        </mc:AlternateContent>
      </w:r>
      <w:r w:rsidRPr="0055610F">
        <w:rPr>
          <w:noProof/>
          <w:sz w:val="22"/>
          <w:szCs w:val="22"/>
        </w:rPr>
        <mc:AlternateContent>
          <mc:Choice Requires="wps">
            <w:drawing>
              <wp:anchor distT="0" distB="0" distL="114300" distR="114300" simplePos="0" relativeHeight="251662336" behindDoc="0" locked="0" layoutInCell="1" allowOverlap="1" wp14:anchorId="78E03731" wp14:editId="4CB23F85">
                <wp:simplePos x="0" y="0"/>
                <wp:positionH relativeFrom="column">
                  <wp:posOffset>4572000</wp:posOffset>
                </wp:positionH>
                <wp:positionV relativeFrom="paragraph">
                  <wp:posOffset>2768600</wp:posOffset>
                </wp:positionV>
                <wp:extent cx="342900" cy="228600"/>
                <wp:effectExtent l="0" t="2540" r="127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E58" w:rsidRPr="00B452B9" w:rsidRDefault="009F7E58" w:rsidP="007B7C69">
                            <w:pPr>
                              <w:jc w:val="center"/>
                              <w:rPr>
                                <w:b/>
                                <w:sz w:val="12"/>
                                <w:szCs w:val="12"/>
                              </w:rPr>
                            </w:pPr>
                            <w:r>
                              <w:rPr>
                                <w:rFonts w:ascii="Arial" w:hAnsi="Arial"/>
                                <w:b/>
                                <w:sz w:val="12"/>
                                <w:szCs w:val="12"/>
                              </w:rPr>
                              <w:t>nedjelja</w:t>
                            </w:r>
                            <w:r w:rsidRPr="00B452B9">
                              <w:rPr>
                                <w:rFonts w:ascii="Arial" w:hAnsi="Arial"/>
                                <w:b/>
                                <w:sz w:val="12"/>
                                <w:szCs w:val="12"/>
                              </w:rPr>
                              <w:b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03731" id="Text Box 11" o:spid="_x0000_s1029" type="#_x0000_t202" style="position:absolute;left:0;text-align:left;margin-left:5in;margin-top:218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" stroked="f">
                <v:textbox inset="0,0,0,0">
                  <w:txbxContent>
                    <w:p w:rsidR="009F7E58" w:rsidRPr="00B452B9" w:rsidRDefault="009F7E58" w:rsidP="007B7C69">
                      <w:pPr>
                        <w:jc w:val="center"/>
                        <w:rPr>
                          <w:b/>
                          <w:sz w:val="12"/>
                          <w:szCs w:val="12"/>
                        </w:rPr>
                      </w:pPr>
                      <w:proofErr w:type="gramStart"/>
                      <w:r>
                        <w:rPr>
                          <w:rFonts w:ascii="Arial" w:hAnsi="Arial"/>
                          <w:b/>
                          <w:sz w:val="12"/>
                          <w:szCs w:val="12"/>
                        </w:rPr>
                        <w:t>nedjelja</w:t>
                      </w:r>
                      <w:proofErr w:type="gramEnd"/>
                      <w:r w:rsidRPr="00B452B9">
                        <w:rPr>
                          <w:rFonts w:ascii="Arial" w:hAnsi="Arial"/>
                          <w:b/>
                          <w:sz w:val="12"/>
                          <w:szCs w:val="12"/>
                        </w:rPr>
                        <w:br/>
                        <w:t>48</w:t>
                      </w:r>
                    </w:p>
                  </w:txbxContent>
                </v:textbox>
              </v:shape>
            </w:pict>
          </mc:Fallback>
        </mc:AlternateContent>
      </w:r>
      <w:r w:rsidRPr="0055610F">
        <w:rPr>
          <w:noProof/>
          <w:sz w:val="22"/>
          <w:szCs w:val="22"/>
        </w:rPr>
        <mc:AlternateContent>
          <mc:Choice Requires="wps">
            <w:drawing>
              <wp:anchor distT="0" distB="0" distL="114300" distR="114300" simplePos="0" relativeHeight="251663360" behindDoc="0" locked="0" layoutInCell="1" allowOverlap="1" wp14:anchorId="6D3BC0BB" wp14:editId="285DC9F6">
                <wp:simplePos x="0" y="0"/>
                <wp:positionH relativeFrom="column">
                  <wp:posOffset>3771900</wp:posOffset>
                </wp:positionH>
                <wp:positionV relativeFrom="paragraph">
                  <wp:posOffset>2768600</wp:posOffset>
                </wp:positionV>
                <wp:extent cx="342900" cy="228600"/>
                <wp:effectExtent l="0" t="2540" r="127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E58" w:rsidRPr="00D62798" w:rsidRDefault="009F7E58" w:rsidP="007B7C69">
                            <w:pPr>
                              <w:jc w:val="center"/>
                              <w:rPr>
                                <w:b/>
                              </w:rPr>
                            </w:pPr>
                            <w:r>
                              <w:rPr>
                                <w:rFonts w:ascii="Arial" w:hAnsi="Arial"/>
                                <w:b/>
                                <w:sz w:val="12"/>
                                <w:szCs w:val="12"/>
                              </w:rPr>
                              <w:t>nedjelja</w:t>
                            </w:r>
                            <w:r w:rsidRPr="00D62798">
                              <w:rPr>
                                <w:rFonts w:ascii="Arial" w:hAnsi="Arial"/>
                                <w:b/>
                                <w:sz w:val="14"/>
                              </w:rPr>
                              <w:br/>
                            </w:r>
                            <w:r w:rsidRPr="00B452B9">
                              <w:rPr>
                                <w:rFonts w:ascii="Arial" w:hAnsi="Arial"/>
                                <w:b/>
                                <w:sz w:val="12"/>
                                <w:szCs w:val="12"/>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BC0BB" id="Text Box 10" o:spid="_x0000_s1030" type="#_x0000_t202" style="position:absolute;left:0;text-align:left;margin-left:297pt;margin-top:218pt;width:27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" stroked="f">
                <v:textbox inset="0,0,0,0">
                  <w:txbxContent>
                    <w:p w:rsidR="009F7E58" w:rsidRPr="00D62798" w:rsidRDefault="009F7E58" w:rsidP="007B7C69">
                      <w:pPr>
                        <w:jc w:val="center"/>
                        <w:rPr>
                          <w:b/>
                        </w:rPr>
                      </w:pPr>
                      <w:proofErr w:type="gramStart"/>
                      <w:r>
                        <w:rPr>
                          <w:rFonts w:ascii="Arial" w:hAnsi="Arial"/>
                          <w:b/>
                          <w:sz w:val="12"/>
                          <w:szCs w:val="12"/>
                        </w:rPr>
                        <w:t>nedjelja</w:t>
                      </w:r>
                      <w:proofErr w:type="gramEnd"/>
                      <w:r w:rsidRPr="00D62798">
                        <w:rPr>
                          <w:rFonts w:ascii="Arial" w:hAnsi="Arial"/>
                          <w:b/>
                          <w:sz w:val="14"/>
                        </w:rPr>
                        <w:br/>
                      </w:r>
                      <w:r w:rsidRPr="00B452B9">
                        <w:rPr>
                          <w:rFonts w:ascii="Arial" w:hAnsi="Arial"/>
                          <w:b/>
                          <w:sz w:val="12"/>
                          <w:szCs w:val="12"/>
                        </w:rPr>
                        <w:t>40</w:t>
                      </w:r>
                    </w:p>
                  </w:txbxContent>
                </v:textbox>
              </v:shape>
            </w:pict>
          </mc:Fallback>
        </mc:AlternateContent>
      </w:r>
      <w:r w:rsidRPr="0055610F">
        <w:rPr>
          <w:noProof/>
          <w:sz w:val="22"/>
          <w:szCs w:val="22"/>
        </w:rPr>
        <mc:AlternateContent>
          <mc:Choice Requires="wps">
            <w:drawing>
              <wp:anchor distT="0" distB="0" distL="114300" distR="114300" simplePos="0" relativeHeight="251664384" behindDoc="0" locked="0" layoutInCell="1" allowOverlap="1" wp14:anchorId="311997F1" wp14:editId="3DE6CD85">
                <wp:simplePos x="0" y="0"/>
                <wp:positionH relativeFrom="column">
                  <wp:posOffset>3086100</wp:posOffset>
                </wp:positionH>
                <wp:positionV relativeFrom="paragraph">
                  <wp:posOffset>2768600</wp:posOffset>
                </wp:positionV>
                <wp:extent cx="342900" cy="228600"/>
                <wp:effectExtent l="0" t="2540" r="127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E58" w:rsidRPr="00B452B9" w:rsidRDefault="009F7E58" w:rsidP="007B7C69">
                            <w:pPr>
                              <w:jc w:val="center"/>
                              <w:rPr>
                                <w:b/>
                                <w:sz w:val="12"/>
                                <w:szCs w:val="12"/>
                              </w:rPr>
                            </w:pPr>
                            <w:r>
                              <w:rPr>
                                <w:rFonts w:ascii="Arial" w:hAnsi="Arial"/>
                                <w:b/>
                                <w:sz w:val="12"/>
                                <w:szCs w:val="12"/>
                              </w:rPr>
                              <w:t>nedjelja</w:t>
                            </w:r>
                            <w:r w:rsidRPr="00B452B9">
                              <w:rPr>
                                <w:rFonts w:ascii="Arial" w:hAnsi="Arial"/>
                                <w:b/>
                                <w:sz w:val="12"/>
                                <w:szCs w:val="12"/>
                              </w:rPr>
                              <w:br/>
                              <w:t>32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997F1" id="Text Box 9" o:spid="_x0000_s1031" type="#_x0000_t202" style="position:absolute;left:0;text-align:left;margin-left:243pt;margin-top:218pt;width:27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pq6eQIAAAU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" stroked="f">
                <v:textbox inset="0,0,0,0">
                  <w:txbxContent>
                    <w:p w:rsidR="009F7E58" w:rsidRPr="00B452B9" w:rsidRDefault="009F7E58" w:rsidP="007B7C69">
                      <w:pPr>
                        <w:jc w:val="center"/>
                        <w:rPr>
                          <w:b/>
                          <w:sz w:val="12"/>
                          <w:szCs w:val="12"/>
                        </w:rPr>
                      </w:pPr>
                      <w:proofErr w:type="gramStart"/>
                      <w:r>
                        <w:rPr>
                          <w:rFonts w:ascii="Arial" w:hAnsi="Arial"/>
                          <w:b/>
                          <w:sz w:val="12"/>
                          <w:szCs w:val="12"/>
                        </w:rPr>
                        <w:t>nedjelja</w:t>
                      </w:r>
                      <w:proofErr w:type="gramEnd"/>
                      <w:r w:rsidRPr="00B452B9">
                        <w:rPr>
                          <w:rFonts w:ascii="Arial" w:hAnsi="Arial"/>
                          <w:b/>
                          <w:sz w:val="12"/>
                          <w:szCs w:val="12"/>
                        </w:rPr>
                        <w:br/>
                        <w:t>32</w:t>
                      </w:r>
                    </w:p>
                  </w:txbxContent>
                </v:textbox>
              </v:shape>
            </w:pict>
          </mc:Fallback>
        </mc:AlternateContent>
      </w:r>
      <w:r w:rsidRPr="0055610F">
        <w:rPr>
          <w:noProof/>
          <w:sz w:val="22"/>
          <w:szCs w:val="22"/>
        </w:rPr>
        <mc:AlternateContent>
          <mc:Choice Requires="wps">
            <w:drawing>
              <wp:anchor distT="0" distB="0" distL="114300" distR="114300" simplePos="0" relativeHeight="251665408" behindDoc="0" locked="0" layoutInCell="1" allowOverlap="1" wp14:anchorId="5A674068" wp14:editId="461EAE7F">
                <wp:simplePos x="0" y="0"/>
                <wp:positionH relativeFrom="column">
                  <wp:posOffset>2400300</wp:posOffset>
                </wp:positionH>
                <wp:positionV relativeFrom="paragraph">
                  <wp:posOffset>2768600</wp:posOffset>
                </wp:positionV>
                <wp:extent cx="342900" cy="228600"/>
                <wp:effectExtent l="0" t="2540" r="127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E58" w:rsidRPr="00B452B9" w:rsidRDefault="009F7E58" w:rsidP="007B7C69">
                            <w:pPr>
                              <w:jc w:val="center"/>
                              <w:rPr>
                                <w:b/>
                                <w:sz w:val="12"/>
                                <w:szCs w:val="12"/>
                              </w:rPr>
                            </w:pPr>
                            <w:r>
                              <w:rPr>
                                <w:rFonts w:ascii="Arial" w:hAnsi="Arial"/>
                                <w:b/>
                                <w:sz w:val="12"/>
                                <w:szCs w:val="12"/>
                              </w:rPr>
                              <w:t>nedjelja</w:t>
                            </w:r>
                            <w:r w:rsidRPr="00B452B9">
                              <w:rPr>
                                <w:rFonts w:ascii="Arial" w:hAnsi="Arial"/>
                                <w:b/>
                                <w:sz w:val="12"/>
                                <w:szCs w:val="12"/>
                              </w:rPr>
                              <w:br/>
                              <w:t>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674068" id="Text Box 8" o:spid="_x0000_s1032" type="#_x0000_t202" style="position:absolute;left:0;text-align:left;margin-left:189pt;margin-top:218pt;width:27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J+eQIAAAU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" stroked="f">
                <v:textbox inset="0,0,0,0">
                  <w:txbxContent>
                    <w:p w:rsidR="009F7E58" w:rsidRPr="00B452B9" w:rsidRDefault="009F7E58" w:rsidP="007B7C69">
                      <w:pPr>
                        <w:jc w:val="center"/>
                        <w:rPr>
                          <w:b/>
                          <w:sz w:val="12"/>
                          <w:szCs w:val="12"/>
                        </w:rPr>
                      </w:pPr>
                      <w:proofErr w:type="gramStart"/>
                      <w:r>
                        <w:rPr>
                          <w:rFonts w:ascii="Arial" w:hAnsi="Arial"/>
                          <w:b/>
                          <w:sz w:val="12"/>
                          <w:szCs w:val="12"/>
                        </w:rPr>
                        <w:t>nedjelja</w:t>
                      </w:r>
                      <w:proofErr w:type="gramEnd"/>
                      <w:r w:rsidRPr="00B452B9">
                        <w:rPr>
                          <w:rFonts w:ascii="Arial" w:hAnsi="Arial"/>
                          <w:b/>
                          <w:sz w:val="12"/>
                          <w:szCs w:val="12"/>
                        </w:rPr>
                        <w:br/>
                        <w:t>24</w:t>
                      </w:r>
                    </w:p>
                  </w:txbxContent>
                </v:textbox>
              </v:shape>
            </w:pict>
          </mc:Fallback>
        </mc:AlternateContent>
      </w:r>
      <w:r w:rsidRPr="0055610F">
        <w:rPr>
          <w:noProof/>
          <w:sz w:val="22"/>
          <w:szCs w:val="22"/>
        </w:rPr>
        <mc:AlternateContent>
          <mc:Choice Requires="wps">
            <w:drawing>
              <wp:anchor distT="0" distB="0" distL="114300" distR="114300" simplePos="0" relativeHeight="251666432" behindDoc="0" locked="0" layoutInCell="1" allowOverlap="1" wp14:anchorId="22191A60" wp14:editId="38159F5B">
                <wp:simplePos x="0" y="0"/>
                <wp:positionH relativeFrom="column">
                  <wp:posOffset>1600200</wp:posOffset>
                </wp:positionH>
                <wp:positionV relativeFrom="paragraph">
                  <wp:posOffset>2768600</wp:posOffset>
                </wp:positionV>
                <wp:extent cx="342900" cy="228600"/>
                <wp:effectExtent l="0" t="2540" r="127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E58" w:rsidRPr="00B452B9" w:rsidRDefault="009F7E58" w:rsidP="007B7C69">
                            <w:pPr>
                              <w:jc w:val="center"/>
                              <w:rPr>
                                <w:b/>
                                <w:sz w:val="12"/>
                                <w:szCs w:val="12"/>
                              </w:rPr>
                            </w:pPr>
                            <w:r>
                              <w:rPr>
                                <w:rFonts w:ascii="Arial" w:hAnsi="Arial"/>
                                <w:b/>
                                <w:sz w:val="12"/>
                                <w:szCs w:val="12"/>
                              </w:rPr>
                              <w:t>nedjelja</w:t>
                            </w:r>
                            <w:r w:rsidRPr="00B452B9">
                              <w:rPr>
                                <w:rFonts w:ascii="Arial" w:hAnsi="Arial"/>
                                <w:b/>
                                <w:sz w:val="12"/>
                                <w:szCs w:val="12"/>
                              </w:rPr>
                              <w:b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91A60" id="Text Box 7" o:spid="_x0000_s1033" type="#_x0000_t202" style="position:absolute;left:0;text-align:left;margin-left:126pt;margin-top:218pt;width:27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" stroked="f">
                <v:textbox inset="0,0,0,0">
                  <w:txbxContent>
                    <w:p w:rsidR="009F7E58" w:rsidRPr="00B452B9" w:rsidRDefault="009F7E58" w:rsidP="007B7C69">
                      <w:pPr>
                        <w:jc w:val="center"/>
                        <w:rPr>
                          <w:b/>
                          <w:sz w:val="12"/>
                          <w:szCs w:val="12"/>
                        </w:rPr>
                      </w:pPr>
                      <w:proofErr w:type="gramStart"/>
                      <w:r>
                        <w:rPr>
                          <w:rFonts w:ascii="Arial" w:hAnsi="Arial"/>
                          <w:b/>
                          <w:sz w:val="12"/>
                          <w:szCs w:val="12"/>
                        </w:rPr>
                        <w:t>nedjelja</w:t>
                      </w:r>
                      <w:proofErr w:type="gramEnd"/>
                      <w:r w:rsidRPr="00B452B9">
                        <w:rPr>
                          <w:rFonts w:ascii="Arial" w:hAnsi="Arial"/>
                          <w:b/>
                          <w:sz w:val="12"/>
                          <w:szCs w:val="12"/>
                        </w:rPr>
                        <w:br/>
                        <w:t>16</w:t>
                      </w:r>
                    </w:p>
                  </w:txbxContent>
                </v:textbox>
              </v:shape>
            </w:pict>
          </mc:Fallback>
        </mc:AlternateContent>
      </w:r>
      <w:r w:rsidRPr="0055610F">
        <w:rPr>
          <w:noProof/>
          <w:sz w:val="22"/>
          <w:szCs w:val="22"/>
        </w:rPr>
        <mc:AlternateContent>
          <mc:Choice Requires="wps">
            <w:drawing>
              <wp:anchor distT="0" distB="0" distL="114300" distR="114300" simplePos="0" relativeHeight="251667456" behindDoc="0" locked="0" layoutInCell="1" allowOverlap="1" wp14:anchorId="308F2EAA" wp14:editId="7FFE09F8">
                <wp:simplePos x="0" y="0"/>
                <wp:positionH relativeFrom="column">
                  <wp:posOffset>914400</wp:posOffset>
                </wp:positionH>
                <wp:positionV relativeFrom="paragraph">
                  <wp:posOffset>2768600</wp:posOffset>
                </wp:positionV>
                <wp:extent cx="342900" cy="228600"/>
                <wp:effectExtent l="0" t="2540" r="127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E58" w:rsidRPr="00B452B9" w:rsidRDefault="009F7E58" w:rsidP="007B7C69">
                            <w:pPr>
                              <w:jc w:val="center"/>
                              <w:rPr>
                                <w:b/>
                                <w:sz w:val="12"/>
                                <w:szCs w:val="12"/>
                              </w:rPr>
                            </w:pPr>
                            <w:r>
                              <w:rPr>
                                <w:rFonts w:ascii="Arial" w:hAnsi="Arial"/>
                                <w:b/>
                                <w:sz w:val="12"/>
                                <w:szCs w:val="12"/>
                              </w:rPr>
                              <w:t>nedjelja</w:t>
                            </w:r>
                            <w:r w:rsidRPr="00B452B9">
                              <w:rPr>
                                <w:rFonts w:ascii="Arial" w:hAnsi="Arial"/>
                                <w:b/>
                                <w:sz w:val="12"/>
                                <w:szCs w:val="12"/>
                              </w:rPr>
                              <w:b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F2EAA" id="Text Box 6" o:spid="_x0000_s1034" type="#_x0000_t202" style="position:absolute;left:0;text-align:left;margin-left:1in;margin-top:218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KENegIAAAU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" stroked="f">
                <v:textbox inset="0,0,0,0">
                  <w:txbxContent>
                    <w:p w:rsidR="009F7E58" w:rsidRPr="00B452B9" w:rsidRDefault="009F7E58" w:rsidP="007B7C69">
                      <w:pPr>
                        <w:jc w:val="center"/>
                        <w:rPr>
                          <w:b/>
                          <w:sz w:val="12"/>
                          <w:szCs w:val="12"/>
                        </w:rPr>
                      </w:pPr>
                      <w:proofErr w:type="gramStart"/>
                      <w:r>
                        <w:rPr>
                          <w:rFonts w:ascii="Arial" w:hAnsi="Arial"/>
                          <w:b/>
                          <w:sz w:val="12"/>
                          <w:szCs w:val="12"/>
                        </w:rPr>
                        <w:t>nedjelja</w:t>
                      </w:r>
                      <w:proofErr w:type="gramEnd"/>
                      <w:r w:rsidRPr="00B452B9">
                        <w:rPr>
                          <w:rFonts w:ascii="Arial" w:hAnsi="Arial"/>
                          <w:b/>
                          <w:sz w:val="12"/>
                          <w:szCs w:val="12"/>
                        </w:rPr>
                        <w:br/>
                        <w:t>8</w:t>
                      </w:r>
                    </w:p>
                  </w:txbxContent>
                </v:textbox>
              </v:shape>
            </w:pict>
          </mc:Fallback>
        </mc:AlternateContent>
      </w:r>
      <w:r w:rsidRPr="0055610F">
        <w:rPr>
          <w:noProof/>
          <w:sz w:val="22"/>
          <w:szCs w:val="22"/>
        </w:rPr>
        <mc:AlternateContent>
          <mc:Choice Requires="wps">
            <w:drawing>
              <wp:anchor distT="0" distB="0" distL="114300" distR="114300" simplePos="0" relativeHeight="251668480" behindDoc="0" locked="0" layoutInCell="1" allowOverlap="1" wp14:anchorId="4FD1639B" wp14:editId="2EE71C88">
                <wp:simplePos x="0" y="0"/>
                <wp:positionH relativeFrom="column">
                  <wp:posOffset>565150</wp:posOffset>
                </wp:positionH>
                <wp:positionV relativeFrom="paragraph">
                  <wp:posOffset>2768600</wp:posOffset>
                </wp:positionV>
                <wp:extent cx="342900" cy="228600"/>
                <wp:effectExtent l="1905" t="254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E58" w:rsidRPr="00B452B9" w:rsidRDefault="009F7E58" w:rsidP="007B7C69">
                            <w:pPr>
                              <w:jc w:val="center"/>
                              <w:rPr>
                                <w:b/>
                                <w:sz w:val="12"/>
                                <w:szCs w:val="12"/>
                              </w:rPr>
                            </w:pPr>
                            <w:r>
                              <w:rPr>
                                <w:rFonts w:ascii="Arial" w:hAnsi="Arial"/>
                                <w:b/>
                                <w:sz w:val="12"/>
                                <w:szCs w:val="12"/>
                              </w:rPr>
                              <w:t>nedjelja</w:t>
                            </w:r>
                            <w:r w:rsidRPr="00B452B9">
                              <w:rPr>
                                <w:rFonts w:ascii="Arial" w:hAnsi="Arial"/>
                                <w:b/>
                                <w:sz w:val="12"/>
                                <w:szCs w:val="12"/>
                              </w:rPr>
                              <w:b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1639B" id="Text Box 5" o:spid="_x0000_s1035" type="#_x0000_t202" style="position:absolute;left:0;text-align:left;margin-left:44.5pt;margin-top:218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" stroked="f">
                <v:textbox inset="0,0,0,0">
                  <w:txbxContent>
                    <w:p w:rsidR="009F7E58" w:rsidRPr="00B452B9" w:rsidRDefault="009F7E58" w:rsidP="007B7C69">
                      <w:pPr>
                        <w:jc w:val="center"/>
                        <w:rPr>
                          <w:b/>
                          <w:sz w:val="12"/>
                          <w:szCs w:val="12"/>
                        </w:rPr>
                      </w:pPr>
                      <w:proofErr w:type="gramStart"/>
                      <w:r>
                        <w:rPr>
                          <w:rFonts w:ascii="Arial" w:hAnsi="Arial"/>
                          <w:b/>
                          <w:sz w:val="12"/>
                          <w:szCs w:val="12"/>
                        </w:rPr>
                        <w:t>nedjelja</w:t>
                      </w:r>
                      <w:proofErr w:type="gramEnd"/>
                      <w:r w:rsidRPr="00B452B9">
                        <w:rPr>
                          <w:rFonts w:ascii="Arial" w:hAnsi="Arial"/>
                          <w:b/>
                          <w:sz w:val="12"/>
                          <w:szCs w:val="12"/>
                        </w:rPr>
                        <w:br/>
                        <w:t>4</w:t>
                      </w:r>
                    </w:p>
                  </w:txbxContent>
                </v:textbox>
              </v:shape>
            </w:pict>
          </mc:Fallback>
        </mc:AlternateContent>
      </w:r>
      <w:r w:rsidRPr="0055610F">
        <w:rPr>
          <w:noProof/>
          <w:sz w:val="22"/>
          <w:szCs w:val="22"/>
        </w:rPr>
        <mc:AlternateContent>
          <mc:Choice Requires="wps">
            <w:drawing>
              <wp:anchor distT="0" distB="0" distL="114300" distR="114300" simplePos="0" relativeHeight="251669504" behindDoc="0" locked="0" layoutInCell="1" allowOverlap="1" wp14:anchorId="733E6478" wp14:editId="3BA15258">
                <wp:simplePos x="0" y="0"/>
                <wp:positionH relativeFrom="column">
                  <wp:posOffset>565150</wp:posOffset>
                </wp:positionH>
                <wp:positionV relativeFrom="paragraph">
                  <wp:posOffset>2794000</wp:posOffset>
                </wp:positionV>
                <wp:extent cx="342900" cy="228600"/>
                <wp:effectExtent l="1905"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E58" w:rsidRPr="00D62798" w:rsidRDefault="009F7E58" w:rsidP="007B7C69">
                            <w:pPr>
                              <w:jc w:val="center"/>
                              <w:rPr>
                                <w:b/>
                              </w:rPr>
                            </w:pPr>
                            <w:r w:rsidRPr="00D62798">
                              <w:rPr>
                                <w:rFonts w:ascii="Arial" w:hAnsi="Arial"/>
                                <w:b/>
                                <w:sz w:val="14"/>
                              </w:rPr>
                              <w:t xml:space="preserve">Week </w:t>
                            </w:r>
                            <w:r w:rsidRPr="00D62798">
                              <w:rPr>
                                <w:rFonts w:ascii="Arial" w:hAnsi="Arial"/>
                                <w:b/>
                                <w:sz w:val="14"/>
                              </w:rPr>
                              <w:b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E6478" id="Text Box 4" o:spid="_x0000_s1036" type="#_x0000_t202" style="position:absolute;left:0;text-align:left;margin-left:44.5pt;margin-top:220pt;width:2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" stroked="f">
                <v:textbox inset="0,0,0,0">
                  <w:txbxContent>
                    <w:p w:rsidR="009F7E58" w:rsidRPr="00D62798" w:rsidRDefault="009F7E58" w:rsidP="007B7C69">
                      <w:pPr>
                        <w:jc w:val="center"/>
                        <w:rPr>
                          <w:b/>
                        </w:rPr>
                      </w:pPr>
                      <w:r w:rsidRPr="00D62798">
                        <w:rPr>
                          <w:rFonts w:ascii="Arial" w:hAnsi="Arial"/>
                          <w:b/>
                          <w:sz w:val="14"/>
                        </w:rPr>
                        <w:t xml:space="preserve">Week </w:t>
                      </w:r>
                      <w:r w:rsidRPr="00D62798">
                        <w:rPr>
                          <w:rFonts w:ascii="Arial" w:hAnsi="Arial"/>
                          <w:b/>
                          <w:sz w:val="14"/>
                        </w:rPr>
                        <w:br/>
                        <w:t>4</w:t>
                      </w:r>
                    </w:p>
                  </w:txbxContent>
                </v:textbox>
              </v:shape>
            </w:pict>
          </mc:Fallback>
        </mc:AlternateContent>
      </w:r>
      <w:r w:rsidRPr="0055610F">
        <w:rPr>
          <w:noProof/>
          <w:sz w:val="22"/>
          <w:szCs w:val="22"/>
        </w:rPr>
        <w:drawing>
          <wp:inline distT="0" distB="0" distL="0" distR="0" wp14:anchorId="36E0D276" wp14:editId="69F6C032">
            <wp:extent cx="5114925" cy="34480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28582" cy="3457256"/>
                    </a:xfrm>
                    <a:prstGeom prst="rect">
                      <a:avLst/>
                    </a:prstGeom>
                    <a:noFill/>
                    <a:ln>
                      <a:noFill/>
                    </a:ln>
                  </pic:spPr>
                </pic:pic>
              </a:graphicData>
            </a:graphic>
          </wp:inline>
        </w:drawing>
      </w:r>
    </w:p>
    <w:p w:rsidR="007B7C69" w:rsidRPr="0055610F" w:rsidRDefault="007B7C69" w:rsidP="004D5825">
      <w:pPr>
        <w:jc w:val="both"/>
        <w:outlineLvl w:val="0"/>
        <w:rPr>
          <w:sz w:val="22"/>
          <w:szCs w:val="22"/>
          <w:lang w:val="sr-Latn-ME"/>
        </w:rPr>
      </w:pPr>
    </w:p>
    <w:p w:rsidR="007B7C69" w:rsidRPr="0055610F" w:rsidRDefault="007B7C69" w:rsidP="004D5825">
      <w:pPr>
        <w:keepNext/>
        <w:jc w:val="both"/>
        <w:outlineLvl w:val="0"/>
        <w:rPr>
          <w:i/>
          <w:sz w:val="22"/>
          <w:szCs w:val="22"/>
          <w:lang w:val="sr-Latn-ME"/>
        </w:rPr>
      </w:pPr>
      <w:r w:rsidRPr="0055610F">
        <w:rPr>
          <w:i/>
          <w:sz w:val="22"/>
          <w:szCs w:val="22"/>
          <w:lang w:val="sr-Latn-ME"/>
        </w:rPr>
        <w:t>Dugoročna efikasnost višekratnih ciklusa terapije</w:t>
      </w:r>
    </w:p>
    <w:p w:rsidR="007B7C69" w:rsidRDefault="007B7C69" w:rsidP="004D5825">
      <w:pPr>
        <w:jc w:val="both"/>
        <w:outlineLvl w:val="0"/>
        <w:rPr>
          <w:sz w:val="22"/>
          <w:szCs w:val="22"/>
          <w:lang w:val="sr-Latn-ME"/>
        </w:rPr>
      </w:pPr>
      <w:r w:rsidRPr="0055610F">
        <w:rPr>
          <w:sz w:val="22"/>
          <w:szCs w:val="22"/>
          <w:lang w:val="sr-Latn-ME"/>
        </w:rPr>
        <w:t>Liječenje lijekom MabThera u kombinaciji sa metotreksatom u više ciklusa dovelo je do trajnih poboljšanja kliničkih znakova i simptoma reumatoidnog artritisa, što je vidljivo prema ACR, DAS28</w:t>
      </w:r>
      <w:r w:rsidRPr="0055610F">
        <w:rPr>
          <w:sz w:val="22"/>
          <w:szCs w:val="22"/>
          <w:lang w:val="sr-Latn-ME"/>
        </w:rPr>
        <w:noBreakHyphen/>
        <w:t>ESR i EULAR odgovorima u svim populacijama pacijenata koje su obuhvaćene ispitivanjem (Slika 2). Posmatrano je trajno poboljšanje fizičke funkcije, na što upućuju HAQ-DI indeks i udio pacijenata koji su postigli MCID za HAQ-DI.</w:t>
      </w:r>
    </w:p>
    <w:p w:rsidR="00831702" w:rsidRPr="0055610F" w:rsidRDefault="00831702" w:rsidP="004D5825">
      <w:pPr>
        <w:jc w:val="both"/>
        <w:outlineLvl w:val="0"/>
        <w:rPr>
          <w:sz w:val="22"/>
          <w:szCs w:val="22"/>
          <w:lang w:val="sr-Latn-ME"/>
        </w:rPr>
      </w:pPr>
    </w:p>
    <w:p w:rsidR="007B7C69" w:rsidRPr="0055610F" w:rsidRDefault="00507E75" w:rsidP="004D5825">
      <w:pPr>
        <w:keepNext/>
        <w:ind w:left="1134" w:hanging="1134"/>
        <w:jc w:val="both"/>
        <w:outlineLvl w:val="0"/>
        <w:rPr>
          <w:b/>
          <w:sz w:val="22"/>
          <w:szCs w:val="22"/>
          <w:lang w:val="sr-Latn-ME"/>
        </w:rPr>
      </w:pPr>
      <w:r>
        <w:rPr>
          <w:b/>
          <w:sz w:val="22"/>
          <w:szCs w:val="22"/>
          <w:lang w:val="sr-Latn-ME"/>
        </w:rPr>
        <w:lastRenderedPageBreak/>
        <w:t>S</w:t>
      </w:r>
      <w:r w:rsidR="007B7C69" w:rsidRPr="0055610F">
        <w:rPr>
          <w:b/>
          <w:sz w:val="22"/>
          <w:szCs w:val="22"/>
          <w:lang w:val="sr-Latn-ME"/>
        </w:rPr>
        <w:t xml:space="preserve">lika 2 </w:t>
      </w:r>
      <w:r w:rsidR="007B7C69" w:rsidRPr="0055610F">
        <w:rPr>
          <w:b/>
          <w:sz w:val="22"/>
          <w:szCs w:val="22"/>
          <w:lang w:val="sr-Latn-ME"/>
        </w:rPr>
        <w:tab/>
        <w:t xml:space="preserve">ACR odgovori u 4 ciklusa liječenja (24 nedjelje nakon svakog ciklusa </w:t>
      </w:r>
    </w:p>
    <w:p w:rsidR="007B7C69" w:rsidRPr="0055610F" w:rsidRDefault="007B7C69" w:rsidP="004D5825">
      <w:pPr>
        <w:keepNext/>
        <w:ind w:left="1134"/>
        <w:jc w:val="both"/>
        <w:outlineLvl w:val="0"/>
        <w:rPr>
          <w:b/>
          <w:sz w:val="22"/>
          <w:szCs w:val="22"/>
          <w:lang w:val="sr-Latn-ME"/>
        </w:rPr>
      </w:pPr>
      <w:r w:rsidRPr="0055610F">
        <w:rPr>
          <w:b/>
          <w:sz w:val="22"/>
          <w:szCs w:val="22"/>
          <w:lang w:val="sr-Latn-ME"/>
        </w:rPr>
        <w:t>(</w:t>
      </w:r>
      <w:r w:rsidR="00B21971" w:rsidRPr="0055610F">
        <w:rPr>
          <w:b/>
          <w:sz w:val="22"/>
          <w:szCs w:val="22"/>
          <w:lang w:val="sr-Latn-ME"/>
        </w:rPr>
        <w:t>Intraindividualno</w:t>
      </w:r>
      <w:r w:rsidRPr="0055610F">
        <w:rPr>
          <w:b/>
          <w:sz w:val="22"/>
          <w:szCs w:val="22"/>
          <w:lang w:val="sr-Latn-ME"/>
        </w:rPr>
        <w:t>, unutar posjeta) kod pacijenata koji ni</w:t>
      </w:r>
      <w:r w:rsidR="009B5886" w:rsidRPr="0055610F">
        <w:rPr>
          <w:b/>
          <w:sz w:val="22"/>
          <w:szCs w:val="22"/>
          <w:lang w:val="sr-Latn-ME"/>
        </w:rPr>
        <w:t>je</w:t>
      </w:r>
      <w:r w:rsidRPr="0055610F">
        <w:rPr>
          <w:b/>
          <w:sz w:val="22"/>
          <w:szCs w:val="22"/>
          <w:lang w:val="sr-Latn-ME"/>
        </w:rPr>
        <w:t>su dovoljno dobro odgovorili na TNF</w:t>
      </w:r>
      <w:r w:rsidRPr="0055610F">
        <w:rPr>
          <w:b/>
          <w:sz w:val="22"/>
          <w:szCs w:val="22"/>
          <w:lang w:val="sr-Latn-ME"/>
        </w:rPr>
        <w:noBreakHyphen/>
        <w:t>inhibitore (n = 146)</w:t>
      </w:r>
    </w:p>
    <w:p w:rsidR="007B7C69" w:rsidRPr="0055610F" w:rsidRDefault="007B7C69" w:rsidP="004D5825">
      <w:pPr>
        <w:keepNext/>
        <w:ind w:left="1134"/>
        <w:jc w:val="both"/>
        <w:outlineLvl w:val="0"/>
        <w:rPr>
          <w:b/>
          <w:sz w:val="22"/>
          <w:szCs w:val="22"/>
          <w:lang w:val="sr-Latn-ME"/>
        </w:rPr>
      </w:pPr>
    </w:p>
    <w:p w:rsidR="007B7C69" w:rsidRPr="0055610F" w:rsidRDefault="007B7C69" w:rsidP="004D5825">
      <w:pPr>
        <w:keepNext/>
        <w:jc w:val="both"/>
        <w:outlineLvl w:val="0"/>
        <w:rPr>
          <w:sz w:val="22"/>
          <w:szCs w:val="22"/>
          <w:lang w:val="sr-Latn-ME"/>
        </w:rPr>
      </w:pPr>
      <w:r w:rsidRPr="0055610F">
        <w:rPr>
          <w:noProof/>
          <w:sz w:val="22"/>
          <w:szCs w:val="22"/>
        </w:rPr>
        <w:drawing>
          <wp:inline distT="0" distB="0" distL="0" distR="0" wp14:anchorId="3A383B5F" wp14:editId="1A4A72FF">
            <wp:extent cx="3086100" cy="2124075"/>
            <wp:effectExtent l="0" t="0" r="0" b="0"/>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B7C69" w:rsidRPr="0055610F" w:rsidRDefault="007B7C69" w:rsidP="004D5825">
      <w:pPr>
        <w:keepNext/>
        <w:jc w:val="both"/>
        <w:outlineLvl w:val="0"/>
        <w:rPr>
          <w:i/>
          <w:sz w:val="22"/>
          <w:szCs w:val="22"/>
          <w:u w:val="single"/>
          <w:lang w:val="sr-Latn-ME"/>
        </w:rPr>
      </w:pPr>
      <w:r w:rsidRPr="0055610F">
        <w:rPr>
          <w:i/>
          <w:sz w:val="22"/>
          <w:szCs w:val="22"/>
          <w:u w:val="single"/>
          <w:lang w:val="sr-Latn-ME"/>
        </w:rPr>
        <w:t>Klinički laboratorijski nalazi</w:t>
      </w:r>
    </w:p>
    <w:p w:rsidR="00B21971" w:rsidRPr="0055610F" w:rsidRDefault="00B21971" w:rsidP="004D5825">
      <w:pPr>
        <w:keepNext/>
        <w:jc w:val="both"/>
        <w:outlineLvl w:val="0"/>
        <w:rPr>
          <w:i/>
          <w:sz w:val="22"/>
          <w:szCs w:val="22"/>
          <w:u w:val="single"/>
          <w:lang w:val="sr-Latn-ME"/>
        </w:rPr>
      </w:pPr>
    </w:p>
    <w:p w:rsidR="007B7C69" w:rsidRDefault="007B7C69" w:rsidP="004D5825">
      <w:pPr>
        <w:jc w:val="both"/>
        <w:outlineLvl w:val="0"/>
        <w:rPr>
          <w:sz w:val="22"/>
          <w:szCs w:val="22"/>
          <w:lang w:val="sr-Latn-ME"/>
        </w:rPr>
      </w:pPr>
      <w:r w:rsidRPr="0055610F">
        <w:rPr>
          <w:sz w:val="22"/>
          <w:szCs w:val="22"/>
          <w:lang w:val="sr-Latn-ME"/>
        </w:rPr>
        <w:t>U kliničkim studijama nakon terapije lijekom MabThera ukupno 392/3095 (12,7%) oboljelih od reumatoidnog artritisa bilo je pozitivno na antitijela na lijek (</w:t>
      </w:r>
      <w:r w:rsidRPr="0055610F">
        <w:rPr>
          <w:i/>
          <w:sz w:val="22"/>
          <w:szCs w:val="22"/>
          <w:lang w:val="sr-Latn-ME"/>
        </w:rPr>
        <w:t>anti-drug antibody</w:t>
      </w:r>
      <w:r w:rsidRPr="0055610F">
        <w:rPr>
          <w:sz w:val="22"/>
          <w:szCs w:val="22"/>
          <w:lang w:val="sr-Latn-ME"/>
        </w:rPr>
        <w:t>, ADA). Pojava antitijela na lijek kod većine pacijenata nije bila povezana sa kliničkim pogoršanjem ni povećanim rizikom od reakcija na daljnje infuzije. Prisutnost antitijela na lijek može biti povezana sa pojačanim reakcijama na infuziju ili alergijskim reakcijama nakon druge infuzije u daljnjim ciklusima liječenja.</w:t>
      </w:r>
    </w:p>
    <w:p w:rsidR="00507E75" w:rsidRPr="0055610F" w:rsidRDefault="00507E75" w:rsidP="004D5825">
      <w:pPr>
        <w:jc w:val="both"/>
        <w:outlineLvl w:val="0"/>
        <w:rPr>
          <w:sz w:val="22"/>
          <w:szCs w:val="22"/>
          <w:lang w:val="sr-Latn-ME"/>
        </w:rPr>
      </w:pPr>
    </w:p>
    <w:p w:rsidR="007B7C69" w:rsidRPr="0055610F" w:rsidRDefault="007B7C69" w:rsidP="004D5825">
      <w:pPr>
        <w:keepNext/>
        <w:jc w:val="both"/>
        <w:outlineLvl w:val="0"/>
        <w:rPr>
          <w:i/>
          <w:sz w:val="22"/>
          <w:szCs w:val="22"/>
          <w:u w:val="single"/>
          <w:lang w:val="sr-Latn-ME"/>
        </w:rPr>
      </w:pPr>
      <w:r w:rsidRPr="0055610F">
        <w:rPr>
          <w:i/>
          <w:sz w:val="22"/>
          <w:szCs w:val="22"/>
          <w:u w:val="single"/>
          <w:lang w:val="sr-Latn-ME"/>
        </w:rPr>
        <w:t>Pedi</w:t>
      </w:r>
      <w:r w:rsidR="00277702">
        <w:rPr>
          <w:i/>
          <w:sz w:val="22"/>
          <w:szCs w:val="22"/>
          <w:u w:val="single"/>
          <w:lang w:val="sr-Latn-ME"/>
        </w:rPr>
        <w:t>j</w:t>
      </w:r>
      <w:r w:rsidRPr="0055610F">
        <w:rPr>
          <w:i/>
          <w:sz w:val="22"/>
          <w:szCs w:val="22"/>
          <w:u w:val="single"/>
          <w:lang w:val="sr-Latn-ME"/>
        </w:rPr>
        <w:t>atrijska populacija</w:t>
      </w:r>
    </w:p>
    <w:p w:rsidR="00B21971" w:rsidRPr="0055610F" w:rsidRDefault="00B21971" w:rsidP="004D5825">
      <w:pPr>
        <w:keepNext/>
        <w:jc w:val="both"/>
        <w:outlineLvl w:val="0"/>
        <w:rPr>
          <w:i/>
          <w:sz w:val="22"/>
          <w:szCs w:val="22"/>
          <w:u w:val="single"/>
          <w:lang w:val="sr-Latn-ME"/>
        </w:rPr>
      </w:pPr>
    </w:p>
    <w:p w:rsidR="007B7C69" w:rsidRPr="0055610F" w:rsidRDefault="007B7C69" w:rsidP="004D5825">
      <w:pPr>
        <w:jc w:val="both"/>
        <w:outlineLvl w:val="0"/>
        <w:rPr>
          <w:sz w:val="22"/>
          <w:szCs w:val="22"/>
          <w:lang w:val="sr-Latn-ME"/>
        </w:rPr>
      </w:pPr>
      <w:r w:rsidRPr="0055610F">
        <w:rPr>
          <w:sz w:val="22"/>
          <w:szCs w:val="22"/>
          <w:lang w:val="sr-Latn-ME"/>
        </w:rPr>
        <w:t xml:space="preserve">Evropska agencija za ljekove je izuzela obavezu podnošenja rezultata ispitivanja lijeka MabThera u svim podgrupama pedijatrijske populacije sa autoimunim artritisom. Vidjeti dio 4.2 za informacije o pedijatrijskoj primjeni. </w:t>
      </w:r>
    </w:p>
    <w:p w:rsidR="007B7C69" w:rsidRPr="0055610F" w:rsidRDefault="007B7C69" w:rsidP="004D5825">
      <w:pPr>
        <w:jc w:val="both"/>
        <w:outlineLvl w:val="0"/>
        <w:rPr>
          <w:sz w:val="22"/>
          <w:szCs w:val="22"/>
          <w:lang w:val="sr-Latn-ME"/>
        </w:rPr>
      </w:pPr>
    </w:p>
    <w:p w:rsidR="007B7C69" w:rsidRPr="0055610F" w:rsidRDefault="007B7C69" w:rsidP="004D5825">
      <w:pPr>
        <w:keepNext/>
        <w:keepLines/>
        <w:jc w:val="both"/>
        <w:outlineLvl w:val="0"/>
        <w:rPr>
          <w:sz w:val="22"/>
          <w:szCs w:val="22"/>
          <w:u w:val="single"/>
          <w:lang w:val="sr-Latn-ME"/>
        </w:rPr>
      </w:pPr>
      <w:r w:rsidRPr="0055610F">
        <w:rPr>
          <w:sz w:val="22"/>
          <w:szCs w:val="22"/>
          <w:u w:val="single"/>
          <w:lang w:val="sr-Latn-ME"/>
        </w:rPr>
        <w:t xml:space="preserve">Klinička </w:t>
      </w:r>
      <w:r w:rsidR="001F1EC4">
        <w:rPr>
          <w:sz w:val="22"/>
          <w:szCs w:val="22"/>
          <w:u w:val="single"/>
          <w:lang w:val="sr-Latn-ME"/>
        </w:rPr>
        <w:t xml:space="preserve">efikasnost i bezbjednost </w:t>
      </w:r>
      <w:r w:rsidRPr="0055610F">
        <w:rPr>
          <w:sz w:val="22"/>
          <w:szCs w:val="22"/>
          <w:u w:val="single"/>
          <w:lang w:val="sr-Latn-ME"/>
        </w:rPr>
        <w:t>u liječenju granulomatoze sa poliangitisom (GPA)</w:t>
      </w:r>
      <w:r w:rsidR="003D18FF">
        <w:rPr>
          <w:sz w:val="22"/>
          <w:szCs w:val="22"/>
          <w:u w:val="single"/>
          <w:lang w:val="sr-Latn-ME"/>
        </w:rPr>
        <w:t xml:space="preserve"> </w:t>
      </w:r>
      <w:r w:rsidRPr="0055610F">
        <w:rPr>
          <w:sz w:val="22"/>
          <w:szCs w:val="22"/>
          <w:u w:val="single"/>
          <w:lang w:val="sr-Latn-ME"/>
        </w:rPr>
        <w:t>i mikroskopskog poliangitisa (MPA</w:t>
      </w:r>
    </w:p>
    <w:p w:rsidR="007B7C69" w:rsidRPr="0055610F" w:rsidRDefault="007B7C69" w:rsidP="004D5825">
      <w:pPr>
        <w:keepNext/>
        <w:keepLines/>
        <w:jc w:val="both"/>
        <w:outlineLvl w:val="0"/>
        <w:rPr>
          <w:sz w:val="22"/>
          <w:szCs w:val="22"/>
          <w:u w:val="single"/>
          <w:lang w:val="sr-Latn-ME"/>
        </w:rPr>
      </w:pPr>
    </w:p>
    <w:p w:rsidR="007B7C69" w:rsidRPr="0055610F" w:rsidRDefault="001F1EC4" w:rsidP="004D5825">
      <w:pPr>
        <w:keepNext/>
        <w:keepLines/>
        <w:jc w:val="both"/>
        <w:outlineLvl w:val="0"/>
        <w:rPr>
          <w:sz w:val="22"/>
          <w:szCs w:val="22"/>
          <w:u w:val="single"/>
          <w:lang w:val="sr-Latn-ME"/>
        </w:rPr>
      </w:pPr>
      <w:r>
        <w:rPr>
          <w:i/>
          <w:sz w:val="22"/>
          <w:szCs w:val="22"/>
          <w:u w:val="single"/>
          <w:lang w:val="sr-Latn-ME"/>
        </w:rPr>
        <w:t>Terapija za i</w:t>
      </w:r>
      <w:r w:rsidR="007B7C69" w:rsidRPr="0055610F">
        <w:rPr>
          <w:i/>
          <w:sz w:val="22"/>
          <w:szCs w:val="22"/>
          <w:u w:val="single"/>
          <w:lang w:val="sr-Latn-ME"/>
        </w:rPr>
        <w:t>ndukcij</w:t>
      </w:r>
      <w:r>
        <w:rPr>
          <w:i/>
          <w:sz w:val="22"/>
          <w:szCs w:val="22"/>
          <w:u w:val="single"/>
          <w:lang w:val="sr-Latn-ME"/>
        </w:rPr>
        <w:t>u</w:t>
      </w:r>
      <w:r w:rsidR="007B7C69" w:rsidRPr="0055610F">
        <w:rPr>
          <w:i/>
          <w:sz w:val="22"/>
          <w:szCs w:val="22"/>
          <w:u w:val="single"/>
          <w:lang w:val="sr-Latn-ME"/>
        </w:rPr>
        <w:t xml:space="preserve"> remisije kod od</w:t>
      </w:r>
      <w:r w:rsidR="00277702">
        <w:rPr>
          <w:i/>
          <w:sz w:val="22"/>
          <w:szCs w:val="22"/>
          <w:u w:val="single"/>
          <w:lang w:val="sr-Latn-ME"/>
        </w:rPr>
        <w:t>r</w:t>
      </w:r>
      <w:r w:rsidR="007B7C69" w:rsidRPr="0055610F">
        <w:rPr>
          <w:i/>
          <w:sz w:val="22"/>
          <w:szCs w:val="22"/>
          <w:u w:val="single"/>
          <w:lang w:val="sr-Latn-ME"/>
        </w:rPr>
        <w:t>aslih pacijenata</w:t>
      </w:r>
    </w:p>
    <w:p w:rsidR="007B7C69" w:rsidRPr="0055610F" w:rsidRDefault="00CA6E91" w:rsidP="004D5825">
      <w:pPr>
        <w:keepNext/>
        <w:keepLines/>
        <w:jc w:val="both"/>
        <w:outlineLvl w:val="0"/>
        <w:rPr>
          <w:sz w:val="22"/>
          <w:szCs w:val="22"/>
          <w:lang w:val="sr-Latn-ME"/>
        </w:rPr>
      </w:pPr>
      <w:r w:rsidRPr="0055610F">
        <w:rPr>
          <w:sz w:val="22"/>
          <w:szCs w:val="22"/>
          <w:lang w:val="sr-Latn-ME"/>
        </w:rPr>
        <w:t>U 1. studiji</w:t>
      </w:r>
      <w:r w:rsidR="007B7C69" w:rsidRPr="0055610F">
        <w:rPr>
          <w:sz w:val="22"/>
          <w:szCs w:val="22"/>
          <w:lang w:val="sr-Latn-ME"/>
        </w:rPr>
        <w:t xml:space="preserve"> kod GPA/MPA ukupno je 197 pacijenatata uzrasta od 15 ili više godina sa teškom aktivnom GPA (75%) i MPA (24%) učestvovalo i liječeno u randomizovanoj, dvostruko slijepoj, multicentričnoj, aktivnom lijekom kontrolisanom ispitivanju neinferiornosti.</w:t>
      </w:r>
    </w:p>
    <w:p w:rsidR="007B7C69" w:rsidRPr="0055610F" w:rsidRDefault="007B7C69" w:rsidP="004D5825">
      <w:pPr>
        <w:keepNext/>
        <w:keepLines/>
        <w:jc w:val="both"/>
        <w:outlineLvl w:val="0"/>
        <w:rPr>
          <w:sz w:val="22"/>
          <w:szCs w:val="22"/>
          <w:lang w:val="sr-Latn-ME"/>
        </w:rPr>
      </w:pPr>
    </w:p>
    <w:p w:rsidR="007B7C69" w:rsidRPr="0055610F" w:rsidRDefault="007B7C69" w:rsidP="004D5825">
      <w:pPr>
        <w:keepNext/>
        <w:keepLines/>
        <w:jc w:val="both"/>
        <w:outlineLvl w:val="0"/>
        <w:rPr>
          <w:sz w:val="22"/>
          <w:szCs w:val="22"/>
          <w:lang w:val="sr-Latn-ME"/>
        </w:rPr>
      </w:pPr>
      <w:r w:rsidRPr="0055610F">
        <w:rPr>
          <w:sz w:val="22"/>
          <w:szCs w:val="22"/>
          <w:lang w:val="sr-Latn-ME"/>
        </w:rPr>
        <w:t>Pacijenti su u odnosu 1:1 randomizovani da primaju ili oralno ciklofosfamid (2 mg/kg na dan) svakodnevno tokom 3-6 mjeseci ili lijek Mabthera (375 mg/m2) jedanput nedjeljno tokom 4 nedjelje. Svi pacijenti u grupi liječenoj ciklofosfamidom primali su terapiju održavanja azatioprinom tokom razdoblja praćenja. Pacijenti u ob</w:t>
      </w:r>
      <w:r w:rsidR="009B5886" w:rsidRPr="0055610F">
        <w:rPr>
          <w:sz w:val="22"/>
          <w:szCs w:val="22"/>
          <w:lang w:val="sr-Latn-ME"/>
        </w:rPr>
        <w:t>ij</w:t>
      </w:r>
      <w:r w:rsidRPr="0055610F">
        <w:rPr>
          <w:sz w:val="22"/>
          <w:szCs w:val="22"/>
          <w:lang w:val="sr-Latn-ME"/>
        </w:rPr>
        <w:t xml:space="preserve">e grupe su tokom 1 do 3 dana primali pulsnu intravensku (i.v.)  terapiju metilprednizolonom u dozi od 1000 mg na dan (ili drugi glukokortikoid u ekvivalentnoj dozi), a zatim oralno prednizon (1 mg/kg na dan, ali ne više od 80 mg na dan). Postupno smanjivanje doze prednizona moralo se dovršiti do isteka 6 mjeseci od prve primjene ispitivanog lijeka. </w:t>
      </w:r>
    </w:p>
    <w:p w:rsidR="007B7C69" w:rsidRPr="0055610F" w:rsidRDefault="007B7C69" w:rsidP="004D5825">
      <w:pPr>
        <w:jc w:val="both"/>
        <w:outlineLvl w:val="0"/>
        <w:rPr>
          <w:sz w:val="22"/>
          <w:szCs w:val="22"/>
          <w:lang w:val="sr-Latn-ME"/>
        </w:rPr>
      </w:pPr>
    </w:p>
    <w:p w:rsidR="007B7C69" w:rsidRPr="0055610F" w:rsidRDefault="007B7C69" w:rsidP="004D5825">
      <w:pPr>
        <w:keepNext/>
        <w:keepLines/>
        <w:jc w:val="both"/>
        <w:outlineLvl w:val="0"/>
        <w:rPr>
          <w:sz w:val="22"/>
          <w:szCs w:val="22"/>
          <w:lang w:val="sr-Latn-ME"/>
        </w:rPr>
      </w:pPr>
      <w:r w:rsidRPr="0055610F">
        <w:rPr>
          <w:sz w:val="22"/>
          <w:szCs w:val="22"/>
          <w:lang w:val="sr-Latn-ME"/>
        </w:rPr>
        <w:lastRenderedPageBreak/>
        <w:t>Primarna mjera ishoda bilo je postizanje potpune remisije nakon 6 mjeseci, definisano kao BVAS/WG indeks 0 (Birmingham Vasculitis Activity Score za Wegenerovu granulomatozu) i bez primjene glukokortikoida. Prethodno postavljena granica neinferiornosti za razliku između terapija bila je 20%. Ispitivanje je pokazalo neinferiornost lijeka MabThera u odnosu na ciklofosfamid u postizanju potpune remisije nakon 6 mjeseci (Tabela 19).</w:t>
      </w:r>
    </w:p>
    <w:p w:rsidR="007B7C69" w:rsidRPr="0055610F" w:rsidRDefault="007B7C69" w:rsidP="004D5825">
      <w:pPr>
        <w:keepNext/>
        <w:keepLines/>
        <w:jc w:val="both"/>
        <w:outlineLvl w:val="0"/>
        <w:rPr>
          <w:sz w:val="22"/>
          <w:szCs w:val="22"/>
          <w:lang w:val="sr-Latn-ME"/>
        </w:rPr>
      </w:pPr>
    </w:p>
    <w:p w:rsidR="007B7C69" w:rsidRPr="0055610F" w:rsidRDefault="007B7C69" w:rsidP="004D5825">
      <w:pPr>
        <w:keepNext/>
        <w:keepLines/>
        <w:jc w:val="both"/>
        <w:outlineLvl w:val="0"/>
        <w:rPr>
          <w:sz w:val="22"/>
          <w:szCs w:val="22"/>
          <w:lang w:val="sr-Latn-ME"/>
        </w:rPr>
      </w:pPr>
      <w:r w:rsidRPr="0055610F">
        <w:rPr>
          <w:sz w:val="22"/>
          <w:szCs w:val="22"/>
          <w:lang w:val="sr-Latn-ME"/>
        </w:rPr>
        <w:t>Efikasnost je prim</w:t>
      </w:r>
      <w:r w:rsidR="009B5886" w:rsidRPr="0055610F">
        <w:rPr>
          <w:sz w:val="22"/>
          <w:szCs w:val="22"/>
          <w:lang w:val="sr-Latn-ME"/>
        </w:rPr>
        <w:t>i</w:t>
      </w:r>
      <w:r w:rsidRPr="0055610F">
        <w:rPr>
          <w:sz w:val="22"/>
          <w:szCs w:val="22"/>
          <w:lang w:val="sr-Latn-ME"/>
        </w:rPr>
        <w:t>jećena i kod pacijenata sa novodijagnostifikovanom bolešću i kod pacijenata sa relapsirajućom bolešću (Tabela 20).</w:t>
      </w:r>
    </w:p>
    <w:p w:rsidR="007B7C69" w:rsidRPr="0055610F" w:rsidRDefault="007B7C69" w:rsidP="004D5825">
      <w:pPr>
        <w:keepNext/>
        <w:keepLines/>
        <w:jc w:val="both"/>
        <w:outlineLvl w:val="0"/>
        <w:rPr>
          <w:sz w:val="22"/>
          <w:szCs w:val="22"/>
          <w:lang w:val="sr-Latn-ME"/>
        </w:rPr>
      </w:pPr>
    </w:p>
    <w:p w:rsidR="007B7C69" w:rsidRPr="0055610F" w:rsidRDefault="007B7C69" w:rsidP="004D5825">
      <w:pPr>
        <w:keepNext/>
        <w:ind w:left="1134" w:hanging="1134"/>
        <w:jc w:val="both"/>
        <w:outlineLvl w:val="0"/>
        <w:rPr>
          <w:b/>
          <w:sz w:val="22"/>
          <w:szCs w:val="22"/>
          <w:lang w:val="sr-Latn-ME"/>
        </w:rPr>
      </w:pPr>
      <w:r w:rsidRPr="0055610F">
        <w:rPr>
          <w:b/>
          <w:sz w:val="22"/>
          <w:szCs w:val="22"/>
          <w:lang w:val="sr-Latn-ME"/>
        </w:rPr>
        <w:t xml:space="preserve">Tabela 19. </w:t>
      </w:r>
      <w:r w:rsidRPr="0055610F">
        <w:rPr>
          <w:b/>
          <w:sz w:val="22"/>
          <w:szCs w:val="22"/>
          <w:lang w:val="sr-Latn-ME"/>
        </w:rPr>
        <w:tab/>
        <w:t xml:space="preserve">Procenat odraslih pacijenata koji su postigli potpunu remisiju nakon 6 mjeseci (populacija sa namjerom liječenja*) </w:t>
      </w:r>
    </w:p>
    <w:p w:rsidR="007B7C69" w:rsidRPr="0055610F" w:rsidRDefault="007B7C69" w:rsidP="004D5825">
      <w:pPr>
        <w:keepNext/>
        <w:jc w:val="both"/>
        <w:outlineLvl w:val="0"/>
        <w:rPr>
          <w:sz w:val="22"/>
          <w:szCs w:val="22"/>
          <w:lang w:val="sr-Latn-M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2112"/>
        <w:gridCol w:w="2402"/>
        <w:gridCol w:w="2507"/>
      </w:tblGrid>
      <w:tr w:rsidR="007B7C69" w:rsidRPr="00FB34CE" w:rsidTr="007B7C69">
        <w:tc>
          <w:tcPr>
            <w:tcW w:w="1655" w:type="dxa"/>
            <w:shd w:val="clear" w:color="auto" w:fill="auto"/>
          </w:tcPr>
          <w:p w:rsidR="007B7C69" w:rsidRPr="0055610F" w:rsidRDefault="007B7C69" w:rsidP="004D5825">
            <w:pPr>
              <w:keepNext/>
              <w:keepLines/>
              <w:spacing w:after="200" w:line="276" w:lineRule="auto"/>
              <w:jc w:val="both"/>
              <w:outlineLvl w:val="0"/>
              <w:rPr>
                <w:rFonts w:eastAsia="Times"/>
                <w:sz w:val="22"/>
                <w:szCs w:val="22"/>
                <w:u w:val="single"/>
                <w:lang w:val="sr-Latn-ME"/>
              </w:rPr>
            </w:pPr>
          </w:p>
        </w:tc>
        <w:tc>
          <w:tcPr>
            <w:tcW w:w="2112" w:type="dxa"/>
            <w:shd w:val="clear" w:color="auto" w:fill="auto"/>
          </w:tcPr>
          <w:p w:rsidR="007B7C69" w:rsidRPr="0055610F" w:rsidRDefault="007B7C69" w:rsidP="0055610F">
            <w:pPr>
              <w:keepNext/>
              <w:keepLines/>
              <w:spacing w:after="200" w:line="276" w:lineRule="auto"/>
              <w:jc w:val="center"/>
              <w:outlineLvl w:val="0"/>
              <w:rPr>
                <w:rFonts w:eastAsia="Times"/>
                <w:sz w:val="22"/>
                <w:szCs w:val="22"/>
                <w:u w:val="single"/>
                <w:lang w:val="sr-Latn-ME"/>
              </w:rPr>
            </w:pPr>
            <w:r w:rsidRPr="0055610F">
              <w:rPr>
                <w:rFonts w:eastAsia="Calibri"/>
                <w:b/>
                <w:sz w:val="22"/>
                <w:szCs w:val="22"/>
                <w:lang w:val="sr-Latn-ME"/>
              </w:rPr>
              <w:t xml:space="preserve">MabThera </w:t>
            </w:r>
            <w:r w:rsidRPr="0055610F">
              <w:rPr>
                <w:rFonts w:eastAsia="Calibri"/>
                <w:b/>
                <w:sz w:val="22"/>
                <w:szCs w:val="22"/>
                <w:lang w:val="sr-Latn-ME"/>
              </w:rPr>
              <w:br/>
              <w:t>(n </w:t>
            </w:r>
            <w:r w:rsidRPr="0055610F">
              <w:rPr>
                <w:rFonts w:eastAsia="Calibri"/>
                <w:b/>
                <w:sz w:val="22"/>
                <w:szCs w:val="22"/>
                <w:lang w:val="sr-Latn-ME"/>
              </w:rPr>
              <w:sym w:font="Symbol" w:char="F03D"/>
            </w:r>
            <w:r w:rsidRPr="0055610F">
              <w:rPr>
                <w:rFonts w:eastAsia="Calibri"/>
                <w:b/>
                <w:sz w:val="22"/>
                <w:szCs w:val="22"/>
                <w:lang w:val="sr-Latn-ME"/>
              </w:rPr>
              <w:t> 99)</w:t>
            </w:r>
          </w:p>
        </w:tc>
        <w:tc>
          <w:tcPr>
            <w:tcW w:w="2402" w:type="dxa"/>
            <w:shd w:val="clear" w:color="auto" w:fill="auto"/>
          </w:tcPr>
          <w:p w:rsidR="007B7C69" w:rsidRPr="0055610F" w:rsidRDefault="007B7C69" w:rsidP="0055610F">
            <w:pPr>
              <w:keepNext/>
              <w:jc w:val="center"/>
              <w:rPr>
                <w:rFonts w:eastAsia="Times"/>
                <w:sz w:val="22"/>
                <w:szCs w:val="22"/>
                <w:u w:val="single"/>
                <w:lang w:val="sr-Latn-ME"/>
              </w:rPr>
            </w:pPr>
            <w:r w:rsidRPr="0055610F">
              <w:rPr>
                <w:b/>
                <w:sz w:val="22"/>
                <w:szCs w:val="22"/>
                <w:lang w:val="sr-Latn-ME"/>
              </w:rPr>
              <w:t>Ciklofosfamid</w:t>
            </w:r>
            <w:r w:rsidRPr="0055610F">
              <w:rPr>
                <w:b/>
                <w:sz w:val="22"/>
                <w:szCs w:val="22"/>
                <w:lang w:val="sr-Latn-ME"/>
              </w:rPr>
              <w:br/>
              <w:t>(n </w:t>
            </w:r>
            <w:r w:rsidRPr="0055610F">
              <w:rPr>
                <w:b/>
                <w:sz w:val="22"/>
                <w:szCs w:val="22"/>
                <w:lang w:val="sr-Latn-ME"/>
              </w:rPr>
              <w:sym w:font="Symbol" w:char="F03D"/>
            </w:r>
            <w:r w:rsidRPr="0055610F">
              <w:rPr>
                <w:b/>
                <w:sz w:val="22"/>
                <w:szCs w:val="22"/>
                <w:lang w:val="sr-Latn-ME"/>
              </w:rPr>
              <w:t> 98)</w:t>
            </w:r>
          </w:p>
        </w:tc>
        <w:tc>
          <w:tcPr>
            <w:tcW w:w="2507" w:type="dxa"/>
            <w:shd w:val="clear" w:color="auto" w:fill="auto"/>
          </w:tcPr>
          <w:p w:rsidR="007B7C69" w:rsidRPr="0055610F" w:rsidRDefault="007B7C69" w:rsidP="0055610F">
            <w:pPr>
              <w:keepNext/>
              <w:jc w:val="center"/>
              <w:rPr>
                <w:b/>
                <w:sz w:val="22"/>
                <w:szCs w:val="22"/>
                <w:lang w:val="sr-Latn-ME"/>
              </w:rPr>
            </w:pPr>
            <w:r w:rsidRPr="0055610F">
              <w:rPr>
                <w:b/>
                <w:sz w:val="22"/>
                <w:szCs w:val="22"/>
                <w:lang w:val="sr-Latn-ME"/>
              </w:rPr>
              <w:t>Razlika između</w:t>
            </w:r>
          </w:p>
          <w:p w:rsidR="007B7C69" w:rsidRPr="0055610F" w:rsidRDefault="007B7C69" w:rsidP="0055610F">
            <w:pPr>
              <w:keepNext/>
              <w:jc w:val="center"/>
              <w:rPr>
                <w:b/>
                <w:sz w:val="22"/>
                <w:szCs w:val="22"/>
                <w:lang w:val="sr-Latn-ME"/>
              </w:rPr>
            </w:pPr>
            <w:r w:rsidRPr="0055610F">
              <w:rPr>
                <w:b/>
                <w:sz w:val="22"/>
                <w:szCs w:val="22"/>
                <w:lang w:val="sr-Latn-ME"/>
              </w:rPr>
              <w:t>terapija</w:t>
            </w:r>
          </w:p>
          <w:p w:rsidR="007B7C69" w:rsidRPr="0055610F" w:rsidRDefault="007B7C69" w:rsidP="0055610F">
            <w:pPr>
              <w:keepNext/>
              <w:jc w:val="center"/>
              <w:rPr>
                <w:rFonts w:eastAsia="Times"/>
                <w:sz w:val="22"/>
                <w:szCs w:val="22"/>
                <w:u w:val="single"/>
                <w:lang w:val="sr-Latn-ME"/>
              </w:rPr>
            </w:pPr>
            <w:r w:rsidRPr="0055610F">
              <w:rPr>
                <w:b/>
                <w:sz w:val="22"/>
                <w:szCs w:val="22"/>
                <w:lang w:val="sr-Latn-ME"/>
              </w:rPr>
              <w:t>(MabThera- ciklofosfamid)</w:t>
            </w:r>
          </w:p>
        </w:tc>
      </w:tr>
      <w:tr w:rsidR="007B7C69" w:rsidRPr="007642DC" w:rsidTr="007B7C69">
        <w:tc>
          <w:tcPr>
            <w:tcW w:w="1655" w:type="dxa"/>
            <w:shd w:val="clear" w:color="auto" w:fill="auto"/>
          </w:tcPr>
          <w:p w:rsidR="007B7C69" w:rsidRPr="0055610F" w:rsidRDefault="007B7C69" w:rsidP="004D5825">
            <w:pPr>
              <w:keepNext/>
              <w:keepLines/>
              <w:jc w:val="both"/>
              <w:outlineLvl w:val="0"/>
              <w:rPr>
                <w:rFonts w:eastAsia="MS PGothic"/>
                <w:sz w:val="22"/>
                <w:szCs w:val="22"/>
                <w:lang w:val="sr-Latn-ME"/>
              </w:rPr>
            </w:pPr>
          </w:p>
          <w:p w:rsidR="007B7C69" w:rsidRPr="0055610F" w:rsidRDefault="007B7C69" w:rsidP="004D5825">
            <w:pPr>
              <w:keepNext/>
              <w:keepLines/>
              <w:jc w:val="both"/>
              <w:outlineLvl w:val="0"/>
              <w:rPr>
                <w:rFonts w:eastAsia="MS PGothic"/>
                <w:sz w:val="22"/>
                <w:szCs w:val="22"/>
                <w:lang w:val="sr-Latn-ME"/>
              </w:rPr>
            </w:pPr>
            <w:r w:rsidRPr="0055610F">
              <w:rPr>
                <w:rFonts w:eastAsia="MS PGothic"/>
                <w:sz w:val="22"/>
                <w:szCs w:val="22"/>
                <w:lang w:val="sr-Latn-ME"/>
              </w:rPr>
              <w:t>Stopa</w:t>
            </w:r>
          </w:p>
          <w:p w:rsidR="007B7C69" w:rsidRPr="0055610F" w:rsidRDefault="007B7C69" w:rsidP="004D5825">
            <w:pPr>
              <w:keepNext/>
              <w:keepLines/>
              <w:jc w:val="both"/>
              <w:outlineLvl w:val="0"/>
              <w:rPr>
                <w:rFonts w:eastAsia="Times"/>
                <w:sz w:val="22"/>
                <w:szCs w:val="22"/>
                <w:u w:val="single"/>
                <w:lang w:val="sr-Latn-ME"/>
              </w:rPr>
            </w:pPr>
          </w:p>
        </w:tc>
        <w:tc>
          <w:tcPr>
            <w:tcW w:w="2112" w:type="dxa"/>
            <w:shd w:val="clear" w:color="auto" w:fill="auto"/>
          </w:tcPr>
          <w:p w:rsidR="007B7C69" w:rsidRPr="0055610F" w:rsidRDefault="007B7C69" w:rsidP="0055610F">
            <w:pPr>
              <w:keepNext/>
              <w:keepLines/>
              <w:jc w:val="center"/>
              <w:outlineLvl w:val="0"/>
              <w:rPr>
                <w:rFonts w:eastAsia="Calibri"/>
                <w:sz w:val="22"/>
                <w:szCs w:val="22"/>
                <w:lang w:val="sr-Latn-ME"/>
              </w:rPr>
            </w:pPr>
          </w:p>
          <w:p w:rsidR="007B7C69" w:rsidRPr="0055610F" w:rsidRDefault="007B7C69" w:rsidP="0055610F">
            <w:pPr>
              <w:keepNext/>
              <w:keepLines/>
              <w:jc w:val="center"/>
              <w:outlineLvl w:val="0"/>
              <w:rPr>
                <w:rFonts w:eastAsia="Calibri"/>
                <w:sz w:val="22"/>
                <w:szCs w:val="22"/>
                <w:lang w:val="sr-Latn-ME"/>
              </w:rPr>
            </w:pPr>
            <w:r w:rsidRPr="0055610F">
              <w:rPr>
                <w:rFonts w:eastAsia="Calibri"/>
                <w:sz w:val="22"/>
                <w:szCs w:val="22"/>
                <w:lang w:val="sr-Latn-ME"/>
              </w:rPr>
              <w:t>63,6%</w:t>
            </w:r>
          </w:p>
          <w:p w:rsidR="007B7C69" w:rsidRPr="0055610F" w:rsidRDefault="007B7C69" w:rsidP="0055610F">
            <w:pPr>
              <w:keepNext/>
              <w:keepLines/>
              <w:jc w:val="center"/>
              <w:outlineLvl w:val="0"/>
              <w:rPr>
                <w:rFonts w:eastAsia="Times"/>
                <w:sz w:val="22"/>
                <w:szCs w:val="22"/>
                <w:u w:val="single"/>
                <w:lang w:val="sr-Latn-ME"/>
              </w:rPr>
            </w:pPr>
          </w:p>
        </w:tc>
        <w:tc>
          <w:tcPr>
            <w:tcW w:w="2402" w:type="dxa"/>
            <w:shd w:val="clear" w:color="auto" w:fill="auto"/>
          </w:tcPr>
          <w:p w:rsidR="007B7C69" w:rsidRPr="0055610F" w:rsidRDefault="007B7C69" w:rsidP="0055610F">
            <w:pPr>
              <w:keepNext/>
              <w:keepLines/>
              <w:jc w:val="center"/>
              <w:outlineLvl w:val="0"/>
              <w:rPr>
                <w:rFonts w:eastAsia="Calibri"/>
                <w:sz w:val="22"/>
                <w:szCs w:val="22"/>
                <w:lang w:val="sr-Latn-ME"/>
              </w:rPr>
            </w:pPr>
          </w:p>
          <w:p w:rsidR="007B7C69" w:rsidRPr="0055610F" w:rsidRDefault="007B7C69" w:rsidP="0055610F">
            <w:pPr>
              <w:keepNext/>
              <w:keepLines/>
              <w:jc w:val="center"/>
              <w:outlineLvl w:val="0"/>
              <w:rPr>
                <w:rFonts w:eastAsia="Calibri"/>
                <w:sz w:val="22"/>
                <w:szCs w:val="22"/>
                <w:lang w:val="sr-Latn-ME"/>
              </w:rPr>
            </w:pPr>
            <w:r w:rsidRPr="0055610F">
              <w:rPr>
                <w:rFonts w:eastAsia="Calibri"/>
                <w:sz w:val="22"/>
                <w:szCs w:val="22"/>
                <w:lang w:val="sr-Latn-ME"/>
              </w:rPr>
              <w:t>53,1%</w:t>
            </w:r>
          </w:p>
          <w:p w:rsidR="007B7C69" w:rsidRPr="0055610F" w:rsidRDefault="007B7C69" w:rsidP="0055610F">
            <w:pPr>
              <w:keepNext/>
              <w:keepLines/>
              <w:jc w:val="center"/>
              <w:outlineLvl w:val="0"/>
              <w:rPr>
                <w:rFonts w:eastAsia="Times"/>
                <w:sz w:val="22"/>
                <w:szCs w:val="22"/>
                <w:u w:val="single"/>
                <w:lang w:val="sr-Latn-ME"/>
              </w:rPr>
            </w:pPr>
          </w:p>
        </w:tc>
        <w:tc>
          <w:tcPr>
            <w:tcW w:w="2507" w:type="dxa"/>
            <w:shd w:val="clear" w:color="auto" w:fill="auto"/>
          </w:tcPr>
          <w:p w:rsidR="007B7C69" w:rsidRPr="0055610F" w:rsidRDefault="007B7C69" w:rsidP="0055610F">
            <w:pPr>
              <w:jc w:val="center"/>
              <w:rPr>
                <w:rFonts w:eastAsia="Calibri"/>
                <w:sz w:val="22"/>
                <w:szCs w:val="22"/>
                <w:lang w:val="sr-Latn-ME"/>
              </w:rPr>
            </w:pPr>
          </w:p>
          <w:p w:rsidR="007B7C69" w:rsidRPr="0055610F" w:rsidRDefault="007B7C69" w:rsidP="0055610F">
            <w:pPr>
              <w:keepNext/>
              <w:keepLines/>
              <w:jc w:val="center"/>
              <w:outlineLvl w:val="0"/>
              <w:rPr>
                <w:rFonts w:eastAsia="Calibri"/>
                <w:sz w:val="22"/>
                <w:szCs w:val="22"/>
                <w:vertAlign w:val="superscript"/>
                <w:lang w:val="sr-Latn-ME"/>
              </w:rPr>
            </w:pPr>
            <w:r w:rsidRPr="0055610F">
              <w:rPr>
                <w:rFonts w:eastAsia="Calibri"/>
                <w:sz w:val="22"/>
                <w:szCs w:val="22"/>
                <w:lang w:val="sr-Latn-ME"/>
              </w:rPr>
              <w:t>10,6%</w:t>
            </w:r>
            <w:r w:rsidRPr="0055610F">
              <w:rPr>
                <w:rFonts w:eastAsia="Calibri"/>
                <w:sz w:val="22"/>
                <w:szCs w:val="22"/>
                <w:lang w:val="sr-Latn-ME"/>
              </w:rPr>
              <w:br/>
            </w:r>
            <w:r w:rsidRPr="0055610F">
              <w:rPr>
                <w:rFonts w:eastAsia="MS PGothic"/>
                <w:sz w:val="22"/>
                <w:szCs w:val="22"/>
                <w:lang w:val="sr-Latn-ME"/>
              </w:rPr>
              <w:t>95,1%</w:t>
            </w:r>
            <w:r w:rsidRPr="0055610F">
              <w:rPr>
                <w:rFonts w:eastAsia="MS PGothic"/>
                <w:sz w:val="22"/>
                <w:szCs w:val="22"/>
                <w:vertAlign w:val="superscript"/>
                <w:lang w:val="sr-Latn-ME"/>
              </w:rPr>
              <w:t>b</w:t>
            </w:r>
            <w:r w:rsidRPr="0055610F">
              <w:rPr>
                <w:rFonts w:eastAsia="MS PGothic"/>
                <w:sz w:val="22"/>
                <w:szCs w:val="22"/>
                <w:lang w:val="sr-Latn-ME"/>
              </w:rPr>
              <w:t xml:space="preserve"> CI</w:t>
            </w:r>
            <w:r w:rsidRPr="0055610F">
              <w:rPr>
                <w:rFonts w:eastAsia="MS PGothic"/>
                <w:sz w:val="22"/>
                <w:szCs w:val="22"/>
                <w:lang w:val="sr-Latn-ME"/>
              </w:rPr>
              <w:br/>
            </w:r>
            <w:r w:rsidRPr="0055610F">
              <w:rPr>
                <w:rFonts w:eastAsia="Calibri"/>
                <w:sz w:val="22"/>
                <w:szCs w:val="22"/>
                <w:lang w:val="sr-Latn-ME"/>
              </w:rPr>
              <w:t xml:space="preserve"> (</w:t>
            </w:r>
            <w:r w:rsidRPr="0055610F">
              <w:rPr>
                <w:rFonts w:eastAsia="Calibri"/>
                <w:sz w:val="22"/>
                <w:szCs w:val="22"/>
                <w:lang w:val="sr-Latn-ME"/>
              </w:rPr>
              <w:sym w:font="Symbol" w:char="F02D"/>
            </w:r>
            <w:r w:rsidRPr="0055610F">
              <w:rPr>
                <w:rFonts w:eastAsia="Calibri"/>
                <w:sz w:val="22"/>
                <w:szCs w:val="22"/>
                <w:lang w:val="sr-Latn-ME"/>
              </w:rPr>
              <w:t>3,2%, 24,3%)</w:t>
            </w:r>
            <w:r w:rsidRPr="0055610F">
              <w:rPr>
                <w:rFonts w:eastAsia="Calibri"/>
                <w:sz w:val="22"/>
                <w:szCs w:val="22"/>
                <w:vertAlign w:val="superscript"/>
                <w:lang w:val="sr-Latn-ME"/>
              </w:rPr>
              <w:t xml:space="preserve"> a</w:t>
            </w:r>
          </w:p>
          <w:p w:rsidR="007B7C69" w:rsidRPr="0055610F" w:rsidRDefault="007B7C69" w:rsidP="0055610F">
            <w:pPr>
              <w:keepNext/>
              <w:keepLines/>
              <w:jc w:val="center"/>
              <w:outlineLvl w:val="0"/>
              <w:rPr>
                <w:rFonts w:eastAsia="Times"/>
                <w:sz w:val="22"/>
                <w:szCs w:val="22"/>
                <w:u w:val="single"/>
                <w:lang w:val="sr-Latn-ME"/>
              </w:rPr>
            </w:pPr>
          </w:p>
        </w:tc>
      </w:tr>
      <w:tr w:rsidR="007B7C69" w:rsidRPr="00FB34CE" w:rsidTr="007B7C69">
        <w:tc>
          <w:tcPr>
            <w:tcW w:w="8676" w:type="dxa"/>
            <w:gridSpan w:val="4"/>
            <w:shd w:val="clear" w:color="auto" w:fill="auto"/>
          </w:tcPr>
          <w:p w:rsidR="007B7C69" w:rsidRPr="0055610F" w:rsidRDefault="007B7C69" w:rsidP="004D5825">
            <w:pPr>
              <w:ind w:left="216" w:hanging="216"/>
              <w:jc w:val="both"/>
              <w:rPr>
                <w:rFonts w:eastAsia="SimSun"/>
                <w:sz w:val="22"/>
                <w:szCs w:val="22"/>
                <w:lang w:val="sr-Latn-ME"/>
              </w:rPr>
            </w:pPr>
            <w:r w:rsidRPr="0055610F">
              <w:rPr>
                <w:rFonts w:eastAsia="SimSun"/>
                <w:sz w:val="22"/>
                <w:szCs w:val="22"/>
                <w:lang w:val="sr-Latn-ME"/>
              </w:rPr>
              <w:t>CI = interval pouzdanosti</w:t>
            </w:r>
          </w:p>
          <w:p w:rsidR="007B7C69" w:rsidRPr="0055610F" w:rsidRDefault="007B7C69" w:rsidP="004D5825">
            <w:pPr>
              <w:ind w:left="216" w:hanging="216"/>
              <w:jc w:val="both"/>
              <w:rPr>
                <w:rFonts w:eastAsia="Calibri"/>
                <w:sz w:val="22"/>
                <w:szCs w:val="22"/>
                <w:lang w:val="sr-Latn-ME"/>
              </w:rPr>
            </w:pPr>
            <w:r w:rsidRPr="0055610F">
              <w:rPr>
                <w:rFonts w:eastAsia="SimSun"/>
                <w:sz w:val="22"/>
                <w:szCs w:val="22"/>
                <w:vertAlign w:val="superscript"/>
                <w:lang w:val="sr-Latn-ME"/>
              </w:rPr>
              <w:t>*</w:t>
            </w:r>
            <w:r w:rsidRPr="0055610F">
              <w:rPr>
                <w:rFonts w:eastAsia="Calibri"/>
                <w:sz w:val="22"/>
                <w:szCs w:val="22"/>
                <w:lang w:val="sr-Latn-ME"/>
              </w:rPr>
              <w:t xml:space="preserve"> pretpostavka najgoreg slučaja</w:t>
            </w:r>
          </w:p>
          <w:p w:rsidR="007B7C69" w:rsidRPr="0055610F" w:rsidRDefault="007B7C69" w:rsidP="004D5825">
            <w:pPr>
              <w:ind w:left="142" w:hanging="142"/>
              <w:jc w:val="both"/>
              <w:rPr>
                <w:rFonts w:eastAsia="SimSun"/>
                <w:sz w:val="22"/>
                <w:szCs w:val="22"/>
                <w:lang w:val="sr-Latn-ME"/>
              </w:rPr>
            </w:pPr>
            <w:r w:rsidRPr="0055610F">
              <w:rPr>
                <w:rFonts w:eastAsia="SimSun"/>
                <w:sz w:val="22"/>
                <w:szCs w:val="22"/>
                <w:vertAlign w:val="superscript"/>
                <w:lang w:val="sr-Latn-ME"/>
              </w:rPr>
              <w:t xml:space="preserve">a </w:t>
            </w:r>
            <w:r w:rsidRPr="0055610F">
              <w:rPr>
                <w:rFonts w:eastAsia="SimSun"/>
                <w:sz w:val="22"/>
                <w:szCs w:val="22"/>
                <w:lang w:val="sr-Latn-ME"/>
              </w:rPr>
              <w:t>Neinferiornost je dokazana jer je donja granica (</w:t>
            </w:r>
            <w:r w:rsidRPr="0055610F">
              <w:rPr>
                <w:rFonts w:eastAsia="SimSun"/>
                <w:sz w:val="22"/>
                <w:szCs w:val="22"/>
                <w:lang w:val="sr-Latn-ME"/>
              </w:rPr>
              <w:sym w:font="Symbol" w:char="F02D"/>
            </w:r>
            <w:r w:rsidRPr="0055610F">
              <w:rPr>
                <w:rFonts w:eastAsia="SimSun"/>
                <w:sz w:val="22"/>
                <w:szCs w:val="22"/>
                <w:lang w:val="sr-Latn-ME"/>
              </w:rPr>
              <w:t> 3,2%) veća od prethodno postavljene granice neinferiornosti (</w:t>
            </w:r>
            <w:r w:rsidRPr="0055610F">
              <w:rPr>
                <w:rFonts w:eastAsia="SimSun"/>
                <w:sz w:val="22"/>
                <w:szCs w:val="22"/>
                <w:lang w:val="sr-Latn-ME"/>
              </w:rPr>
              <w:sym w:font="Symbol" w:char="F02D"/>
            </w:r>
            <w:r w:rsidRPr="0055610F">
              <w:rPr>
                <w:rFonts w:eastAsia="SimSun"/>
                <w:sz w:val="22"/>
                <w:szCs w:val="22"/>
                <w:lang w:val="sr-Latn-ME"/>
              </w:rPr>
              <w:t> 20%).</w:t>
            </w:r>
          </w:p>
          <w:p w:rsidR="007B7C69" w:rsidRPr="0055610F" w:rsidRDefault="007B7C69" w:rsidP="004D5825">
            <w:pPr>
              <w:ind w:left="142" w:hanging="142"/>
              <w:jc w:val="both"/>
              <w:rPr>
                <w:sz w:val="22"/>
                <w:szCs w:val="22"/>
                <w:lang w:val="sr-Latn-ME"/>
              </w:rPr>
            </w:pPr>
            <w:r w:rsidRPr="0055610F">
              <w:rPr>
                <w:rFonts w:eastAsia="MS PGothic"/>
                <w:sz w:val="22"/>
                <w:szCs w:val="22"/>
                <w:vertAlign w:val="superscript"/>
                <w:lang w:val="sr-Latn-ME"/>
              </w:rPr>
              <w:t>b</w:t>
            </w:r>
            <w:r w:rsidRPr="0055610F">
              <w:rPr>
                <w:sz w:val="22"/>
                <w:szCs w:val="22"/>
                <w:lang w:val="sr-Latn-ME"/>
              </w:rPr>
              <w:t xml:space="preserve"> Nivo pouzdanosti od 95,1% odražava dodatni alfa od 0,001 koji uzima u obzir privremenu analizu efikasnosti.</w:t>
            </w:r>
          </w:p>
        </w:tc>
      </w:tr>
    </w:tbl>
    <w:p w:rsidR="007B7C69" w:rsidRPr="0055610F" w:rsidRDefault="007B7C69" w:rsidP="004D5825">
      <w:pPr>
        <w:jc w:val="both"/>
        <w:outlineLvl w:val="0"/>
        <w:rPr>
          <w:sz w:val="22"/>
          <w:szCs w:val="22"/>
          <w:lang w:val="sr-Latn-ME"/>
        </w:rPr>
      </w:pPr>
    </w:p>
    <w:p w:rsidR="007B7C69" w:rsidRPr="0055610F" w:rsidRDefault="007B7C69" w:rsidP="004D5825">
      <w:pPr>
        <w:jc w:val="both"/>
        <w:outlineLvl w:val="0"/>
        <w:rPr>
          <w:sz w:val="22"/>
          <w:szCs w:val="22"/>
          <w:lang w:val="sr-Latn-ME"/>
        </w:rPr>
      </w:pPr>
    </w:p>
    <w:p w:rsidR="007B7C69" w:rsidRPr="0055610F" w:rsidRDefault="007B7C69" w:rsidP="004D5825">
      <w:pPr>
        <w:keepNext/>
        <w:keepLines/>
        <w:ind w:left="1134" w:hanging="1134"/>
        <w:jc w:val="both"/>
        <w:outlineLvl w:val="0"/>
        <w:rPr>
          <w:b/>
          <w:sz w:val="22"/>
          <w:szCs w:val="22"/>
          <w:lang w:val="sr-Latn-ME"/>
        </w:rPr>
      </w:pPr>
      <w:r w:rsidRPr="0055610F">
        <w:rPr>
          <w:b/>
          <w:sz w:val="22"/>
          <w:szCs w:val="22"/>
          <w:lang w:val="sr-Latn-ME"/>
        </w:rPr>
        <w:t xml:space="preserve">Tabela 20. </w:t>
      </w:r>
      <w:r w:rsidRPr="0055610F">
        <w:rPr>
          <w:b/>
          <w:sz w:val="22"/>
          <w:szCs w:val="22"/>
          <w:lang w:val="sr-Latn-ME"/>
        </w:rPr>
        <w:tab/>
        <w:t>Potpuna remisija nakon 6 mjeseci prema statusu bolesti</w:t>
      </w:r>
    </w:p>
    <w:p w:rsidR="007B7C69" w:rsidRPr="0055610F" w:rsidRDefault="007B7C69" w:rsidP="004D5825">
      <w:pPr>
        <w:keepNext/>
        <w:keepLines/>
        <w:ind w:left="1134" w:hanging="1134"/>
        <w:jc w:val="both"/>
        <w:outlineLvl w:val="0"/>
        <w:rPr>
          <w:b/>
          <w:sz w:val="22"/>
          <w:szCs w:val="22"/>
          <w:lang w:val="sr-Latn-M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4"/>
        <w:gridCol w:w="2126"/>
        <w:gridCol w:w="2268"/>
        <w:gridCol w:w="2189"/>
      </w:tblGrid>
      <w:tr w:rsidR="007B7C69" w:rsidRPr="007642DC" w:rsidTr="007B7C69">
        <w:tc>
          <w:tcPr>
            <w:tcW w:w="2184" w:type="dxa"/>
            <w:tcBorders>
              <w:bottom w:val="single" w:sz="4" w:space="0" w:color="auto"/>
            </w:tcBorders>
            <w:shd w:val="clear" w:color="auto" w:fill="auto"/>
          </w:tcPr>
          <w:p w:rsidR="007B7C69" w:rsidRPr="0055610F" w:rsidRDefault="007B7C69" w:rsidP="004D5825">
            <w:pPr>
              <w:keepNext/>
              <w:keepLines/>
              <w:autoSpaceDE w:val="0"/>
              <w:autoSpaceDN w:val="0"/>
              <w:adjustRightInd w:val="0"/>
              <w:spacing w:after="200" w:line="276" w:lineRule="auto"/>
              <w:jc w:val="both"/>
              <w:rPr>
                <w:rFonts w:eastAsia="Calibri"/>
                <w:b/>
                <w:iCs/>
                <w:sz w:val="22"/>
                <w:szCs w:val="22"/>
                <w:lang w:val="sr-Latn-ME" w:eastAsia="zh-TW"/>
              </w:rPr>
            </w:pPr>
          </w:p>
        </w:tc>
        <w:tc>
          <w:tcPr>
            <w:tcW w:w="2126" w:type="dxa"/>
            <w:tcBorders>
              <w:bottom w:val="single" w:sz="4" w:space="0" w:color="auto"/>
            </w:tcBorders>
            <w:shd w:val="clear" w:color="auto" w:fill="auto"/>
          </w:tcPr>
          <w:p w:rsidR="007B7C69" w:rsidRPr="0055610F" w:rsidRDefault="007B7C69" w:rsidP="0055610F">
            <w:pPr>
              <w:keepNext/>
              <w:keepLines/>
              <w:autoSpaceDE w:val="0"/>
              <w:autoSpaceDN w:val="0"/>
              <w:adjustRightInd w:val="0"/>
              <w:spacing w:after="200" w:line="276" w:lineRule="auto"/>
              <w:jc w:val="center"/>
              <w:rPr>
                <w:rFonts w:eastAsia="Calibri"/>
                <w:b/>
                <w:iCs/>
                <w:sz w:val="22"/>
                <w:szCs w:val="22"/>
                <w:lang w:val="sr-Latn-ME" w:eastAsia="zh-TW"/>
              </w:rPr>
            </w:pPr>
            <w:r w:rsidRPr="0055610F">
              <w:rPr>
                <w:rFonts w:eastAsia="Calibri"/>
                <w:b/>
                <w:iCs/>
                <w:sz w:val="22"/>
                <w:szCs w:val="22"/>
                <w:lang w:val="sr-Latn-ME" w:eastAsia="zh-TW"/>
              </w:rPr>
              <w:t>MabThera</w:t>
            </w:r>
          </w:p>
        </w:tc>
        <w:tc>
          <w:tcPr>
            <w:tcW w:w="2268" w:type="dxa"/>
            <w:tcBorders>
              <w:bottom w:val="single" w:sz="4" w:space="0" w:color="auto"/>
            </w:tcBorders>
            <w:shd w:val="clear" w:color="auto" w:fill="auto"/>
          </w:tcPr>
          <w:p w:rsidR="007B7C69" w:rsidRPr="0055610F" w:rsidRDefault="007B7C69" w:rsidP="0055610F">
            <w:pPr>
              <w:keepNext/>
              <w:keepLines/>
              <w:autoSpaceDE w:val="0"/>
              <w:autoSpaceDN w:val="0"/>
              <w:adjustRightInd w:val="0"/>
              <w:spacing w:after="200" w:line="276" w:lineRule="auto"/>
              <w:jc w:val="center"/>
              <w:rPr>
                <w:rFonts w:eastAsia="Calibri"/>
                <w:b/>
                <w:iCs/>
                <w:sz w:val="22"/>
                <w:szCs w:val="22"/>
                <w:lang w:val="sr-Latn-ME" w:eastAsia="zh-TW"/>
              </w:rPr>
            </w:pPr>
            <w:r w:rsidRPr="0055610F">
              <w:rPr>
                <w:b/>
                <w:sz w:val="22"/>
                <w:szCs w:val="22"/>
                <w:lang w:val="sr-Latn-ME"/>
              </w:rPr>
              <w:t>Ciklofosfamid</w:t>
            </w:r>
          </w:p>
        </w:tc>
        <w:tc>
          <w:tcPr>
            <w:tcW w:w="2189" w:type="dxa"/>
            <w:tcBorders>
              <w:bottom w:val="single" w:sz="4" w:space="0" w:color="auto"/>
            </w:tcBorders>
            <w:shd w:val="clear" w:color="auto" w:fill="auto"/>
          </w:tcPr>
          <w:p w:rsidR="007B7C69" w:rsidRPr="0055610F" w:rsidRDefault="007B7C69" w:rsidP="0055610F">
            <w:pPr>
              <w:keepNext/>
              <w:keepLines/>
              <w:autoSpaceDE w:val="0"/>
              <w:autoSpaceDN w:val="0"/>
              <w:adjustRightInd w:val="0"/>
              <w:spacing w:after="200" w:line="276" w:lineRule="auto"/>
              <w:jc w:val="center"/>
              <w:rPr>
                <w:rFonts w:eastAsia="Calibri"/>
                <w:b/>
                <w:iCs/>
                <w:sz w:val="22"/>
                <w:szCs w:val="22"/>
                <w:lang w:val="sr-Latn-ME" w:eastAsia="zh-TW"/>
              </w:rPr>
            </w:pPr>
            <w:r w:rsidRPr="0055610F">
              <w:rPr>
                <w:rFonts w:eastAsia="Calibri"/>
                <w:b/>
                <w:iCs/>
                <w:sz w:val="22"/>
                <w:szCs w:val="22"/>
                <w:lang w:val="sr-Latn-ME" w:eastAsia="zh-TW"/>
              </w:rPr>
              <w:t>Razlika (CI 95%)</w:t>
            </w:r>
          </w:p>
        </w:tc>
      </w:tr>
      <w:tr w:rsidR="007B7C69" w:rsidRPr="007642DC" w:rsidTr="007B7C69">
        <w:tc>
          <w:tcPr>
            <w:tcW w:w="2184" w:type="dxa"/>
            <w:tcBorders>
              <w:top w:val="single" w:sz="4" w:space="0" w:color="auto"/>
              <w:left w:val="single" w:sz="4" w:space="0" w:color="auto"/>
              <w:bottom w:val="nil"/>
              <w:right w:val="single" w:sz="4" w:space="0" w:color="auto"/>
            </w:tcBorders>
            <w:shd w:val="clear" w:color="auto" w:fill="auto"/>
          </w:tcPr>
          <w:p w:rsidR="007B7C69" w:rsidRPr="0055610F" w:rsidRDefault="007B7C69" w:rsidP="004D5825">
            <w:pPr>
              <w:keepNext/>
              <w:keepLines/>
              <w:autoSpaceDE w:val="0"/>
              <w:autoSpaceDN w:val="0"/>
              <w:adjustRightInd w:val="0"/>
              <w:spacing w:after="200" w:line="276" w:lineRule="auto"/>
              <w:jc w:val="both"/>
              <w:rPr>
                <w:rFonts w:eastAsia="Calibri"/>
                <w:b/>
                <w:iCs/>
                <w:sz w:val="22"/>
                <w:szCs w:val="22"/>
                <w:lang w:val="sr-Latn-ME" w:eastAsia="zh-TW"/>
              </w:rPr>
            </w:pPr>
            <w:r w:rsidRPr="0055610F">
              <w:rPr>
                <w:rFonts w:eastAsia="Calibri"/>
                <w:b/>
                <w:iCs/>
                <w:sz w:val="22"/>
                <w:szCs w:val="22"/>
                <w:lang w:val="sr-Latn-ME" w:eastAsia="zh-TW"/>
              </w:rPr>
              <w:t>Svi pacijenti</w:t>
            </w:r>
          </w:p>
        </w:tc>
        <w:tc>
          <w:tcPr>
            <w:tcW w:w="2126" w:type="dxa"/>
            <w:tcBorders>
              <w:top w:val="single" w:sz="4" w:space="0" w:color="auto"/>
              <w:left w:val="single" w:sz="4" w:space="0" w:color="auto"/>
              <w:bottom w:val="nil"/>
              <w:right w:val="single" w:sz="4" w:space="0" w:color="auto"/>
            </w:tcBorders>
            <w:shd w:val="clear" w:color="auto" w:fill="auto"/>
          </w:tcPr>
          <w:p w:rsidR="007B7C69" w:rsidRPr="0055610F" w:rsidRDefault="007B7C69" w:rsidP="0055610F">
            <w:pPr>
              <w:keepNext/>
              <w:keepLines/>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n=99</w:t>
            </w:r>
          </w:p>
        </w:tc>
        <w:tc>
          <w:tcPr>
            <w:tcW w:w="2268" w:type="dxa"/>
            <w:tcBorders>
              <w:top w:val="single" w:sz="4" w:space="0" w:color="auto"/>
              <w:left w:val="single" w:sz="4" w:space="0" w:color="auto"/>
              <w:bottom w:val="nil"/>
              <w:right w:val="single" w:sz="4" w:space="0" w:color="auto"/>
            </w:tcBorders>
            <w:shd w:val="clear" w:color="auto" w:fill="auto"/>
          </w:tcPr>
          <w:p w:rsidR="007B7C69" w:rsidRPr="0055610F" w:rsidRDefault="007B7C69" w:rsidP="0055610F">
            <w:pPr>
              <w:keepNext/>
              <w:keepLines/>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n=98</w:t>
            </w:r>
          </w:p>
        </w:tc>
        <w:tc>
          <w:tcPr>
            <w:tcW w:w="2189" w:type="dxa"/>
            <w:tcBorders>
              <w:top w:val="single" w:sz="4" w:space="0" w:color="auto"/>
              <w:left w:val="single" w:sz="4" w:space="0" w:color="auto"/>
              <w:bottom w:val="nil"/>
              <w:right w:val="single" w:sz="4" w:space="0" w:color="auto"/>
            </w:tcBorders>
            <w:shd w:val="clear" w:color="auto" w:fill="auto"/>
          </w:tcPr>
          <w:p w:rsidR="007B7C69" w:rsidRPr="0055610F" w:rsidRDefault="007B7C69" w:rsidP="0055610F">
            <w:pPr>
              <w:keepNext/>
              <w:keepLines/>
              <w:autoSpaceDE w:val="0"/>
              <w:autoSpaceDN w:val="0"/>
              <w:adjustRightInd w:val="0"/>
              <w:spacing w:after="200" w:line="276" w:lineRule="auto"/>
              <w:jc w:val="center"/>
              <w:rPr>
                <w:rFonts w:eastAsia="Calibri"/>
                <w:iCs/>
                <w:sz w:val="22"/>
                <w:szCs w:val="22"/>
                <w:lang w:val="sr-Latn-ME" w:eastAsia="zh-TW"/>
              </w:rPr>
            </w:pPr>
          </w:p>
        </w:tc>
      </w:tr>
      <w:tr w:rsidR="007B7C69" w:rsidRPr="007642DC" w:rsidTr="007B7C69">
        <w:tc>
          <w:tcPr>
            <w:tcW w:w="2184" w:type="dxa"/>
            <w:tcBorders>
              <w:top w:val="nil"/>
              <w:left w:val="single" w:sz="4" w:space="0" w:color="auto"/>
              <w:bottom w:val="nil"/>
              <w:right w:val="single" w:sz="4" w:space="0" w:color="auto"/>
            </w:tcBorders>
            <w:shd w:val="clear" w:color="auto" w:fill="auto"/>
          </w:tcPr>
          <w:p w:rsidR="007B7C69" w:rsidRPr="0055610F" w:rsidRDefault="007B7C69" w:rsidP="004D5825">
            <w:pPr>
              <w:keepNext/>
              <w:keepLines/>
              <w:autoSpaceDE w:val="0"/>
              <w:autoSpaceDN w:val="0"/>
              <w:adjustRightInd w:val="0"/>
              <w:spacing w:after="200" w:line="276" w:lineRule="auto"/>
              <w:jc w:val="both"/>
              <w:rPr>
                <w:rFonts w:eastAsia="Calibri"/>
                <w:b/>
                <w:iCs/>
                <w:sz w:val="22"/>
                <w:szCs w:val="22"/>
                <w:lang w:val="sr-Latn-ME" w:eastAsia="zh-TW"/>
              </w:rPr>
            </w:pPr>
            <w:r w:rsidRPr="0055610F">
              <w:rPr>
                <w:rFonts w:eastAsia="Calibri"/>
                <w:b/>
                <w:iCs/>
                <w:sz w:val="22"/>
                <w:szCs w:val="22"/>
                <w:lang w:val="sr-Latn-ME" w:eastAsia="zh-TW"/>
              </w:rPr>
              <w:t>Novodijagnostifikovani</w:t>
            </w:r>
          </w:p>
        </w:tc>
        <w:tc>
          <w:tcPr>
            <w:tcW w:w="2126" w:type="dxa"/>
            <w:tcBorders>
              <w:top w:val="nil"/>
              <w:left w:val="single" w:sz="4" w:space="0" w:color="auto"/>
              <w:bottom w:val="nil"/>
              <w:right w:val="single" w:sz="4" w:space="0" w:color="auto"/>
            </w:tcBorders>
            <w:shd w:val="clear" w:color="auto" w:fill="auto"/>
          </w:tcPr>
          <w:p w:rsidR="007B7C69" w:rsidRPr="0055610F" w:rsidRDefault="007B7C69" w:rsidP="0055610F">
            <w:pPr>
              <w:keepNext/>
              <w:keepLines/>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n=48</w:t>
            </w:r>
          </w:p>
        </w:tc>
        <w:tc>
          <w:tcPr>
            <w:tcW w:w="2268" w:type="dxa"/>
            <w:tcBorders>
              <w:top w:val="nil"/>
              <w:left w:val="single" w:sz="4" w:space="0" w:color="auto"/>
              <w:bottom w:val="nil"/>
              <w:right w:val="single" w:sz="4" w:space="0" w:color="auto"/>
            </w:tcBorders>
            <w:shd w:val="clear" w:color="auto" w:fill="auto"/>
          </w:tcPr>
          <w:p w:rsidR="007B7C69" w:rsidRPr="0055610F" w:rsidRDefault="007B7C69" w:rsidP="0055610F">
            <w:pPr>
              <w:keepNext/>
              <w:keepLines/>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n=48</w:t>
            </w:r>
          </w:p>
        </w:tc>
        <w:tc>
          <w:tcPr>
            <w:tcW w:w="2189" w:type="dxa"/>
            <w:tcBorders>
              <w:top w:val="nil"/>
              <w:left w:val="single" w:sz="4" w:space="0" w:color="auto"/>
              <w:bottom w:val="nil"/>
              <w:right w:val="single" w:sz="4" w:space="0" w:color="auto"/>
            </w:tcBorders>
            <w:shd w:val="clear" w:color="auto" w:fill="auto"/>
          </w:tcPr>
          <w:p w:rsidR="007B7C69" w:rsidRPr="0055610F" w:rsidRDefault="007B7C69" w:rsidP="0055610F">
            <w:pPr>
              <w:keepNext/>
              <w:keepLines/>
              <w:autoSpaceDE w:val="0"/>
              <w:autoSpaceDN w:val="0"/>
              <w:adjustRightInd w:val="0"/>
              <w:spacing w:after="200" w:line="276" w:lineRule="auto"/>
              <w:jc w:val="center"/>
              <w:rPr>
                <w:rFonts w:eastAsia="Calibri"/>
                <w:iCs/>
                <w:sz w:val="22"/>
                <w:szCs w:val="22"/>
                <w:lang w:val="sr-Latn-ME" w:eastAsia="zh-TW"/>
              </w:rPr>
            </w:pPr>
          </w:p>
        </w:tc>
      </w:tr>
      <w:tr w:rsidR="007B7C69" w:rsidRPr="007642DC" w:rsidTr="007B7C69">
        <w:tc>
          <w:tcPr>
            <w:tcW w:w="2184" w:type="dxa"/>
            <w:tcBorders>
              <w:top w:val="nil"/>
              <w:left w:val="single" w:sz="4" w:space="0" w:color="auto"/>
              <w:bottom w:val="single" w:sz="4" w:space="0" w:color="auto"/>
              <w:right w:val="single" w:sz="4" w:space="0" w:color="auto"/>
            </w:tcBorders>
            <w:shd w:val="clear" w:color="auto" w:fill="auto"/>
          </w:tcPr>
          <w:p w:rsidR="007B7C69" w:rsidRPr="0055610F" w:rsidRDefault="007B7C69" w:rsidP="004D5825">
            <w:pPr>
              <w:keepNext/>
              <w:keepLines/>
              <w:autoSpaceDE w:val="0"/>
              <w:autoSpaceDN w:val="0"/>
              <w:adjustRightInd w:val="0"/>
              <w:spacing w:after="200" w:line="276" w:lineRule="auto"/>
              <w:jc w:val="both"/>
              <w:rPr>
                <w:rFonts w:eastAsia="Calibri"/>
                <w:b/>
                <w:iCs/>
                <w:sz w:val="22"/>
                <w:szCs w:val="22"/>
                <w:lang w:val="sr-Latn-ME" w:eastAsia="zh-TW"/>
              </w:rPr>
            </w:pPr>
            <w:r w:rsidRPr="0055610F">
              <w:rPr>
                <w:rFonts w:eastAsia="Calibri"/>
                <w:b/>
                <w:iCs/>
                <w:sz w:val="22"/>
                <w:szCs w:val="22"/>
                <w:lang w:val="sr-Latn-ME" w:eastAsia="zh-TW"/>
              </w:rPr>
              <w:t>Relaps</w:t>
            </w:r>
          </w:p>
        </w:tc>
        <w:tc>
          <w:tcPr>
            <w:tcW w:w="2126" w:type="dxa"/>
            <w:tcBorders>
              <w:top w:val="nil"/>
              <w:left w:val="single" w:sz="4" w:space="0" w:color="auto"/>
              <w:bottom w:val="single" w:sz="4" w:space="0" w:color="auto"/>
              <w:right w:val="single" w:sz="4" w:space="0" w:color="auto"/>
            </w:tcBorders>
            <w:shd w:val="clear" w:color="auto" w:fill="auto"/>
          </w:tcPr>
          <w:p w:rsidR="007B7C69" w:rsidRPr="0055610F" w:rsidRDefault="007B7C69" w:rsidP="0055610F">
            <w:pPr>
              <w:keepNext/>
              <w:keepLines/>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n=51</w:t>
            </w:r>
          </w:p>
        </w:tc>
        <w:tc>
          <w:tcPr>
            <w:tcW w:w="2268" w:type="dxa"/>
            <w:tcBorders>
              <w:top w:val="nil"/>
              <w:left w:val="single" w:sz="4" w:space="0" w:color="auto"/>
              <w:bottom w:val="single" w:sz="4" w:space="0" w:color="auto"/>
              <w:right w:val="single" w:sz="4" w:space="0" w:color="auto"/>
            </w:tcBorders>
            <w:shd w:val="clear" w:color="auto" w:fill="auto"/>
          </w:tcPr>
          <w:p w:rsidR="007B7C69" w:rsidRPr="0055610F" w:rsidRDefault="007B7C69" w:rsidP="0055610F">
            <w:pPr>
              <w:keepNext/>
              <w:keepLines/>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n=50</w:t>
            </w:r>
          </w:p>
        </w:tc>
        <w:tc>
          <w:tcPr>
            <w:tcW w:w="2189" w:type="dxa"/>
            <w:tcBorders>
              <w:top w:val="nil"/>
              <w:left w:val="single" w:sz="4" w:space="0" w:color="auto"/>
              <w:bottom w:val="single" w:sz="4" w:space="0" w:color="auto"/>
              <w:right w:val="single" w:sz="4" w:space="0" w:color="auto"/>
            </w:tcBorders>
            <w:shd w:val="clear" w:color="auto" w:fill="auto"/>
          </w:tcPr>
          <w:p w:rsidR="007B7C69" w:rsidRPr="0055610F" w:rsidRDefault="007B7C69" w:rsidP="0055610F">
            <w:pPr>
              <w:keepNext/>
              <w:keepLines/>
              <w:autoSpaceDE w:val="0"/>
              <w:autoSpaceDN w:val="0"/>
              <w:adjustRightInd w:val="0"/>
              <w:spacing w:after="200" w:line="276" w:lineRule="auto"/>
              <w:jc w:val="center"/>
              <w:rPr>
                <w:rFonts w:eastAsia="Calibri"/>
                <w:iCs/>
                <w:sz w:val="22"/>
                <w:szCs w:val="22"/>
                <w:lang w:val="sr-Latn-ME" w:eastAsia="zh-TW"/>
              </w:rPr>
            </w:pPr>
          </w:p>
        </w:tc>
      </w:tr>
      <w:tr w:rsidR="007B7C69" w:rsidRPr="007642DC" w:rsidTr="007B7C69">
        <w:tc>
          <w:tcPr>
            <w:tcW w:w="8767" w:type="dxa"/>
            <w:gridSpan w:val="4"/>
            <w:tcBorders>
              <w:top w:val="single" w:sz="4" w:space="0" w:color="auto"/>
            </w:tcBorders>
            <w:shd w:val="clear" w:color="auto" w:fill="auto"/>
          </w:tcPr>
          <w:p w:rsidR="007B7C69" w:rsidRPr="0055610F" w:rsidRDefault="007B7C69" w:rsidP="0055610F">
            <w:pPr>
              <w:autoSpaceDE w:val="0"/>
              <w:autoSpaceDN w:val="0"/>
              <w:adjustRightInd w:val="0"/>
              <w:spacing w:after="200" w:line="276" w:lineRule="auto"/>
              <w:jc w:val="center"/>
              <w:rPr>
                <w:rFonts w:eastAsia="Calibri"/>
                <w:iCs/>
                <w:sz w:val="22"/>
                <w:szCs w:val="22"/>
                <w:lang w:val="sr-Latn-ME" w:eastAsia="zh-TW"/>
              </w:rPr>
            </w:pPr>
            <w:r w:rsidRPr="0055610F">
              <w:rPr>
                <w:b/>
                <w:sz w:val="22"/>
                <w:szCs w:val="22"/>
                <w:lang w:val="sr-Latn-ME"/>
              </w:rPr>
              <w:t>Potpuna remisija</w:t>
            </w:r>
          </w:p>
        </w:tc>
      </w:tr>
      <w:tr w:rsidR="007B7C69" w:rsidRPr="007642DC" w:rsidTr="007B7C69">
        <w:tc>
          <w:tcPr>
            <w:tcW w:w="2184" w:type="dxa"/>
            <w:shd w:val="clear" w:color="auto" w:fill="auto"/>
          </w:tcPr>
          <w:p w:rsidR="007B7C69" w:rsidRPr="0055610F" w:rsidRDefault="007B7C69" w:rsidP="004D5825">
            <w:pPr>
              <w:autoSpaceDE w:val="0"/>
              <w:autoSpaceDN w:val="0"/>
              <w:adjustRightInd w:val="0"/>
              <w:spacing w:after="200" w:line="276" w:lineRule="auto"/>
              <w:jc w:val="both"/>
              <w:rPr>
                <w:rFonts w:eastAsia="Calibri"/>
                <w:b/>
                <w:iCs/>
                <w:sz w:val="22"/>
                <w:szCs w:val="22"/>
                <w:lang w:val="sr-Latn-ME" w:eastAsia="zh-TW"/>
              </w:rPr>
            </w:pPr>
            <w:r w:rsidRPr="0055610F">
              <w:rPr>
                <w:rFonts w:eastAsia="Calibri"/>
                <w:b/>
                <w:iCs/>
                <w:sz w:val="22"/>
                <w:szCs w:val="22"/>
                <w:lang w:val="sr-Latn-ME" w:eastAsia="zh-TW"/>
              </w:rPr>
              <w:t>Svi pacijenti</w:t>
            </w:r>
          </w:p>
        </w:tc>
        <w:tc>
          <w:tcPr>
            <w:tcW w:w="2126" w:type="dxa"/>
            <w:shd w:val="clear" w:color="auto" w:fill="auto"/>
          </w:tcPr>
          <w:p w:rsidR="007B7C69" w:rsidRPr="0055610F" w:rsidRDefault="007B7C69" w:rsidP="0055610F">
            <w:pPr>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63,6%</w:t>
            </w:r>
          </w:p>
        </w:tc>
        <w:tc>
          <w:tcPr>
            <w:tcW w:w="2268" w:type="dxa"/>
            <w:shd w:val="clear" w:color="auto" w:fill="auto"/>
          </w:tcPr>
          <w:p w:rsidR="007B7C69" w:rsidRPr="0055610F" w:rsidRDefault="007B7C69" w:rsidP="0055610F">
            <w:pPr>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53,1%</w:t>
            </w:r>
          </w:p>
        </w:tc>
        <w:tc>
          <w:tcPr>
            <w:tcW w:w="2189" w:type="dxa"/>
            <w:shd w:val="clear" w:color="auto" w:fill="auto"/>
          </w:tcPr>
          <w:p w:rsidR="007B7C69" w:rsidRPr="0055610F" w:rsidRDefault="007B7C69" w:rsidP="0055610F">
            <w:pPr>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10,6% (-3,2; 24,3)</w:t>
            </w:r>
          </w:p>
        </w:tc>
      </w:tr>
      <w:tr w:rsidR="007B7C69" w:rsidRPr="007642DC" w:rsidTr="007B7C69">
        <w:tc>
          <w:tcPr>
            <w:tcW w:w="2184" w:type="dxa"/>
            <w:shd w:val="clear" w:color="auto" w:fill="auto"/>
          </w:tcPr>
          <w:p w:rsidR="007B7C69" w:rsidRPr="0055610F" w:rsidRDefault="007B7C69" w:rsidP="004D5825">
            <w:pPr>
              <w:autoSpaceDE w:val="0"/>
              <w:autoSpaceDN w:val="0"/>
              <w:adjustRightInd w:val="0"/>
              <w:spacing w:after="200" w:line="276" w:lineRule="auto"/>
              <w:jc w:val="both"/>
              <w:rPr>
                <w:rFonts w:eastAsia="Calibri"/>
                <w:b/>
                <w:iCs/>
                <w:sz w:val="22"/>
                <w:szCs w:val="22"/>
                <w:lang w:val="sr-Latn-ME" w:eastAsia="zh-TW"/>
              </w:rPr>
            </w:pPr>
            <w:r w:rsidRPr="0055610F">
              <w:rPr>
                <w:rFonts w:eastAsia="Calibri"/>
                <w:b/>
                <w:iCs/>
                <w:sz w:val="22"/>
                <w:szCs w:val="22"/>
                <w:lang w:val="sr-Latn-ME" w:eastAsia="zh-TW"/>
              </w:rPr>
              <w:t>Novodijagnostifikovani</w:t>
            </w:r>
          </w:p>
        </w:tc>
        <w:tc>
          <w:tcPr>
            <w:tcW w:w="2126" w:type="dxa"/>
            <w:shd w:val="clear" w:color="auto" w:fill="auto"/>
          </w:tcPr>
          <w:p w:rsidR="007B7C69" w:rsidRPr="0055610F" w:rsidRDefault="007B7C69" w:rsidP="0055610F">
            <w:pPr>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60,4%</w:t>
            </w:r>
          </w:p>
        </w:tc>
        <w:tc>
          <w:tcPr>
            <w:tcW w:w="2268" w:type="dxa"/>
            <w:shd w:val="clear" w:color="auto" w:fill="auto"/>
          </w:tcPr>
          <w:p w:rsidR="007B7C69" w:rsidRPr="0055610F" w:rsidRDefault="007B7C69" w:rsidP="0055610F">
            <w:pPr>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64,6%</w:t>
            </w:r>
          </w:p>
        </w:tc>
        <w:tc>
          <w:tcPr>
            <w:tcW w:w="2189" w:type="dxa"/>
            <w:shd w:val="clear" w:color="auto" w:fill="auto"/>
          </w:tcPr>
          <w:p w:rsidR="007B7C69" w:rsidRPr="0055610F" w:rsidRDefault="007B7C69" w:rsidP="0055610F">
            <w:pPr>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− 4,2% (− 23,6; 15,3)</w:t>
            </w:r>
          </w:p>
        </w:tc>
      </w:tr>
      <w:tr w:rsidR="007B7C69" w:rsidRPr="007642DC" w:rsidTr="007B7C69">
        <w:tc>
          <w:tcPr>
            <w:tcW w:w="2184" w:type="dxa"/>
            <w:shd w:val="clear" w:color="auto" w:fill="auto"/>
          </w:tcPr>
          <w:p w:rsidR="007B7C69" w:rsidRPr="0055610F" w:rsidRDefault="007B7C69" w:rsidP="004D5825">
            <w:pPr>
              <w:autoSpaceDE w:val="0"/>
              <w:autoSpaceDN w:val="0"/>
              <w:adjustRightInd w:val="0"/>
              <w:spacing w:after="200" w:line="276" w:lineRule="auto"/>
              <w:jc w:val="both"/>
              <w:rPr>
                <w:rFonts w:eastAsia="Calibri"/>
                <w:b/>
                <w:iCs/>
                <w:sz w:val="22"/>
                <w:szCs w:val="22"/>
                <w:lang w:val="sr-Latn-ME" w:eastAsia="zh-TW"/>
              </w:rPr>
            </w:pPr>
            <w:r w:rsidRPr="0055610F">
              <w:rPr>
                <w:rFonts w:eastAsia="Calibri"/>
                <w:b/>
                <w:iCs/>
                <w:sz w:val="22"/>
                <w:szCs w:val="22"/>
                <w:lang w:val="sr-Latn-ME" w:eastAsia="zh-TW"/>
              </w:rPr>
              <w:t>Relaps</w:t>
            </w:r>
          </w:p>
        </w:tc>
        <w:tc>
          <w:tcPr>
            <w:tcW w:w="2126" w:type="dxa"/>
            <w:shd w:val="clear" w:color="auto" w:fill="auto"/>
          </w:tcPr>
          <w:p w:rsidR="007B7C69" w:rsidRPr="0055610F" w:rsidRDefault="007B7C69" w:rsidP="0055610F">
            <w:pPr>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66,7%</w:t>
            </w:r>
          </w:p>
        </w:tc>
        <w:tc>
          <w:tcPr>
            <w:tcW w:w="2268" w:type="dxa"/>
            <w:shd w:val="clear" w:color="auto" w:fill="auto"/>
          </w:tcPr>
          <w:p w:rsidR="007B7C69" w:rsidRPr="0055610F" w:rsidRDefault="007B7C69" w:rsidP="0055610F">
            <w:pPr>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42,0%</w:t>
            </w:r>
          </w:p>
        </w:tc>
        <w:tc>
          <w:tcPr>
            <w:tcW w:w="2189" w:type="dxa"/>
            <w:shd w:val="clear" w:color="auto" w:fill="auto"/>
          </w:tcPr>
          <w:p w:rsidR="007B7C69" w:rsidRPr="0055610F" w:rsidRDefault="007B7C69" w:rsidP="0055610F">
            <w:pPr>
              <w:autoSpaceDE w:val="0"/>
              <w:autoSpaceDN w:val="0"/>
              <w:adjustRightInd w:val="0"/>
              <w:spacing w:after="200" w:line="276" w:lineRule="auto"/>
              <w:jc w:val="center"/>
              <w:rPr>
                <w:rFonts w:eastAsia="Calibri"/>
                <w:iCs/>
                <w:sz w:val="22"/>
                <w:szCs w:val="22"/>
                <w:lang w:val="sr-Latn-ME" w:eastAsia="zh-TW"/>
              </w:rPr>
            </w:pPr>
            <w:r w:rsidRPr="0055610F">
              <w:rPr>
                <w:rFonts w:eastAsia="Calibri"/>
                <w:iCs/>
                <w:sz w:val="22"/>
                <w:szCs w:val="22"/>
                <w:lang w:val="sr-Latn-ME" w:eastAsia="zh-TW"/>
              </w:rPr>
              <w:t>24,7% (5,8; 43,6)</w:t>
            </w:r>
          </w:p>
        </w:tc>
      </w:tr>
    </w:tbl>
    <w:p w:rsidR="007B7C69" w:rsidRPr="0055610F" w:rsidRDefault="007B7C69" w:rsidP="004D5825">
      <w:pPr>
        <w:keepNext/>
        <w:jc w:val="both"/>
        <w:outlineLvl w:val="0"/>
        <w:rPr>
          <w:rFonts w:eastAsia="Calibri"/>
          <w:sz w:val="22"/>
          <w:szCs w:val="22"/>
          <w:lang w:val="sr-Latn-ME"/>
        </w:rPr>
      </w:pPr>
      <w:r w:rsidRPr="0055610F">
        <w:rPr>
          <w:rFonts w:eastAsia="Calibri"/>
          <w:sz w:val="22"/>
          <w:szCs w:val="22"/>
          <w:lang w:val="sr-Latn-ME"/>
        </w:rPr>
        <w:t>Za pacijente za koje nedostaju podaci primjenjuje se pretpostavka najgoreg slučaja</w:t>
      </w:r>
    </w:p>
    <w:p w:rsidR="007B7C69" w:rsidRPr="0055610F" w:rsidRDefault="007B7C69" w:rsidP="004D5825">
      <w:pPr>
        <w:keepNext/>
        <w:jc w:val="both"/>
        <w:outlineLvl w:val="0"/>
        <w:rPr>
          <w:rFonts w:eastAsia="Calibri"/>
          <w:sz w:val="22"/>
          <w:szCs w:val="22"/>
          <w:lang w:val="sr-Latn-ME"/>
        </w:rPr>
      </w:pPr>
    </w:p>
    <w:p w:rsidR="007B7C69" w:rsidRPr="0055610F" w:rsidRDefault="007B7C69" w:rsidP="004D5825">
      <w:pPr>
        <w:jc w:val="both"/>
        <w:rPr>
          <w:i/>
          <w:sz w:val="22"/>
          <w:szCs w:val="22"/>
          <w:lang w:val="sr-Latn-ME"/>
        </w:rPr>
      </w:pPr>
      <w:r w:rsidRPr="0055610F">
        <w:rPr>
          <w:i/>
          <w:sz w:val="22"/>
          <w:szCs w:val="22"/>
          <w:lang w:val="sr-Latn-ME"/>
        </w:rPr>
        <w:t>Potpuna remisija nakon 12 i 18 mjeseci</w:t>
      </w:r>
    </w:p>
    <w:p w:rsidR="007B7C69" w:rsidRPr="0055610F" w:rsidRDefault="007B7C69" w:rsidP="004D5825">
      <w:pPr>
        <w:jc w:val="both"/>
        <w:rPr>
          <w:sz w:val="22"/>
          <w:szCs w:val="22"/>
          <w:lang w:val="sr-Latn-ME"/>
        </w:rPr>
      </w:pPr>
      <w:r w:rsidRPr="0055610F">
        <w:rPr>
          <w:sz w:val="22"/>
          <w:szCs w:val="22"/>
          <w:lang w:val="sr-Latn-ME"/>
        </w:rPr>
        <w:t xml:space="preserve">U grupi liječenoj lijekom MabThera 48% pacijenata postiglo je potpunu remisiju nakon 12 mjeseci, a 39% pacijenata postiglo je potpunu remisiju nakon 18 mjeseci. Od pacijenata liječenih ciklofosfamidom (te zatim azatioprinom radi održavanja potpune remisije) njih je 39% postiglo potpunu remisiju nakon 12 mjeseci, a 33% pacijenta postiglo je potpunu remisiju nakon 18 mjeseci. </w:t>
      </w:r>
      <w:r w:rsidRPr="0055610F">
        <w:rPr>
          <w:sz w:val="22"/>
          <w:szCs w:val="22"/>
          <w:lang w:val="sr-Latn-ME"/>
        </w:rPr>
        <w:lastRenderedPageBreak/>
        <w:t>Od 12. do 18. mjeseca zabilježeno je 8 relapsa u grupi koja je primala lijek MabThera u poređenju sa četiri u grupi liječenoj ciklofosfamidom.</w:t>
      </w:r>
    </w:p>
    <w:p w:rsidR="007B7C69" w:rsidRPr="0055610F" w:rsidRDefault="007B7C69" w:rsidP="004D5825">
      <w:pPr>
        <w:jc w:val="both"/>
        <w:rPr>
          <w:sz w:val="22"/>
          <w:szCs w:val="22"/>
          <w:lang w:val="sr-Latn-ME"/>
        </w:rPr>
      </w:pPr>
    </w:p>
    <w:p w:rsidR="007B7C69" w:rsidRPr="0055610F" w:rsidRDefault="007B7C69" w:rsidP="004D5825">
      <w:pPr>
        <w:jc w:val="both"/>
        <w:rPr>
          <w:i/>
          <w:sz w:val="22"/>
          <w:szCs w:val="22"/>
          <w:lang w:val="sr-Latn-ME"/>
        </w:rPr>
      </w:pPr>
      <w:r w:rsidRPr="0055610F">
        <w:rPr>
          <w:i/>
          <w:sz w:val="22"/>
          <w:szCs w:val="22"/>
          <w:lang w:val="sr-Latn-ME"/>
        </w:rPr>
        <w:t>Laboratorijski nalazi</w:t>
      </w:r>
    </w:p>
    <w:p w:rsidR="007B7C69" w:rsidRPr="0055610F" w:rsidRDefault="007B7C69" w:rsidP="004D5825">
      <w:pPr>
        <w:jc w:val="both"/>
        <w:rPr>
          <w:sz w:val="22"/>
          <w:szCs w:val="22"/>
          <w:lang w:val="sr-Latn-ME"/>
        </w:rPr>
      </w:pPr>
      <w:r w:rsidRPr="0055610F">
        <w:rPr>
          <w:sz w:val="22"/>
          <w:szCs w:val="22"/>
          <w:lang w:val="sr-Latn-ME"/>
        </w:rPr>
        <w:t>Ukupno je 23/99 (23%) pacijenta liječenih lijekom MabThera u studiji indukcije remisije imalo je pozitivne nalaze na ADA nakon 18 mjeseci. Niti jedan od 99 pacijenata liječenih lijekom MabThera nije bio pozitivan na ADA pri odabiru. Prisustvo ADA nije imalo</w:t>
      </w:r>
      <w:r w:rsidR="00254B5D" w:rsidRPr="0055610F">
        <w:rPr>
          <w:sz w:val="22"/>
          <w:szCs w:val="22"/>
          <w:lang w:val="sr-Latn-ME"/>
        </w:rPr>
        <w:t xml:space="preserve"> </w:t>
      </w:r>
      <w:r w:rsidRPr="0055610F">
        <w:rPr>
          <w:sz w:val="22"/>
          <w:szCs w:val="22"/>
          <w:lang w:val="sr-Latn-ME"/>
        </w:rPr>
        <w:t>trend negativanog uticaj na bezbjednost ili efikasnost u ispitivanju indukcije remisije.</w:t>
      </w:r>
    </w:p>
    <w:p w:rsidR="007B7C69" w:rsidRPr="0055610F" w:rsidRDefault="007B7C69" w:rsidP="004D5825">
      <w:pPr>
        <w:jc w:val="both"/>
        <w:rPr>
          <w:sz w:val="22"/>
          <w:szCs w:val="22"/>
          <w:lang w:val="sr-Latn-ME"/>
        </w:rPr>
      </w:pPr>
    </w:p>
    <w:p w:rsidR="007B7C69" w:rsidRPr="0055610F" w:rsidRDefault="007B7C69" w:rsidP="004D5825">
      <w:pPr>
        <w:tabs>
          <w:tab w:val="left" w:pos="284"/>
        </w:tabs>
        <w:jc w:val="both"/>
        <w:rPr>
          <w:i/>
          <w:sz w:val="22"/>
          <w:szCs w:val="22"/>
          <w:u w:val="single"/>
          <w:lang w:val="sr-Latn-ME"/>
        </w:rPr>
      </w:pPr>
      <w:r w:rsidRPr="0055610F">
        <w:rPr>
          <w:i/>
          <w:sz w:val="22"/>
          <w:szCs w:val="22"/>
          <w:u w:val="single"/>
          <w:lang w:val="sr-Latn-ME"/>
        </w:rPr>
        <w:t>Terapija</w:t>
      </w:r>
      <w:r w:rsidR="001F1EC4">
        <w:rPr>
          <w:i/>
          <w:sz w:val="22"/>
          <w:szCs w:val="22"/>
          <w:u w:val="single"/>
          <w:lang w:val="sr-Latn-ME"/>
        </w:rPr>
        <w:t xml:space="preserve"> za</w:t>
      </w:r>
      <w:r w:rsidRPr="0055610F">
        <w:rPr>
          <w:i/>
          <w:sz w:val="22"/>
          <w:szCs w:val="22"/>
          <w:u w:val="single"/>
          <w:lang w:val="sr-Latn-ME"/>
        </w:rPr>
        <w:t xml:space="preserve"> održavanj</w:t>
      </w:r>
      <w:r w:rsidR="001F1EC4">
        <w:rPr>
          <w:i/>
          <w:sz w:val="22"/>
          <w:szCs w:val="22"/>
          <w:u w:val="single"/>
          <w:lang w:val="sr-Latn-ME"/>
        </w:rPr>
        <w:t>e remisije</w:t>
      </w:r>
      <w:r w:rsidRPr="0055610F">
        <w:rPr>
          <w:i/>
          <w:sz w:val="22"/>
          <w:szCs w:val="22"/>
          <w:u w:val="single"/>
          <w:lang w:val="sr-Latn-ME"/>
        </w:rPr>
        <w:t xml:space="preserve"> kod odraslih pacijenata</w:t>
      </w:r>
    </w:p>
    <w:p w:rsidR="007B7C69" w:rsidRPr="0055610F" w:rsidRDefault="007B7C69" w:rsidP="004D5825">
      <w:pPr>
        <w:tabs>
          <w:tab w:val="left" w:pos="284"/>
        </w:tabs>
        <w:jc w:val="both"/>
        <w:rPr>
          <w:sz w:val="22"/>
          <w:szCs w:val="22"/>
          <w:lang w:val="sr-Latn-ME"/>
        </w:rPr>
      </w:pPr>
      <w:r w:rsidRPr="0055610F">
        <w:rPr>
          <w:sz w:val="22"/>
          <w:szCs w:val="22"/>
          <w:lang w:val="sr-Latn-ME"/>
        </w:rPr>
        <w:t>Ukupno 117 pacijenata (88 sa GPA, 24 sa MPA i 5 sa bubrežno-ograničavajućim</w:t>
      </w:r>
      <w:r w:rsidRPr="0055610F">
        <w:rPr>
          <w:i/>
          <w:sz w:val="22"/>
          <w:szCs w:val="22"/>
          <w:lang w:val="sr-Latn-ME"/>
        </w:rPr>
        <w:t xml:space="preserve"> </w:t>
      </w:r>
      <w:r w:rsidRPr="0055610F">
        <w:rPr>
          <w:sz w:val="22"/>
          <w:szCs w:val="22"/>
          <w:lang w:val="sr-Latn-ME"/>
        </w:rPr>
        <w:t>antineutrofilnim citoplazmatskim antitijelima (ANCA)) u stanju remisije je randomizovano da prima azatioprin (59 pacijenata) ili lijek MabThera (58 pacijenata) u prospektivnoj, multicentričnoj, kontrolisanoj studiji otvorenog dizajna. Uključeni su pacijenti starosti od 21 do 75 godina sa novodijagnostikovanom ili relapsirajućom bolesti u kompletnoj remisiji nakon kombinovane terapije sa glukokortikoidima i pulsnim ciklofosfamidom. Većina pacijenata su bili ANCA pozitivni u dijagnozi ili tokom trajanja njihove bolesti; imali su histološki potvrđen nekrotizirajući vasculitis malih krvnih sudova sa kliničkim fenotipom GPA ili MPA, ili ANCA vaskulitis sa bubrežnim manifestacijama; ili oba.</w:t>
      </w:r>
    </w:p>
    <w:p w:rsidR="007B7C69" w:rsidRPr="0055610F" w:rsidRDefault="007B7C69" w:rsidP="004D5825">
      <w:pPr>
        <w:tabs>
          <w:tab w:val="left" w:pos="284"/>
        </w:tabs>
        <w:jc w:val="both"/>
        <w:rPr>
          <w:sz w:val="22"/>
          <w:szCs w:val="22"/>
          <w:lang w:val="sr-Latn-ME"/>
        </w:rPr>
      </w:pPr>
    </w:p>
    <w:p w:rsidR="007B7C69" w:rsidRDefault="007B7C69" w:rsidP="004D5825">
      <w:pPr>
        <w:tabs>
          <w:tab w:val="left" w:pos="284"/>
        </w:tabs>
        <w:jc w:val="both"/>
        <w:rPr>
          <w:sz w:val="22"/>
          <w:szCs w:val="22"/>
          <w:lang w:val="sr-Latn-ME"/>
        </w:rPr>
      </w:pPr>
      <w:r w:rsidRPr="0055610F">
        <w:rPr>
          <w:sz w:val="22"/>
          <w:szCs w:val="22"/>
          <w:lang w:val="sr-Latn-ME"/>
        </w:rPr>
        <w:t>Terapija indukcije remisije se sastojala od IV prednizona, primjenjivana u skladu sa odlukom istraživača, kod nekih pacijenata je prethodila pulsna terapija metilprednizolonom i ciklofosfamidom dok nije postignuta remisija nakon 4 do 6 mjeseci. U to vrijeme, i u okviru od 1 mjeseca nakon posl</w:t>
      </w:r>
      <w:r w:rsidR="00254B5D" w:rsidRPr="0055610F">
        <w:rPr>
          <w:sz w:val="22"/>
          <w:szCs w:val="22"/>
          <w:lang w:val="sr-Latn-ME"/>
        </w:rPr>
        <w:t>j</w:t>
      </w:r>
      <w:r w:rsidRPr="0055610F">
        <w:rPr>
          <w:sz w:val="22"/>
          <w:szCs w:val="22"/>
          <w:lang w:val="sr-Latn-ME"/>
        </w:rPr>
        <w:t>ednje pulsne terapije ciklofosfamidom, pacijentima je nasumično dodijeljeno da primaju ili lijek MabThera (dvije infuzije u dozi od 500</w:t>
      </w:r>
      <w:r w:rsidR="00254B5D" w:rsidRPr="0055610F">
        <w:rPr>
          <w:sz w:val="22"/>
          <w:szCs w:val="22"/>
          <w:lang w:val="sr-Latn-ME"/>
        </w:rPr>
        <w:t xml:space="preserve"> </w:t>
      </w:r>
      <w:r w:rsidRPr="0055610F">
        <w:rPr>
          <w:sz w:val="22"/>
          <w:szCs w:val="22"/>
          <w:lang w:val="sr-Latn-ME"/>
        </w:rPr>
        <w:t>mg IV sa razmakom od dve ned</w:t>
      </w:r>
      <w:r w:rsidR="00254B5D" w:rsidRPr="0055610F">
        <w:rPr>
          <w:sz w:val="22"/>
          <w:szCs w:val="22"/>
          <w:lang w:val="sr-Latn-ME"/>
        </w:rPr>
        <w:t>j</w:t>
      </w:r>
      <w:r w:rsidRPr="0055610F">
        <w:rPr>
          <w:sz w:val="22"/>
          <w:szCs w:val="22"/>
          <w:lang w:val="sr-Latn-ME"/>
        </w:rPr>
        <w:t>elje (na 1. i 15. dan) nakon čega su primali 500</w:t>
      </w:r>
      <w:r w:rsidR="00254B5D" w:rsidRPr="0055610F">
        <w:rPr>
          <w:sz w:val="22"/>
          <w:szCs w:val="22"/>
          <w:lang w:val="sr-Latn-ME"/>
        </w:rPr>
        <w:t xml:space="preserve"> </w:t>
      </w:r>
      <w:r w:rsidRPr="0055610F">
        <w:rPr>
          <w:sz w:val="22"/>
          <w:szCs w:val="22"/>
          <w:lang w:val="sr-Latn-ME"/>
        </w:rPr>
        <w:t>mg IV svakih 6 m</w:t>
      </w:r>
      <w:r w:rsidR="00254B5D" w:rsidRPr="0055610F">
        <w:rPr>
          <w:sz w:val="22"/>
          <w:szCs w:val="22"/>
          <w:lang w:val="sr-Latn-ME"/>
        </w:rPr>
        <w:t>j</w:t>
      </w:r>
      <w:r w:rsidRPr="0055610F">
        <w:rPr>
          <w:sz w:val="22"/>
          <w:szCs w:val="22"/>
          <w:lang w:val="sr-Latn-ME"/>
        </w:rPr>
        <w:t>eseci tokom 18 m</w:t>
      </w:r>
      <w:r w:rsidR="00254B5D" w:rsidRPr="0055610F">
        <w:rPr>
          <w:sz w:val="22"/>
          <w:szCs w:val="22"/>
          <w:lang w:val="sr-Latn-ME"/>
        </w:rPr>
        <w:t>j</w:t>
      </w:r>
      <w:r w:rsidRPr="0055610F">
        <w:rPr>
          <w:sz w:val="22"/>
          <w:szCs w:val="22"/>
          <w:lang w:val="sr-Latn-ME"/>
        </w:rPr>
        <w:t>eseci) ili azatioprin (primjenjivan oralno u dozi od 2</w:t>
      </w:r>
      <w:r w:rsidR="00254B5D" w:rsidRPr="0055610F">
        <w:rPr>
          <w:sz w:val="22"/>
          <w:szCs w:val="22"/>
          <w:lang w:val="sr-Latn-ME"/>
        </w:rPr>
        <w:t xml:space="preserve"> </w:t>
      </w:r>
      <w:r w:rsidRPr="0055610F">
        <w:rPr>
          <w:sz w:val="22"/>
          <w:szCs w:val="22"/>
          <w:lang w:val="sr-Latn-ME"/>
        </w:rPr>
        <w:t>mg/kg/dan tokom 12 mjeseci, a nakon toga 1,5</w:t>
      </w:r>
      <w:r w:rsidR="00254B5D" w:rsidRPr="0055610F">
        <w:rPr>
          <w:sz w:val="22"/>
          <w:szCs w:val="22"/>
          <w:lang w:val="sr-Latn-ME"/>
        </w:rPr>
        <w:t xml:space="preserve"> </w:t>
      </w:r>
      <w:r w:rsidRPr="0055610F">
        <w:rPr>
          <w:sz w:val="22"/>
          <w:szCs w:val="22"/>
          <w:lang w:val="sr-Latn-ME"/>
        </w:rPr>
        <w:t>mg/kg/dan tokom 6 mjeseci i konačno 1</w:t>
      </w:r>
      <w:r w:rsidR="00254B5D" w:rsidRPr="0055610F">
        <w:rPr>
          <w:sz w:val="22"/>
          <w:szCs w:val="22"/>
          <w:lang w:val="sr-Latn-ME"/>
        </w:rPr>
        <w:t xml:space="preserve"> </w:t>
      </w:r>
      <w:r w:rsidRPr="0055610F">
        <w:rPr>
          <w:sz w:val="22"/>
          <w:szCs w:val="22"/>
          <w:lang w:val="sr-Latn-ME"/>
        </w:rPr>
        <w:t>mg/kg/dan tokom 4 mjeseca (terapija prekida (diskontinuacije) tokom 22 mjeseca)). Terapija prednizonom se postepeno snižavala i potom održavala na niskoj dozi (oko 5</w:t>
      </w:r>
      <w:r w:rsidR="00254B5D" w:rsidRPr="0055610F">
        <w:rPr>
          <w:sz w:val="22"/>
          <w:szCs w:val="22"/>
          <w:lang w:val="sr-Latn-ME"/>
        </w:rPr>
        <w:t xml:space="preserve"> </w:t>
      </w:r>
      <w:r w:rsidRPr="0055610F">
        <w:rPr>
          <w:sz w:val="22"/>
          <w:szCs w:val="22"/>
          <w:lang w:val="sr-Latn-ME"/>
        </w:rPr>
        <w:t xml:space="preserve">mg/dan) tokom najmanje 19 mjeseci nakon randomizacije. Postepeno smanjivanje doze prednizona i odluka o prekidu terapije prednizonom nakon 18 mjeseci su ostavljene istraživaču da odluči. </w:t>
      </w:r>
    </w:p>
    <w:p w:rsidR="001F1EC4" w:rsidRPr="0055610F" w:rsidRDefault="001F1EC4" w:rsidP="004D5825">
      <w:pPr>
        <w:tabs>
          <w:tab w:val="left" w:pos="284"/>
        </w:tabs>
        <w:jc w:val="both"/>
        <w:rPr>
          <w:sz w:val="22"/>
          <w:szCs w:val="22"/>
          <w:lang w:val="sr-Latn-ME"/>
        </w:rPr>
      </w:pPr>
    </w:p>
    <w:p w:rsidR="007B7C69" w:rsidRPr="0055610F" w:rsidRDefault="007B7C69" w:rsidP="004D5825">
      <w:pPr>
        <w:tabs>
          <w:tab w:val="left" w:pos="284"/>
        </w:tabs>
        <w:jc w:val="both"/>
        <w:rPr>
          <w:sz w:val="22"/>
          <w:szCs w:val="22"/>
          <w:lang w:val="sr-Latn-ME"/>
        </w:rPr>
      </w:pPr>
      <w:r w:rsidRPr="0055610F">
        <w:rPr>
          <w:sz w:val="22"/>
          <w:szCs w:val="22"/>
          <w:lang w:val="sr-Latn-ME"/>
        </w:rPr>
        <w:t>Svi pacijenti su praćeni do 28</w:t>
      </w:r>
      <w:r w:rsidR="00254B5D" w:rsidRPr="0055610F">
        <w:rPr>
          <w:sz w:val="22"/>
          <w:szCs w:val="22"/>
          <w:lang w:val="sr-Latn-ME"/>
        </w:rPr>
        <w:t>.</w:t>
      </w:r>
      <w:r w:rsidRPr="0055610F">
        <w:rPr>
          <w:sz w:val="22"/>
          <w:szCs w:val="22"/>
          <w:lang w:val="sr-Latn-ME"/>
        </w:rPr>
        <w:t>mjeseca (10 ili 6 mjeseci, respektivno, nakon posl</w:t>
      </w:r>
      <w:r w:rsidR="00254B5D" w:rsidRPr="0055610F">
        <w:rPr>
          <w:sz w:val="22"/>
          <w:szCs w:val="22"/>
          <w:lang w:val="sr-Latn-ME"/>
        </w:rPr>
        <w:t>j</w:t>
      </w:r>
      <w:r w:rsidRPr="0055610F">
        <w:rPr>
          <w:sz w:val="22"/>
          <w:szCs w:val="22"/>
          <w:lang w:val="sr-Latn-ME"/>
        </w:rPr>
        <w:t xml:space="preserve">ednje infuzije lijekom MabThera ili doze azatioprina). Profilaksa pneumonije izazvane </w:t>
      </w:r>
      <w:r w:rsidRPr="0055610F">
        <w:rPr>
          <w:i/>
          <w:sz w:val="22"/>
          <w:szCs w:val="22"/>
          <w:lang w:val="sr-Latn-ME"/>
        </w:rPr>
        <w:t xml:space="preserve">Pneumocystis jirovecii </w:t>
      </w:r>
      <w:r w:rsidRPr="0055610F">
        <w:rPr>
          <w:sz w:val="22"/>
          <w:szCs w:val="22"/>
          <w:lang w:val="sr-Latn-ME"/>
        </w:rPr>
        <w:t>je bila obavezna za sve pacijente čiji je broj CD4- T-limfocita bio manji od 250/mm</w:t>
      </w:r>
      <w:r w:rsidRPr="0055610F">
        <w:rPr>
          <w:sz w:val="22"/>
          <w:szCs w:val="22"/>
          <w:vertAlign w:val="superscript"/>
          <w:lang w:val="sr-Latn-ME"/>
        </w:rPr>
        <w:t>3</w:t>
      </w:r>
      <w:r w:rsidRPr="0055610F">
        <w:rPr>
          <w:sz w:val="22"/>
          <w:szCs w:val="22"/>
          <w:lang w:val="sr-Latn-ME"/>
        </w:rPr>
        <w:t>.</w:t>
      </w:r>
    </w:p>
    <w:p w:rsidR="007B7C69" w:rsidRPr="0055610F" w:rsidRDefault="007B7C69" w:rsidP="004D5825">
      <w:pPr>
        <w:tabs>
          <w:tab w:val="left" w:pos="284"/>
        </w:tabs>
        <w:jc w:val="both"/>
        <w:rPr>
          <w:sz w:val="22"/>
          <w:szCs w:val="22"/>
          <w:lang w:val="sr-Latn-ME"/>
        </w:rPr>
      </w:pPr>
    </w:p>
    <w:p w:rsidR="007B7C69" w:rsidRPr="0055610F" w:rsidRDefault="007B7C69" w:rsidP="004D5825">
      <w:pPr>
        <w:tabs>
          <w:tab w:val="left" w:pos="284"/>
        </w:tabs>
        <w:jc w:val="both"/>
        <w:rPr>
          <w:sz w:val="22"/>
          <w:szCs w:val="22"/>
          <w:lang w:val="sr-Latn-ME"/>
        </w:rPr>
      </w:pPr>
      <w:r w:rsidRPr="0055610F">
        <w:rPr>
          <w:sz w:val="22"/>
          <w:szCs w:val="22"/>
          <w:lang w:val="sr-Latn-ME"/>
        </w:rPr>
        <w:t>Primarna m</w:t>
      </w:r>
      <w:r w:rsidR="00254B5D" w:rsidRPr="0055610F">
        <w:rPr>
          <w:sz w:val="22"/>
          <w:szCs w:val="22"/>
          <w:lang w:val="sr-Latn-ME"/>
        </w:rPr>
        <w:t>j</w:t>
      </w:r>
      <w:r w:rsidRPr="0055610F">
        <w:rPr>
          <w:sz w:val="22"/>
          <w:szCs w:val="22"/>
          <w:lang w:val="sr-Latn-ME"/>
        </w:rPr>
        <w:t>era ishoda je b</w:t>
      </w:r>
      <w:r w:rsidR="00B21971" w:rsidRPr="0055610F">
        <w:rPr>
          <w:sz w:val="22"/>
          <w:szCs w:val="22"/>
          <w:lang w:val="sr-Latn-ME"/>
        </w:rPr>
        <w:t xml:space="preserve">io stepen velikog relapsa u 28. </w:t>
      </w:r>
      <w:r w:rsidRPr="0055610F">
        <w:rPr>
          <w:sz w:val="22"/>
          <w:szCs w:val="22"/>
          <w:lang w:val="sr-Latn-ME"/>
        </w:rPr>
        <w:t>mjesecu.</w:t>
      </w:r>
    </w:p>
    <w:p w:rsidR="007B7C69" w:rsidRPr="0055610F" w:rsidRDefault="007B7C69" w:rsidP="004D5825">
      <w:pPr>
        <w:tabs>
          <w:tab w:val="left" w:pos="284"/>
        </w:tabs>
        <w:jc w:val="both"/>
        <w:rPr>
          <w:sz w:val="22"/>
          <w:szCs w:val="22"/>
          <w:lang w:val="sr-Latn-ME"/>
        </w:rPr>
      </w:pPr>
    </w:p>
    <w:p w:rsidR="007B7C69" w:rsidRPr="0055610F" w:rsidRDefault="007B7C69" w:rsidP="004D5825">
      <w:pPr>
        <w:tabs>
          <w:tab w:val="left" w:pos="284"/>
        </w:tabs>
        <w:jc w:val="both"/>
        <w:rPr>
          <w:i/>
          <w:sz w:val="22"/>
          <w:szCs w:val="22"/>
          <w:lang w:val="sr-Latn-ME"/>
        </w:rPr>
      </w:pPr>
      <w:r w:rsidRPr="0055610F">
        <w:rPr>
          <w:i/>
          <w:sz w:val="22"/>
          <w:szCs w:val="22"/>
          <w:lang w:val="sr-Latn-ME"/>
        </w:rPr>
        <w:t>Rezultati</w:t>
      </w:r>
    </w:p>
    <w:p w:rsidR="007B7C69" w:rsidRPr="0055610F" w:rsidRDefault="007B7C69" w:rsidP="004D5825">
      <w:pPr>
        <w:tabs>
          <w:tab w:val="left" w:pos="284"/>
        </w:tabs>
        <w:jc w:val="both"/>
        <w:rPr>
          <w:sz w:val="22"/>
          <w:szCs w:val="22"/>
          <w:lang w:val="sr-Latn-ME"/>
        </w:rPr>
      </w:pPr>
      <w:r w:rsidRPr="0055610F">
        <w:rPr>
          <w:sz w:val="22"/>
          <w:szCs w:val="22"/>
          <w:lang w:val="sr-Latn-ME"/>
        </w:rPr>
        <w:t>Dvadesetosmog mjeseca, veliki relaps (definisan kao pojava kliničkoj i/ili laboratorijskog znaka aktivnosti vaskulitisa ([BVAS] &gt; 0) koji bi mogao da dovede do disfunkcije organa ili oštećenja ili bi mogao biti životno ugrožavajući) se desio kod 3 pacijenta (5%) u grupi koja je primala lijek MabThera i 17 pacijenata (29%) u grupi koja je primala azatioprin (p=0.0007). Manji relapsi (koji ni</w:t>
      </w:r>
      <w:r w:rsidR="00254B5D" w:rsidRPr="0055610F">
        <w:rPr>
          <w:sz w:val="22"/>
          <w:szCs w:val="22"/>
          <w:lang w:val="sr-Latn-ME"/>
        </w:rPr>
        <w:t>je</w:t>
      </w:r>
      <w:r w:rsidRPr="0055610F">
        <w:rPr>
          <w:sz w:val="22"/>
          <w:szCs w:val="22"/>
          <w:lang w:val="sr-Latn-ME"/>
        </w:rPr>
        <w:t>su životno ugrožavajući i ne uključuju oštećenje glavnog organa) su se desili kod sedam pacijenata u grupi koja je primala lijek MabThera (12%) i osam pacijenata u grupi koja je primala azatioprin (14%).</w:t>
      </w:r>
    </w:p>
    <w:p w:rsidR="007B7C69" w:rsidRPr="0055610F" w:rsidRDefault="007B7C69" w:rsidP="004D5825">
      <w:pPr>
        <w:tabs>
          <w:tab w:val="left" w:pos="284"/>
        </w:tabs>
        <w:jc w:val="both"/>
        <w:rPr>
          <w:sz w:val="22"/>
          <w:szCs w:val="22"/>
          <w:lang w:val="sr-Latn-ME"/>
        </w:rPr>
      </w:pPr>
      <w:r w:rsidRPr="0055610F">
        <w:rPr>
          <w:sz w:val="22"/>
          <w:szCs w:val="22"/>
          <w:lang w:val="sr-Latn-ME"/>
        </w:rPr>
        <w:br/>
        <w:t>Krive stepena kumulativne incidence pokazuju da je vreme do pojave prvog velikog relapsa bilo duže kod pacijenata koji su primili lijek MabThera počevši od drugog mjeseca i bili na terapiji održavanja do 28. mjeseca (Slika 3).</w:t>
      </w:r>
    </w:p>
    <w:p w:rsidR="007B7C69" w:rsidRPr="0055610F" w:rsidRDefault="007B7C69" w:rsidP="004D5825">
      <w:pPr>
        <w:tabs>
          <w:tab w:val="left" w:pos="284"/>
        </w:tabs>
        <w:jc w:val="both"/>
        <w:rPr>
          <w:sz w:val="22"/>
          <w:szCs w:val="22"/>
          <w:lang w:val="sr-Latn-ME"/>
        </w:rPr>
      </w:pPr>
    </w:p>
    <w:p w:rsidR="00BD3210" w:rsidRDefault="00BD3210" w:rsidP="004D5825">
      <w:pPr>
        <w:tabs>
          <w:tab w:val="left" w:pos="284"/>
        </w:tabs>
        <w:jc w:val="both"/>
        <w:rPr>
          <w:b/>
          <w:sz w:val="22"/>
          <w:szCs w:val="22"/>
          <w:lang w:val="sr-Latn-ME"/>
        </w:rPr>
      </w:pPr>
    </w:p>
    <w:p w:rsidR="001F1EC4" w:rsidRDefault="001F1EC4" w:rsidP="004D5825">
      <w:pPr>
        <w:tabs>
          <w:tab w:val="left" w:pos="284"/>
        </w:tabs>
        <w:jc w:val="both"/>
        <w:rPr>
          <w:b/>
          <w:sz w:val="22"/>
          <w:szCs w:val="22"/>
          <w:lang w:val="sr-Latn-ME"/>
        </w:rPr>
      </w:pPr>
    </w:p>
    <w:p w:rsidR="001F1EC4" w:rsidRDefault="001F1EC4" w:rsidP="004D5825">
      <w:pPr>
        <w:tabs>
          <w:tab w:val="left" w:pos="284"/>
        </w:tabs>
        <w:jc w:val="both"/>
        <w:rPr>
          <w:b/>
          <w:sz w:val="22"/>
          <w:szCs w:val="22"/>
          <w:lang w:val="sr-Latn-ME"/>
        </w:rPr>
      </w:pPr>
    </w:p>
    <w:p w:rsidR="001F1EC4" w:rsidRDefault="001F1EC4" w:rsidP="004D5825">
      <w:pPr>
        <w:tabs>
          <w:tab w:val="left" w:pos="284"/>
        </w:tabs>
        <w:jc w:val="both"/>
        <w:rPr>
          <w:b/>
          <w:sz w:val="22"/>
          <w:szCs w:val="22"/>
          <w:lang w:val="sr-Latn-ME"/>
        </w:rPr>
      </w:pPr>
    </w:p>
    <w:p w:rsidR="001F1EC4" w:rsidRDefault="001F1EC4" w:rsidP="004D5825">
      <w:pPr>
        <w:tabs>
          <w:tab w:val="left" w:pos="284"/>
        </w:tabs>
        <w:jc w:val="both"/>
        <w:rPr>
          <w:b/>
          <w:sz w:val="22"/>
          <w:szCs w:val="22"/>
          <w:lang w:val="sr-Latn-ME"/>
        </w:rPr>
      </w:pPr>
    </w:p>
    <w:p w:rsidR="001F1EC4" w:rsidRDefault="001F1EC4" w:rsidP="004D5825">
      <w:pPr>
        <w:tabs>
          <w:tab w:val="left" w:pos="284"/>
        </w:tabs>
        <w:jc w:val="both"/>
        <w:rPr>
          <w:b/>
          <w:sz w:val="22"/>
          <w:szCs w:val="22"/>
          <w:lang w:val="sr-Latn-ME"/>
        </w:rPr>
      </w:pPr>
    </w:p>
    <w:p w:rsidR="001F1EC4" w:rsidRDefault="001F1EC4" w:rsidP="004D5825">
      <w:pPr>
        <w:tabs>
          <w:tab w:val="left" w:pos="284"/>
        </w:tabs>
        <w:jc w:val="both"/>
        <w:rPr>
          <w:b/>
          <w:sz w:val="22"/>
          <w:szCs w:val="22"/>
          <w:lang w:val="sr-Latn-ME"/>
        </w:rPr>
      </w:pPr>
    </w:p>
    <w:p w:rsidR="001F1EC4" w:rsidRDefault="001F1EC4" w:rsidP="004D5825">
      <w:pPr>
        <w:tabs>
          <w:tab w:val="left" w:pos="284"/>
        </w:tabs>
        <w:jc w:val="both"/>
        <w:rPr>
          <w:b/>
          <w:sz w:val="22"/>
          <w:szCs w:val="22"/>
          <w:lang w:val="sr-Latn-ME"/>
        </w:rPr>
      </w:pPr>
    </w:p>
    <w:p w:rsidR="007B7C69" w:rsidRPr="0055610F" w:rsidRDefault="007B7C69" w:rsidP="004D5825">
      <w:pPr>
        <w:tabs>
          <w:tab w:val="left" w:pos="284"/>
        </w:tabs>
        <w:jc w:val="both"/>
        <w:rPr>
          <w:b/>
          <w:i/>
          <w:sz w:val="22"/>
          <w:szCs w:val="22"/>
          <w:lang w:val="sr-Latn-ME"/>
        </w:rPr>
      </w:pPr>
      <w:r w:rsidRPr="0055610F">
        <w:rPr>
          <w:b/>
          <w:sz w:val="22"/>
          <w:szCs w:val="22"/>
          <w:lang w:val="sr-Latn-ME"/>
        </w:rPr>
        <w:lastRenderedPageBreak/>
        <w:t>Slika 3</w:t>
      </w:r>
      <w:r w:rsidR="001F1EC4">
        <w:rPr>
          <w:b/>
          <w:sz w:val="22"/>
          <w:szCs w:val="22"/>
          <w:lang w:val="sr-Latn-ME"/>
        </w:rPr>
        <w:t>.</w:t>
      </w:r>
      <w:r w:rsidRPr="0055610F">
        <w:rPr>
          <w:b/>
          <w:sz w:val="22"/>
          <w:szCs w:val="22"/>
          <w:lang w:val="sr-Latn-ME"/>
        </w:rPr>
        <w:t xml:space="preserve"> Kumulativna incidenca do pojave prvog velikog relapsa</w:t>
      </w:r>
    </w:p>
    <w:p w:rsidR="007B7C69" w:rsidRPr="0055610F" w:rsidRDefault="007B7C69" w:rsidP="004D5825">
      <w:pPr>
        <w:tabs>
          <w:tab w:val="left" w:pos="284"/>
        </w:tabs>
        <w:jc w:val="both"/>
        <w:rPr>
          <w:sz w:val="22"/>
          <w:szCs w:val="22"/>
          <w:lang w:val="sr-Latn-ME"/>
        </w:rPr>
      </w:pPr>
    </w:p>
    <w:p w:rsidR="007B7C69" w:rsidRPr="0055610F" w:rsidRDefault="007B7C69" w:rsidP="004D5825">
      <w:pPr>
        <w:tabs>
          <w:tab w:val="left" w:pos="284"/>
        </w:tabs>
        <w:jc w:val="both"/>
        <w:rPr>
          <w:sz w:val="22"/>
          <w:szCs w:val="22"/>
          <w:lang w:val="sr-Latn-ME"/>
        </w:rPr>
      </w:pPr>
      <w:r w:rsidRPr="00664856">
        <w:rPr>
          <w:noProof/>
          <w:sz w:val="22"/>
          <w:szCs w:val="22"/>
        </w:rPr>
        <mc:AlternateContent>
          <mc:Choice Requires="wps">
            <w:drawing>
              <wp:inline distT="0" distB="0" distL="0" distR="0">
                <wp:extent cx="819150" cy="2562225"/>
                <wp:effectExtent l="0" t="0" r="0" b="9525"/>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562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7E58" w:rsidRPr="00507E75" w:rsidRDefault="009F7E58" w:rsidP="007B7C69">
                            <w:pPr>
                              <w:rPr>
                                <w:sz w:val="22"/>
                                <w:lang w:val="sr-Latn-RS"/>
                              </w:rPr>
                            </w:pPr>
                            <w:r w:rsidRPr="00507E75">
                              <w:rPr>
                                <w:sz w:val="22"/>
                                <w:lang w:val="sr-Latn-RS"/>
                              </w:rPr>
                              <w:t>Procenat pacijenata sa prvim velikim relapsom</w:t>
                            </w:r>
                          </w:p>
                        </w:txbxContent>
                      </wps:txbx>
                      <wps:bodyPr rot="0" vert="horz" wrap="square" lIns="91440" tIns="45720" rIns="91440" bIns="45720" anchor="t" anchorCtr="0" upright="1">
                        <a:noAutofit/>
                      </wps:bodyPr>
                    </wps:wsp>
                  </a:graphicData>
                </a:graphic>
              </wp:inline>
            </w:drawing>
          </mc:Choice>
          <mc:Fallback>
            <w:pict>
              <v:shape id="Text Box 17" o:spid="_x0000_s1037" type="#_x0000_t202" style="width:64.5pt;height:20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" stroked="f">
                <v:textbox>
                  <w:txbxContent>
                    <w:p w:rsidR="009F7E58" w:rsidRPr="00507E75" w:rsidRDefault="009F7E58" w:rsidP="007B7C69">
                      <w:pPr>
                        <w:rPr>
                          <w:sz w:val="22"/>
                          <w:lang w:val="sr-Latn-RS"/>
                        </w:rPr>
                      </w:pPr>
                      <w:r w:rsidRPr="00507E75">
                        <w:rPr>
                          <w:sz w:val="22"/>
                          <w:lang w:val="sr-Latn-RS"/>
                        </w:rPr>
                        <w:t>Procenat pacijenata sa prvim velikim relapsom</w:t>
                      </w:r>
                    </w:p>
                  </w:txbxContent>
                </v:textbox>
                <w10:anchorlock/>
              </v:shape>
            </w:pict>
          </mc:Fallback>
        </mc:AlternateContent>
      </w:r>
      <w:r w:rsidRPr="0055610F">
        <w:rPr>
          <w:noProof/>
          <w:sz w:val="22"/>
          <w:szCs w:val="22"/>
        </w:rPr>
        <w:drawing>
          <wp:inline distT="0" distB="0" distL="0" distR="0" wp14:anchorId="0AF564AF" wp14:editId="032445C6">
            <wp:extent cx="4800600" cy="27025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8787" cy="2707169"/>
                    </a:xfrm>
                    <a:prstGeom prst="rect">
                      <a:avLst/>
                    </a:prstGeom>
                    <a:noFill/>
                    <a:ln>
                      <a:noFill/>
                    </a:ln>
                  </pic:spPr>
                </pic:pic>
              </a:graphicData>
            </a:graphic>
          </wp:inline>
        </w:drawing>
      </w:r>
    </w:p>
    <w:p w:rsidR="007B7C69" w:rsidRPr="0055610F" w:rsidRDefault="007B7C69" w:rsidP="004D5825">
      <w:pPr>
        <w:tabs>
          <w:tab w:val="left" w:pos="284"/>
        </w:tabs>
        <w:jc w:val="both"/>
        <w:rPr>
          <w:b/>
          <w:bCs/>
          <w:sz w:val="22"/>
          <w:szCs w:val="22"/>
          <w:lang w:val="sr-Latn-ME"/>
        </w:rPr>
      </w:pPr>
      <w:r w:rsidRPr="0055610F">
        <w:rPr>
          <w:b/>
          <w:bCs/>
          <w:sz w:val="22"/>
          <w:szCs w:val="22"/>
          <w:lang w:val="sr-Latn-ME"/>
        </w:rPr>
        <w:t xml:space="preserve">     </w:t>
      </w:r>
    </w:p>
    <w:p w:rsidR="007B7C69" w:rsidRPr="0055610F" w:rsidRDefault="007B7C69" w:rsidP="004D5825">
      <w:pPr>
        <w:tabs>
          <w:tab w:val="left" w:pos="284"/>
        </w:tabs>
        <w:jc w:val="both"/>
        <w:rPr>
          <w:b/>
          <w:bCs/>
          <w:sz w:val="22"/>
          <w:szCs w:val="22"/>
          <w:lang w:val="sr-Latn-ME"/>
        </w:rPr>
      </w:pPr>
      <w:r w:rsidRPr="0055610F">
        <w:rPr>
          <w:b/>
          <w:bCs/>
          <w:sz w:val="22"/>
          <w:szCs w:val="22"/>
          <w:lang w:val="sr-Latn-ME"/>
        </w:rPr>
        <w:t xml:space="preserve">                         </w:t>
      </w:r>
      <w:r w:rsidR="00507E75">
        <w:rPr>
          <w:b/>
          <w:bCs/>
          <w:sz w:val="22"/>
          <w:szCs w:val="22"/>
          <w:lang w:val="sr-Latn-ME"/>
        </w:rPr>
        <w:t xml:space="preserve">                                </w:t>
      </w:r>
      <w:r w:rsidRPr="0055610F">
        <w:rPr>
          <w:b/>
          <w:bCs/>
          <w:sz w:val="22"/>
          <w:szCs w:val="22"/>
          <w:lang w:val="sr-Latn-ME"/>
        </w:rPr>
        <w:t xml:space="preserve">  </w:t>
      </w:r>
      <w:r w:rsidRPr="00B2002A">
        <w:rPr>
          <w:b/>
          <w:bCs/>
          <w:sz w:val="20"/>
          <w:szCs w:val="22"/>
          <w:lang w:val="sr-Latn-ME"/>
        </w:rPr>
        <w:t>Vr</w:t>
      </w:r>
      <w:r w:rsidR="00254B5D" w:rsidRPr="00B2002A">
        <w:rPr>
          <w:b/>
          <w:bCs/>
          <w:sz w:val="20"/>
          <w:szCs w:val="22"/>
          <w:lang w:val="sr-Latn-ME"/>
        </w:rPr>
        <w:t>ij</w:t>
      </w:r>
      <w:r w:rsidRPr="00B2002A">
        <w:rPr>
          <w:b/>
          <w:bCs/>
          <w:sz w:val="20"/>
          <w:szCs w:val="22"/>
          <w:lang w:val="sr-Latn-ME"/>
        </w:rPr>
        <w:t>eme preživljavanja (mjeseci)</w:t>
      </w:r>
    </w:p>
    <w:p w:rsidR="007B7C69" w:rsidRPr="0055610F" w:rsidRDefault="007B7C69" w:rsidP="004D5825">
      <w:pPr>
        <w:tabs>
          <w:tab w:val="left" w:pos="284"/>
        </w:tabs>
        <w:jc w:val="both"/>
        <w:rPr>
          <w:b/>
          <w:bCs/>
          <w:sz w:val="22"/>
          <w:szCs w:val="22"/>
          <w:lang w:val="sr-Latn-ME"/>
        </w:rPr>
      </w:pPr>
    </w:p>
    <w:p w:rsidR="007B7C69" w:rsidRPr="0055610F" w:rsidRDefault="007B7C69" w:rsidP="004D5825">
      <w:pPr>
        <w:tabs>
          <w:tab w:val="left" w:pos="284"/>
        </w:tabs>
        <w:jc w:val="both"/>
        <w:rPr>
          <w:b/>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534"/>
        <w:gridCol w:w="534"/>
        <w:gridCol w:w="535"/>
        <w:gridCol w:w="534"/>
        <w:gridCol w:w="535"/>
        <w:gridCol w:w="535"/>
        <w:gridCol w:w="535"/>
        <w:gridCol w:w="535"/>
        <w:gridCol w:w="535"/>
        <w:gridCol w:w="535"/>
        <w:gridCol w:w="522"/>
        <w:gridCol w:w="551"/>
        <w:gridCol w:w="551"/>
        <w:gridCol w:w="519"/>
        <w:gridCol w:w="519"/>
      </w:tblGrid>
      <w:tr w:rsidR="007B7C69" w:rsidRPr="00FB34CE" w:rsidTr="007B7C69">
        <w:tc>
          <w:tcPr>
            <w:tcW w:w="9061" w:type="dxa"/>
            <w:gridSpan w:val="16"/>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Broj subjekata sa velikim relapsom</w:t>
            </w:r>
          </w:p>
        </w:tc>
      </w:tr>
      <w:tr w:rsidR="007B7C69" w:rsidRPr="007642DC" w:rsidTr="007B7C69">
        <w:tc>
          <w:tcPr>
            <w:tcW w:w="1052"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Azatioprin</w:t>
            </w:r>
          </w:p>
        </w:tc>
        <w:tc>
          <w:tcPr>
            <w:tcW w:w="534"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0</w:t>
            </w:r>
          </w:p>
        </w:tc>
        <w:tc>
          <w:tcPr>
            <w:tcW w:w="534"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0</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3</w:t>
            </w:r>
          </w:p>
        </w:tc>
        <w:tc>
          <w:tcPr>
            <w:tcW w:w="534"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3</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8</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8</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9</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9</w:t>
            </w:r>
          </w:p>
        </w:tc>
        <w:tc>
          <w:tcPr>
            <w:tcW w:w="522"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9</w:t>
            </w:r>
          </w:p>
        </w:tc>
        <w:tc>
          <w:tcPr>
            <w:tcW w:w="551"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10</w:t>
            </w:r>
          </w:p>
        </w:tc>
        <w:tc>
          <w:tcPr>
            <w:tcW w:w="551"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13</w:t>
            </w:r>
          </w:p>
        </w:tc>
        <w:tc>
          <w:tcPr>
            <w:tcW w:w="519"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15</w:t>
            </w:r>
          </w:p>
        </w:tc>
        <w:tc>
          <w:tcPr>
            <w:tcW w:w="519"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17</w:t>
            </w:r>
          </w:p>
        </w:tc>
      </w:tr>
      <w:tr w:rsidR="007B7C69" w:rsidRPr="007642DC" w:rsidTr="007B7C69">
        <w:tc>
          <w:tcPr>
            <w:tcW w:w="1052"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Rituksimab</w:t>
            </w:r>
          </w:p>
        </w:tc>
        <w:tc>
          <w:tcPr>
            <w:tcW w:w="534"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0</w:t>
            </w:r>
          </w:p>
        </w:tc>
        <w:tc>
          <w:tcPr>
            <w:tcW w:w="534"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0</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0</w:t>
            </w:r>
          </w:p>
        </w:tc>
        <w:tc>
          <w:tcPr>
            <w:tcW w:w="534"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0</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1</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1</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1</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1</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1</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1</w:t>
            </w:r>
          </w:p>
        </w:tc>
        <w:tc>
          <w:tcPr>
            <w:tcW w:w="522"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1</w:t>
            </w:r>
          </w:p>
        </w:tc>
        <w:tc>
          <w:tcPr>
            <w:tcW w:w="551"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1</w:t>
            </w:r>
          </w:p>
        </w:tc>
        <w:tc>
          <w:tcPr>
            <w:tcW w:w="551"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3</w:t>
            </w:r>
          </w:p>
        </w:tc>
        <w:tc>
          <w:tcPr>
            <w:tcW w:w="519"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3</w:t>
            </w:r>
          </w:p>
        </w:tc>
        <w:tc>
          <w:tcPr>
            <w:tcW w:w="519"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3</w:t>
            </w:r>
          </w:p>
        </w:tc>
      </w:tr>
      <w:tr w:rsidR="007B7C69" w:rsidRPr="007642DC" w:rsidTr="007B7C69">
        <w:tc>
          <w:tcPr>
            <w:tcW w:w="9061" w:type="dxa"/>
            <w:gridSpan w:val="16"/>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Broj subjekata u riziku</w:t>
            </w:r>
          </w:p>
        </w:tc>
      </w:tr>
      <w:tr w:rsidR="007B7C69" w:rsidRPr="007642DC" w:rsidTr="007B7C69">
        <w:tc>
          <w:tcPr>
            <w:tcW w:w="1052"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Azatioprin</w:t>
            </w:r>
          </w:p>
        </w:tc>
        <w:tc>
          <w:tcPr>
            <w:tcW w:w="534"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59</w:t>
            </w:r>
          </w:p>
        </w:tc>
        <w:tc>
          <w:tcPr>
            <w:tcW w:w="534"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56</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52</w:t>
            </w:r>
          </w:p>
        </w:tc>
        <w:tc>
          <w:tcPr>
            <w:tcW w:w="534"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50</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47</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47</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44</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44</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42</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41</w:t>
            </w:r>
          </w:p>
        </w:tc>
        <w:tc>
          <w:tcPr>
            <w:tcW w:w="522"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40</w:t>
            </w:r>
          </w:p>
        </w:tc>
        <w:tc>
          <w:tcPr>
            <w:tcW w:w="551"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39</w:t>
            </w:r>
          </w:p>
        </w:tc>
        <w:tc>
          <w:tcPr>
            <w:tcW w:w="551"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36</w:t>
            </w:r>
          </w:p>
        </w:tc>
        <w:tc>
          <w:tcPr>
            <w:tcW w:w="519"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34</w:t>
            </w:r>
          </w:p>
        </w:tc>
        <w:tc>
          <w:tcPr>
            <w:tcW w:w="519"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0</w:t>
            </w:r>
          </w:p>
        </w:tc>
      </w:tr>
      <w:tr w:rsidR="007B7C69" w:rsidRPr="007642DC" w:rsidTr="007B7C69">
        <w:tc>
          <w:tcPr>
            <w:tcW w:w="1052"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Ritksimab</w:t>
            </w:r>
          </w:p>
        </w:tc>
        <w:tc>
          <w:tcPr>
            <w:tcW w:w="534"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58</w:t>
            </w:r>
          </w:p>
        </w:tc>
        <w:tc>
          <w:tcPr>
            <w:tcW w:w="534"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56</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56</w:t>
            </w:r>
          </w:p>
        </w:tc>
        <w:tc>
          <w:tcPr>
            <w:tcW w:w="534"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56</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55</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54</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54</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54</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54</w:t>
            </w:r>
          </w:p>
        </w:tc>
        <w:tc>
          <w:tcPr>
            <w:tcW w:w="535"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54</w:t>
            </w:r>
          </w:p>
        </w:tc>
        <w:tc>
          <w:tcPr>
            <w:tcW w:w="522"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54</w:t>
            </w:r>
          </w:p>
        </w:tc>
        <w:tc>
          <w:tcPr>
            <w:tcW w:w="551"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54</w:t>
            </w:r>
          </w:p>
        </w:tc>
        <w:tc>
          <w:tcPr>
            <w:tcW w:w="551"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52</w:t>
            </w:r>
          </w:p>
        </w:tc>
        <w:tc>
          <w:tcPr>
            <w:tcW w:w="519"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50</w:t>
            </w:r>
          </w:p>
        </w:tc>
        <w:tc>
          <w:tcPr>
            <w:tcW w:w="519" w:type="dxa"/>
            <w:shd w:val="clear" w:color="auto" w:fill="auto"/>
          </w:tcPr>
          <w:p w:rsidR="007B7C69" w:rsidRPr="00507E75" w:rsidRDefault="007B7C69" w:rsidP="004D5825">
            <w:pPr>
              <w:jc w:val="both"/>
              <w:rPr>
                <w:sz w:val="18"/>
                <w:szCs w:val="18"/>
                <w:lang w:val="sr-Latn-ME" w:eastAsia="ja-JP"/>
              </w:rPr>
            </w:pPr>
            <w:r w:rsidRPr="00507E75">
              <w:rPr>
                <w:sz w:val="18"/>
                <w:szCs w:val="18"/>
                <w:lang w:val="sr-Latn-ME" w:eastAsia="ja-JP"/>
              </w:rPr>
              <w:t>0</w:t>
            </w:r>
          </w:p>
        </w:tc>
      </w:tr>
    </w:tbl>
    <w:p w:rsidR="007B7C69" w:rsidRPr="0055610F" w:rsidRDefault="007B7C69" w:rsidP="004D5825">
      <w:pPr>
        <w:tabs>
          <w:tab w:val="left" w:pos="284"/>
        </w:tabs>
        <w:jc w:val="both"/>
        <w:rPr>
          <w:b/>
          <w:bCs/>
          <w:sz w:val="22"/>
          <w:szCs w:val="22"/>
          <w:lang w:val="sr-Latn-ME"/>
        </w:rPr>
      </w:pPr>
    </w:p>
    <w:p w:rsidR="007B7C69" w:rsidRPr="0055610F" w:rsidRDefault="007B7C69" w:rsidP="004D5825">
      <w:pPr>
        <w:tabs>
          <w:tab w:val="left" w:pos="284"/>
        </w:tabs>
        <w:jc w:val="both"/>
        <w:rPr>
          <w:sz w:val="22"/>
          <w:szCs w:val="22"/>
          <w:lang w:val="sr-Latn-ME"/>
        </w:rPr>
      </w:pPr>
      <w:r w:rsidRPr="0055610F">
        <w:rPr>
          <w:bCs/>
          <w:sz w:val="22"/>
          <w:szCs w:val="22"/>
          <w:lang w:val="sr-Latn-ME"/>
        </w:rPr>
        <w:t>Napomena: Pacijenti su bili cenzurisani na 28. mjesecu ako nijesu imali događaj</w:t>
      </w:r>
    </w:p>
    <w:p w:rsidR="007B7C69" w:rsidRPr="0055610F" w:rsidRDefault="007B7C69" w:rsidP="004D5825">
      <w:pPr>
        <w:tabs>
          <w:tab w:val="left" w:pos="284"/>
        </w:tabs>
        <w:jc w:val="both"/>
        <w:rPr>
          <w:sz w:val="22"/>
          <w:szCs w:val="22"/>
          <w:lang w:val="sr-Latn-ME"/>
        </w:rPr>
      </w:pPr>
    </w:p>
    <w:p w:rsidR="007B7C69" w:rsidRPr="0055610F" w:rsidRDefault="007B7C69" w:rsidP="004D5825">
      <w:pPr>
        <w:keepNext/>
        <w:keepLines/>
        <w:tabs>
          <w:tab w:val="left" w:pos="284"/>
        </w:tabs>
        <w:jc w:val="both"/>
        <w:rPr>
          <w:i/>
          <w:sz w:val="22"/>
          <w:szCs w:val="22"/>
          <w:lang w:val="sr-Latn-ME"/>
        </w:rPr>
      </w:pPr>
      <w:r w:rsidRPr="0055610F">
        <w:rPr>
          <w:i/>
          <w:sz w:val="22"/>
          <w:szCs w:val="22"/>
          <w:lang w:val="sr-Latn-ME"/>
        </w:rPr>
        <w:t>Laboratorijski nalazi</w:t>
      </w:r>
    </w:p>
    <w:p w:rsidR="007B7C69" w:rsidRPr="0055610F" w:rsidRDefault="007B7C69" w:rsidP="004D5825">
      <w:pPr>
        <w:keepNext/>
        <w:keepLines/>
        <w:tabs>
          <w:tab w:val="left" w:pos="284"/>
        </w:tabs>
        <w:jc w:val="both"/>
        <w:rPr>
          <w:sz w:val="22"/>
          <w:szCs w:val="22"/>
          <w:lang w:val="sr-Latn-ME"/>
        </w:rPr>
      </w:pPr>
      <w:r w:rsidRPr="0055610F">
        <w:rPr>
          <w:i/>
          <w:sz w:val="22"/>
          <w:szCs w:val="22"/>
          <w:lang w:val="sr-Latn-ME"/>
        </w:rPr>
        <w:t xml:space="preserve">Ukupno </w:t>
      </w:r>
      <w:r w:rsidRPr="0055610F">
        <w:rPr>
          <w:color w:val="000000"/>
          <w:sz w:val="22"/>
          <w:szCs w:val="22"/>
          <w:shd w:val="clear" w:color="auto" w:fill="FFFFFF"/>
          <w:lang w:val="sr-Latn-ME"/>
        </w:rPr>
        <w:t xml:space="preserve">6/34 (18%) pacijenata koij su bili na terapiji lijekom MabThera kliničkog ispitivanja terapije održavanja je razvilo ADA. </w:t>
      </w:r>
      <w:r w:rsidRPr="0055610F">
        <w:rPr>
          <w:sz w:val="22"/>
          <w:szCs w:val="22"/>
          <w:lang w:val="sr-Latn-ME"/>
        </w:rPr>
        <w:t>Prisustvo ADA nije imalo očigledan trend negativnog uticaja na bezbjednost ili efikasnost u ispitivanju terapije održavanja.</w:t>
      </w:r>
    </w:p>
    <w:p w:rsidR="007B7C69" w:rsidRPr="0055610F" w:rsidRDefault="007B7C69" w:rsidP="004D5825">
      <w:pPr>
        <w:jc w:val="both"/>
        <w:rPr>
          <w:sz w:val="22"/>
          <w:szCs w:val="22"/>
          <w:lang w:val="sr-Latn-ME"/>
        </w:rPr>
      </w:pPr>
    </w:p>
    <w:p w:rsidR="007B7C69" w:rsidRPr="0055610F" w:rsidRDefault="007B7C69" w:rsidP="004D5825">
      <w:pPr>
        <w:keepNext/>
        <w:keepLines/>
        <w:jc w:val="both"/>
        <w:rPr>
          <w:i/>
          <w:sz w:val="22"/>
          <w:szCs w:val="22"/>
          <w:u w:val="single"/>
          <w:lang w:val="sr-Latn-ME"/>
        </w:rPr>
      </w:pPr>
      <w:r w:rsidRPr="0055610F">
        <w:rPr>
          <w:i/>
          <w:sz w:val="22"/>
          <w:szCs w:val="22"/>
          <w:u w:val="single"/>
          <w:lang w:val="sr-Latn-ME"/>
        </w:rPr>
        <w:t>Pedijatrijska populacija</w:t>
      </w:r>
    </w:p>
    <w:p w:rsidR="007B7C69" w:rsidRPr="0055610F" w:rsidRDefault="007B7C69" w:rsidP="004D5825">
      <w:pPr>
        <w:keepNext/>
        <w:jc w:val="both"/>
        <w:rPr>
          <w:i/>
          <w:snapToGrid w:val="0"/>
          <w:sz w:val="22"/>
          <w:szCs w:val="22"/>
          <w:u w:val="single"/>
          <w:lang w:val="sr-Latn-ME"/>
        </w:rPr>
      </w:pPr>
    </w:p>
    <w:p w:rsidR="007B7C69" w:rsidRPr="0055610F" w:rsidRDefault="007B7C69" w:rsidP="004D5825">
      <w:pPr>
        <w:jc w:val="both"/>
        <w:rPr>
          <w:rFonts w:eastAsia="MS Mincho"/>
          <w:sz w:val="22"/>
          <w:szCs w:val="22"/>
          <w:lang w:val="sr-Latn-ME"/>
        </w:rPr>
      </w:pPr>
      <w:r w:rsidRPr="0055610F">
        <w:rPr>
          <w:rFonts w:eastAsia="MS Mincho"/>
          <w:sz w:val="22"/>
          <w:szCs w:val="22"/>
          <w:lang w:val="sr-Latn-ME"/>
        </w:rPr>
        <w:t>Ispitivanje WA25615 (PePRS) bilo je multicentrično, otvoreno, neusporedno, nekontrolisano ispitivanje koje je obuhvatilo 25 pedijatrijskih pacijenta (starosti od ≥ 2 do &lt; 18 godina) s teškim, aktivnim GPA ili MPA. Medijana starosti pacijenta koji su sudjelovali u ispitivanju iznosila je 14 godina (raspon: 6 </w:t>
      </w:r>
      <w:r w:rsidRPr="0055610F">
        <w:rPr>
          <w:rFonts w:eastAsia="MS Mincho"/>
          <w:sz w:val="22"/>
          <w:szCs w:val="22"/>
          <w:lang w:val="sr-Latn-ME"/>
        </w:rPr>
        <w:noBreakHyphen/>
        <w:t> 17 godina), a većina pacijenata je (20/25 [80%]) bila ženskog pola. Na početku ispitivanja je ukupno 19 pacijenata (76%) imalo GPA, dok je njih 6 (24%) imalo MPA. Pri uključivanju u ispitivanje 18 pacijenata (72%) imalo je novodijagnostikovanu bolest (13 pacijenata s GPA i 5 paijenata s MPA), dok je 7 pacijenata imalo relapsirajuću bolest (6 pacijenata s GPA i 1 pacijent s MPA).</w:t>
      </w:r>
    </w:p>
    <w:p w:rsidR="007B7C69" w:rsidRPr="0055610F" w:rsidRDefault="007B7C69" w:rsidP="004D5825">
      <w:pPr>
        <w:jc w:val="both"/>
        <w:rPr>
          <w:rFonts w:eastAsia="MS Mincho"/>
          <w:sz w:val="22"/>
          <w:szCs w:val="22"/>
          <w:lang w:val="sr-Latn-ME"/>
        </w:rPr>
      </w:pPr>
    </w:p>
    <w:p w:rsidR="007B7C69" w:rsidRPr="0055610F" w:rsidRDefault="007B7C69" w:rsidP="004D5825">
      <w:pPr>
        <w:jc w:val="both"/>
        <w:rPr>
          <w:rFonts w:eastAsia="MS Mincho"/>
          <w:sz w:val="22"/>
          <w:szCs w:val="22"/>
          <w:lang w:val="sr-Latn-ME"/>
        </w:rPr>
      </w:pPr>
      <w:r w:rsidRPr="0055610F">
        <w:rPr>
          <w:rFonts w:eastAsia="MS Mincho"/>
          <w:sz w:val="22"/>
          <w:szCs w:val="22"/>
          <w:lang w:val="sr-Latn-ME"/>
        </w:rPr>
        <w:t>Ispitivanje se sastojalo od početne 6</w:t>
      </w:r>
      <w:r w:rsidRPr="0055610F">
        <w:rPr>
          <w:rFonts w:eastAsia="MS Mincho"/>
          <w:sz w:val="22"/>
          <w:szCs w:val="22"/>
          <w:lang w:val="sr-Latn-ME"/>
        </w:rPr>
        <w:noBreakHyphen/>
        <w:t>m</w:t>
      </w:r>
      <w:r w:rsidR="00254B5D" w:rsidRPr="0055610F">
        <w:rPr>
          <w:rFonts w:eastAsia="MS Mincho"/>
          <w:sz w:val="22"/>
          <w:szCs w:val="22"/>
          <w:lang w:val="sr-Latn-ME"/>
        </w:rPr>
        <w:t>j</w:t>
      </w:r>
      <w:r w:rsidRPr="0055610F">
        <w:rPr>
          <w:rFonts w:eastAsia="MS Mincho"/>
          <w:sz w:val="22"/>
          <w:szCs w:val="22"/>
          <w:lang w:val="sr-Latn-ME"/>
        </w:rPr>
        <w:t>esečne faze indukcije remisije uz minimalno 18 m</w:t>
      </w:r>
      <w:r w:rsidR="00254B5D" w:rsidRPr="0055610F">
        <w:rPr>
          <w:rFonts w:eastAsia="MS Mincho"/>
          <w:sz w:val="22"/>
          <w:szCs w:val="22"/>
          <w:lang w:val="sr-Latn-ME"/>
        </w:rPr>
        <w:t>j</w:t>
      </w:r>
      <w:r w:rsidRPr="0055610F">
        <w:rPr>
          <w:rFonts w:eastAsia="MS Mincho"/>
          <w:sz w:val="22"/>
          <w:szCs w:val="22"/>
          <w:lang w:val="sr-Latn-ME"/>
        </w:rPr>
        <w:t>eseci praćenja te je ukupno trajalo do 54 m</w:t>
      </w:r>
      <w:r w:rsidR="00254B5D" w:rsidRPr="0055610F">
        <w:rPr>
          <w:rFonts w:eastAsia="MS Mincho"/>
          <w:sz w:val="22"/>
          <w:szCs w:val="22"/>
          <w:lang w:val="sr-Latn-ME"/>
        </w:rPr>
        <w:t>j</w:t>
      </w:r>
      <w:r w:rsidRPr="0055610F">
        <w:rPr>
          <w:rFonts w:eastAsia="MS Mincho"/>
          <w:sz w:val="22"/>
          <w:szCs w:val="22"/>
          <w:lang w:val="sr-Latn-ME"/>
        </w:rPr>
        <w:t>eseca (4,5 godina). Pacijenti su pr</w:t>
      </w:r>
      <w:r w:rsidR="00254B5D" w:rsidRPr="0055610F">
        <w:rPr>
          <w:rFonts w:eastAsia="MS Mincho"/>
          <w:sz w:val="22"/>
          <w:szCs w:val="22"/>
          <w:lang w:val="sr-Latn-ME"/>
        </w:rPr>
        <w:t>ij</w:t>
      </w:r>
      <w:r w:rsidRPr="0055610F">
        <w:rPr>
          <w:rFonts w:eastAsia="MS Mincho"/>
          <w:sz w:val="22"/>
          <w:szCs w:val="22"/>
          <w:lang w:val="sr-Latn-ME"/>
        </w:rPr>
        <w:t>e prve intravenske infuzije lijeka MabThera morali primiti minimalno 3 intravenske doze metilprednizolona (30 mg/kg na dan, ali ne više od 1 g na dan). Ako je to bilo klinički indikovano, mogle su se intravenski prim</w:t>
      </w:r>
      <w:r w:rsidR="00254B5D" w:rsidRPr="0055610F">
        <w:rPr>
          <w:rFonts w:eastAsia="MS Mincho"/>
          <w:sz w:val="22"/>
          <w:szCs w:val="22"/>
          <w:lang w:val="sr-Latn-ME"/>
        </w:rPr>
        <w:t>ij</w:t>
      </w:r>
      <w:r w:rsidRPr="0055610F">
        <w:rPr>
          <w:rFonts w:eastAsia="MS Mincho"/>
          <w:sz w:val="22"/>
          <w:szCs w:val="22"/>
          <w:lang w:val="sr-Latn-ME"/>
        </w:rPr>
        <w:t>eniti i dodatne (najviše tri) dnevne doze metilprednizolona. Režim l</w:t>
      </w:r>
      <w:r w:rsidR="00254B5D" w:rsidRPr="0055610F">
        <w:rPr>
          <w:rFonts w:eastAsia="MS Mincho"/>
          <w:sz w:val="22"/>
          <w:szCs w:val="22"/>
          <w:lang w:val="sr-Latn-ME"/>
        </w:rPr>
        <w:t>i</w:t>
      </w:r>
      <w:r w:rsidRPr="0055610F">
        <w:rPr>
          <w:rFonts w:eastAsia="MS Mincho"/>
          <w:sz w:val="22"/>
          <w:szCs w:val="22"/>
          <w:lang w:val="sr-Latn-ME"/>
        </w:rPr>
        <w:t>ječenja za indukciju remisije sastojao se od četiri intravenske infuzije lijeka MabThera u dozi od 375 mg/m</w:t>
      </w:r>
      <w:r w:rsidRPr="0055610F">
        <w:rPr>
          <w:rFonts w:eastAsia="MS Mincho"/>
          <w:sz w:val="22"/>
          <w:szCs w:val="22"/>
          <w:vertAlign w:val="superscript"/>
          <w:lang w:val="sr-Latn-ME"/>
        </w:rPr>
        <w:t>2</w:t>
      </w:r>
      <w:r w:rsidRPr="0055610F">
        <w:rPr>
          <w:rFonts w:eastAsia="MS Mincho"/>
          <w:sz w:val="22"/>
          <w:szCs w:val="22"/>
          <w:lang w:val="sr-Latn-ME"/>
        </w:rPr>
        <w:t xml:space="preserve"> tjelesne površine primjenjene jednom ned</w:t>
      </w:r>
      <w:r w:rsidR="00254B5D" w:rsidRPr="0055610F">
        <w:rPr>
          <w:rFonts w:eastAsia="MS Mincho"/>
          <w:sz w:val="22"/>
          <w:szCs w:val="22"/>
          <w:lang w:val="sr-Latn-ME"/>
        </w:rPr>
        <w:t>j</w:t>
      </w:r>
      <w:r w:rsidRPr="0055610F">
        <w:rPr>
          <w:rFonts w:eastAsia="MS Mincho"/>
          <w:sz w:val="22"/>
          <w:szCs w:val="22"/>
          <w:lang w:val="sr-Latn-ME"/>
        </w:rPr>
        <w:t>eljno, 1., 8., 15. i 22. dana ispitivanja, u kombinaciji s prednizolonom ili prednizonom u peroralnoj dozi od 1 mg/kg na dan (maksimalno 60 mg na dan), koja se do 6. mjeseca postupno smanjivala do minimalne doze od 0,2 mg/kg na dan (maksimalno 10 mg na dan). Nakon faze indukcije remisije pacijenti su u 6. m</w:t>
      </w:r>
      <w:r w:rsidR="00421CF2" w:rsidRPr="0055610F">
        <w:rPr>
          <w:rFonts w:eastAsia="MS Mincho"/>
          <w:sz w:val="22"/>
          <w:szCs w:val="22"/>
          <w:lang w:val="sr-Latn-ME"/>
        </w:rPr>
        <w:t>j</w:t>
      </w:r>
      <w:r w:rsidRPr="0055610F">
        <w:rPr>
          <w:rFonts w:eastAsia="MS Mincho"/>
          <w:sz w:val="22"/>
          <w:szCs w:val="22"/>
          <w:lang w:val="sr-Latn-ME"/>
        </w:rPr>
        <w:t xml:space="preserve">esecu ili nakon njega mogli prema odluci ispitivača primiti dodatne infuzije </w:t>
      </w:r>
      <w:r w:rsidRPr="0055610F">
        <w:rPr>
          <w:rFonts w:eastAsia="MS Mincho"/>
          <w:sz w:val="22"/>
          <w:szCs w:val="22"/>
          <w:lang w:val="sr-Latn-ME"/>
        </w:rPr>
        <w:lastRenderedPageBreak/>
        <w:t>lijeka MabThera radi održavanja remisije prema PVAS rezultatu i kontrole aktivnosti bolesti (uključujući progresiju ili razbuktavanje bolesti) ili radi postizanja prve remisije.</w:t>
      </w:r>
    </w:p>
    <w:p w:rsidR="007B7C69" w:rsidRPr="0055610F" w:rsidRDefault="007B7C69" w:rsidP="004D5825">
      <w:pPr>
        <w:jc w:val="both"/>
        <w:rPr>
          <w:rFonts w:eastAsia="MS Mincho"/>
          <w:sz w:val="22"/>
          <w:szCs w:val="22"/>
          <w:lang w:val="sr-Latn-ME"/>
        </w:rPr>
      </w:pPr>
    </w:p>
    <w:p w:rsidR="007B7C69" w:rsidRPr="0055610F" w:rsidRDefault="007B7C69" w:rsidP="004D5825">
      <w:pPr>
        <w:jc w:val="both"/>
        <w:rPr>
          <w:rFonts w:eastAsia="MS Mincho"/>
          <w:sz w:val="22"/>
          <w:szCs w:val="22"/>
          <w:lang w:val="sr-Latn-ME"/>
        </w:rPr>
      </w:pPr>
      <w:r w:rsidRPr="0055610F">
        <w:rPr>
          <w:rFonts w:eastAsia="MS Mincho"/>
          <w:sz w:val="22"/>
          <w:szCs w:val="22"/>
          <w:lang w:val="sr-Latn-ME"/>
        </w:rPr>
        <w:t>Svih 25 pacijenata primilo je sve četiri ned</w:t>
      </w:r>
      <w:r w:rsidR="00421CF2" w:rsidRPr="0055610F">
        <w:rPr>
          <w:rFonts w:eastAsia="MS Mincho"/>
          <w:sz w:val="22"/>
          <w:szCs w:val="22"/>
          <w:lang w:val="sr-Latn-ME"/>
        </w:rPr>
        <w:t>j</w:t>
      </w:r>
      <w:r w:rsidRPr="0055610F">
        <w:rPr>
          <w:rFonts w:eastAsia="MS Mincho"/>
          <w:sz w:val="22"/>
          <w:szCs w:val="22"/>
          <w:lang w:val="sr-Latn-ME"/>
        </w:rPr>
        <w:t>eljne intravenske infuzije u sklopu 6</w:t>
      </w:r>
      <w:r w:rsidRPr="0055610F">
        <w:rPr>
          <w:rFonts w:eastAsia="MS Mincho"/>
          <w:sz w:val="22"/>
          <w:szCs w:val="22"/>
          <w:lang w:val="sr-Latn-ME"/>
        </w:rPr>
        <w:noBreakHyphen/>
        <w:t>m</w:t>
      </w:r>
      <w:r w:rsidR="00421CF2" w:rsidRPr="0055610F">
        <w:rPr>
          <w:rFonts w:eastAsia="MS Mincho"/>
          <w:sz w:val="22"/>
          <w:szCs w:val="22"/>
          <w:lang w:val="sr-Latn-ME"/>
        </w:rPr>
        <w:t>j</w:t>
      </w:r>
      <w:r w:rsidRPr="0055610F">
        <w:rPr>
          <w:rFonts w:eastAsia="MS Mincho"/>
          <w:sz w:val="22"/>
          <w:szCs w:val="22"/>
          <w:lang w:val="sr-Latn-ME"/>
        </w:rPr>
        <w:t>esečne faze indukcije remisije. Ukupno 24 od 25 pacijenata dovršilo je najmanje 18 m</w:t>
      </w:r>
      <w:r w:rsidR="00421CF2" w:rsidRPr="0055610F">
        <w:rPr>
          <w:rFonts w:eastAsia="MS Mincho"/>
          <w:sz w:val="22"/>
          <w:szCs w:val="22"/>
          <w:lang w:val="sr-Latn-ME"/>
        </w:rPr>
        <w:t>j</w:t>
      </w:r>
      <w:r w:rsidRPr="0055610F">
        <w:rPr>
          <w:rFonts w:eastAsia="MS Mincho"/>
          <w:sz w:val="22"/>
          <w:szCs w:val="22"/>
          <w:lang w:val="sr-Latn-ME"/>
        </w:rPr>
        <w:t xml:space="preserve">eseci praćenja. </w:t>
      </w:r>
    </w:p>
    <w:p w:rsidR="007B7C69" w:rsidRPr="0055610F" w:rsidRDefault="007B7C69" w:rsidP="004D5825">
      <w:pPr>
        <w:jc w:val="both"/>
        <w:rPr>
          <w:rFonts w:eastAsia="MS Mincho"/>
          <w:sz w:val="22"/>
          <w:szCs w:val="22"/>
          <w:lang w:val="sr-Latn-ME"/>
        </w:rPr>
      </w:pPr>
    </w:p>
    <w:p w:rsidR="007B7C69" w:rsidRPr="0055610F" w:rsidRDefault="007B7C69" w:rsidP="004D5825">
      <w:pPr>
        <w:jc w:val="both"/>
        <w:rPr>
          <w:rFonts w:eastAsia="MS Mincho"/>
          <w:sz w:val="22"/>
          <w:szCs w:val="22"/>
          <w:lang w:val="sr-Latn-ME"/>
        </w:rPr>
      </w:pPr>
      <w:r w:rsidRPr="0055610F">
        <w:rPr>
          <w:rFonts w:eastAsia="MS Mincho"/>
          <w:sz w:val="22"/>
          <w:szCs w:val="22"/>
          <w:lang w:val="sr-Latn-ME"/>
        </w:rPr>
        <w:t>Ciljevi ovog ispitivanja bili su oc</w:t>
      </w:r>
      <w:r w:rsidR="00421CF2" w:rsidRPr="0055610F">
        <w:rPr>
          <w:rFonts w:eastAsia="MS Mincho"/>
          <w:sz w:val="22"/>
          <w:szCs w:val="22"/>
          <w:lang w:val="sr-Latn-ME"/>
        </w:rPr>
        <w:t>i</w:t>
      </w:r>
      <w:r w:rsidRPr="0055610F">
        <w:rPr>
          <w:rFonts w:eastAsia="MS Mincho"/>
          <w:sz w:val="22"/>
          <w:szCs w:val="22"/>
          <w:lang w:val="sr-Latn-ME"/>
        </w:rPr>
        <w:t>jeniti bezb</w:t>
      </w:r>
      <w:r w:rsidR="00421CF2" w:rsidRPr="0055610F">
        <w:rPr>
          <w:rFonts w:eastAsia="MS Mincho"/>
          <w:sz w:val="22"/>
          <w:szCs w:val="22"/>
          <w:lang w:val="sr-Latn-ME"/>
        </w:rPr>
        <w:t>j</w:t>
      </w:r>
      <w:r w:rsidRPr="0055610F">
        <w:rPr>
          <w:rFonts w:eastAsia="MS Mincho"/>
          <w:sz w:val="22"/>
          <w:szCs w:val="22"/>
          <w:lang w:val="sr-Latn-ME"/>
        </w:rPr>
        <w:t>ednost, farmakokinetičke parametre i efikasnost lijeka MabThera kod pedijatrijskih pacijenata s GPA i MPA (starosti od ≥ 2 do &lt; 18 godina). Ciljevi povezani s efikasnošću bili su eksplorativni i prvenstveno su se oc</w:t>
      </w:r>
      <w:r w:rsidR="00421CF2" w:rsidRPr="0055610F">
        <w:rPr>
          <w:rFonts w:eastAsia="MS Mincho"/>
          <w:sz w:val="22"/>
          <w:szCs w:val="22"/>
          <w:lang w:val="sr-Latn-ME"/>
        </w:rPr>
        <w:t>j</w:t>
      </w:r>
      <w:r w:rsidRPr="0055610F">
        <w:rPr>
          <w:rFonts w:eastAsia="MS Mincho"/>
          <w:sz w:val="22"/>
          <w:szCs w:val="22"/>
          <w:lang w:val="sr-Latn-ME"/>
        </w:rPr>
        <w:t xml:space="preserve">enjivali na temelju indeksa aktivnosti vaskulitisa kod pedijatrijskih pacijenata (engl. </w:t>
      </w:r>
      <w:r w:rsidRPr="0055610F">
        <w:rPr>
          <w:rFonts w:eastAsia="MS Mincho"/>
          <w:i/>
          <w:sz w:val="22"/>
          <w:szCs w:val="22"/>
          <w:lang w:val="sr-Latn-ME"/>
        </w:rPr>
        <w:t>Pediatric Vasculitis Activity Score</w:t>
      </w:r>
      <w:r w:rsidRPr="0055610F">
        <w:rPr>
          <w:rFonts w:eastAsia="MS Mincho"/>
          <w:sz w:val="22"/>
          <w:szCs w:val="22"/>
          <w:lang w:val="sr-Latn-ME"/>
        </w:rPr>
        <w:t>, PVAS) (Tabela 21).</w:t>
      </w:r>
    </w:p>
    <w:p w:rsidR="007B7C69" w:rsidRPr="0055610F" w:rsidRDefault="007B7C69" w:rsidP="004D5825">
      <w:pPr>
        <w:jc w:val="both"/>
        <w:rPr>
          <w:i/>
          <w:sz w:val="22"/>
          <w:szCs w:val="22"/>
          <w:lang w:val="sr-Latn-ME"/>
        </w:rPr>
      </w:pPr>
    </w:p>
    <w:p w:rsidR="007B7C69" w:rsidRPr="0055610F" w:rsidRDefault="007B7C69" w:rsidP="004D5825">
      <w:pPr>
        <w:keepNext/>
        <w:keepLines/>
        <w:jc w:val="both"/>
        <w:rPr>
          <w:i/>
          <w:sz w:val="22"/>
          <w:szCs w:val="22"/>
          <w:lang w:val="sr-Latn-ME"/>
        </w:rPr>
      </w:pPr>
      <w:r w:rsidRPr="0055610F">
        <w:rPr>
          <w:i/>
          <w:sz w:val="22"/>
          <w:szCs w:val="22"/>
          <w:lang w:val="sr-Latn-ME"/>
        </w:rPr>
        <w:t>Ukupna doza glukokortikoida (intravenska i peroralna) do 6. mjeseca:</w:t>
      </w:r>
    </w:p>
    <w:p w:rsidR="007B7C69" w:rsidRPr="0055610F" w:rsidRDefault="007B7C69" w:rsidP="004D5825">
      <w:pPr>
        <w:keepNext/>
        <w:keepLines/>
        <w:jc w:val="both"/>
        <w:rPr>
          <w:sz w:val="22"/>
          <w:szCs w:val="22"/>
          <w:lang w:val="sr-Latn-ME"/>
        </w:rPr>
      </w:pPr>
      <w:r w:rsidRPr="0055610F">
        <w:rPr>
          <w:sz w:val="22"/>
          <w:szCs w:val="22"/>
          <w:lang w:val="sr-Latn-ME"/>
        </w:rPr>
        <w:t xml:space="preserve">Kod 24 od 25 pacijenata (96%) iz ispitivanja WA25615 peroralna doza glukokortikoida je u 6. mjesecu ili do njega smanjena na 0,2 mg/kg na dan (ili ≤ 10 mg na dan, što god je bilo niže) u sklopu postupnog smanjivanja peroralne doze steroida definisanog planom ispitivanja. </w:t>
      </w:r>
    </w:p>
    <w:p w:rsidR="007B7C69" w:rsidRPr="0055610F" w:rsidRDefault="007B7C69" w:rsidP="004D5825">
      <w:pPr>
        <w:jc w:val="both"/>
        <w:rPr>
          <w:sz w:val="22"/>
          <w:szCs w:val="22"/>
          <w:lang w:val="sr-Latn-ME"/>
        </w:rPr>
      </w:pPr>
    </w:p>
    <w:p w:rsidR="007B7C69" w:rsidRPr="0055610F" w:rsidRDefault="007B7C69" w:rsidP="004D5825">
      <w:pPr>
        <w:jc w:val="both"/>
        <w:rPr>
          <w:rFonts w:eastAsia="MS Mincho"/>
          <w:sz w:val="22"/>
          <w:szCs w:val="22"/>
          <w:lang w:val="sr-Latn-ME"/>
        </w:rPr>
      </w:pPr>
      <w:r w:rsidRPr="0055610F">
        <w:rPr>
          <w:rFonts w:eastAsia="MS Mincho"/>
          <w:sz w:val="22"/>
          <w:szCs w:val="22"/>
          <w:lang w:val="sr-Latn-ME"/>
        </w:rPr>
        <w:t>Opaženo je smanjenje medijana ukupne peroralno primjenjene doze glukokortikoida od 1. ned</w:t>
      </w:r>
      <w:r w:rsidR="00421CF2" w:rsidRPr="0055610F">
        <w:rPr>
          <w:rFonts w:eastAsia="MS Mincho"/>
          <w:sz w:val="22"/>
          <w:szCs w:val="22"/>
          <w:lang w:val="sr-Latn-ME"/>
        </w:rPr>
        <w:t>j</w:t>
      </w:r>
      <w:r w:rsidRPr="0055610F">
        <w:rPr>
          <w:rFonts w:eastAsia="MS Mincho"/>
          <w:sz w:val="22"/>
          <w:szCs w:val="22"/>
          <w:lang w:val="sr-Latn-ME"/>
        </w:rPr>
        <w:t>elje (medijana = doza ekvivalentna 45 mg prednizona [interkvartalni raspon: 35 </w:t>
      </w:r>
      <w:r w:rsidRPr="0055610F">
        <w:rPr>
          <w:rFonts w:eastAsia="MS Mincho"/>
          <w:sz w:val="22"/>
          <w:szCs w:val="22"/>
          <w:lang w:val="sr-Latn-ME"/>
        </w:rPr>
        <w:noBreakHyphen/>
        <w:t> 60]) do 6. mjeseca (medijana = 7,5 mg [interkvartalni raspon: 4 </w:t>
      </w:r>
      <w:r w:rsidRPr="0055610F">
        <w:rPr>
          <w:rFonts w:eastAsia="MS Mincho"/>
          <w:sz w:val="22"/>
          <w:szCs w:val="22"/>
          <w:lang w:val="sr-Latn-ME"/>
        </w:rPr>
        <w:noBreakHyphen/>
        <w:t> 10]), koje se potom održao do 12. mjeseca (medijana = 5 mg [interkvartalni raspon: 2 </w:t>
      </w:r>
      <w:r w:rsidRPr="0055610F">
        <w:rPr>
          <w:rFonts w:eastAsia="MS Mincho"/>
          <w:sz w:val="22"/>
          <w:szCs w:val="22"/>
          <w:lang w:val="sr-Latn-ME"/>
        </w:rPr>
        <w:noBreakHyphen/>
        <w:t> 10]) i 18. mjeseca (medijana = 5 mg [interkvartalni raspon: 1 </w:t>
      </w:r>
      <w:r w:rsidRPr="0055610F">
        <w:rPr>
          <w:rFonts w:eastAsia="MS Mincho"/>
          <w:sz w:val="22"/>
          <w:szCs w:val="22"/>
          <w:lang w:val="sr-Latn-ME"/>
        </w:rPr>
        <w:noBreakHyphen/>
        <w:t xml:space="preserve"> 5]). </w:t>
      </w:r>
    </w:p>
    <w:p w:rsidR="007B7C69" w:rsidRPr="0055610F" w:rsidRDefault="007B7C69" w:rsidP="004D5825">
      <w:pPr>
        <w:jc w:val="both"/>
        <w:rPr>
          <w:i/>
          <w:sz w:val="22"/>
          <w:szCs w:val="22"/>
          <w:lang w:val="sr-Latn-ME"/>
        </w:rPr>
      </w:pPr>
    </w:p>
    <w:p w:rsidR="007B7C69" w:rsidRPr="0055610F" w:rsidRDefault="007B7C69" w:rsidP="004D5825">
      <w:pPr>
        <w:keepNext/>
        <w:keepLines/>
        <w:jc w:val="both"/>
        <w:rPr>
          <w:i/>
          <w:sz w:val="22"/>
          <w:szCs w:val="22"/>
          <w:lang w:val="sr-Latn-ME"/>
        </w:rPr>
      </w:pPr>
      <w:r w:rsidRPr="0055610F">
        <w:rPr>
          <w:i/>
          <w:sz w:val="22"/>
          <w:szCs w:val="22"/>
          <w:lang w:val="sr-Latn-ME"/>
        </w:rPr>
        <w:t>L</w:t>
      </w:r>
      <w:r w:rsidR="00421CF2" w:rsidRPr="0055610F">
        <w:rPr>
          <w:i/>
          <w:sz w:val="22"/>
          <w:szCs w:val="22"/>
          <w:lang w:val="sr-Latn-ME"/>
        </w:rPr>
        <w:t>i</w:t>
      </w:r>
      <w:r w:rsidRPr="0055610F">
        <w:rPr>
          <w:i/>
          <w:sz w:val="22"/>
          <w:szCs w:val="22"/>
          <w:lang w:val="sr-Latn-ME"/>
        </w:rPr>
        <w:t>ječenje tokom perioda praćenja</w:t>
      </w:r>
    </w:p>
    <w:p w:rsidR="007B7C69" w:rsidRDefault="007B7C69" w:rsidP="004D5825">
      <w:pPr>
        <w:jc w:val="both"/>
        <w:rPr>
          <w:rFonts w:eastAsia="MS Mincho"/>
          <w:sz w:val="22"/>
          <w:szCs w:val="22"/>
          <w:lang w:val="sr-Latn-ME"/>
        </w:rPr>
      </w:pPr>
      <w:r w:rsidRPr="0055610F">
        <w:rPr>
          <w:rFonts w:eastAsia="MS Mincho"/>
          <w:sz w:val="22"/>
          <w:szCs w:val="22"/>
          <w:lang w:val="sr-Latn-ME"/>
        </w:rPr>
        <w:t>Tokom cjelokupnog perioda ispitivanja pacijenti su primili između 4 i 28 infuzija lijeka Mabthera (tokom razdoblja do 4,5 godina [53,8 mjeseci]). Pacijenti su primali do četiri doze lijeka MabThera od 375 mg/m</w:t>
      </w:r>
      <w:r w:rsidRPr="0055610F">
        <w:rPr>
          <w:rFonts w:eastAsia="MS Mincho"/>
          <w:sz w:val="22"/>
          <w:szCs w:val="22"/>
          <w:vertAlign w:val="superscript"/>
          <w:lang w:val="sr-Latn-ME"/>
        </w:rPr>
        <w:t>2</w:t>
      </w:r>
      <w:r w:rsidRPr="0055610F">
        <w:rPr>
          <w:rFonts w:eastAsia="MS Mincho"/>
          <w:sz w:val="22"/>
          <w:szCs w:val="22"/>
          <w:lang w:val="sr-Latn-ME"/>
        </w:rPr>
        <w:t xml:space="preserve"> približno svakih 6 mjeseci prema odluci ispitivača. Do fiksnog datuma završetka praćenja za sve pacijente (engl. </w:t>
      </w:r>
      <w:r w:rsidRPr="0055610F">
        <w:rPr>
          <w:rFonts w:eastAsia="MS Mincho"/>
          <w:i/>
          <w:sz w:val="22"/>
          <w:szCs w:val="22"/>
          <w:lang w:val="sr-Latn-ME"/>
        </w:rPr>
        <w:t>common close out</w:t>
      </w:r>
      <w:r w:rsidRPr="0055610F">
        <w:rPr>
          <w:rFonts w:eastAsia="MS Mincho"/>
          <w:sz w:val="22"/>
          <w:szCs w:val="22"/>
          <w:lang w:val="sr-Latn-ME"/>
        </w:rPr>
        <w:t xml:space="preserve">) ukupno 17 od 25 (68%) pacijenata primilo je dodatnu terapiju rituksimabom u 6. mjesecu ili nakon njega, a 14 od tih 17 pacijenata primilo je dodatnu terapiju rituksimabom između 6. i 18. mjeseca. </w:t>
      </w:r>
    </w:p>
    <w:p w:rsidR="007B7C69" w:rsidRPr="0055610F" w:rsidRDefault="007B7C69" w:rsidP="004D5825">
      <w:pPr>
        <w:keepNext/>
        <w:ind w:left="1134" w:hanging="1134"/>
        <w:contextualSpacing/>
        <w:jc w:val="both"/>
        <w:rPr>
          <w:rFonts w:eastAsia="SimSun"/>
          <w:sz w:val="22"/>
          <w:szCs w:val="22"/>
          <w:shd w:val="clear" w:color="auto" w:fill="FFFFFF"/>
          <w:lang w:val="sr-Latn-ME" w:eastAsia="zh-CN"/>
        </w:rPr>
      </w:pPr>
      <w:r w:rsidRPr="0055610F">
        <w:rPr>
          <w:rFonts w:eastAsia="SimSun"/>
          <w:b/>
          <w:sz w:val="22"/>
          <w:szCs w:val="22"/>
          <w:shd w:val="clear" w:color="auto" w:fill="FFFFFF"/>
          <w:lang w:val="sr-Latn-ME" w:eastAsia="zh-CN"/>
        </w:rPr>
        <w:lastRenderedPageBreak/>
        <w:t>Tabela 21   Ispitivanje WA25615 (PePRS) – Remisija prema PVAS rezultatu u 1., 2., 4., 6., 12. i 18. m</w:t>
      </w:r>
      <w:r w:rsidR="00421CF2" w:rsidRPr="0055610F">
        <w:rPr>
          <w:rFonts w:eastAsia="SimSun"/>
          <w:b/>
          <w:sz w:val="22"/>
          <w:szCs w:val="22"/>
          <w:shd w:val="clear" w:color="auto" w:fill="FFFFFF"/>
          <w:lang w:val="sr-Latn-ME" w:eastAsia="zh-CN"/>
        </w:rPr>
        <w:t>j</w:t>
      </w:r>
      <w:r w:rsidRPr="0055610F">
        <w:rPr>
          <w:rFonts w:eastAsia="SimSun"/>
          <w:b/>
          <w:sz w:val="22"/>
          <w:szCs w:val="22"/>
          <w:shd w:val="clear" w:color="auto" w:fill="FFFFFF"/>
          <w:lang w:val="sr-Latn-ME" w:eastAsia="zh-CN"/>
        </w:rPr>
        <w:t>esecu</w:t>
      </w:r>
      <w:r w:rsidRPr="0055610F">
        <w:rPr>
          <w:rFonts w:eastAsia="SimSun"/>
          <w:sz w:val="22"/>
          <w:szCs w:val="22"/>
          <w:shd w:val="clear" w:color="auto" w:fill="FFFFFF"/>
          <w:lang w:val="sr-Latn-ME" w:eastAsia="zh-CN"/>
        </w:rPr>
        <w:t xml:space="preserve"> </w:t>
      </w:r>
    </w:p>
    <w:p w:rsidR="007B7C69" w:rsidRPr="0055610F" w:rsidRDefault="007B7C69" w:rsidP="004D5825">
      <w:pPr>
        <w:keepNext/>
        <w:ind w:left="1134" w:hanging="1134"/>
        <w:contextualSpacing/>
        <w:jc w:val="both"/>
        <w:rPr>
          <w:rFonts w:eastAsia="SimSun"/>
          <w:sz w:val="22"/>
          <w:szCs w:val="22"/>
          <w:shd w:val="clear" w:color="auto" w:fill="FFFFFF"/>
          <w:lang w:val="sr-Latn-M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4500"/>
        <w:gridCol w:w="1937"/>
      </w:tblGrid>
      <w:tr w:rsidR="007B7C69" w:rsidRPr="007642DC" w:rsidTr="00B21971">
        <w:trPr>
          <w:cantSplit/>
          <w:trHeight w:val="881"/>
        </w:trPr>
        <w:tc>
          <w:tcPr>
            <w:tcW w:w="2088"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Pos</w:t>
            </w:r>
            <w:r w:rsidR="00421CF2" w:rsidRPr="0055610F">
              <w:rPr>
                <w:rFonts w:eastAsia="MS Mincho"/>
                <w:sz w:val="22"/>
                <w:szCs w:val="22"/>
                <w:lang w:val="sr-Latn-ME"/>
              </w:rPr>
              <w:t>j</w:t>
            </w:r>
            <w:r w:rsidRPr="0055610F">
              <w:rPr>
                <w:rFonts w:eastAsia="MS Mincho"/>
                <w:sz w:val="22"/>
                <w:szCs w:val="22"/>
                <w:lang w:val="sr-Latn-ME"/>
              </w:rPr>
              <w:t>eta u sklopu ispitivanja</w:t>
            </w:r>
          </w:p>
        </w:tc>
        <w:tc>
          <w:tcPr>
            <w:tcW w:w="4500"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Broj pacijenata koji su postigli odgovor u smislu remisije prema PVAS rezultatu</w:t>
            </w:r>
            <w:r w:rsidRPr="0055610F">
              <w:rPr>
                <w:rFonts w:eastAsia="MS Mincho"/>
                <w:sz w:val="22"/>
                <w:szCs w:val="22"/>
                <w:vertAlign w:val="superscript"/>
                <w:lang w:val="sr-Latn-ME"/>
              </w:rPr>
              <w:t>*</w:t>
            </w:r>
            <w:r w:rsidRPr="0055610F">
              <w:rPr>
                <w:rFonts w:eastAsia="MS Mincho"/>
                <w:sz w:val="22"/>
                <w:szCs w:val="22"/>
                <w:lang w:val="sr-Latn-ME"/>
              </w:rPr>
              <w:t xml:space="preserve"> (stopa odgovora [%])</w:t>
            </w:r>
          </w:p>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n=25</w:t>
            </w:r>
          </w:p>
        </w:tc>
        <w:tc>
          <w:tcPr>
            <w:tcW w:w="1937"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95% CI</w:t>
            </w:r>
            <w:r w:rsidRPr="0055610F">
              <w:rPr>
                <w:rFonts w:eastAsia="MS Mincho"/>
                <w:sz w:val="22"/>
                <w:szCs w:val="22"/>
                <w:vertAlign w:val="superscript"/>
                <w:lang w:val="sr-Latn-ME"/>
              </w:rPr>
              <w:t>α</w:t>
            </w:r>
          </w:p>
        </w:tc>
      </w:tr>
      <w:tr w:rsidR="007B7C69" w:rsidRPr="007642DC" w:rsidTr="00B21971">
        <w:trPr>
          <w:cantSplit/>
        </w:trPr>
        <w:tc>
          <w:tcPr>
            <w:tcW w:w="2088"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1. mjesec</w:t>
            </w:r>
          </w:p>
        </w:tc>
        <w:tc>
          <w:tcPr>
            <w:tcW w:w="4500"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0</w:t>
            </w:r>
          </w:p>
        </w:tc>
        <w:tc>
          <w:tcPr>
            <w:tcW w:w="1937"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0,0%; 13,7%</w:t>
            </w:r>
          </w:p>
        </w:tc>
      </w:tr>
      <w:tr w:rsidR="007B7C69" w:rsidRPr="007642DC" w:rsidTr="00B21971">
        <w:trPr>
          <w:cantSplit/>
        </w:trPr>
        <w:tc>
          <w:tcPr>
            <w:tcW w:w="2088"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2. mjesec</w:t>
            </w:r>
          </w:p>
        </w:tc>
        <w:tc>
          <w:tcPr>
            <w:tcW w:w="4500"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1 (4,0%)</w:t>
            </w:r>
          </w:p>
        </w:tc>
        <w:tc>
          <w:tcPr>
            <w:tcW w:w="1937"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0,1%; 20,4%</w:t>
            </w:r>
          </w:p>
        </w:tc>
      </w:tr>
      <w:tr w:rsidR="007B7C69" w:rsidRPr="007642DC" w:rsidTr="00B21971">
        <w:trPr>
          <w:cantSplit/>
        </w:trPr>
        <w:tc>
          <w:tcPr>
            <w:tcW w:w="2088"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4. mjesec</w:t>
            </w:r>
          </w:p>
        </w:tc>
        <w:tc>
          <w:tcPr>
            <w:tcW w:w="4500"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5 (20,0%)</w:t>
            </w:r>
          </w:p>
        </w:tc>
        <w:tc>
          <w:tcPr>
            <w:tcW w:w="1937"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6,8%; 40,7%</w:t>
            </w:r>
          </w:p>
        </w:tc>
      </w:tr>
      <w:tr w:rsidR="007B7C69" w:rsidRPr="007642DC" w:rsidTr="00B21971">
        <w:trPr>
          <w:cantSplit/>
        </w:trPr>
        <w:tc>
          <w:tcPr>
            <w:tcW w:w="2088"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6. mjesec</w:t>
            </w:r>
          </w:p>
        </w:tc>
        <w:tc>
          <w:tcPr>
            <w:tcW w:w="4500"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13 (52,0%)</w:t>
            </w:r>
          </w:p>
        </w:tc>
        <w:tc>
          <w:tcPr>
            <w:tcW w:w="1937"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31,3%; 72,2%</w:t>
            </w:r>
          </w:p>
        </w:tc>
      </w:tr>
      <w:tr w:rsidR="007B7C69" w:rsidRPr="007642DC" w:rsidTr="00B21971">
        <w:trPr>
          <w:cantSplit/>
        </w:trPr>
        <w:tc>
          <w:tcPr>
            <w:tcW w:w="2088"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12. mjesec</w:t>
            </w:r>
          </w:p>
        </w:tc>
        <w:tc>
          <w:tcPr>
            <w:tcW w:w="4500"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 xml:space="preserve">18 (72,0%) </w:t>
            </w:r>
          </w:p>
        </w:tc>
        <w:tc>
          <w:tcPr>
            <w:tcW w:w="1937"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50,6%; 87,9%</w:t>
            </w:r>
          </w:p>
        </w:tc>
      </w:tr>
      <w:tr w:rsidR="007B7C69" w:rsidRPr="007642DC" w:rsidTr="00B21971">
        <w:trPr>
          <w:cantSplit/>
        </w:trPr>
        <w:tc>
          <w:tcPr>
            <w:tcW w:w="2088"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18. mjesec</w:t>
            </w:r>
          </w:p>
        </w:tc>
        <w:tc>
          <w:tcPr>
            <w:tcW w:w="4500"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 xml:space="preserve">18 (72,0%) </w:t>
            </w:r>
          </w:p>
        </w:tc>
        <w:tc>
          <w:tcPr>
            <w:tcW w:w="1937" w:type="dxa"/>
            <w:shd w:val="clear" w:color="auto" w:fill="auto"/>
          </w:tcPr>
          <w:p w:rsidR="007B7C69" w:rsidRPr="0055610F" w:rsidRDefault="007B7C69" w:rsidP="004D5825">
            <w:pPr>
              <w:keepNext/>
              <w:spacing w:before="100" w:beforeAutospacing="1" w:after="170" w:line="240" w:lineRule="atLeast"/>
              <w:rPr>
                <w:rFonts w:eastAsia="MS Mincho"/>
                <w:sz w:val="22"/>
                <w:szCs w:val="22"/>
                <w:lang w:val="sr-Latn-ME"/>
              </w:rPr>
            </w:pPr>
            <w:r w:rsidRPr="0055610F">
              <w:rPr>
                <w:rFonts w:eastAsia="MS Mincho"/>
                <w:sz w:val="22"/>
                <w:szCs w:val="22"/>
                <w:lang w:val="sr-Latn-ME"/>
              </w:rPr>
              <w:t>50,6%; 87,9%</w:t>
            </w:r>
          </w:p>
        </w:tc>
      </w:tr>
      <w:tr w:rsidR="007B7C69" w:rsidRPr="00FB34CE" w:rsidTr="00B21971">
        <w:trPr>
          <w:cantSplit/>
        </w:trPr>
        <w:tc>
          <w:tcPr>
            <w:tcW w:w="8525" w:type="dxa"/>
            <w:gridSpan w:val="3"/>
            <w:shd w:val="clear" w:color="auto" w:fill="auto"/>
          </w:tcPr>
          <w:p w:rsidR="007B7C69" w:rsidRPr="003468E1" w:rsidRDefault="007B7C69" w:rsidP="004D5825">
            <w:pPr>
              <w:keepNext/>
              <w:spacing w:line="240" w:lineRule="atLeast"/>
              <w:jc w:val="both"/>
              <w:rPr>
                <w:rFonts w:eastAsia="SimSun"/>
                <w:sz w:val="20"/>
                <w:szCs w:val="22"/>
                <w:shd w:val="clear" w:color="auto" w:fill="FFFFFF"/>
                <w:lang w:val="sr-Latn-ME"/>
              </w:rPr>
            </w:pPr>
            <w:r w:rsidRPr="003468E1">
              <w:rPr>
                <w:rFonts w:eastAsia="SimSun"/>
                <w:sz w:val="20"/>
                <w:szCs w:val="22"/>
                <w:shd w:val="clear" w:color="auto" w:fill="FFFFFF"/>
                <w:vertAlign w:val="superscript"/>
                <w:lang w:val="sr-Latn-ME"/>
              </w:rPr>
              <w:t>*</w:t>
            </w:r>
            <w:r w:rsidRPr="003468E1">
              <w:rPr>
                <w:rFonts w:eastAsia="SimSun"/>
                <w:sz w:val="20"/>
                <w:szCs w:val="22"/>
                <w:shd w:val="clear" w:color="auto" w:fill="FFFFFF"/>
                <w:lang w:val="sr-Latn-ME"/>
              </w:rPr>
              <w:t xml:space="preserve"> PVAS rezultat 0 uz smanjenje doze glukokortikoida na 0,2 mg/kg na dan (ili 10 mg na dan, što god je niže) u trenutku sprovođenja ocjene.</w:t>
            </w:r>
          </w:p>
          <w:p w:rsidR="007B7C69" w:rsidRPr="003468E1" w:rsidRDefault="007B7C69" w:rsidP="004D5825">
            <w:pPr>
              <w:keepNext/>
              <w:jc w:val="both"/>
              <w:rPr>
                <w:rFonts w:eastAsia="SimSun"/>
                <w:sz w:val="20"/>
                <w:szCs w:val="22"/>
                <w:shd w:val="clear" w:color="auto" w:fill="FFFFFF"/>
                <w:lang w:val="sr-Latn-ME" w:eastAsia="zh-CN"/>
              </w:rPr>
            </w:pPr>
            <w:r w:rsidRPr="003468E1">
              <w:rPr>
                <w:rFonts w:eastAsia="SimSun"/>
                <w:sz w:val="20"/>
                <w:szCs w:val="22"/>
                <w:shd w:val="clear" w:color="auto" w:fill="FFFFFF"/>
                <w:vertAlign w:val="superscript"/>
                <w:lang w:val="sr-Latn-ME"/>
              </w:rPr>
              <w:t>α</w:t>
            </w:r>
            <w:r w:rsidRPr="003468E1">
              <w:rPr>
                <w:rFonts w:eastAsia="SimSun"/>
                <w:sz w:val="20"/>
                <w:szCs w:val="22"/>
                <w:shd w:val="clear" w:color="auto" w:fill="FFFFFF"/>
                <w:lang w:val="sr-Latn-ME" w:eastAsia="zh-CN"/>
              </w:rPr>
              <w:t>Rezultati za efikasnost su eksplorativni i za te mjere ishoda nije sprovedeno formalno statističko ispitivanje.</w:t>
            </w:r>
          </w:p>
          <w:p w:rsidR="007B7C69" w:rsidRPr="0055610F" w:rsidRDefault="007B7C69" w:rsidP="004D5825">
            <w:pPr>
              <w:keepNext/>
              <w:jc w:val="both"/>
              <w:rPr>
                <w:rFonts w:eastAsia="SimSun"/>
                <w:sz w:val="22"/>
                <w:szCs w:val="22"/>
                <w:shd w:val="clear" w:color="auto" w:fill="FFFFFF"/>
                <w:lang w:val="sr-Latn-ME"/>
              </w:rPr>
            </w:pPr>
            <w:r w:rsidRPr="003468E1">
              <w:rPr>
                <w:rFonts w:eastAsia="SimSun"/>
                <w:sz w:val="20"/>
                <w:szCs w:val="22"/>
                <w:shd w:val="clear" w:color="auto" w:fill="FFFFFF"/>
                <w:lang w:val="sr-Latn-ME" w:eastAsia="zh-CN"/>
              </w:rPr>
              <w:t>Do 6. mjeseca svi su pacijenti primali istu terapiju lijekom MabThera (4 infuzije u dozi od 375 mg/m</w:t>
            </w:r>
            <w:r w:rsidRPr="003468E1">
              <w:rPr>
                <w:rFonts w:eastAsia="SimSun"/>
                <w:sz w:val="20"/>
                <w:szCs w:val="22"/>
                <w:shd w:val="clear" w:color="auto" w:fill="FFFFFF"/>
                <w:vertAlign w:val="superscript"/>
                <w:lang w:val="sr-Latn-ME" w:eastAsia="zh-CN"/>
              </w:rPr>
              <w:t>2</w:t>
            </w:r>
            <w:r w:rsidRPr="003468E1">
              <w:rPr>
                <w:rFonts w:eastAsia="SimSun"/>
                <w:sz w:val="20"/>
                <w:szCs w:val="22"/>
                <w:shd w:val="clear" w:color="auto" w:fill="FFFFFF"/>
                <w:lang w:val="sr-Latn-ME" w:eastAsia="zh-CN"/>
              </w:rPr>
              <w:t>). Tokom razdoblja praćenja (nakon 6. mjeseca) l</w:t>
            </w:r>
            <w:r w:rsidR="00421CF2" w:rsidRPr="003468E1">
              <w:rPr>
                <w:rFonts w:eastAsia="SimSun"/>
                <w:sz w:val="20"/>
                <w:szCs w:val="22"/>
                <w:shd w:val="clear" w:color="auto" w:fill="FFFFFF"/>
                <w:lang w:val="sr-Latn-ME" w:eastAsia="zh-CN"/>
              </w:rPr>
              <w:t>i</w:t>
            </w:r>
            <w:r w:rsidRPr="003468E1">
              <w:rPr>
                <w:rFonts w:eastAsia="SimSun"/>
                <w:sz w:val="20"/>
                <w:szCs w:val="22"/>
                <w:shd w:val="clear" w:color="auto" w:fill="FFFFFF"/>
                <w:lang w:val="sr-Latn-ME" w:eastAsia="zh-CN"/>
              </w:rPr>
              <w:t>ječenje se primjenjivalo prema odluci ispitivača.</w:t>
            </w:r>
          </w:p>
        </w:tc>
      </w:tr>
    </w:tbl>
    <w:p w:rsidR="007B7C69" w:rsidRPr="0055610F" w:rsidRDefault="007B7C69" w:rsidP="004D5825">
      <w:pPr>
        <w:keepNext/>
        <w:ind w:left="1134" w:hanging="1134"/>
        <w:contextualSpacing/>
        <w:jc w:val="both"/>
        <w:rPr>
          <w:rFonts w:eastAsia="SimSun"/>
          <w:sz w:val="22"/>
          <w:szCs w:val="22"/>
          <w:shd w:val="clear" w:color="auto" w:fill="FFFFFF"/>
          <w:lang w:val="sr-Latn-ME" w:eastAsia="zh-CN"/>
        </w:rPr>
      </w:pPr>
    </w:p>
    <w:p w:rsidR="007B7C69" w:rsidRPr="0055610F" w:rsidRDefault="007B7C69" w:rsidP="004D5825">
      <w:pPr>
        <w:keepNext/>
        <w:keepLines/>
        <w:jc w:val="both"/>
        <w:rPr>
          <w:i/>
          <w:sz w:val="22"/>
          <w:szCs w:val="22"/>
          <w:lang w:val="sr-Latn-ME"/>
        </w:rPr>
      </w:pPr>
      <w:r w:rsidRPr="0055610F">
        <w:rPr>
          <w:i/>
          <w:sz w:val="22"/>
          <w:szCs w:val="22"/>
          <w:lang w:val="sr-Latn-ME"/>
        </w:rPr>
        <w:t>Laboratorijski nalazi</w:t>
      </w:r>
    </w:p>
    <w:p w:rsidR="007B7C69" w:rsidRPr="0055610F" w:rsidRDefault="007B7C69" w:rsidP="004D5825">
      <w:pPr>
        <w:jc w:val="both"/>
        <w:rPr>
          <w:sz w:val="22"/>
          <w:szCs w:val="22"/>
          <w:lang w:val="sr-Latn-ME"/>
        </w:rPr>
      </w:pPr>
      <w:r w:rsidRPr="0055610F">
        <w:rPr>
          <w:sz w:val="22"/>
          <w:szCs w:val="22"/>
          <w:lang w:val="sr-Latn-ME"/>
        </w:rPr>
        <w:t>Tokom cjelokupnog razdoblja ispitivanja antit</w:t>
      </w:r>
      <w:r w:rsidR="00421CF2" w:rsidRPr="0055610F">
        <w:rPr>
          <w:sz w:val="22"/>
          <w:szCs w:val="22"/>
          <w:lang w:val="sr-Latn-ME"/>
        </w:rPr>
        <w:t>ij</w:t>
      </w:r>
      <w:r w:rsidRPr="0055610F">
        <w:rPr>
          <w:sz w:val="22"/>
          <w:szCs w:val="22"/>
          <w:lang w:val="sr-Latn-ME"/>
        </w:rPr>
        <w:t>ela na lijek razvila su se kod ukupno 4/25 pacijenata (16%). Ograničeni podaci pokazuju da nije opažen trend povezan s neželjenim reakcijama prijavljenima kod pacijenata pozitivnih na antit</w:t>
      </w:r>
      <w:r w:rsidR="00421CF2" w:rsidRPr="0055610F">
        <w:rPr>
          <w:sz w:val="22"/>
          <w:szCs w:val="22"/>
          <w:lang w:val="sr-Latn-ME"/>
        </w:rPr>
        <w:t>ij</w:t>
      </w:r>
      <w:r w:rsidRPr="0055610F">
        <w:rPr>
          <w:sz w:val="22"/>
          <w:szCs w:val="22"/>
          <w:lang w:val="sr-Latn-ME"/>
        </w:rPr>
        <w:t xml:space="preserve">ela na lijek. </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Nije opažen primjetan trend ni negativan uticaj prisutnosti antjitela na lijek na bezbjednost ili efikasnost u kliničkim ispitivanjima kod pedijatrijskih pacijenata s GPA i MPA.</w:t>
      </w:r>
    </w:p>
    <w:p w:rsidR="007B7C69" w:rsidRPr="0055610F" w:rsidRDefault="007B7C69" w:rsidP="004D5825">
      <w:pPr>
        <w:jc w:val="both"/>
        <w:rPr>
          <w:sz w:val="22"/>
          <w:szCs w:val="22"/>
          <w:lang w:val="sr-Latn-ME"/>
        </w:rPr>
      </w:pPr>
    </w:p>
    <w:p w:rsidR="007B7C69" w:rsidRPr="0055610F" w:rsidRDefault="007B7C69" w:rsidP="004D5825">
      <w:pPr>
        <w:tabs>
          <w:tab w:val="left" w:pos="540"/>
          <w:tab w:val="left" w:pos="569"/>
        </w:tabs>
        <w:jc w:val="both"/>
        <w:rPr>
          <w:sz w:val="22"/>
          <w:szCs w:val="22"/>
          <w:lang w:val="sr-Latn-ME"/>
        </w:rPr>
      </w:pPr>
      <w:r w:rsidRPr="0055610F">
        <w:rPr>
          <w:sz w:val="22"/>
          <w:szCs w:val="22"/>
          <w:lang w:val="sr-Latn-ME"/>
        </w:rPr>
        <w:t>Evropska agencija za ljekove izuzela je obavezu podnošenja rezultata ispitivanja lijeka MabThera u pedijatrijskoj populaciji starosti od &lt; 2 godine za indikacije teškog aktivnog GPA ili MPA. Vidjeti dio 4.2 za informacije o pedijatrijskoj prim</w:t>
      </w:r>
      <w:r w:rsidR="00421CF2" w:rsidRPr="0055610F">
        <w:rPr>
          <w:sz w:val="22"/>
          <w:szCs w:val="22"/>
          <w:lang w:val="sr-Latn-ME"/>
        </w:rPr>
        <w:t>j</w:t>
      </w:r>
      <w:r w:rsidRPr="0055610F">
        <w:rPr>
          <w:sz w:val="22"/>
          <w:szCs w:val="22"/>
          <w:lang w:val="sr-Latn-ME"/>
        </w:rPr>
        <w:t>eni.</w:t>
      </w:r>
    </w:p>
    <w:p w:rsidR="007B7C69" w:rsidRPr="0055610F" w:rsidRDefault="007B7C69" w:rsidP="004D5825">
      <w:pPr>
        <w:tabs>
          <w:tab w:val="left" w:pos="540"/>
          <w:tab w:val="left" w:pos="569"/>
        </w:tabs>
        <w:jc w:val="both"/>
        <w:rPr>
          <w:sz w:val="22"/>
          <w:szCs w:val="22"/>
          <w:lang w:val="sr-Latn-ME"/>
        </w:rPr>
      </w:pPr>
    </w:p>
    <w:p w:rsidR="007B7C69" w:rsidRPr="0055610F" w:rsidRDefault="007B7C69" w:rsidP="004D5825">
      <w:pPr>
        <w:keepNext/>
        <w:keepLines/>
        <w:jc w:val="both"/>
        <w:outlineLvl w:val="0"/>
        <w:rPr>
          <w:rFonts w:eastAsia="Times"/>
          <w:sz w:val="22"/>
          <w:szCs w:val="22"/>
          <w:u w:val="single"/>
          <w:lang w:val="sr-Latn-ME"/>
        </w:rPr>
      </w:pPr>
      <w:r w:rsidRPr="0055610F">
        <w:rPr>
          <w:rFonts w:eastAsia="Times"/>
          <w:sz w:val="22"/>
          <w:szCs w:val="22"/>
          <w:u w:val="single"/>
          <w:lang w:val="sr-Latn-ME"/>
        </w:rPr>
        <w:t>Kliničk</w:t>
      </w:r>
      <w:r w:rsidR="001F1EC4">
        <w:rPr>
          <w:rFonts w:eastAsia="Times"/>
          <w:sz w:val="22"/>
          <w:szCs w:val="22"/>
          <w:u w:val="single"/>
          <w:lang w:val="sr-Latn-ME"/>
        </w:rPr>
        <w:t>a efikasnost i bezbjednost</w:t>
      </w:r>
      <w:r w:rsidRPr="0055610F">
        <w:rPr>
          <w:rFonts w:eastAsia="Times"/>
          <w:sz w:val="22"/>
          <w:szCs w:val="22"/>
          <w:u w:val="single"/>
          <w:lang w:val="sr-Latn-ME"/>
        </w:rPr>
        <w:t xml:space="preserve"> </w:t>
      </w:r>
      <w:r w:rsidR="001F1EC4">
        <w:rPr>
          <w:rFonts w:eastAsia="Times"/>
          <w:sz w:val="22"/>
          <w:szCs w:val="22"/>
          <w:u w:val="single"/>
          <w:lang w:val="sr-Latn-ME"/>
        </w:rPr>
        <w:t>u liječenju</w:t>
      </w:r>
      <w:r w:rsidRPr="0055610F">
        <w:rPr>
          <w:rFonts w:eastAsia="Times"/>
          <w:sz w:val="22"/>
          <w:szCs w:val="22"/>
          <w:u w:val="single"/>
          <w:lang w:val="sr-Latn-ME"/>
        </w:rPr>
        <w:t xml:space="preserve"> običnog pemfigusa</w:t>
      </w:r>
    </w:p>
    <w:p w:rsidR="007B7C69" w:rsidRPr="0055610F" w:rsidRDefault="007B7C69" w:rsidP="004D5825">
      <w:pPr>
        <w:keepNext/>
        <w:jc w:val="both"/>
        <w:rPr>
          <w:sz w:val="22"/>
          <w:szCs w:val="22"/>
          <w:lang w:val="sr-Latn-ME"/>
        </w:rPr>
      </w:pPr>
    </w:p>
    <w:p w:rsidR="007B7C69" w:rsidRPr="0055610F" w:rsidRDefault="007B7C69" w:rsidP="004D5825">
      <w:pPr>
        <w:keepNext/>
        <w:jc w:val="both"/>
        <w:rPr>
          <w:sz w:val="22"/>
          <w:szCs w:val="22"/>
          <w:lang w:val="sr-Latn-ME"/>
        </w:rPr>
      </w:pPr>
      <w:r w:rsidRPr="0055610F">
        <w:rPr>
          <w:sz w:val="22"/>
          <w:szCs w:val="22"/>
          <w:lang w:val="sr-Latn-ME"/>
        </w:rPr>
        <w:t>1. </w:t>
      </w:r>
      <w:r w:rsidR="00CA6E91" w:rsidRPr="0055610F">
        <w:rPr>
          <w:sz w:val="22"/>
          <w:szCs w:val="22"/>
          <w:lang w:val="sr-Latn-ME"/>
        </w:rPr>
        <w:t>studija</w:t>
      </w:r>
      <w:r w:rsidRPr="0055610F">
        <w:rPr>
          <w:sz w:val="22"/>
          <w:szCs w:val="22"/>
          <w:lang w:val="sr-Latn-ME"/>
        </w:rPr>
        <w:t xml:space="preserve"> kod PV (</w:t>
      </w:r>
      <w:r w:rsidR="007642DC">
        <w:rPr>
          <w:sz w:val="22"/>
          <w:szCs w:val="22"/>
          <w:lang w:val="sr-Latn-ME"/>
        </w:rPr>
        <w:t>ML</w:t>
      </w:r>
      <w:r w:rsidRPr="0055610F">
        <w:rPr>
          <w:sz w:val="22"/>
          <w:szCs w:val="22"/>
          <w:lang w:val="sr-Latn-ME"/>
        </w:rPr>
        <w:t>22196)</w:t>
      </w:r>
    </w:p>
    <w:p w:rsidR="007B7C69" w:rsidRPr="0055610F" w:rsidRDefault="007B7C69" w:rsidP="004D5825">
      <w:pPr>
        <w:keepNext/>
        <w:jc w:val="both"/>
        <w:rPr>
          <w:sz w:val="22"/>
          <w:szCs w:val="22"/>
          <w:lang w:val="sr-Latn-ME"/>
        </w:rPr>
      </w:pPr>
      <w:r w:rsidRPr="0055610F">
        <w:rPr>
          <w:sz w:val="22"/>
          <w:szCs w:val="22"/>
          <w:lang w:val="sr-Latn-ME"/>
        </w:rPr>
        <w:t xml:space="preserve">Efikasnost i bezbjednost lijeka MabThera u kombinaciji s kratkoročnom terapijom niskom dozom glukokortikoida (prednizona) je procjenjivana kod novodijagnostifikovanih pacijenata sa umjerenim do teškim pemfigusom (74 pacijenata sa običnim pemfigusom [PV] i 16 pacijenata koji su imali </w:t>
      </w:r>
      <w:r w:rsidRPr="0055610F">
        <w:rPr>
          <w:i/>
          <w:sz w:val="22"/>
          <w:szCs w:val="22"/>
          <w:lang w:val="sr-Latn-ME"/>
        </w:rPr>
        <w:t>pemphigus foliaceus</w:t>
      </w:r>
      <w:r w:rsidRPr="0055610F">
        <w:rPr>
          <w:sz w:val="22"/>
          <w:szCs w:val="22"/>
          <w:lang w:val="sr-Latn-ME"/>
        </w:rPr>
        <w:t xml:space="preserve"> [PF]) u randomizovanoj, otvorenoj, kontrolisanoj, multicentričnoj studiji. Pacijenti su bili starosti od 19 do 79 godina i prethodno ni</w:t>
      </w:r>
      <w:r w:rsidR="00594B3E" w:rsidRPr="0055610F">
        <w:rPr>
          <w:sz w:val="22"/>
          <w:szCs w:val="22"/>
          <w:lang w:val="sr-Latn-ME"/>
        </w:rPr>
        <w:t>je</w:t>
      </w:r>
      <w:r w:rsidRPr="0055610F">
        <w:rPr>
          <w:sz w:val="22"/>
          <w:szCs w:val="22"/>
          <w:lang w:val="sr-Latn-ME"/>
        </w:rPr>
        <w:t xml:space="preserve">su primali terapiju za pemfigus. </w:t>
      </w:r>
      <w:r w:rsidR="00B16626" w:rsidRPr="0055610F">
        <w:rPr>
          <w:sz w:val="22"/>
          <w:szCs w:val="22"/>
          <w:lang w:val="sr-Latn-ME"/>
        </w:rPr>
        <w:t>U populaciji pacijenata sa PV</w:t>
      </w:r>
      <w:r w:rsidRPr="0055610F">
        <w:rPr>
          <w:sz w:val="22"/>
          <w:szCs w:val="22"/>
          <w:lang w:val="sr-Latn-ME"/>
        </w:rPr>
        <w:t>, 5 (13%) pacijenta liječenih lijekom MabThera i 3 (8%) pacijenta liječenih standardnom dozom prednizona imali su umjereni oblik bolesti, dok su 33 (87%) pacijenta liječenih lijekom MabThera i 33 (92%) pacijenta liječenih standardnom dozom prednizona imali težak oblik bolesti prema Harmanovim kriterijima za procjenu težine bolesti.</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Pacijenti su bili podjeljeni prema težini bolesti na početku ispitivanja (umjerena ili teška) i randomizovani u odnosu 1:1 za primjenu lijeka MabThera i niskih doza prednizona ili standardne doze prednizona. Pacijenti koji su randomizovani u grupu liječenu lijekom MabThera primili su početnu intravensku infuziju lijeka MabThera u dozi od 1000 mg prvog dana ispitivanja u kombinaciji sa prednizonom u peroralnoj dozi od 0,5 mg/kg na dan, koja se postepeno smanjivala tokom 3 mjeseca ukoliko su imali umjerenu bolest, odnosno u peroralnoj dozi od 1 mg/kg na dan, koja se postepeno </w:t>
      </w:r>
      <w:r w:rsidRPr="0055610F">
        <w:rPr>
          <w:sz w:val="22"/>
          <w:szCs w:val="22"/>
          <w:lang w:val="sr-Latn-ME"/>
        </w:rPr>
        <w:lastRenderedPageBreak/>
        <w:t>smanjivala tokom 6 mjeseci ukoliko su imali tešku bolest. Drugu intravensku infuziju lijeka MabThera u dozi od 1000 mg primili su 15-og dana ispitivanja. Infuzije lijeka MabThera u dozi od 500 mg za terapiju održavanja primjenjene su u 12-om i 18-om mjesecu. Pacijenti randomizovani u grupu liječenu standardnom dozom prednizona primali su prednizon u početnoj peroralnoj dozi od 1 mg/kg na dan, koja se postepeno smanjivala tokom 12 mjeseci ukoliko su imali umjerenu bolest, odnosno u početnoj peroralnoj dozi od 1,5 mg/kg na dan, koja se postepeno smanjivala tokom 18 mjeseci ako su imali tešku bolest. Pacijenti u grupi liječenoj lijekom MabThera koji su doživeli relaps mogli su da prime dodatnu infuziju lijeka MabThera u dozi od 1000 mg u kombinaciji sa ponovnim uvođenjem prednizona ili povećanjem njegove doze. Infuzije za terapiju održavanja ili liječenje relapsa primjenjivale su se najranije 16 nedjelja nakon prethodne infuzije.</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Primarni cilj ispitivanja bila je potpuna remisija (potpuna epitelizacija i odsustvo novih i/ili prethodno postojećih lezija) u 24-om mjesecu bez primjene prednizona tokom dva mjeseca ili duže (potpuna remisija bez primjene kortikosteroida tokom ≥ 2 mjeseca).   </w:t>
      </w:r>
    </w:p>
    <w:p w:rsidR="007B7C69" w:rsidRPr="0055610F" w:rsidRDefault="007B7C69" w:rsidP="004D5825">
      <w:pPr>
        <w:jc w:val="both"/>
        <w:rPr>
          <w:sz w:val="22"/>
          <w:szCs w:val="22"/>
          <w:lang w:val="sr-Latn-ME"/>
        </w:rPr>
      </w:pPr>
    </w:p>
    <w:p w:rsidR="007B7C69" w:rsidRPr="0055610F" w:rsidRDefault="007B7C69" w:rsidP="004D5825">
      <w:pPr>
        <w:keepNext/>
        <w:keepLines/>
        <w:jc w:val="both"/>
        <w:outlineLvl w:val="0"/>
        <w:rPr>
          <w:rFonts w:eastAsia="Times"/>
          <w:i/>
          <w:sz w:val="22"/>
          <w:szCs w:val="22"/>
          <w:lang w:val="sr-Latn-ME"/>
        </w:rPr>
      </w:pPr>
      <w:r w:rsidRPr="0055610F">
        <w:rPr>
          <w:rFonts w:eastAsia="Times"/>
          <w:i/>
          <w:sz w:val="22"/>
          <w:szCs w:val="22"/>
          <w:lang w:val="sr-Latn-ME"/>
        </w:rPr>
        <w:t>Rezultati 1. </w:t>
      </w:r>
      <w:r w:rsidR="00CA6E91" w:rsidRPr="0055610F">
        <w:rPr>
          <w:rFonts w:eastAsia="Times"/>
          <w:i/>
          <w:sz w:val="22"/>
          <w:szCs w:val="22"/>
          <w:lang w:val="sr-Latn-ME"/>
        </w:rPr>
        <w:t>studije</w:t>
      </w:r>
      <w:r w:rsidRPr="0055610F">
        <w:rPr>
          <w:rFonts w:eastAsia="Times"/>
          <w:i/>
          <w:sz w:val="22"/>
          <w:szCs w:val="22"/>
          <w:lang w:val="sr-Latn-ME"/>
        </w:rPr>
        <w:t xml:space="preserve"> kod PV</w:t>
      </w:r>
    </w:p>
    <w:p w:rsidR="007B7C69" w:rsidRPr="0055610F" w:rsidRDefault="007B7C69" w:rsidP="004D5825">
      <w:pPr>
        <w:jc w:val="both"/>
        <w:rPr>
          <w:sz w:val="22"/>
          <w:szCs w:val="22"/>
          <w:lang w:val="sr-Latn-ME"/>
        </w:rPr>
      </w:pPr>
      <w:r w:rsidRPr="0055610F">
        <w:rPr>
          <w:sz w:val="22"/>
          <w:szCs w:val="22"/>
          <w:lang w:val="sr-Latn-ME"/>
        </w:rPr>
        <w:t>U 24-om mjesecu ispitivanja, kombinacija lijeka MabThera i niske doze prednizona ostvarila je statistički značajne rezultate u odnosu na standardnu dozu prednizona, s obzirom na postizanje potpune remisije bez primjene kortikosteroida tokom ≥ 2 mjeseca kod pacijenata sa PV (vidjeti Tabela 22).</w:t>
      </w:r>
    </w:p>
    <w:p w:rsidR="007B7C69" w:rsidRPr="0055610F" w:rsidRDefault="007B7C69" w:rsidP="004D5825">
      <w:pPr>
        <w:jc w:val="both"/>
        <w:rPr>
          <w:sz w:val="22"/>
          <w:szCs w:val="22"/>
          <w:lang w:val="sr-Latn-ME"/>
        </w:rPr>
      </w:pPr>
    </w:p>
    <w:p w:rsidR="007B7C69" w:rsidRPr="0055610F" w:rsidRDefault="007B7C69" w:rsidP="004D5825">
      <w:pPr>
        <w:keepNext/>
        <w:keepLines/>
        <w:tabs>
          <w:tab w:val="left" w:pos="1152"/>
        </w:tabs>
        <w:spacing w:before="40" w:after="160" w:line="280" w:lineRule="exact"/>
        <w:ind w:left="1152" w:hanging="1152"/>
        <w:jc w:val="both"/>
        <w:rPr>
          <w:rFonts w:eastAsia="SimSun"/>
          <w:b/>
          <w:sz w:val="22"/>
          <w:szCs w:val="22"/>
          <w:lang w:val="sr-Latn-ME" w:eastAsia="zh-CN"/>
        </w:rPr>
      </w:pPr>
      <w:r w:rsidRPr="0055610F">
        <w:rPr>
          <w:rFonts w:eastAsia="SimSun"/>
          <w:b/>
          <w:sz w:val="22"/>
          <w:szCs w:val="22"/>
          <w:lang w:val="sr-Latn-ME" w:eastAsia="zh-CN"/>
        </w:rPr>
        <w:t xml:space="preserve">Tabela 22 </w:t>
      </w:r>
      <w:r w:rsidRPr="0055610F">
        <w:rPr>
          <w:rFonts w:eastAsia="SimSun"/>
          <w:b/>
          <w:sz w:val="22"/>
          <w:szCs w:val="22"/>
          <w:lang w:val="sr-Latn-ME" w:eastAsia="zh-CN"/>
        </w:rPr>
        <w:tab/>
        <w:t>Procenat pacijenata sa PV koji su u 24</w:t>
      </w:r>
      <w:r w:rsidR="00594B3E" w:rsidRPr="0055610F">
        <w:rPr>
          <w:rFonts w:eastAsia="SimSun"/>
          <w:b/>
          <w:sz w:val="22"/>
          <w:szCs w:val="22"/>
          <w:lang w:val="sr-Latn-ME" w:eastAsia="zh-CN"/>
        </w:rPr>
        <w:t>-</w:t>
      </w:r>
      <w:r w:rsidRPr="0055610F">
        <w:rPr>
          <w:rFonts w:eastAsia="SimSun"/>
          <w:b/>
          <w:sz w:val="22"/>
          <w:szCs w:val="22"/>
          <w:lang w:val="sr-Latn-ME" w:eastAsia="zh-CN"/>
        </w:rPr>
        <w:t>om mjesecu ostvarili potpunu remisiju bez primjene kortikosteroida tokom dva mjeseca ili duže (ciljna populacija za liječenje - PV)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164"/>
        <w:gridCol w:w="1887"/>
        <w:gridCol w:w="1489"/>
        <w:gridCol w:w="1695"/>
        <w:gridCol w:w="1693"/>
      </w:tblGrid>
      <w:tr w:rsidR="007B7C69" w:rsidRPr="007642DC" w:rsidTr="007B7C69">
        <w:trPr>
          <w:cantSplit/>
          <w:trHeight w:val="891"/>
          <w:jc w:val="center"/>
        </w:trPr>
        <w:tc>
          <w:tcPr>
            <w:tcW w:w="1212" w:type="pct"/>
            <w:tcBorders>
              <w:bottom w:val="single" w:sz="4" w:space="0" w:color="auto"/>
              <w:right w:val="nil"/>
            </w:tcBorders>
          </w:tcPr>
          <w:p w:rsidR="007B7C69" w:rsidRPr="0055610F" w:rsidRDefault="007B7C69" w:rsidP="004D5825">
            <w:pPr>
              <w:keepNext/>
              <w:keepLines/>
              <w:jc w:val="both"/>
              <w:rPr>
                <w:sz w:val="22"/>
                <w:szCs w:val="22"/>
                <w:lang w:val="sr-Latn-ME"/>
              </w:rPr>
            </w:pPr>
          </w:p>
        </w:tc>
        <w:tc>
          <w:tcPr>
            <w:tcW w:w="1057" w:type="pct"/>
            <w:tcBorders>
              <w:left w:val="nil"/>
              <w:bottom w:val="single" w:sz="4" w:space="0" w:color="auto"/>
              <w:right w:val="nil"/>
            </w:tcBorders>
            <w:shd w:val="clear" w:color="auto" w:fill="auto"/>
            <w:vAlign w:val="center"/>
          </w:tcPr>
          <w:p w:rsidR="007B7C69" w:rsidRPr="0055610F" w:rsidRDefault="007B7C69" w:rsidP="0055610F">
            <w:pPr>
              <w:keepNext/>
              <w:keepLines/>
              <w:jc w:val="center"/>
              <w:rPr>
                <w:sz w:val="22"/>
                <w:szCs w:val="22"/>
                <w:lang w:val="sr-Latn-ME"/>
              </w:rPr>
            </w:pPr>
            <w:r w:rsidRPr="0055610F">
              <w:rPr>
                <w:sz w:val="22"/>
                <w:szCs w:val="22"/>
                <w:lang w:val="sr-Latn-ME"/>
              </w:rPr>
              <w:t>Rituksimab +</w:t>
            </w:r>
          </w:p>
          <w:p w:rsidR="007B7C69" w:rsidRPr="0055610F" w:rsidRDefault="007B7C69" w:rsidP="0055610F">
            <w:pPr>
              <w:keepNext/>
              <w:keepLines/>
              <w:jc w:val="center"/>
              <w:rPr>
                <w:sz w:val="22"/>
                <w:szCs w:val="22"/>
                <w:lang w:val="sr-Latn-ME"/>
              </w:rPr>
            </w:pPr>
            <w:r w:rsidRPr="0055610F">
              <w:rPr>
                <w:sz w:val="22"/>
                <w:szCs w:val="22"/>
                <w:lang w:val="sr-Latn-ME"/>
              </w:rPr>
              <w:t>prednizon</w:t>
            </w:r>
          </w:p>
          <w:p w:rsidR="007B7C69" w:rsidRPr="0055610F" w:rsidRDefault="007B7C69" w:rsidP="0055610F">
            <w:pPr>
              <w:keepNext/>
              <w:keepLines/>
              <w:jc w:val="center"/>
              <w:rPr>
                <w:sz w:val="22"/>
                <w:szCs w:val="22"/>
                <w:lang w:val="sr-Latn-ME"/>
              </w:rPr>
            </w:pPr>
            <w:r w:rsidRPr="0055610F">
              <w:rPr>
                <w:sz w:val="22"/>
                <w:szCs w:val="22"/>
                <w:lang w:val="sr-Latn-ME"/>
              </w:rPr>
              <w:t>N=38</w:t>
            </w:r>
          </w:p>
        </w:tc>
        <w:tc>
          <w:tcPr>
            <w:tcW w:w="834" w:type="pct"/>
            <w:tcBorders>
              <w:left w:val="nil"/>
              <w:bottom w:val="single" w:sz="4" w:space="0" w:color="auto"/>
              <w:right w:val="nil"/>
            </w:tcBorders>
            <w:shd w:val="clear" w:color="auto" w:fill="auto"/>
            <w:vAlign w:val="center"/>
          </w:tcPr>
          <w:p w:rsidR="007B7C69" w:rsidRPr="0055610F" w:rsidRDefault="007B7C69" w:rsidP="0055610F">
            <w:pPr>
              <w:keepNext/>
              <w:keepLines/>
              <w:jc w:val="center"/>
              <w:rPr>
                <w:sz w:val="22"/>
                <w:szCs w:val="22"/>
                <w:lang w:val="sr-Latn-ME"/>
              </w:rPr>
            </w:pPr>
            <w:r w:rsidRPr="0055610F">
              <w:rPr>
                <w:sz w:val="22"/>
                <w:szCs w:val="22"/>
                <w:lang w:val="sr-Latn-ME"/>
              </w:rPr>
              <w:t>Prednizon</w:t>
            </w:r>
          </w:p>
          <w:p w:rsidR="007B7C69" w:rsidRPr="0055610F" w:rsidRDefault="007B7C69" w:rsidP="0055610F">
            <w:pPr>
              <w:keepNext/>
              <w:keepLines/>
              <w:jc w:val="center"/>
              <w:rPr>
                <w:sz w:val="22"/>
                <w:szCs w:val="22"/>
                <w:lang w:val="sr-Latn-ME"/>
              </w:rPr>
            </w:pPr>
            <w:r w:rsidRPr="0055610F">
              <w:rPr>
                <w:sz w:val="22"/>
                <w:szCs w:val="22"/>
                <w:lang w:val="sr-Latn-ME"/>
              </w:rPr>
              <w:t>N=36</w:t>
            </w:r>
          </w:p>
        </w:tc>
        <w:tc>
          <w:tcPr>
            <w:tcW w:w="949" w:type="pct"/>
            <w:tcBorders>
              <w:left w:val="nil"/>
              <w:bottom w:val="single" w:sz="4" w:space="0" w:color="auto"/>
            </w:tcBorders>
            <w:shd w:val="clear" w:color="auto" w:fill="auto"/>
            <w:vAlign w:val="center"/>
          </w:tcPr>
          <w:p w:rsidR="007B7C69" w:rsidRPr="0055610F" w:rsidRDefault="007B7C69" w:rsidP="0055610F">
            <w:pPr>
              <w:keepNext/>
              <w:keepLines/>
              <w:jc w:val="center"/>
              <w:rPr>
                <w:sz w:val="22"/>
                <w:szCs w:val="22"/>
                <w:lang w:val="sr-Latn-ME"/>
              </w:rPr>
            </w:pPr>
            <w:r w:rsidRPr="0055610F">
              <w:rPr>
                <w:sz w:val="22"/>
                <w:szCs w:val="22"/>
                <w:lang w:val="sr-Latn-ME"/>
              </w:rPr>
              <w:t>p-vrijednost</w:t>
            </w:r>
            <w:r w:rsidRPr="0055610F">
              <w:rPr>
                <w:sz w:val="22"/>
                <w:szCs w:val="22"/>
                <w:vertAlign w:val="superscript"/>
                <w:lang w:val="sr-Latn-ME"/>
              </w:rPr>
              <w:t xml:space="preserve"> a</w:t>
            </w:r>
          </w:p>
        </w:tc>
        <w:tc>
          <w:tcPr>
            <w:tcW w:w="948" w:type="pct"/>
            <w:tcBorders>
              <w:left w:val="nil"/>
              <w:bottom w:val="single" w:sz="4" w:space="0" w:color="auto"/>
            </w:tcBorders>
            <w:vAlign w:val="center"/>
          </w:tcPr>
          <w:p w:rsidR="007B7C69" w:rsidRPr="0055610F" w:rsidRDefault="007B7C69" w:rsidP="0055610F">
            <w:pPr>
              <w:keepNext/>
              <w:keepLines/>
              <w:jc w:val="center"/>
              <w:rPr>
                <w:sz w:val="22"/>
                <w:szCs w:val="22"/>
                <w:lang w:val="sr-Latn-ME"/>
              </w:rPr>
            </w:pPr>
            <w:r w:rsidRPr="0055610F">
              <w:rPr>
                <w:sz w:val="22"/>
                <w:szCs w:val="22"/>
                <w:lang w:val="sr-Latn-ME"/>
              </w:rPr>
              <w:t>95% CI</w:t>
            </w:r>
            <w:r w:rsidRPr="0055610F">
              <w:rPr>
                <w:sz w:val="22"/>
                <w:szCs w:val="22"/>
                <w:vertAlign w:val="superscript"/>
                <w:lang w:val="sr-Latn-ME"/>
              </w:rPr>
              <w:t>b</w:t>
            </w:r>
          </w:p>
        </w:tc>
      </w:tr>
      <w:tr w:rsidR="007B7C69" w:rsidRPr="007642DC" w:rsidTr="007B7C69">
        <w:trPr>
          <w:cantSplit/>
          <w:jc w:val="center"/>
        </w:trPr>
        <w:tc>
          <w:tcPr>
            <w:tcW w:w="1212" w:type="pct"/>
            <w:tcBorders>
              <w:top w:val="single" w:sz="4" w:space="0" w:color="auto"/>
              <w:bottom w:val="single" w:sz="4" w:space="0" w:color="auto"/>
              <w:right w:val="nil"/>
            </w:tcBorders>
          </w:tcPr>
          <w:p w:rsidR="007B7C69" w:rsidRPr="0055610F" w:rsidRDefault="007B7C69" w:rsidP="004D5825">
            <w:pPr>
              <w:keepNext/>
              <w:keepLines/>
              <w:rPr>
                <w:sz w:val="22"/>
                <w:szCs w:val="22"/>
                <w:lang w:val="sr-Latn-ME"/>
              </w:rPr>
            </w:pPr>
            <w:r w:rsidRPr="0055610F">
              <w:rPr>
                <w:sz w:val="22"/>
                <w:szCs w:val="22"/>
                <w:lang w:val="sr-Latn-ME"/>
              </w:rPr>
              <w:t xml:space="preserve">Broj pacijenata sa odgovorom      </w:t>
            </w:r>
          </w:p>
          <w:p w:rsidR="007B7C69" w:rsidRPr="0055610F" w:rsidRDefault="007B7C69" w:rsidP="004D5825">
            <w:pPr>
              <w:keepNext/>
              <w:keepLines/>
              <w:rPr>
                <w:sz w:val="22"/>
                <w:szCs w:val="22"/>
                <w:lang w:val="sr-Latn-ME"/>
              </w:rPr>
            </w:pPr>
            <w:r w:rsidRPr="0055610F">
              <w:rPr>
                <w:sz w:val="22"/>
                <w:szCs w:val="22"/>
                <w:lang w:val="sr-Latn-ME"/>
              </w:rPr>
              <w:t>(stopa odgovora [%])</w:t>
            </w:r>
          </w:p>
        </w:tc>
        <w:tc>
          <w:tcPr>
            <w:tcW w:w="1057" w:type="pct"/>
            <w:tcBorders>
              <w:top w:val="single" w:sz="4" w:space="0" w:color="auto"/>
              <w:left w:val="nil"/>
              <w:bottom w:val="single" w:sz="4" w:space="0" w:color="auto"/>
              <w:right w:val="nil"/>
            </w:tcBorders>
            <w:shd w:val="clear" w:color="auto" w:fill="auto"/>
            <w:vAlign w:val="center"/>
          </w:tcPr>
          <w:p w:rsidR="007B7C69" w:rsidRPr="0055610F" w:rsidRDefault="007B7C69" w:rsidP="0055610F">
            <w:pPr>
              <w:keepNext/>
              <w:keepLines/>
              <w:jc w:val="center"/>
              <w:rPr>
                <w:sz w:val="22"/>
                <w:szCs w:val="22"/>
                <w:lang w:val="sr-Latn-ME"/>
              </w:rPr>
            </w:pPr>
            <w:r w:rsidRPr="0055610F">
              <w:rPr>
                <w:sz w:val="22"/>
                <w:szCs w:val="22"/>
                <w:lang w:val="sr-Latn-ME"/>
              </w:rPr>
              <w:t>34 (89,5%)</w:t>
            </w:r>
          </w:p>
        </w:tc>
        <w:tc>
          <w:tcPr>
            <w:tcW w:w="834" w:type="pct"/>
            <w:tcBorders>
              <w:top w:val="single" w:sz="4" w:space="0" w:color="auto"/>
              <w:left w:val="nil"/>
              <w:bottom w:val="single" w:sz="4" w:space="0" w:color="auto"/>
              <w:right w:val="nil"/>
            </w:tcBorders>
            <w:shd w:val="clear" w:color="auto" w:fill="auto"/>
            <w:vAlign w:val="center"/>
          </w:tcPr>
          <w:p w:rsidR="007B7C69" w:rsidRPr="0055610F" w:rsidRDefault="007B7C69" w:rsidP="0055610F">
            <w:pPr>
              <w:keepNext/>
              <w:keepLines/>
              <w:jc w:val="center"/>
              <w:rPr>
                <w:sz w:val="22"/>
                <w:szCs w:val="22"/>
                <w:lang w:val="sr-Latn-ME"/>
              </w:rPr>
            </w:pPr>
            <w:r w:rsidRPr="0055610F">
              <w:rPr>
                <w:sz w:val="22"/>
                <w:szCs w:val="22"/>
                <w:lang w:val="sr-Latn-ME"/>
              </w:rPr>
              <w:t>10 (27,8%)</w:t>
            </w:r>
          </w:p>
        </w:tc>
        <w:tc>
          <w:tcPr>
            <w:tcW w:w="949" w:type="pct"/>
            <w:tcBorders>
              <w:top w:val="single" w:sz="4" w:space="0" w:color="auto"/>
              <w:left w:val="nil"/>
              <w:bottom w:val="single" w:sz="4" w:space="0" w:color="auto"/>
            </w:tcBorders>
            <w:shd w:val="clear" w:color="auto" w:fill="auto"/>
            <w:vAlign w:val="center"/>
          </w:tcPr>
          <w:p w:rsidR="007B7C69" w:rsidRPr="0055610F" w:rsidRDefault="007B7C69" w:rsidP="0055610F">
            <w:pPr>
              <w:keepNext/>
              <w:keepLines/>
              <w:jc w:val="center"/>
              <w:rPr>
                <w:sz w:val="22"/>
                <w:szCs w:val="22"/>
                <w:lang w:val="sr-Latn-ME"/>
              </w:rPr>
            </w:pPr>
            <w:r w:rsidRPr="0055610F">
              <w:rPr>
                <w:sz w:val="22"/>
                <w:szCs w:val="22"/>
                <w:lang w:val="sr-Latn-ME"/>
              </w:rPr>
              <w:t>&lt; 0,0001</w:t>
            </w:r>
          </w:p>
        </w:tc>
        <w:tc>
          <w:tcPr>
            <w:tcW w:w="948" w:type="pct"/>
            <w:tcBorders>
              <w:top w:val="single" w:sz="4" w:space="0" w:color="auto"/>
              <w:left w:val="nil"/>
              <w:bottom w:val="single" w:sz="4" w:space="0" w:color="auto"/>
            </w:tcBorders>
            <w:vAlign w:val="center"/>
          </w:tcPr>
          <w:p w:rsidR="007B7C69" w:rsidRPr="0055610F" w:rsidRDefault="007B7C69" w:rsidP="0055610F">
            <w:pPr>
              <w:keepNext/>
              <w:keepLines/>
              <w:jc w:val="center"/>
              <w:rPr>
                <w:sz w:val="22"/>
                <w:szCs w:val="22"/>
                <w:lang w:val="sr-Latn-ME"/>
              </w:rPr>
            </w:pPr>
            <w:r w:rsidRPr="0055610F">
              <w:rPr>
                <w:sz w:val="22"/>
                <w:szCs w:val="22"/>
                <w:lang w:val="sr-Latn-ME"/>
              </w:rPr>
              <w:t>61,7%</w:t>
            </w:r>
          </w:p>
          <w:p w:rsidR="007B7C69" w:rsidRPr="0055610F" w:rsidRDefault="007B7C69" w:rsidP="0055610F">
            <w:pPr>
              <w:keepNext/>
              <w:keepLines/>
              <w:jc w:val="center"/>
              <w:rPr>
                <w:sz w:val="22"/>
                <w:szCs w:val="22"/>
                <w:lang w:val="sr-Latn-ME"/>
              </w:rPr>
            </w:pPr>
            <w:r w:rsidRPr="0055610F">
              <w:rPr>
                <w:sz w:val="22"/>
                <w:szCs w:val="22"/>
                <w:lang w:val="sr-Latn-ME"/>
              </w:rPr>
              <w:t>(38,4; 76,5)</w:t>
            </w:r>
          </w:p>
        </w:tc>
      </w:tr>
      <w:tr w:rsidR="007B7C69" w:rsidRPr="007642DC" w:rsidTr="007B7C69">
        <w:trPr>
          <w:cantSplit/>
          <w:jc w:val="center"/>
        </w:trPr>
        <w:tc>
          <w:tcPr>
            <w:tcW w:w="5000" w:type="pct"/>
            <w:gridSpan w:val="5"/>
            <w:tcBorders>
              <w:top w:val="single" w:sz="4" w:space="0" w:color="auto"/>
              <w:bottom w:val="single" w:sz="4" w:space="0" w:color="auto"/>
            </w:tcBorders>
          </w:tcPr>
          <w:p w:rsidR="007B7C69" w:rsidRPr="0055610F" w:rsidRDefault="007B7C69" w:rsidP="004D5825">
            <w:pPr>
              <w:spacing w:after="250" w:line="300" w:lineRule="atLeast"/>
              <w:jc w:val="both"/>
              <w:rPr>
                <w:rFonts w:eastAsia="Calibri"/>
                <w:sz w:val="22"/>
                <w:szCs w:val="22"/>
                <w:lang w:val="sr-Latn-ME"/>
              </w:rPr>
            </w:pPr>
            <w:r w:rsidRPr="0055610F">
              <w:rPr>
                <w:rFonts w:eastAsia="Calibri"/>
                <w:sz w:val="22"/>
                <w:szCs w:val="22"/>
                <w:vertAlign w:val="superscript"/>
                <w:lang w:val="sr-Latn-ME"/>
              </w:rPr>
              <w:t>a</w:t>
            </w:r>
            <w:r w:rsidRPr="0055610F">
              <w:rPr>
                <w:rFonts w:eastAsia="Calibri"/>
                <w:sz w:val="22"/>
                <w:szCs w:val="22"/>
                <w:lang w:val="sr-Latn-ME"/>
              </w:rPr>
              <w:t xml:space="preserve">p-vrijednost dobijena je </w:t>
            </w:r>
            <w:r w:rsidRPr="0055610F">
              <w:rPr>
                <w:rFonts w:eastAsia="Calibri"/>
                <w:i/>
                <w:sz w:val="22"/>
                <w:szCs w:val="22"/>
                <w:lang w:val="sr-Latn-ME"/>
              </w:rPr>
              <w:t>Fisher</w:t>
            </w:r>
            <w:r w:rsidRPr="0055610F">
              <w:rPr>
                <w:rFonts w:eastAsia="Calibri"/>
                <w:sz w:val="22"/>
                <w:szCs w:val="22"/>
                <w:lang w:val="sr-Latn-ME"/>
              </w:rPr>
              <w:t>-ovim egzaktnim testom uz korekciju srednje p</w:t>
            </w:r>
            <w:r w:rsidRPr="0055610F">
              <w:rPr>
                <w:rFonts w:eastAsia="Calibri"/>
                <w:sz w:val="22"/>
                <w:szCs w:val="22"/>
                <w:lang w:val="sr-Latn-ME"/>
              </w:rPr>
              <w:noBreakHyphen/>
              <w:t>vrijednosti</w:t>
            </w:r>
          </w:p>
          <w:p w:rsidR="007B7C69" w:rsidRPr="0055610F" w:rsidRDefault="007B7C69" w:rsidP="004D5825">
            <w:pPr>
              <w:jc w:val="both"/>
              <w:rPr>
                <w:rFonts w:eastAsia="Calibri"/>
                <w:sz w:val="22"/>
                <w:szCs w:val="22"/>
                <w:vertAlign w:val="superscript"/>
                <w:lang w:val="sr-Latn-ME"/>
              </w:rPr>
            </w:pPr>
            <w:r w:rsidRPr="0055610F">
              <w:rPr>
                <w:rFonts w:eastAsia="Calibri"/>
                <w:sz w:val="22"/>
                <w:szCs w:val="22"/>
                <w:vertAlign w:val="superscript"/>
                <w:lang w:val="sr-Latn-ME"/>
              </w:rPr>
              <w:t>b</w:t>
            </w:r>
            <w:r w:rsidRPr="0055610F">
              <w:rPr>
                <w:rFonts w:eastAsia="Calibri"/>
                <w:sz w:val="22"/>
                <w:szCs w:val="22"/>
                <w:lang w:val="sr-Latn-ME"/>
              </w:rPr>
              <w:t xml:space="preserve">Interval pouzdanosti od 95% je korigovan </w:t>
            </w:r>
            <w:r w:rsidRPr="0055610F">
              <w:rPr>
                <w:rFonts w:eastAsia="Calibri"/>
                <w:i/>
                <w:sz w:val="22"/>
                <w:szCs w:val="22"/>
                <w:lang w:val="sr-Latn-ME"/>
              </w:rPr>
              <w:t>Newcombe-</w:t>
            </w:r>
            <w:r w:rsidRPr="0055610F">
              <w:rPr>
                <w:rFonts w:eastAsia="Calibri"/>
                <w:sz w:val="22"/>
                <w:szCs w:val="22"/>
                <w:lang w:val="sr-Latn-ME"/>
              </w:rPr>
              <w:t xml:space="preserve">ov interval  </w:t>
            </w:r>
          </w:p>
        </w:tc>
      </w:tr>
    </w:tbl>
    <w:p w:rsidR="007B7C69" w:rsidRPr="0055610F" w:rsidRDefault="007B7C69" w:rsidP="004D5825">
      <w:pPr>
        <w:jc w:val="both"/>
        <w:rPr>
          <w:sz w:val="22"/>
          <w:szCs w:val="22"/>
          <w:lang w:val="sr-Latn-ME"/>
        </w:rPr>
      </w:pPr>
    </w:p>
    <w:p w:rsidR="007B7C69" w:rsidRDefault="007B7C69" w:rsidP="004D5825">
      <w:pPr>
        <w:jc w:val="both"/>
        <w:rPr>
          <w:sz w:val="22"/>
          <w:szCs w:val="22"/>
          <w:lang w:val="sr-Latn-ME"/>
        </w:rPr>
      </w:pPr>
      <w:r w:rsidRPr="0055610F">
        <w:rPr>
          <w:sz w:val="22"/>
          <w:szCs w:val="22"/>
          <w:lang w:val="sr-Latn-ME"/>
        </w:rPr>
        <w:t>Broj pacijenata liječenih rituksimabom i niskom dozom prednizona koji ni</w:t>
      </w:r>
      <w:r w:rsidR="00594B3E" w:rsidRPr="0055610F">
        <w:rPr>
          <w:sz w:val="22"/>
          <w:szCs w:val="22"/>
          <w:lang w:val="sr-Latn-ME"/>
        </w:rPr>
        <w:t>je</w:t>
      </w:r>
      <w:r w:rsidRPr="0055610F">
        <w:rPr>
          <w:sz w:val="22"/>
          <w:szCs w:val="22"/>
          <w:lang w:val="sr-Latn-ME"/>
        </w:rPr>
        <w:t>su primali ili su primali minimalnu dozu prednizona (10 mg ili manje na dan) u odnosu na pacijente koji su primali standardnu dozu prednizona tokom 24</w:t>
      </w:r>
      <w:r w:rsidRPr="0055610F">
        <w:rPr>
          <w:sz w:val="22"/>
          <w:szCs w:val="22"/>
          <w:lang w:val="sr-Latn-ME"/>
        </w:rPr>
        <w:noBreakHyphen/>
        <w:t>mjesečnog perioda liječenja pokazuje poštedni učinak lijeka MabThera na primjenu steroida (Slika 4).</w:t>
      </w:r>
    </w:p>
    <w:p w:rsidR="00277702" w:rsidRPr="0055610F" w:rsidRDefault="00277702" w:rsidP="004D5825">
      <w:pPr>
        <w:jc w:val="both"/>
        <w:rPr>
          <w:sz w:val="22"/>
          <w:szCs w:val="22"/>
          <w:lang w:val="sr-Latn-ME"/>
        </w:rPr>
      </w:pPr>
    </w:p>
    <w:p w:rsidR="007B7C69" w:rsidRPr="0055610F" w:rsidRDefault="007B7C69" w:rsidP="004D5825">
      <w:pPr>
        <w:keepNext/>
        <w:keepLines/>
        <w:ind w:left="1134" w:hanging="1134"/>
        <w:jc w:val="both"/>
        <w:rPr>
          <w:b/>
          <w:sz w:val="22"/>
          <w:szCs w:val="22"/>
          <w:lang w:val="sr-Latn-ME"/>
        </w:rPr>
      </w:pPr>
      <w:r w:rsidRPr="0055610F">
        <w:rPr>
          <w:b/>
          <w:sz w:val="22"/>
          <w:szCs w:val="22"/>
          <w:lang w:val="sr-Latn-ME"/>
        </w:rPr>
        <w:t>Slika 4</w:t>
      </w:r>
      <w:r w:rsidR="001F1EC4">
        <w:rPr>
          <w:b/>
          <w:sz w:val="22"/>
          <w:szCs w:val="22"/>
          <w:lang w:val="sr-Latn-ME"/>
        </w:rPr>
        <w:t>.</w:t>
      </w:r>
      <w:r w:rsidRPr="0055610F">
        <w:rPr>
          <w:b/>
          <w:sz w:val="22"/>
          <w:szCs w:val="22"/>
          <w:lang w:val="sr-Latn-ME"/>
        </w:rPr>
        <w:t xml:space="preserve"> </w:t>
      </w:r>
      <w:r w:rsidRPr="0055610F">
        <w:rPr>
          <w:b/>
          <w:sz w:val="22"/>
          <w:szCs w:val="22"/>
          <w:lang w:val="sr-Latn-ME"/>
        </w:rPr>
        <w:tab/>
        <w:t>Broj pacijenata koji ni</w:t>
      </w:r>
      <w:r w:rsidR="00594B3E" w:rsidRPr="0055610F">
        <w:rPr>
          <w:b/>
          <w:sz w:val="22"/>
          <w:szCs w:val="22"/>
          <w:lang w:val="sr-Latn-ME"/>
        </w:rPr>
        <w:t>je</w:t>
      </w:r>
      <w:r w:rsidRPr="0055610F">
        <w:rPr>
          <w:b/>
          <w:sz w:val="22"/>
          <w:szCs w:val="22"/>
          <w:lang w:val="sr-Latn-ME"/>
        </w:rPr>
        <w:t>su primali kortikosteroide ili su primali minimalnu dozu kortikosteroida (≤ 10 mg na dan) tokom vremena</w:t>
      </w:r>
    </w:p>
    <w:p w:rsidR="007B7C69" w:rsidRPr="0055610F" w:rsidRDefault="007B7C69" w:rsidP="004D5825">
      <w:pPr>
        <w:jc w:val="both"/>
        <w:rPr>
          <w:sz w:val="22"/>
          <w:szCs w:val="22"/>
          <w:lang w:val="sr-Latn-ME"/>
        </w:rPr>
      </w:pPr>
      <w:r w:rsidRPr="00664856">
        <w:rPr>
          <w:noProof/>
          <w:sz w:val="22"/>
          <w:szCs w:val="22"/>
        </w:rPr>
        <w:drawing>
          <wp:inline distT="0" distB="0" distL="0" distR="0" wp14:anchorId="3837883B" wp14:editId="4572135A">
            <wp:extent cx="3482975" cy="1898062"/>
            <wp:effectExtent l="0" t="0" r="3175" b="6985"/>
            <wp:docPr id="18" name="Picture 18" descr="C:\Users\jankovm2\Desktop\Untitled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nkovm2\Desktop\Untitledq.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05834" cy="1910519"/>
                    </a:xfrm>
                    <a:prstGeom prst="rect">
                      <a:avLst/>
                    </a:prstGeom>
                    <a:noFill/>
                    <a:ln>
                      <a:noFill/>
                    </a:ln>
                  </pic:spPr>
                </pic:pic>
              </a:graphicData>
            </a:graphic>
          </wp:inline>
        </w:drawing>
      </w:r>
    </w:p>
    <w:p w:rsidR="007B7C69" w:rsidRPr="0055610F" w:rsidRDefault="007B7C69" w:rsidP="004D5825">
      <w:pPr>
        <w:keepNext/>
        <w:jc w:val="both"/>
        <w:outlineLvl w:val="0"/>
        <w:rPr>
          <w:i/>
          <w:sz w:val="22"/>
          <w:szCs w:val="22"/>
          <w:lang w:val="sr-Latn-ME"/>
        </w:rPr>
      </w:pPr>
      <w:r w:rsidRPr="0055610F">
        <w:rPr>
          <w:i/>
          <w:sz w:val="22"/>
          <w:szCs w:val="22"/>
          <w:lang w:val="sr-Latn-ME"/>
        </w:rPr>
        <w:lastRenderedPageBreak/>
        <w:t>Post-hoc retrospektivna laboratorijska proc</w:t>
      </w:r>
      <w:r w:rsidR="00594B3E" w:rsidRPr="0055610F">
        <w:rPr>
          <w:i/>
          <w:sz w:val="22"/>
          <w:szCs w:val="22"/>
          <w:lang w:val="sr-Latn-ME"/>
        </w:rPr>
        <w:t>j</w:t>
      </w:r>
      <w:r w:rsidRPr="0055610F">
        <w:rPr>
          <w:i/>
          <w:sz w:val="22"/>
          <w:szCs w:val="22"/>
          <w:lang w:val="sr-Latn-ME"/>
        </w:rPr>
        <w:t>ena</w:t>
      </w:r>
    </w:p>
    <w:p w:rsidR="007B7C69" w:rsidRPr="0055610F" w:rsidRDefault="007B7C69" w:rsidP="004D5825">
      <w:pPr>
        <w:jc w:val="both"/>
        <w:rPr>
          <w:color w:val="000000"/>
          <w:sz w:val="22"/>
          <w:szCs w:val="22"/>
          <w:shd w:val="clear" w:color="auto" w:fill="FFFFFF"/>
          <w:lang w:val="sr-Latn-ME"/>
        </w:rPr>
      </w:pPr>
      <w:r w:rsidRPr="0055610F">
        <w:rPr>
          <w:color w:val="000000"/>
          <w:sz w:val="22"/>
          <w:szCs w:val="22"/>
          <w:shd w:val="clear" w:color="auto" w:fill="FFFFFF"/>
          <w:lang w:val="sr-Latn-ME"/>
        </w:rPr>
        <w:t>Ukupno 19/34 (56%) pacijenta sa PV liječenih lijekom MabThera bilo je pozitivno na antitijela na lijek u 18-om mjesecu. Klinički značaj pojave antitijela na lijek kod pacijenata sa PV liječenih lijekom MabThera nije jasan.</w:t>
      </w:r>
    </w:p>
    <w:p w:rsidR="007B7C69" w:rsidRPr="0055610F" w:rsidRDefault="007B7C69" w:rsidP="004D5825">
      <w:pPr>
        <w:jc w:val="both"/>
        <w:rPr>
          <w:sz w:val="22"/>
          <w:szCs w:val="22"/>
          <w:lang w:val="sr-Latn-ME"/>
        </w:rPr>
      </w:pPr>
    </w:p>
    <w:p w:rsidR="007B7C69" w:rsidRPr="00DA475E" w:rsidRDefault="007B7C69" w:rsidP="004D5825">
      <w:pPr>
        <w:keepNext/>
        <w:jc w:val="both"/>
        <w:outlineLvl w:val="0"/>
        <w:rPr>
          <w:sz w:val="22"/>
          <w:szCs w:val="22"/>
          <w:lang w:val="sr-Latn-ME"/>
        </w:rPr>
      </w:pPr>
      <w:r w:rsidRPr="00DA475E">
        <w:rPr>
          <w:sz w:val="22"/>
          <w:szCs w:val="22"/>
          <w:lang w:val="sr-Latn-ME"/>
        </w:rPr>
        <w:t>2. </w:t>
      </w:r>
      <w:r w:rsidR="00CA6E91" w:rsidRPr="00DA475E">
        <w:rPr>
          <w:sz w:val="22"/>
          <w:szCs w:val="22"/>
          <w:lang w:val="sr-Latn-ME"/>
        </w:rPr>
        <w:t>studija</w:t>
      </w:r>
      <w:r w:rsidRPr="00DA475E">
        <w:rPr>
          <w:sz w:val="22"/>
          <w:szCs w:val="22"/>
          <w:lang w:val="sr-Latn-ME"/>
        </w:rPr>
        <w:t xml:space="preserve"> kod PV (WA29330)</w:t>
      </w:r>
    </w:p>
    <w:p w:rsidR="007B7C69" w:rsidRPr="0055610F" w:rsidRDefault="007B7C69" w:rsidP="004D5825">
      <w:pPr>
        <w:jc w:val="both"/>
        <w:outlineLvl w:val="0"/>
        <w:rPr>
          <w:sz w:val="22"/>
          <w:szCs w:val="22"/>
          <w:lang w:val="sr-Latn-ME"/>
        </w:rPr>
      </w:pPr>
      <w:r w:rsidRPr="0055610F">
        <w:rPr>
          <w:sz w:val="22"/>
          <w:szCs w:val="22"/>
          <w:lang w:val="sr-Latn-ME"/>
        </w:rPr>
        <w:t>U randomiziranom, dvostruko slijepom, dvostruko maskiranom, multicentričnom ispitivanju kontrolisanom aktivnim komparatorskim lijekom ocjenjivale su se efikasnost i bezbjednost lijeka MabThera u odnosu na mofetilmikofenolat (MMF) kod pacijenata s umjerenim do teškim PV koji su pri uključivanju u ispitivanje uzimali oralni prednizon u dozi od 60 </w:t>
      </w:r>
      <w:r w:rsidRPr="0055610F">
        <w:rPr>
          <w:sz w:val="22"/>
          <w:szCs w:val="22"/>
          <w:lang w:val="sr-Latn-ME"/>
        </w:rPr>
        <w:noBreakHyphen/>
        <w:t> 120 mg na dan ili ekvivalent (1,0 </w:t>
      </w:r>
      <w:r w:rsidRPr="0055610F">
        <w:rPr>
          <w:sz w:val="22"/>
          <w:szCs w:val="22"/>
          <w:lang w:val="sr-Latn-ME"/>
        </w:rPr>
        <w:noBreakHyphen/>
        <w:t xml:space="preserve"> 1,5 mg/kg na dan) i kojima je ta doza postupno smanjivana da bi 1. dana iznosila 60 ili 80 mg na dan. Pacijentima je dijagnoza PV bila potvrđena unutar prethodna 24 mjeseca te su imali dokaze umjerene do teške bolesti (koja se definisala kao ukupan rezultat za aktivnost bolesti prema indeksu zahvaćenosti pemfigusom [engl. </w:t>
      </w:r>
      <w:r w:rsidRPr="0055610F">
        <w:rPr>
          <w:i/>
          <w:sz w:val="22"/>
          <w:szCs w:val="22"/>
          <w:lang w:val="sr-Latn-ME"/>
        </w:rPr>
        <w:t>Pemphigus Disease Area Index</w:t>
      </w:r>
      <w:r w:rsidRPr="0055610F">
        <w:rPr>
          <w:sz w:val="22"/>
          <w:szCs w:val="22"/>
          <w:lang w:val="sr-Latn-ME"/>
        </w:rPr>
        <w:t>, PDAI] ≥ 15).</w:t>
      </w:r>
    </w:p>
    <w:p w:rsidR="007B7C69" w:rsidRPr="0055610F" w:rsidRDefault="007B7C69" w:rsidP="004D5825">
      <w:pPr>
        <w:jc w:val="both"/>
        <w:outlineLvl w:val="0"/>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Sto trideset i pet (135) pacijenata bilo je randomizovano za liječenje lijekom MabThera u dozi od 1000 mg prim</w:t>
      </w:r>
      <w:r w:rsidR="00594B3E" w:rsidRPr="0055610F">
        <w:rPr>
          <w:sz w:val="22"/>
          <w:szCs w:val="22"/>
          <w:lang w:val="sr-Latn-ME"/>
        </w:rPr>
        <w:t>ij</w:t>
      </w:r>
      <w:r w:rsidRPr="0055610F">
        <w:rPr>
          <w:sz w:val="22"/>
          <w:szCs w:val="22"/>
          <w:lang w:val="sr-Latn-ME"/>
        </w:rPr>
        <w:t xml:space="preserve">enjenoj 1. i 15. dana </w:t>
      </w:r>
      <w:r w:rsidR="003468E1">
        <w:rPr>
          <w:sz w:val="22"/>
          <w:szCs w:val="22"/>
          <w:lang w:val="sr-Latn-ME"/>
        </w:rPr>
        <w:t>i</w:t>
      </w:r>
      <w:r w:rsidRPr="0055610F">
        <w:rPr>
          <w:sz w:val="22"/>
          <w:szCs w:val="22"/>
          <w:lang w:val="sr-Latn-ME"/>
        </w:rPr>
        <w:t xml:space="preserve"> u 24. i 26. ned</w:t>
      </w:r>
      <w:r w:rsidR="00594B3E" w:rsidRPr="0055610F">
        <w:rPr>
          <w:sz w:val="22"/>
          <w:szCs w:val="22"/>
          <w:lang w:val="sr-Latn-ME"/>
        </w:rPr>
        <w:t>j</w:t>
      </w:r>
      <w:r w:rsidRPr="0055610F">
        <w:rPr>
          <w:sz w:val="22"/>
          <w:szCs w:val="22"/>
          <w:lang w:val="sr-Latn-ME"/>
        </w:rPr>
        <w:t>elj</w:t>
      </w:r>
      <w:r w:rsidR="003468E1">
        <w:rPr>
          <w:sz w:val="22"/>
          <w:szCs w:val="22"/>
          <w:lang w:val="sr-Latn-ME"/>
        </w:rPr>
        <w:t>i</w:t>
      </w:r>
      <w:r w:rsidRPr="0055610F">
        <w:rPr>
          <w:sz w:val="22"/>
          <w:szCs w:val="22"/>
          <w:lang w:val="sr-Latn-ME"/>
        </w:rPr>
        <w:t xml:space="preserve"> ili za peroralnu prim</w:t>
      </w:r>
      <w:r w:rsidR="003468E1">
        <w:rPr>
          <w:sz w:val="22"/>
          <w:szCs w:val="22"/>
          <w:lang w:val="sr-Latn-ME"/>
        </w:rPr>
        <w:t>j</w:t>
      </w:r>
      <w:r w:rsidRPr="0055610F">
        <w:rPr>
          <w:sz w:val="22"/>
          <w:szCs w:val="22"/>
          <w:lang w:val="sr-Latn-ME"/>
        </w:rPr>
        <w:t>enu MMF</w:t>
      </w:r>
      <w:r w:rsidRPr="0055610F">
        <w:rPr>
          <w:sz w:val="22"/>
          <w:szCs w:val="22"/>
          <w:lang w:val="sr-Latn-ME"/>
        </w:rPr>
        <w:noBreakHyphen/>
        <w:t>a u dozi od 2 g na dan tokom 52 ned</w:t>
      </w:r>
      <w:r w:rsidR="00594B3E" w:rsidRPr="0055610F">
        <w:rPr>
          <w:sz w:val="22"/>
          <w:szCs w:val="22"/>
          <w:lang w:val="sr-Latn-ME"/>
        </w:rPr>
        <w:t>j</w:t>
      </w:r>
      <w:r w:rsidRPr="0055610F">
        <w:rPr>
          <w:sz w:val="22"/>
          <w:szCs w:val="22"/>
          <w:lang w:val="sr-Latn-ME"/>
        </w:rPr>
        <w:t>elje u kombinaciji s prednizonom u peroralnoj dozi od 60 ili 80 mg, pri čemu je cilj bio postupno smanjiti dozu prednizona na 0 mg na dan do 24. ned</w:t>
      </w:r>
      <w:r w:rsidR="00594B3E" w:rsidRPr="0055610F">
        <w:rPr>
          <w:sz w:val="22"/>
          <w:szCs w:val="22"/>
          <w:lang w:val="sr-Latn-ME"/>
        </w:rPr>
        <w:t>j</w:t>
      </w:r>
      <w:r w:rsidRPr="0055610F">
        <w:rPr>
          <w:sz w:val="22"/>
          <w:szCs w:val="22"/>
          <w:lang w:val="sr-Latn-ME"/>
        </w:rPr>
        <w:t>elje.</w:t>
      </w:r>
    </w:p>
    <w:p w:rsidR="007B7C69" w:rsidRPr="0055610F" w:rsidRDefault="007B7C69" w:rsidP="004D5825">
      <w:pPr>
        <w:jc w:val="both"/>
        <w:outlineLvl w:val="0"/>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Primarni cilj za efikasnost u ovom ispitivanju bio je ocijeniti efikasnost lijeka MabThera u odnosu na MMF u 52. ned</w:t>
      </w:r>
      <w:r w:rsidR="00594B3E" w:rsidRPr="0055610F">
        <w:rPr>
          <w:sz w:val="22"/>
          <w:szCs w:val="22"/>
          <w:lang w:val="sr-Latn-ME"/>
        </w:rPr>
        <w:t>j</w:t>
      </w:r>
      <w:r w:rsidRPr="0055610F">
        <w:rPr>
          <w:sz w:val="22"/>
          <w:szCs w:val="22"/>
          <w:lang w:val="sr-Latn-ME"/>
        </w:rPr>
        <w:t>elji s obzirom na postizanje održane potpune remisije, koja se definisala kao potpuno zacjeljivanje lezija bez novih aktivnih lezija (tj. PDAI rezultat za aktivnost bolesti 0) uz 0 mg na dan prednizona ili ekvivalenta i održavanje tog odgovora tokom najmanje 16 uzastopnih ned</w:t>
      </w:r>
      <w:r w:rsidR="00AD1A2F" w:rsidRPr="0055610F">
        <w:rPr>
          <w:sz w:val="22"/>
          <w:szCs w:val="22"/>
          <w:lang w:val="sr-Latn-ME"/>
        </w:rPr>
        <w:t>j</w:t>
      </w:r>
      <w:r w:rsidRPr="0055610F">
        <w:rPr>
          <w:sz w:val="22"/>
          <w:szCs w:val="22"/>
          <w:lang w:val="sr-Latn-ME"/>
        </w:rPr>
        <w:t>elja za vrijeme 52</w:t>
      </w:r>
      <w:r w:rsidRPr="0055610F">
        <w:rPr>
          <w:sz w:val="22"/>
          <w:szCs w:val="22"/>
          <w:lang w:val="sr-Latn-ME"/>
        </w:rPr>
        <w:noBreakHyphen/>
        <w:t>ned</w:t>
      </w:r>
      <w:r w:rsidR="00AD1A2F" w:rsidRPr="0055610F">
        <w:rPr>
          <w:sz w:val="22"/>
          <w:szCs w:val="22"/>
          <w:lang w:val="sr-Latn-ME"/>
        </w:rPr>
        <w:t>j</w:t>
      </w:r>
      <w:r w:rsidRPr="0055610F">
        <w:rPr>
          <w:sz w:val="22"/>
          <w:szCs w:val="22"/>
          <w:lang w:val="sr-Latn-ME"/>
        </w:rPr>
        <w:t>eljnog razdoblja liječenja.</w:t>
      </w:r>
    </w:p>
    <w:p w:rsidR="007B7C69" w:rsidRPr="0055610F" w:rsidRDefault="007B7C69" w:rsidP="004D5825">
      <w:pPr>
        <w:jc w:val="both"/>
        <w:outlineLvl w:val="0"/>
        <w:rPr>
          <w:sz w:val="22"/>
          <w:szCs w:val="22"/>
          <w:lang w:val="sr-Latn-ME"/>
        </w:rPr>
      </w:pPr>
    </w:p>
    <w:p w:rsidR="007B7C69" w:rsidRPr="0055610F" w:rsidRDefault="007B7C69" w:rsidP="004D5825">
      <w:pPr>
        <w:keepNext/>
        <w:jc w:val="both"/>
        <w:outlineLvl w:val="0"/>
        <w:rPr>
          <w:i/>
          <w:sz w:val="22"/>
          <w:szCs w:val="22"/>
          <w:lang w:val="sr-Latn-ME"/>
        </w:rPr>
      </w:pPr>
      <w:r w:rsidRPr="0055610F">
        <w:rPr>
          <w:i/>
          <w:sz w:val="22"/>
          <w:szCs w:val="22"/>
          <w:lang w:val="sr-Latn-ME"/>
        </w:rPr>
        <w:t>Rezultati 2. </w:t>
      </w:r>
      <w:r w:rsidR="00CA6E91" w:rsidRPr="0055610F">
        <w:rPr>
          <w:i/>
          <w:sz w:val="22"/>
          <w:szCs w:val="22"/>
          <w:lang w:val="sr-Latn-ME"/>
        </w:rPr>
        <w:t>studija kod PV</w:t>
      </w:r>
    </w:p>
    <w:p w:rsidR="007B7C69" w:rsidRDefault="007B7C69" w:rsidP="004D5825">
      <w:pPr>
        <w:jc w:val="both"/>
        <w:outlineLvl w:val="0"/>
        <w:rPr>
          <w:sz w:val="22"/>
          <w:szCs w:val="22"/>
          <w:lang w:val="sr-Latn-ME"/>
        </w:rPr>
      </w:pPr>
      <w:r w:rsidRPr="0055610F">
        <w:rPr>
          <w:sz w:val="22"/>
          <w:szCs w:val="22"/>
          <w:lang w:val="sr-Latn-ME"/>
        </w:rPr>
        <w:t>Ispitivanje je pokazalo da je lijek MabThera bio superioran MMF</w:t>
      </w:r>
      <w:r w:rsidRPr="0055610F">
        <w:rPr>
          <w:sz w:val="22"/>
          <w:szCs w:val="22"/>
          <w:lang w:val="sr-Latn-ME"/>
        </w:rPr>
        <w:noBreakHyphen/>
        <w:t>u u kombinaciji s peroralno primijenjenim kortikosteroidima čija se doza postepeno smanjivala s obzirom na postizanje potpune remisije bez primjene kortikosteroida u trajanju od ≥ 16 ne</w:t>
      </w:r>
      <w:r w:rsidR="00AD1A2F" w:rsidRPr="0055610F">
        <w:rPr>
          <w:sz w:val="22"/>
          <w:szCs w:val="22"/>
          <w:lang w:val="sr-Latn-ME"/>
        </w:rPr>
        <w:t>dj</w:t>
      </w:r>
      <w:r w:rsidRPr="0055610F">
        <w:rPr>
          <w:sz w:val="22"/>
          <w:szCs w:val="22"/>
          <w:lang w:val="sr-Latn-ME"/>
        </w:rPr>
        <w:t>elja u 52. ned</w:t>
      </w:r>
      <w:r w:rsidR="00AD1A2F" w:rsidRPr="0055610F">
        <w:rPr>
          <w:sz w:val="22"/>
          <w:szCs w:val="22"/>
          <w:lang w:val="sr-Latn-ME"/>
        </w:rPr>
        <w:t>j</w:t>
      </w:r>
      <w:r w:rsidRPr="0055610F">
        <w:rPr>
          <w:sz w:val="22"/>
          <w:szCs w:val="22"/>
          <w:lang w:val="sr-Latn-ME"/>
        </w:rPr>
        <w:t>elju među pacijentima s PV (Tabela 23). Kod većine pacijenata iz prilagođene ITT populacije bolest je bila novodijagnostikovana (74%), dok je kod njih 26% bila dijagnostikovana ranije (trajanje bolesti ≥ 6 mjeseci i pri</w:t>
      </w:r>
      <w:r w:rsidR="007642DC">
        <w:rPr>
          <w:sz w:val="22"/>
          <w:szCs w:val="22"/>
          <w:lang w:val="sr-Latn-ME"/>
        </w:rPr>
        <w:t>ml</w:t>
      </w:r>
      <w:r w:rsidRPr="0055610F">
        <w:rPr>
          <w:sz w:val="22"/>
          <w:szCs w:val="22"/>
          <w:lang w:val="sr-Latn-ME"/>
        </w:rPr>
        <w:t>jeno prethodno liječenje za PV).</w:t>
      </w:r>
    </w:p>
    <w:p w:rsidR="00B2002A" w:rsidRPr="0018551C" w:rsidRDefault="00B2002A" w:rsidP="004D5825">
      <w:pPr>
        <w:jc w:val="both"/>
        <w:outlineLvl w:val="0"/>
        <w:rPr>
          <w:sz w:val="22"/>
          <w:szCs w:val="22"/>
        </w:rPr>
      </w:pPr>
    </w:p>
    <w:p w:rsidR="007B7C69" w:rsidRPr="0055610F" w:rsidRDefault="007B7C69" w:rsidP="004D5825">
      <w:pPr>
        <w:keepNext/>
        <w:jc w:val="both"/>
        <w:outlineLvl w:val="0"/>
        <w:rPr>
          <w:b/>
          <w:sz w:val="22"/>
          <w:szCs w:val="22"/>
          <w:lang w:val="sr-Latn-ME"/>
        </w:rPr>
      </w:pPr>
      <w:r w:rsidRPr="0055610F">
        <w:rPr>
          <w:b/>
          <w:sz w:val="22"/>
          <w:szCs w:val="22"/>
          <w:lang w:val="sr-Latn-ME"/>
        </w:rPr>
        <w:lastRenderedPageBreak/>
        <w:t xml:space="preserve">Tabela 23 </w:t>
      </w:r>
      <w:r w:rsidRPr="0055610F">
        <w:rPr>
          <w:b/>
          <w:sz w:val="22"/>
          <w:szCs w:val="22"/>
          <w:lang w:val="sr-Latn-ME"/>
        </w:rPr>
        <w:tab/>
        <w:t>Procenat pacijenata s PV koji su u 52. ned</w:t>
      </w:r>
      <w:r w:rsidR="00AD1A2F" w:rsidRPr="0055610F">
        <w:rPr>
          <w:b/>
          <w:sz w:val="22"/>
          <w:szCs w:val="22"/>
          <w:lang w:val="sr-Latn-ME"/>
        </w:rPr>
        <w:t>j</w:t>
      </w:r>
      <w:r w:rsidRPr="0055610F">
        <w:rPr>
          <w:b/>
          <w:sz w:val="22"/>
          <w:szCs w:val="22"/>
          <w:lang w:val="sr-Latn-ME"/>
        </w:rPr>
        <w:t>elj</w:t>
      </w:r>
      <w:r w:rsidR="003468E1">
        <w:rPr>
          <w:b/>
          <w:sz w:val="22"/>
          <w:szCs w:val="22"/>
          <w:lang w:val="sr-Latn-ME"/>
        </w:rPr>
        <w:t>i</w:t>
      </w:r>
      <w:r w:rsidRPr="0055610F">
        <w:rPr>
          <w:b/>
          <w:sz w:val="22"/>
          <w:szCs w:val="22"/>
          <w:lang w:val="sr-Latn-ME"/>
        </w:rPr>
        <w:t xml:space="preserve"> ostvarili održanu potpunu remisiju bez primjene kortikosteroida u trajanju od 16 ned</w:t>
      </w:r>
      <w:r w:rsidR="00AD1A2F" w:rsidRPr="0055610F">
        <w:rPr>
          <w:b/>
          <w:sz w:val="22"/>
          <w:szCs w:val="22"/>
          <w:lang w:val="sr-Latn-ME"/>
        </w:rPr>
        <w:t>j</w:t>
      </w:r>
      <w:r w:rsidRPr="0055610F">
        <w:rPr>
          <w:b/>
          <w:sz w:val="22"/>
          <w:szCs w:val="22"/>
          <w:lang w:val="sr-Latn-ME"/>
        </w:rPr>
        <w:t>elja ili više (modifikovana populacija predviđena za liječenje)</w:t>
      </w:r>
    </w:p>
    <w:p w:rsidR="007B7C69" w:rsidRPr="0055610F" w:rsidRDefault="007B7C69" w:rsidP="004D5825">
      <w:pPr>
        <w:keepNext/>
        <w:jc w:val="both"/>
        <w:outlineLvl w:val="0"/>
        <w:rPr>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9"/>
        <w:gridCol w:w="1655"/>
        <w:gridCol w:w="1198"/>
        <w:gridCol w:w="2600"/>
        <w:gridCol w:w="1316"/>
      </w:tblGrid>
      <w:tr w:rsidR="007B7C69" w:rsidRPr="007642DC" w:rsidTr="007B7C69">
        <w:trPr>
          <w:cantSplit/>
        </w:trPr>
        <w:tc>
          <w:tcPr>
            <w:tcW w:w="1209" w:type="pct"/>
            <w:tcBorders>
              <w:top w:val="single" w:sz="4" w:space="0" w:color="auto"/>
              <w:left w:val="single" w:sz="4" w:space="0" w:color="auto"/>
              <w:bottom w:val="single" w:sz="4" w:space="0" w:color="auto"/>
              <w:right w:val="single" w:sz="4" w:space="0" w:color="auto"/>
            </w:tcBorders>
          </w:tcPr>
          <w:p w:rsidR="007B7C69" w:rsidRPr="0055610F" w:rsidRDefault="007B7C69" w:rsidP="004D5825">
            <w:pPr>
              <w:keepNext/>
              <w:jc w:val="both"/>
              <w:outlineLvl w:val="0"/>
              <w:rPr>
                <w:sz w:val="22"/>
                <w:szCs w:val="22"/>
                <w:lang w:val="sr-Latn-ME"/>
              </w:rPr>
            </w:pPr>
          </w:p>
        </w:tc>
        <w:tc>
          <w:tcPr>
            <w:tcW w:w="927" w:type="pct"/>
            <w:tcBorders>
              <w:top w:val="single" w:sz="4" w:space="0" w:color="auto"/>
              <w:left w:val="single" w:sz="4" w:space="0" w:color="auto"/>
              <w:bottom w:val="single" w:sz="4" w:space="0" w:color="auto"/>
              <w:right w:val="single" w:sz="4" w:space="0" w:color="auto"/>
            </w:tcBorders>
            <w:hideMark/>
          </w:tcPr>
          <w:p w:rsidR="007B7C69" w:rsidRPr="0055610F" w:rsidRDefault="007B7C69" w:rsidP="0055610F">
            <w:pPr>
              <w:keepNext/>
              <w:jc w:val="center"/>
              <w:outlineLvl w:val="0"/>
              <w:rPr>
                <w:sz w:val="22"/>
                <w:szCs w:val="22"/>
                <w:lang w:val="sr-Latn-ME"/>
              </w:rPr>
            </w:pPr>
            <w:r w:rsidRPr="0055610F">
              <w:rPr>
                <w:sz w:val="22"/>
                <w:szCs w:val="22"/>
                <w:lang w:val="sr-Latn-ME"/>
              </w:rPr>
              <w:t>MabThera</w:t>
            </w:r>
            <w:r w:rsidRPr="0055610F">
              <w:rPr>
                <w:sz w:val="22"/>
                <w:szCs w:val="22"/>
                <w:lang w:val="sr-Latn-ME"/>
              </w:rPr>
              <w:br/>
              <w:t>(N=62)</w:t>
            </w:r>
          </w:p>
        </w:tc>
        <w:tc>
          <w:tcPr>
            <w:tcW w:w="671" w:type="pct"/>
            <w:tcBorders>
              <w:top w:val="single" w:sz="4" w:space="0" w:color="auto"/>
              <w:left w:val="single" w:sz="4" w:space="0" w:color="auto"/>
              <w:bottom w:val="single" w:sz="4" w:space="0" w:color="auto"/>
              <w:right w:val="single" w:sz="4" w:space="0" w:color="auto"/>
            </w:tcBorders>
            <w:hideMark/>
          </w:tcPr>
          <w:p w:rsidR="007B7C69" w:rsidRPr="0055610F" w:rsidRDefault="007B7C69" w:rsidP="0055610F">
            <w:pPr>
              <w:keepNext/>
              <w:jc w:val="center"/>
              <w:outlineLvl w:val="0"/>
              <w:rPr>
                <w:sz w:val="22"/>
                <w:szCs w:val="22"/>
                <w:lang w:val="sr-Latn-ME"/>
              </w:rPr>
            </w:pPr>
            <w:r w:rsidRPr="0055610F">
              <w:rPr>
                <w:sz w:val="22"/>
                <w:szCs w:val="22"/>
                <w:lang w:val="sr-Latn-ME"/>
              </w:rPr>
              <w:t>MMF</w:t>
            </w:r>
            <w:r w:rsidRPr="0055610F">
              <w:rPr>
                <w:sz w:val="22"/>
                <w:szCs w:val="22"/>
                <w:lang w:val="sr-Latn-ME"/>
              </w:rPr>
              <w:br/>
              <w:t>(N=63)</w:t>
            </w:r>
          </w:p>
        </w:tc>
        <w:tc>
          <w:tcPr>
            <w:tcW w:w="1456" w:type="pct"/>
            <w:tcBorders>
              <w:top w:val="single" w:sz="4" w:space="0" w:color="auto"/>
              <w:left w:val="single" w:sz="4" w:space="0" w:color="auto"/>
              <w:bottom w:val="single" w:sz="4" w:space="0" w:color="auto"/>
              <w:right w:val="single" w:sz="4" w:space="0" w:color="auto"/>
            </w:tcBorders>
            <w:hideMark/>
          </w:tcPr>
          <w:p w:rsidR="007B7C69" w:rsidRPr="0055610F" w:rsidRDefault="007B7C69" w:rsidP="0055610F">
            <w:pPr>
              <w:keepNext/>
              <w:jc w:val="center"/>
              <w:outlineLvl w:val="0"/>
              <w:rPr>
                <w:sz w:val="22"/>
                <w:szCs w:val="22"/>
                <w:lang w:val="sr-Latn-ME"/>
              </w:rPr>
            </w:pPr>
            <w:r w:rsidRPr="0055610F">
              <w:rPr>
                <w:sz w:val="22"/>
                <w:szCs w:val="22"/>
                <w:lang w:val="sr-Latn-ME"/>
              </w:rPr>
              <w:t>Razlika (95% CI)</w:t>
            </w:r>
          </w:p>
        </w:tc>
        <w:tc>
          <w:tcPr>
            <w:tcW w:w="738" w:type="pct"/>
            <w:tcBorders>
              <w:top w:val="single" w:sz="4" w:space="0" w:color="auto"/>
              <w:left w:val="single" w:sz="4" w:space="0" w:color="auto"/>
              <w:bottom w:val="single" w:sz="4" w:space="0" w:color="auto"/>
              <w:right w:val="single" w:sz="4" w:space="0" w:color="auto"/>
            </w:tcBorders>
            <w:hideMark/>
          </w:tcPr>
          <w:p w:rsidR="007B7C69" w:rsidRPr="0055610F" w:rsidRDefault="007B7C69" w:rsidP="0055610F">
            <w:pPr>
              <w:keepNext/>
              <w:jc w:val="center"/>
              <w:outlineLvl w:val="0"/>
              <w:rPr>
                <w:sz w:val="22"/>
                <w:szCs w:val="22"/>
                <w:lang w:val="sr-Latn-ME"/>
              </w:rPr>
            </w:pPr>
            <w:r w:rsidRPr="0055610F">
              <w:rPr>
                <w:sz w:val="22"/>
                <w:szCs w:val="22"/>
                <w:lang w:val="sr-Latn-ME"/>
              </w:rPr>
              <w:t>p-vrijednost</w:t>
            </w:r>
          </w:p>
        </w:tc>
      </w:tr>
      <w:tr w:rsidR="007B7C69" w:rsidRPr="007642DC" w:rsidTr="007B7C69">
        <w:trPr>
          <w:cantSplit/>
        </w:trPr>
        <w:tc>
          <w:tcPr>
            <w:tcW w:w="1209" w:type="pct"/>
            <w:tcBorders>
              <w:top w:val="single" w:sz="4" w:space="0" w:color="auto"/>
              <w:left w:val="single" w:sz="4" w:space="0" w:color="auto"/>
              <w:bottom w:val="single" w:sz="4" w:space="0" w:color="auto"/>
              <w:right w:val="single" w:sz="4" w:space="0" w:color="auto"/>
            </w:tcBorders>
          </w:tcPr>
          <w:p w:rsidR="007B7C69" w:rsidRPr="0055610F" w:rsidRDefault="007B7C69" w:rsidP="004D5825">
            <w:pPr>
              <w:keepNext/>
              <w:jc w:val="both"/>
              <w:outlineLvl w:val="0"/>
              <w:rPr>
                <w:sz w:val="22"/>
                <w:szCs w:val="22"/>
                <w:lang w:val="sr-Latn-ME"/>
              </w:rPr>
            </w:pPr>
            <w:r w:rsidRPr="0055610F">
              <w:rPr>
                <w:sz w:val="22"/>
                <w:szCs w:val="22"/>
                <w:lang w:val="sr-Latn-ME"/>
              </w:rPr>
              <w:t>Broj pacijenata s odgovorom</w:t>
            </w:r>
          </w:p>
          <w:p w:rsidR="007B7C69" w:rsidRPr="0055610F" w:rsidRDefault="007B7C69" w:rsidP="004D5825">
            <w:pPr>
              <w:keepNext/>
              <w:jc w:val="both"/>
              <w:outlineLvl w:val="0"/>
              <w:rPr>
                <w:sz w:val="22"/>
                <w:szCs w:val="22"/>
                <w:lang w:val="sr-Latn-ME"/>
              </w:rPr>
            </w:pPr>
            <w:r w:rsidRPr="0055610F">
              <w:rPr>
                <w:sz w:val="22"/>
                <w:szCs w:val="22"/>
                <w:lang w:val="sr-Latn-ME"/>
              </w:rPr>
              <w:t>(stopa odgovora [%])</w:t>
            </w:r>
          </w:p>
          <w:p w:rsidR="00AD1A2F" w:rsidRPr="0055610F" w:rsidRDefault="00AD1A2F" w:rsidP="004D5825">
            <w:pPr>
              <w:keepNext/>
              <w:jc w:val="both"/>
              <w:outlineLvl w:val="0"/>
              <w:rPr>
                <w:sz w:val="22"/>
                <w:szCs w:val="22"/>
                <w:lang w:val="sr-Latn-ME"/>
              </w:rPr>
            </w:pPr>
          </w:p>
          <w:p w:rsidR="007B7C69" w:rsidRPr="0055610F" w:rsidRDefault="007B7C69" w:rsidP="0055610F">
            <w:pPr>
              <w:keepNext/>
              <w:jc w:val="both"/>
              <w:outlineLvl w:val="0"/>
              <w:rPr>
                <w:sz w:val="22"/>
                <w:szCs w:val="22"/>
                <w:lang w:val="sr-Latn-ME"/>
              </w:rPr>
            </w:pPr>
            <w:r w:rsidRPr="0055610F">
              <w:rPr>
                <w:sz w:val="22"/>
                <w:szCs w:val="22"/>
                <w:lang w:val="sr-Latn-ME"/>
              </w:rPr>
              <w:t xml:space="preserve">Pacijenti s novodijagnosticiranom bolešću </w:t>
            </w:r>
          </w:p>
          <w:p w:rsidR="00AD1A2F" w:rsidRPr="0055610F" w:rsidRDefault="00AD1A2F" w:rsidP="004D5825">
            <w:pPr>
              <w:keepNext/>
              <w:jc w:val="both"/>
              <w:outlineLvl w:val="0"/>
              <w:rPr>
                <w:sz w:val="22"/>
                <w:szCs w:val="22"/>
                <w:lang w:val="sr-Latn-ME"/>
              </w:rPr>
            </w:pPr>
          </w:p>
          <w:p w:rsidR="007B7C69" w:rsidRPr="0055610F" w:rsidRDefault="007B7C69" w:rsidP="0055610F">
            <w:pPr>
              <w:keepNext/>
              <w:jc w:val="both"/>
              <w:outlineLvl w:val="0"/>
              <w:rPr>
                <w:sz w:val="22"/>
                <w:szCs w:val="22"/>
                <w:lang w:val="sr-Latn-ME"/>
              </w:rPr>
            </w:pPr>
            <w:r w:rsidRPr="0055610F">
              <w:rPr>
                <w:sz w:val="22"/>
                <w:szCs w:val="22"/>
                <w:lang w:val="sr-Latn-ME"/>
              </w:rPr>
              <w:t>Pacijenti s otprije dijagnosticiranom bolešću</w:t>
            </w:r>
          </w:p>
        </w:tc>
        <w:tc>
          <w:tcPr>
            <w:tcW w:w="927" w:type="pct"/>
            <w:tcBorders>
              <w:top w:val="single" w:sz="4" w:space="0" w:color="auto"/>
              <w:left w:val="single" w:sz="4" w:space="0" w:color="auto"/>
              <w:bottom w:val="single" w:sz="4" w:space="0" w:color="auto"/>
              <w:right w:val="single" w:sz="4" w:space="0" w:color="auto"/>
            </w:tcBorders>
          </w:tcPr>
          <w:p w:rsidR="007B7C69" w:rsidRPr="0055610F" w:rsidRDefault="007B7C69" w:rsidP="004D5825">
            <w:pPr>
              <w:keepNext/>
              <w:jc w:val="both"/>
              <w:outlineLvl w:val="0"/>
              <w:rPr>
                <w:sz w:val="22"/>
                <w:szCs w:val="22"/>
                <w:lang w:val="sr-Latn-ME"/>
              </w:rPr>
            </w:pPr>
            <w:r w:rsidRPr="0055610F">
              <w:rPr>
                <w:sz w:val="22"/>
                <w:szCs w:val="22"/>
                <w:lang w:val="sr-Latn-ME"/>
              </w:rPr>
              <w:t>25 (40,3%)</w:t>
            </w:r>
          </w:p>
          <w:p w:rsidR="007B7C69" w:rsidRPr="0055610F" w:rsidRDefault="007B7C69" w:rsidP="004D5825">
            <w:pPr>
              <w:keepNext/>
              <w:jc w:val="both"/>
              <w:outlineLvl w:val="0"/>
              <w:rPr>
                <w:sz w:val="22"/>
                <w:szCs w:val="22"/>
                <w:lang w:val="sr-Latn-ME"/>
              </w:rPr>
            </w:pPr>
          </w:p>
          <w:p w:rsidR="007B7C69" w:rsidRPr="0055610F" w:rsidRDefault="007B7C69" w:rsidP="004D5825">
            <w:pPr>
              <w:keepNext/>
              <w:jc w:val="both"/>
              <w:outlineLvl w:val="0"/>
              <w:rPr>
                <w:sz w:val="22"/>
                <w:szCs w:val="22"/>
                <w:lang w:val="sr-Latn-ME"/>
              </w:rPr>
            </w:pPr>
          </w:p>
          <w:p w:rsidR="007B7C69" w:rsidRPr="0055610F" w:rsidRDefault="007B7C69" w:rsidP="004D5825">
            <w:pPr>
              <w:keepNext/>
              <w:jc w:val="both"/>
              <w:outlineLvl w:val="0"/>
              <w:rPr>
                <w:sz w:val="22"/>
                <w:szCs w:val="22"/>
                <w:lang w:val="sr-Latn-ME"/>
              </w:rPr>
            </w:pPr>
          </w:p>
          <w:p w:rsidR="00AD1A2F" w:rsidRPr="0055610F" w:rsidRDefault="00AD1A2F" w:rsidP="004D5825">
            <w:pPr>
              <w:keepNext/>
              <w:jc w:val="both"/>
              <w:outlineLvl w:val="0"/>
              <w:rPr>
                <w:sz w:val="22"/>
                <w:szCs w:val="22"/>
                <w:lang w:val="sr-Latn-ME"/>
              </w:rPr>
            </w:pPr>
          </w:p>
          <w:p w:rsidR="00AD1A2F" w:rsidRPr="0055610F" w:rsidRDefault="00AD1A2F" w:rsidP="004D5825">
            <w:pPr>
              <w:keepNext/>
              <w:jc w:val="both"/>
              <w:outlineLvl w:val="0"/>
              <w:rPr>
                <w:sz w:val="22"/>
                <w:szCs w:val="22"/>
                <w:lang w:val="sr-Latn-ME"/>
              </w:rPr>
            </w:pPr>
          </w:p>
          <w:p w:rsidR="007B7C69" w:rsidRPr="0055610F" w:rsidRDefault="007B7C69" w:rsidP="004D5825">
            <w:pPr>
              <w:keepNext/>
              <w:jc w:val="both"/>
              <w:outlineLvl w:val="0"/>
              <w:rPr>
                <w:sz w:val="22"/>
                <w:szCs w:val="22"/>
                <w:lang w:val="sr-Latn-ME"/>
              </w:rPr>
            </w:pPr>
            <w:r w:rsidRPr="0055610F">
              <w:rPr>
                <w:sz w:val="22"/>
                <w:szCs w:val="22"/>
                <w:lang w:val="sr-Latn-ME"/>
              </w:rPr>
              <w:t>19 (39,6%)</w:t>
            </w:r>
          </w:p>
          <w:p w:rsidR="007B7C69" w:rsidRPr="0055610F" w:rsidRDefault="007B7C69" w:rsidP="004D5825">
            <w:pPr>
              <w:keepNext/>
              <w:jc w:val="both"/>
              <w:outlineLvl w:val="0"/>
              <w:rPr>
                <w:sz w:val="22"/>
                <w:szCs w:val="22"/>
                <w:lang w:val="sr-Latn-ME"/>
              </w:rPr>
            </w:pPr>
          </w:p>
          <w:p w:rsidR="007B7C69" w:rsidRPr="0055610F" w:rsidRDefault="007B7C69" w:rsidP="004D5825">
            <w:pPr>
              <w:keepNext/>
              <w:jc w:val="both"/>
              <w:outlineLvl w:val="0"/>
              <w:rPr>
                <w:sz w:val="22"/>
                <w:szCs w:val="22"/>
                <w:lang w:val="sr-Latn-ME"/>
              </w:rPr>
            </w:pPr>
          </w:p>
          <w:p w:rsidR="007B7C69" w:rsidRPr="0055610F" w:rsidRDefault="007B7C69" w:rsidP="004D5825">
            <w:pPr>
              <w:keepNext/>
              <w:jc w:val="both"/>
              <w:outlineLvl w:val="0"/>
              <w:rPr>
                <w:sz w:val="22"/>
                <w:szCs w:val="22"/>
                <w:lang w:val="sr-Latn-ME"/>
              </w:rPr>
            </w:pPr>
          </w:p>
          <w:p w:rsidR="007B7C69" w:rsidRPr="0055610F" w:rsidRDefault="007B7C69" w:rsidP="004D5825">
            <w:pPr>
              <w:keepNext/>
              <w:jc w:val="both"/>
              <w:outlineLvl w:val="0"/>
              <w:rPr>
                <w:sz w:val="22"/>
                <w:szCs w:val="22"/>
                <w:lang w:val="sr-Latn-ME"/>
              </w:rPr>
            </w:pPr>
            <w:r w:rsidRPr="0055610F">
              <w:rPr>
                <w:sz w:val="22"/>
                <w:szCs w:val="22"/>
                <w:lang w:val="sr-Latn-ME"/>
              </w:rPr>
              <w:t>6 (42,9%)</w:t>
            </w:r>
          </w:p>
        </w:tc>
        <w:tc>
          <w:tcPr>
            <w:tcW w:w="671" w:type="pct"/>
            <w:tcBorders>
              <w:top w:val="single" w:sz="4" w:space="0" w:color="auto"/>
              <w:left w:val="single" w:sz="4" w:space="0" w:color="auto"/>
              <w:bottom w:val="single" w:sz="4" w:space="0" w:color="auto"/>
              <w:right w:val="single" w:sz="4" w:space="0" w:color="auto"/>
            </w:tcBorders>
          </w:tcPr>
          <w:p w:rsidR="007B7C69" w:rsidRPr="0055610F" w:rsidRDefault="007B7C69" w:rsidP="004D5825">
            <w:pPr>
              <w:keepNext/>
              <w:jc w:val="both"/>
              <w:outlineLvl w:val="0"/>
              <w:rPr>
                <w:sz w:val="22"/>
                <w:szCs w:val="22"/>
                <w:lang w:val="sr-Latn-ME"/>
              </w:rPr>
            </w:pPr>
            <w:r w:rsidRPr="0055610F">
              <w:rPr>
                <w:sz w:val="22"/>
                <w:szCs w:val="22"/>
                <w:lang w:val="sr-Latn-ME"/>
              </w:rPr>
              <w:t>6 (9,5%)</w:t>
            </w:r>
          </w:p>
          <w:p w:rsidR="007B7C69" w:rsidRPr="0055610F" w:rsidRDefault="007B7C69" w:rsidP="004D5825">
            <w:pPr>
              <w:keepNext/>
              <w:jc w:val="both"/>
              <w:outlineLvl w:val="0"/>
              <w:rPr>
                <w:sz w:val="22"/>
                <w:szCs w:val="22"/>
                <w:lang w:val="sr-Latn-ME"/>
              </w:rPr>
            </w:pPr>
          </w:p>
          <w:p w:rsidR="007B7C69" w:rsidRPr="0055610F" w:rsidRDefault="007B7C69" w:rsidP="004D5825">
            <w:pPr>
              <w:keepNext/>
              <w:jc w:val="both"/>
              <w:outlineLvl w:val="0"/>
              <w:rPr>
                <w:sz w:val="22"/>
                <w:szCs w:val="22"/>
                <w:lang w:val="sr-Latn-ME"/>
              </w:rPr>
            </w:pPr>
          </w:p>
          <w:p w:rsidR="007B7C69" w:rsidRPr="0055610F" w:rsidRDefault="007B7C69" w:rsidP="004D5825">
            <w:pPr>
              <w:keepNext/>
              <w:jc w:val="both"/>
              <w:outlineLvl w:val="0"/>
              <w:rPr>
                <w:sz w:val="22"/>
                <w:szCs w:val="22"/>
                <w:lang w:val="sr-Latn-ME"/>
              </w:rPr>
            </w:pPr>
          </w:p>
          <w:p w:rsidR="00AD1A2F" w:rsidRPr="0055610F" w:rsidRDefault="00AD1A2F" w:rsidP="004D5825">
            <w:pPr>
              <w:keepNext/>
              <w:jc w:val="both"/>
              <w:outlineLvl w:val="0"/>
              <w:rPr>
                <w:sz w:val="22"/>
                <w:szCs w:val="22"/>
                <w:lang w:val="sr-Latn-ME"/>
              </w:rPr>
            </w:pPr>
          </w:p>
          <w:p w:rsidR="00AD1A2F" w:rsidRPr="0055610F" w:rsidRDefault="00AD1A2F" w:rsidP="004D5825">
            <w:pPr>
              <w:keepNext/>
              <w:jc w:val="both"/>
              <w:outlineLvl w:val="0"/>
              <w:rPr>
                <w:sz w:val="22"/>
                <w:szCs w:val="22"/>
                <w:lang w:val="sr-Latn-ME"/>
              </w:rPr>
            </w:pPr>
          </w:p>
          <w:p w:rsidR="007B7C69" w:rsidRPr="0055610F" w:rsidRDefault="007B7C69" w:rsidP="004D5825">
            <w:pPr>
              <w:keepNext/>
              <w:jc w:val="both"/>
              <w:outlineLvl w:val="0"/>
              <w:rPr>
                <w:sz w:val="22"/>
                <w:szCs w:val="22"/>
                <w:lang w:val="sr-Latn-ME"/>
              </w:rPr>
            </w:pPr>
            <w:r w:rsidRPr="0055610F">
              <w:rPr>
                <w:sz w:val="22"/>
                <w:szCs w:val="22"/>
                <w:lang w:val="sr-Latn-ME"/>
              </w:rPr>
              <w:t>4 (9,1%)</w:t>
            </w:r>
          </w:p>
          <w:p w:rsidR="007B7C69" w:rsidRPr="0055610F" w:rsidRDefault="007B7C69" w:rsidP="004D5825">
            <w:pPr>
              <w:keepNext/>
              <w:jc w:val="both"/>
              <w:outlineLvl w:val="0"/>
              <w:rPr>
                <w:sz w:val="22"/>
                <w:szCs w:val="22"/>
                <w:lang w:val="sr-Latn-ME"/>
              </w:rPr>
            </w:pPr>
          </w:p>
          <w:p w:rsidR="007B7C69" w:rsidRPr="0055610F" w:rsidRDefault="007B7C69" w:rsidP="004D5825">
            <w:pPr>
              <w:keepNext/>
              <w:jc w:val="both"/>
              <w:outlineLvl w:val="0"/>
              <w:rPr>
                <w:sz w:val="22"/>
                <w:szCs w:val="22"/>
                <w:lang w:val="sr-Latn-ME"/>
              </w:rPr>
            </w:pPr>
          </w:p>
          <w:p w:rsidR="007B7C69" w:rsidRPr="0055610F" w:rsidRDefault="007B7C69" w:rsidP="004D5825">
            <w:pPr>
              <w:keepNext/>
              <w:jc w:val="both"/>
              <w:outlineLvl w:val="0"/>
              <w:rPr>
                <w:sz w:val="22"/>
                <w:szCs w:val="22"/>
                <w:lang w:val="sr-Latn-ME"/>
              </w:rPr>
            </w:pPr>
          </w:p>
          <w:p w:rsidR="007B7C69" w:rsidRPr="0055610F" w:rsidRDefault="007B7C69" w:rsidP="004D5825">
            <w:pPr>
              <w:keepNext/>
              <w:jc w:val="both"/>
              <w:outlineLvl w:val="0"/>
              <w:rPr>
                <w:sz w:val="22"/>
                <w:szCs w:val="22"/>
                <w:lang w:val="sr-Latn-ME"/>
              </w:rPr>
            </w:pPr>
            <w:r w:rsidRPr="0055610F">
              <w:rPr>
                <w:sz w:val="22"/>
                <w:szCs w:val="22"/>
                <w:lang w:val="sr-Latn-ME"/>
              </w:rPr>
              <w:t>2 (10,5%)</w:t>
            </w:r>
          </w:p>
        </w:tc>
        <w:tc>
          <w:tcPr>
            <w:tcW w:w="1456" w:type="pct"/>
            <w:tcBorders>
              <w:top w:val="single" w:sz="4" w:space="0" w:color="auto"/>
              <w:left w:val="single" w:sz="4" w:space="0" w:color="auto"/>
              <w:bottom w:val="single" w:sz="4" w:space="0" w:color="auto"/>
              <w:right w:val="single" w:sz="4" w:space="0" w:color="auto"/>
            </w:tcBorders>
            <w:hideMark/>
          </w:tcPr>
          <w:p w:rsidR="007B7C69" w:rsidRPr="0055610F" w:rsidRDefault="007B7C69" w:rsidP="0055610F">
            <w:pPr>
              <w:keepNext/>
              <w:outlineLvl w:val="0"/>
              <w:rPr>
                <w:sz w:val="22"/>
                <w:szCs w:val="22"/>
                <w:lang w:val="sr-Latn-ME"/>
              </w:rPr>
            </w:pPr>
            <w:r w:rsidRPr="0055610F">
              <w:rPr>
                <w:sz w:val="22"/>
                <w:szCs w:val="22"/>
                <w:lang w:val="sr-Latn-ME"/>
              </w:rPr>
              <w:t xml:space="preserve">30,80% </w:t>
            </w:r>
            <w:r w:rsidR="00AD1A2F" w:rsidRPr="0055610F">
              <w:rPr>
                <w:sz w:val="22"/>
                <w:szCs w:val="22"/>
                <w:lang w:val="sr-Latn-ME"/>
              </w:rPr>
              <w:t>(1</w:t>
            </w:r>
            <w:r w:rsidRPr="0055610F">
              <w:rPr>
                <w:sz w:val="22"/>
                <w:szCs w:val="22"/>
                <w:lang w:val="sr-Latn-ME"/>
              </w:rPr>
              <w:t>4,70%; 45,15%)</w:t>
            </w:r>
          </w:p>
        </w:tc>
        <w:tc>
          <w:tcPr>
            <w:tcW w:w="738" w:type="pct"/>
            <w:tcBorders>
              <w:top w:val="single" w:sz="4" w:space="0" w:color="auto"/>
              <w:left w:val="single" w:sz="4" w:space="0" w:color="auto"/>
              <w:bottom w:val="single" w:sz="4" w:space="0" w:color="auto"/>
              <w:right w:val="single" w:sz="4" w:space="0" w:color="auto"/>
            </w:tcBorders>
            <w:hideMark/>
          </w:tcPr>
          <w:p w:rsidR="007B7C69" w:rsidRPr="0055610F" w:rsidRDefault="007B7C69" w:rsidP="004D5825">
            <w:pPr>
              <w:keepNext/>
              <w:jc w:val="both"/>
              <w:outlineLvl w:val="0"/>
              <w:rPr>
                <w:sz w:val="22"/>
                <w:szCs w:val="22"/>
                <w:lang w:val="sr-Latn-ME"/>
              </w:rPr>
            </w:pPr>
            <w:r w:rsidRPr="0055610F">
              <w:rPr>
                <w:sz w:val="22"/>
                <w:szCs w:val="22"/>
                <w:lang w:val="sr-Latn-ME"/>
              </w:rPr>
              <w:t>&lt; 0,0001</w:t>
            </w:r>
          </w:p>
        </w:tc>
      </w:tr>
      <w:tr w:rsidR="007B7C69" w:rsidRPr="00FB34CE" w:rsidTr="007B7C69">
        <w:trPr>
          <w:cantSplit/>
        </w:trPr>
        <w:tc>
          <w:tcPr>
            <w:tcW w:w="5000" w:type="pct"/>
            <w:gridSpan w:val="5"/>
            <w:tcBorders>
              <w:top w:val="single" w:sz="4" w:space="0" w:color="auto"/>
              <w:left w:val="single" w:sz="4" w:space="0" w:color="auto"/>
              <w:bottom w:val="single" w:sz="4" w:space="0" w:color="auto"/>
              <w:right w:val="single" w:sz="4" w:space="0" w:color="auto"/>
            </w:tcBorders>
            <w:hideMark/>
          </w:tcPr>
          <w:p w:rsidR="007B7C69" w:rsidRPr="0055610F" w:rsidRDefault="007B7C69" w:rsidP="004D5825">
            <w:pPr>
              <w:keepNext/>
              <w:jc w:val="both"/>
              <w:outlineLvl w:val="0"/>
              <w:rPr>
                <w:sz w:val="22"/>
                <w:szCs w:val="22"/>
                <w:lang w:val="sr-Latn-ME"/>
              </w:rPr>
            </w:pPr>
            <w:r w:rsidRPr="0055610F">
              <w:rPr>
                <w:sz w:val="22"/>
                <w:szCs w:val="22"/>
                <w:lang w:val="sr-Latn-ME"/>
              </w:rPr>
              <w:t xml:space="preserve">MMF = mofetilmikofenolat; CI = interval pouzdanosti. </w:t>
            </w:r>
          </w:p>
          <w:p w:rsidR="007B7C69" w:rsidRPr="0055610F" w:rsidRDefault="007B7C69" w:rsidP="004D5825">
            <w:pPr>
              <w:keepNext/>
              <w:jc w:val="both"/>
              <w:outlineLvl w:val="0"/>
              <w:rPr>
                <w:sz w:val="22"/>
                <w:szCs w:val="22"/>
                <w:lang w:val="sr-Latn-ME"/>
              </w:rPr>
            </w:pPr>
            <w:r w:rsidRPr="0055610F">
              <w:rPr>
                <w:sz w:val="22"/>
                <w:szCs w:val="22"/>
                <w:lang w:val="sr-Latn-ME"/>
              </w:rPr>
              <w:t>Pacijenti s novodijagnostikovan</w:t>
            </w:r>
            <w:r w:rsidR="003468E1">
              <w:rPr>
                <w:sz w:val="22"/>
                <w:szCs w:val="22"/>
                <w:lang w:val="sr-Latn-ME"/>
              </w:rPr>
              <w:t>o</w:t>
            </w:r>
            <w:r w:rsidRPr="0055610F">
              <w:rPr>
                <w:sz w:val="22"/>
                <w:szCs w:val="22"/>
                <w:lang w:val="sr-Latn-ME"/>
              </w:rPr>
              <w:t>m bolešću = trajanje bolesti &lt; 6 mjeseci ili bez prethodnog l</w:t>
            </w:r>
            <w:r w:rsidR="00AD1A2F" w:rsidRPr="0055610F">
              <w:rPr>
                <w:sz w:val="22"/>
                <w:szCs w:val="22"/>
                <w:lang w:val="sr-Latn-ME"/>
              </w:rPr>
              <w:t>ij</w:t>
            </w:r>
            <w:r w:rsidRPr="0055610F">
              <w:rPr>
                <w:sz w:val="22"/>
                <w:szCs w:val="22"/>
                <w:lang w:val="sr-Latn-ME"/>
              </w:rPr>
              <w:t>ečenja za PV.</w:t>
            </w:r>
          </w:p>
          <w:p w:rsidR="007B7C69" w:rsidRPr="0055610F" w:rsidRDefault="007B7C69" w:rsidP="004D5825">
            <w:pPr>
              <w:keepNext/>
              <w:jc w:val="both"/>
              <w:outlineLvl w:val="0"/>
              <w:rPr>
                <w:sz w:val="22"/>
                <w:szCs w:val="22"/>
                <w:lang w:val="sr-Latn-ME"/>
              </w:rPr>
            </w:pPr>
            <w:r w:rsidRPr="0055610F">
              <w:rPr>
                <w:sz w:val="22"/>
                <w:szCs w:val="22"/>
                <w:lang w:val="sr-Latn-ME"/>
              </w:rPr>
              <w:t xml:space="preserve">Pacijenti s </w:t>
            </w:r>
            <w:r w:rsidR="003468E1">
              <w:rPr>
                <w:sz w:val="22"/>
                <w:szCs w:val="22"/>
                <w:lang w:val="sr-Latn-ME"/>
              </w:rPr>
              <w:t>prethodno</w:t>
            </w:r>
            <w:r w:rsidR="003468E1" w:rsidRPr="0055610F">
              <w:rPr>
                <w:sz w:val="22"/>
                <w:szCs w:val="22"/>
                <w:lang w:val="sr-Latn-ME"/>
              </w:rPr>
              <w:t xml:space="preserve"> </w:t>
            </w:r>
            <w:r w:rsidRPr="0055610F">
              <w:rPr>
                <w:sz w:val="22"/>
                <w:szCs w:val="22"/>
                <w:lang w:val="sr-Latn-ME"/>
              </w:rPr>
              <w:t>dijagnosti</w:t>
            </w:r>
            <w:r w:rsidR="003468E1">
              <w:rPr>
                <w:sz w:val="22"/>
                <w:szCs w:val="22"/>
                <w:lang w:val="sr-Latn-ME"/>
              </w:rPr>
              <w:t>kovanom</w:t>
            </w:r>
            <w:r w:rsidRPr="0055610F">
              <w:rPr>
                <w:sz w:val="22"/>
                <w:szCs w:val="22"/>
                <w:lang w:val="sr-Latn-ME"/>
              </w:rPr>
              <w:t xml:space="preserve"> bolešću = trajanje bolesti ≥ 6 mjeseci i pri</w:t>
            </w:r>
            <w:r w:rsidR="007642DC">
              <w:rPr>
                <w:sz w:val="22"/>
                <w:szCs w:val="22"/>
                <w:lang w:val="sr-Latn-ME"/>
              </w:rPr>
              <w:t>ml</w:t>
            </w:r>
            <w:r w:rsidRPr="0055610F">
              <w:rPr>
                <w:sz w:val="22"/>
                <w:szCs w:val="22"/>
                <w:lang w:val="sr-Latn-ME"/>
              </w:rPr>
              <w:t>jeno prethodno l</w:t>
            </w:r>
            <w:r w:rsidR="00AD1A2F" w:rsidRPr="0055610F">
              <w:rPr>
                <w:sz w:val="22"/>
                <w:szCs w:val="22"/>
                <w:lang w:val="sr-Latn-ME"/>
              </w:rPr>
              <w:t>ij</w:t>
            </w:r>
            <w:r w:rsidRPr="0055610F">
              <w:rPr>
                <w:sz w:val="22"/>
                <w:szCs w:val="22"/>
                <w:lang w:val="sr-Latn-ME"/>
              </w:rPr>
              <w:t>ečenje za PV.</w:t>
            </w:r>
          </w:p>
          <w:p w:rsidR="007B7C69" w:rsidRPr="0055610F" w:rsidRDefault="007B7C69" w:rsidP="004D5825">
            <w:pPr>
              <w:keepNext/>
              <w:jc w:val="both"/>
              <w:outlineLvl w:val="0"/>
              <w:rPr>
                <w:sz w:val="22"/>
                <w:szCs w:val="22"/>
                <w:lang w:val="sr-Latn-ME"/>
              </w:rPr>
            </w:pPr>
            <w:r w:rsidRPr="0055610F">
              <w:rPr>
                <w:sz w:val="22"/>
                <w:szCs w:val="22"/>
                <w:lang w:val="sr-Latn-ME"/>
              </w:rPr>
              <w:t>Za p</w:t>
            </w:r>
            <w:r w:rsidRPr="0055610F">
              <w:rPr>
                <w:sz w:val="22"/>
                <w:szCs w:val="22"/>
                <w:lang w:val="sr-Latn-ME"/>
              </w:rPr>
              <w:noBreakHyphen/>
              <w:t xml:space="preserve">vrijednost koristio se Cochran-Mantel-Haenszelov test. </w:t>
            </w:r>
          </w:p>
        </w:tc>
      </w:tr>
    </w:tbl>
    <w:p w:rsidR="007B7C69" w:rsidRPr="0055610F" w:rsidRDefault="007B7C69" w:rsidP="004D5825">
      <w:pPr>
        <w:jc w:val="both"/>
        <w:outlineLvl w:val="0"/>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 xml:space="preserve">Analiza svih sekundarnih parametara (uključujući kumulativnu peroralnu dozu kortikosteroida, ukupan broj epizoda razbuktavanja bolesti i promjenu kvaliteta života vezane uz zdravlje mjerene indeksom kvaliteta života kod dermatoloških bolesti [engl. </w:t>
      </w:r>
      <w:r w:rsidRPr="0055610F">
        <w:rPr>
          <w:i/>
          <w:sz w:val="22"/>
          <w:szCs w:val="22"/>
          <w:lang w:val="sr-Latn-ME"/>
        </w:rPr>
        <w:t>Dermatology Life Quality Index</w:t>
      </w:r>
      <w:r w:rsidRPr="0055610F">
        <w:rPr>
          <w:sz w:val="22"/>
          <w:szCs w:val="22"/>
          <w:lang w:val="sr-Latn-ME"/>
        </w:rPr>
        <w:t>, DLQI]) potvrdila je statistički značajne rezultate liječenja lijekom MabThera u odnosu na MMF. Testiranje sekundarnih mjera ishoda bilo je kontrolisano za multiplicitet.</w:t>
      </w:r>
    </w:p>
    <w:p w:rsidR="007B7C69" w:rsidRPr="0055610F" w:rsidRDefault="007B7C69" w:rsidP="004D5825">
      <w:pPr>
        <w:jc w:val="both"/>
        <w:outlineLvl w:val="0"/>
        <w:rPr>
          <w:sz w:val="22"/>
          <w:szCs w:val="22"/>
          <w:lang w:val="sr-Latn-ME"/>
        </w:rPr>
      </w:pPr>
    </w:p>
    <w:p w:rsidR="007B7C69" w:rsidRPr="0055610F" w:rsidRDefault="007B7C69" w:rsidP="004D5825">
      <w:pPr>
        <w:keepNext/>
        <w:jc w:val="both"/>
        <w:outlineLvl w:val="0"/>
        <w:rPr>
          <w:i/>
          <w:sz w:val="22"/>
          <w:szCs w:val="22"/>
          <w:lang w:val="sr-Latn-ME"/>
        </w:rPr>
      </w:pPr>
      <w:r w:rsidRPr="0055610F">
        <w:rPr>
          <w:i/>
          <w:sz w:val="22"/>
          <w:szCs w:val="22"/>
          <w:lang w:val="sr-Latn-ME"/>
        </w:rPr>
        <w:t>Izloženost glukokortikoidima</w:t>
      </w:r>
    </w:p>
    <w:p w:rsidR="007B7C69" w:rsidRPr="0055610F" w:rsidRDefault="007B7C69" w:rsidP="004D5825">
      <w:pPr>
        <w:jc w:val="both"/>
        <w:outlineLvl w:val="0"/>
        <w:rPr>
          <w:sz w:val="22"/>
          <w:szCs w:val="22"/>
          <w:lang w:val="sr-Latn-ME"/>
        </w:rPr>
      </w:pPr>
      <w:r w:rsidRPr="0055610F">
        <w:rPr>
          <w:sz w:val="22"/>
          <w:szCs w:val="22"/>
          <w:lang w:val="sr-Latn-ME"/>
        </w:rPr>
        <w:t>Kumulativna doza oralnih kortikosteroida bila je značajno manja kod pacijenata liječenih lijekom MabThera. Medijana (min., maks.) kumulativne doze prednizona u 52. ned</w:t>
      </w:r>
      <w:r w:rsidR="00AD1A2F" w:rsidRPr="0055610F">
        <w:rPr>
          <w:sz w:val="22"/>
          <w:szCs w:val="22"/>
          <w:lang w:val="sr-Latn-ME"/>
        </w:rPr>
        <w:t>j</w:t>
      </w:r>
      <w:r w:rsidRPr="0055610F">
        <w:rPr>
          <w:sz w:val="22"/>
          <w:szCs w:val="22"/>
          <w:lang w:val="sr-Latn-ME"/>
        </w:rPr>
        <w:t xml:space="preserve">elji iznosila je 2775 mg (450, 22 180) u grupi liječenoj lijekom MabThera te 4005 mg (900, 19 920) u grupi koja je primala MMF (p=0,0005).  </w:t>
      </w:r>
    </w:p>
    <w:p w:rsidR="007B7C69" w:rsidRPr="0055610F" w:rsidRDefault="007B7C69" w:rsidP="004D5825">
      <w:pPr>
        <w:jc w:val="both"/>
        <w:outlineLvl w:val="0"/>
        <w:rPr>
          <w:sz w:val="22"/>
          <w:szCs w:val="22"/>
          <w:lang w:val="sr-Latn-ME"/>
        </w:rPr>
      </w:pPr>
    </w:p>
    <w:p w:rsidR="007B7C69" w:rsidRPr="0055610F" w:rsidRDefault="007B7C69" w:rsidP="004D5825">
      <w:pPr>
        <w:keepNext/>
        <w:jc w:val="both"/>
        <w:outlineLvl w:val="0"/>
        <w:rPr>
          <w:i/>
          <w:sz w:val="22"/>
          <w:szCs w:val="22"/>
          <w:lang w:val="sr-Latn-ME"/>
        </w:rPr>
      </w:pPr>
      <w:r w:rsidRPr="0055610F">
        <w:rPr>
          <w:i/>
          <w:sz w:val="22"/>
          <w:szCs w:val="22"/>
          <w:lang w:val="sr-Latn-ME"/>
        </w:rPr>
        <w:t>Razbuktavanje bolesti</w:t>
      </w:r>
    </w:p>
    <w:p w:rsidR="007B7C69" w:rsidRPr="0055610F" w:rsidRDefault="007B7C69" w:rsidP="004D5825">
      <w:pPr>
        <w:jc w:val="both"/>
        <w:outlineLvl w:val="0"/>
        <w:rPr>
          <w:sz w:val="22"/>
          <w:szCs w:val="22"/>
          <w:lang w:val="sr-Latn-ME"/>
        </w:rPr>
      </w:pPr>
      <w:r w:rsidRPr="0055610F">
        <w:rPr>
          <w:sz w:val="22"/>
          <w:szCs w:val="22"/>
          <w:lang w:val="sr-Latn-ME"/>
        </w:rPr>
        <w:t xml:space="preserve">Ukupan broj epizoda razbuktavanja bolesti kod pacijenata liječenih lijekom MabThera bio je značajno manji nego u onih koji su primali MMF (6 naspram 44, p &lt; 0,0001), a u grupi liječenoj lijekom MabThera bilo je i manje pacijenata koji su imali najmanje jednu epizodu razbuktavanja bolesti (8,1% naspram 41,3%).  </w:t>
      </w:r>
    </w:p>
    <w:p w:rsidR="007B7C69" w:rsidRPr="0055610F" w:rsidRDefault="007B7C69" w:rsidP="004D5825">
      <w:pPr>
        <w:jc w:val="both"/>
        <w:outlineLvl w:val="0"/>
        <w:rPr>
          <w:i/>
          <w:sz w:val="22"/>
          <w:szCs w:val="22"/>
          <w:lang w:val="sr-Latn-ME"/>
        </w:rPr>
      </w:pPr>
    </w:p>
    <w:p w:rsidR="007B7C69" w:rsidRPr="0055610F" w:rsidRDefault="007B7C69" w:rsidP="004D5825">
      <w:pPr>
        <w:keepNext/>
        <w:jc w:val="both"/>
        <w:outlineLvl w:val="0"/>
        <w:rPr>
          <w:i/>
          <w:sz w:val="22"/>
          <w:szCs w:val="22"/>
          <w:lang w:val="sr-Latn-ME"/>
        </w:rPr>
      </w:pPr>
      <w:r w:rsidRPr="0055610F">
        <w:rPr>
          <w:i/>
          <w:sz w:val="22"/>
          <w:szCs w:val="22"/>
          <w:lang w:val="sr-Latn-ME"/>
        </w:rPr>
        <w:t>Laboratorijsk</w:t>
      </w:r>
      <w:r w:rsidR="003468E1">
        <w:rPr>
          <w:i/>
          <w:sz w:val="22"/>
          <w:szCs w:val="22"/>
          <w:lang w:val="sr-Latn-ME"/>
        </w:rPr>
        <w:t>i nalazi</w:t>
      </w:r>
    </w:p>
    <w:p w:rsidR="007B7C69" w:rsidRPr="0055610F" w:rsidRDefault="007B7C69" w:rsidP="004D5825">
      <w:pPr>
        <w:tabs>
          <w:tab w:val="left" w:pos="540"/>
          <w:tab w:val="left" w:pos="569"/>
        </w:tabs>
        <w:jc w:val="both"/>
        <w:rPr>
          <w:sz w:val="22"/>
          <w:szCs w:val="22"/>
          <w:lang w:val="sr-Latn-ME"/>
        </w:rPr>
      </w:pPr>
      <w:r w:rsidRPr="0055610F">
        <w:rPr>
          <w:sz w:val="22"/>
          <w:szCs w:val="22"/>
          <w:lang w:val="sr-Latn-ME"/>
        </w:rPr>
        <w:t>Do 52. nedelje ukupno je 20/63 (31,7%) pacijenata s PV liječenih lijekom MabThera bilo pozitivno na antitijela na lijek (nastanak antitijela je u 19 slučajeva bio izazvan liječenjem, a u 1 slučaju pospješen liječenjem). Prisutnost antitiela na lijek nije imala vidljivog negativnog učinka na efikasnost i bezbjednost u 2. </w:t>
      </w:r>
      <w:r w:rsidR="00CA6E91" w:rsidRPr="0055610F">
        <w:rPr>
          <w:sz w:val="22"/>
          <w:szCs w:val="22"/>
          <w:lang w:val="sr-Latn-ME"/>
        </w:rPr>
        <w:t>studiji kod PV</w:t>
      </w:r>
      <w:r w:rsidRPr="0055610F">
        <w:rPr>
          <w:sz w:val="22"/>
          <w:szCs w:val="22"/>
          <w:lang w:val="sr-Latn-ME"/>
        </w:rPr>
        <w:t>.</w:t>
      </w:r>
    </w:p>
    <w:p w:rsidR="007B7C69" w:rsidRPr="0055610F" w:rsidRDefault="007B7C69" w:rsidP="004D5825">
      <w:pPr>
        <w:tabs>
          <w:tab w:val="left" w:pos="540"/>
          <w:tab w:val="left" w:pos="569"/>
        </w:tabs>
        <w:jc w:val="both"/>
        <w:rPr>
          <w:b/>
          <w:bCs/>
          <w:sz w:val="22"/>
          <w:szCs w:val="22"/>
          <w:lang w:val="sr-Latn-ME"/>
        </w:rPr>
      </w:pPr>
    </w:p>
    <w:p w:rsidR="0072020E"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5.2. </w:t>
      </w:r>
      <w:r w:rsidR="00480FB1" w:rsidRPr="0055610F">
        <w:rPr>
          <w:b/>
          <w:bCs/>
          <w:sz w:val="22"/>
          <w:szCs w:val="22"/>
          <w:lang w:val="sr-Latn-ME"/>
        </w:rPr>
        <w:tab/>
      </w:r>
      <w:r w:rsidRPr="0055610F">
        <w:rPr>
          <w:b/>
          <w:bCs/>
          <w:sz w:val="22"/>
          <w:szCs w:val="22"/>
          <w:lang w:val="sr-Latn-ME"/>
        </w:rPr>
        <w:t>Farmakokinetički podaci</w:t>
      </w:r>
      <w:r w:rsidR="003A7059" w:rsidRPr="0055610F">
        <w:rPr>
          <w:b/>
          <w:bCs/>
          <w:sz w:val="22"/>
          <w:szCs w:val="22"/>
          <w:lang w:val="sr-Latn-ME"/>
        </w:rPr>
        <w:t xml:space="preserve"> </w:t>
      </w:r>
    </w:p>
    <w:p w:rsidR="0072020E" w:rsidRPr="0055610F" w:rsidRDefault="0072020E" w:rsidP="004D5825">
      <w:pPr>
        <w:tabs>
          <w:tab w:val="left" w:pos="540"/>
          <w:tab w:val="left" w:pos="569"/>
        </w:tabs>
        <w:jc w:val="both"/>
        <w:rPr>
          <w:bCs/>
          <w:sz w:val="22"/>
          <w:szCs w:val="22"/>
          <w:lang w:val="sr-Latn-ME"/>
        </w:rPr>
      </w:pPr>
    </w:p>
    <w:p w:rsidR="007B7C69" w:rsidRPr="0055610F" w:rsidRDefault="007B7C69" w:rsidP="004D5825">
      <w:pPr>
        <w:jc w:val="both"/>
        <w:rPr>
          <w:sz w:val="22"/>
          <w:szCs w:val="22"/>
          <w:u w:val="single"/>
          <w:lang w:val="sr-Latn-ME"/>
        </w:rPr>
      </w:pPr>
      <w:r w:rsidRPr="0055610F">
        <w:rPr>
          <w:sz w:val="22"/>
          <w:szCs w:val="22"/>
          <w:u w:val="single"/>
          <w:lang w:val="sr-Latn-ME"/>
        </w:rPr>
        <w:t>Non-Hodgkinov limfom kod odraslih pacijenata</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Na osnovu farmakokinetičke analize populacije 298 NHL pacijenata koji su dobili jednu ili više infuzija rituksimaba kao pojedinačne terapije ili u kombinaciji sa CHOP terapijom (primijenjena doza rituksimaba od 100 do 500 mg/m</w:t>
      </w:r>
      <w:r w:rsidRPr="0055610F">
        <w:rPr>
          <w:sz w:val="22"/>
          <w:szCs w:val="22"/>
          <w:vertAlign w:val="superscript"/>
          <w:lang w:val="sr-Latn-ME"/>
        </w:rPr>
        <w:t>2</w:t>
      </w:r>
      <w:r w:rsidRPr="0055610F">
        <w:rPr>
          <w:sz w:val="22"/>
          <w:szCs w:val="22"/>
          <w:lang w:val="sr-Latn-ME"/>
        </w:rPr>
        <w:t>), procjene za specifičnu populaciju pacijenata bile su:  za nespecifični klirens (CL</w:t>
      </w:r>
      <w:r w:rsidRPr="0055610F">
        <w:rPr>
          <w:sz w:val="22"/>
          <w:szCs w:val="22"/>
          <w:vertAlign w:val="subscript"/>
          <w:lang w:val="sr-Latn-ME"/>
        </w:rPr>
        <w:t>1</w:t>
      </w:r>
      <w:r w:rsidRPr="0055610F">
        <w:rPr>
          <w:sz w:val="22"/>
          <w:szCs w:val="22"/>
          <w:lang w:val="sr-Latn-ME"/>
        </w:rPr>
        <w:t>) 0.14 L/dan, specifični klirens (CL</w:t>
      </w:r>
      <w:r w:rsidRPr="0055610F">
        <w:rPr>
          <w:sz w:val="22"/>
          <w:szCs w:val="22"/>
          <w:vertAlign w:val="subscript"/>
          <w:lang w:val="sr-Latn-ME"/>
        </w:rPr>
        <w:t>2</w:t>
      </w:r>
      <w:r w:rsidRPr="0055610F">
        <w:rPr>
          <w:sz w:val="22"/>
          <w:szCs w:val="22"/>
          <w:lang w:val="sr-Latn-ME"/>
        </w:rPr>
        <w:t>) koji vjerovatno zavisi od količine B ćelija ili veličine tumora  0.59 L/dan, i centralni volumen distribucije (V</w:t>
      </w:r>
      <w:r w:rsidRPr="0055610F">
        <w:rPr>
          <w:sz w:val="22"/>
          <w:szCs w:val="22"/>
          <w:vertAlign w:val="subscript"/>
          <w:lang w:val="sr-Latn-ME"/>
        </w:rPr>
        <w:t>1</w:t>
      </w:r>
      <w:r w:rsidRPr="0055610F">
        <w:rPr>
          <w:sz w:val="22"/>
          <w:szCs w:val="22"/>
          <w:lang w:val="sr-Latn-ME"/>
        </w:rPr>
        <w:t xml:space="preserve">) 2.7 L/dan. Procijenjeno </w:t>
      </w:r>
      <w:r w:rsidRPr="0055610F">
        <w:rPr>
          <w:sz w:val="22"/>
          <w:szCs w:val="22"/>
          <w:lang w:val="sr-Latn-ME"/>
        </w:rPr>
        <w:lastRenderedPageBreak/>
        <w:t>srednje poluvrijeme eliminacije rituksimaba bilo je 22 dana (opseg od 6.1 do 52 dana). Broj CD19-pozitivnih ćelija i veličina mjerljivih tumorskih lezija doprinose donekle varijabilnosti CL</w:t>
      </w:r>
      <w:r w:rsidRPr="0055610F">
        <w:rPr>
          <w:sz w:val="22"/>
          <w:szCs w:val="22"/>
          <w:vertAlign w:val="subscript"/>
          <w:lang w:val="sr-Latn-ME"/>
        </w:rPr>
        <w:t>2</w:t>
      </w:r>
      <w:r w:rsidRPr="0055610F">
        <w:rPr>
          <w:sz w:val="22"/>
          <w:szCs w:val="22"/>
          <w:lang w:val="sr-Latn-ME"/>
        </w:rPr>
        <w:t xml:space="preserve"> rituksimaba, prema podacima dobijenim analizom rezultata kod 161 pacijenta koji su dobijali 375 mg/m</w:t>
      </w:r>
      <w:r w:rsidRPr="0055610F">
        <w:rPr>
          <w:sz w:val="22"/>
          <w:szCs w:val="22"/>
          <w:vertAlign w:val="superscript"/>
          <w:lang w:val="sr-Latn-ME"/>
        </w:rPr>
        <w:t>2</w:t>
      </w:r>
      <w:r w:rsidRPr="0055610F">
        <w:rPr>
          <w:sz w:val="22"/>
          <w:szCs w:val="22"/>
          <w:vertAlign w:val="subscript"/>
          <w:lang w:val="sr-Latn-ME"/>
        </w:rPr>
        <w:t xml:space="preserve">  </w:t>
      </w:r>
      <w:r w:rsidRPr="0055610F">
        <w:rPr>
          <w:sz w:val="22"/>
          <w:szCs w:val="22"/>
          <w:lang w:val="sr-Latn-ME"/>
        </w:rPr>
        <w:t>kao intravensku infuziju jednom u 4 ned</w:t>
      </w:r>
      <w:r w:rsidR="00AD1A2F" w:rsidRPr="0055610F">
        <w:rPr>
          <w:sz w:val="22"/>
          <w:szCs w:val="22"/>
          <w:lang w:val="sr-Latn-ME"/>
        </w:rPr>
        <w:t>j</w:t>
      </w:r>
      <w:r w:rsidRPr="0055610F">
        <w:rPr>
          <w:sz w:val="22"/>
          <w:szCs w:val="22"/>
          <w:lang w:val="sr-Latn-ME"/>
        </w:rPr>
        <w:t>elje. Pacijenti sa višim nivoom CD19-pozitivnih ćelija ili većom tumorskom masom imali su viši CL</w:t>
      </w:r>
      <w:r w:rsidRPr="0055610F">
        <w:rPr>
          <w:sz w:val="22"/>
          <w:szCs w:val="22"/>
          <w:vertAlign w:val="subscript"/>
          <w:lang w:val="sr-Latn-ME"/>
        </w:rPr>
        <w:t>2</w:t>
      </w:r>
      <w:r w:rsidRPr="0055610F">
        <w:rPr>
          <w:sz w:val="22"/>
          <w:szCs w:val="22"/>
          <w:lang w:val="sr-Latn-ME"/>
        </w:rPr>
        <w:t>. Ipak, velika inter-individualna varijabilnost za CL</w:t>
      </w:r>
      <w:r w:rsidRPr="0055610F">
        <w:rPr>
          <w:sz w:val="22"/>
          <w:szCs w:val="22"/>
          <w:vertAlign w:val="subscript"/>
          <w:lang w:val="sr-Latn-ME"/>
        </w:rPr>
        <w:t>2</w:t>
      </w:r>
      <w:r w:rsidRPr="0055610F">
        <w:rPr>
          <w:sz w:val="22"/>
          <w:szCs w:val="22"/>
          <w:lang w:val="sr-Latn-ME"/>
        </w:rPr>
        <w:t xml:space="preserve"> ostala je i nakon korekcija vezanih za broj CD19-pozitivnih ćelija i veličinu tumorske mase. V</w:t>
      </w:r>
      <w:r w:rsidRPr="0055610F">
        <w:rPr>
          <w:sz w:val="22"/>
          <w:szCs w:val="22"/>
          <w:vertAlign w:val="subscript"/>
          <w:lang w:val="sr-Latn-ME"/>
        </w:rPr>
        <w:t>1</w:t>
      </w:r>
      <w:r w:rsidRPr="0055610F">
        <w:rPr>
          <w:sz w:val="22"/>
          <w:szCs w:val="22"/>
          <w:lang w:val="sr-Latn-ME"/>
        </w:rPr>
        <w:t xml:space="preserve"> varirao je u zavisnosti od površine tijela (BSA) i primijenjene CHOP terapije. Ova varijabilnost V</w:t>
      </w:r>
      <w:r w:rsidRPr="0055610F">
        <w:rPr>
          <w:sz w:val="22"/>
          <w:szCs w:val="22"/>
          <w:vertAlign w:val="subscript"/>
          <w:lang w:val="sr-Latn-ME"/>
        </w:rPr>
        <w:t>1</w:t>
      </w:r>
      <w:r w:rsidRPr="0055610F">
        <w:rPr>
          <w:sz w:val="22"/>
          <w:szCs w:val="22"/>
          <w:lang w:val="sr-Latn-ME"/>
        </w:rPr>
        <w:t xml:space="preserve"> (27.1% i 19.0%) u zavisnosti od opsega BSA (1.53 do 2.32 m</w:t>
      </w:r>
      <w:r w:rsidRPr="0055610F">
        <w:rPr>
          <w:sz w:val="22"/>
          <w:szCs w:val="22"/>
          <w:vertAlign w:val="superscript"/>
          <w:lang w:val="sr-Latn-ME"/>
        </w:rPr>
        <w:t>2</w:t>
      </w:r>
      <w:r w:rsidRPr="0055610F">
        <w:rPr>
          <w:sz w:val="22"/>
          <w:szCs w:val="22"/>
          <w:lang w:val="sr-Latn-ME"/>
        </w:rPr>
        <w:t>) i primijenjene CHOP terapije bila je relativno mala. Godine, uzrast i WHO status ni</w:t>
      </w:r>
      <w:r w:rsidR="00AD1A2F" w:rsidRPr="0055610F">
        <w:rPr>
          <w:sz w:val="22"/>
          <w:szCs w:val="22"/>
          <w:lang w:val="sr-Latn-ME"/>
        </w:rPr>
        <w:t>je</w:t>
      </w:r>
      <w:r w:rsidRPr="0055610F">
        <w:rPr>
          <w:sz w:val="22"/>
          <w:szCs w:val="22"/>
          <w:lang w:val="sr-Latn-ME"/>
        </w:rPr>
        <w:t>su imali nikakvog uticaja na farmakokinetiku rituksimaba. Ova analiza ukazuje da prilagođavanje doze rituksimaba datog u kombinaciji sa bilo kojom drugom terapijom ne bi dovelo do značajnog smanjenja u farmakokinetičkoj varijabilnosti.</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Nakon primjene rituksimaba kao intravenske infuzije u dozi od 375</w:t>
      </w:r>
      <w:r w:rsidR="00AD1A2F" w:rsidRPr="0055610F">
        <w:rPr>
          <w:sz w:val="22"/>
          <w:szCs w:val="22"/>
          <w:lang w:val="sr-Latn-ME"/>
        </w:rPr>
        <w:t xml:space="preserve"> </w:t>
      </w:r>
      <w:r w:rsidRPr="0055610F">
        <w:rPr>
          <w:sz w:val="22"/>
          <w:szCs w:val="22"/>
          <w:lang w:val="sr-Latn-ME"/>
        </w:rPr>
        <w:t>mg/m</w:t>
      </w:r>
      <w:r w:rsidRPr="0055610F">
        <w:rPr>
          <w:sz w:val="22"/>
          <w:szCs w:val="22"/>
          <w:vertAlign w:val="superscript"/>
          <w:lang w:val="sr-Latn-ME"/>
        </w:rPr>
        <w:t>2</w:t>
      </w:r>
      <w:r w:rsidRPr="0055610F">
        <w:rPr>
          <w:sz w:val="22"/>
          <w:szCs w:val="22"/>
          <w:lang w:val="sr-Latn-ME"/>
        </w:rPr>
        <w:t xml:space="preserve"> u četiri ned</w:t>
      </w:r>
      <w:r w:rsidR="00AD1A2F" w:rsidRPr="0055610F">
        <w:rPr>
          <w:sz w:val="22"/>
          <w:szCs w:val="22"/>
          <w:lang w:val="sr-Latn-ME"/>
        </w:rPr>
        <w:t>j</w:t>
      </w:r>
      <w:r w:rsidRPr="0055610F">
        <w:rPr>
          <w:sz w:val="22"/>
          <w:szCs w:val="22"/>
          <w:lang w:val="sr-Latn-ME"/>
        </w:rPr>
        <w:t>eljne doze kod 203 pacijenta sa NHL koji ranije ni</w:t>
      </w:r>
      <w:r w:rsidR="00AD1A2F" w:rsidRPr="0055610F">
        <w:rPr>
          <w:sz w:val="22"/>
          <w:szCs w:val="22"/>
          <w:lang w:val="sr-Latn-ME"/>
        </w:rPr>
        <w:t>je</w:t>
      </w:r>
      <w:r w:rsidRPr="0055610F">
        <w:rPr>
          <w:sz w:val="22"/>
          <w:szCs w:val="22"/>
          <w:lang w:val="sr-Latn-ME"/>
        </w:rPr>
        <w:t>su dobijali rituksimab, srednja C</w:t>
      </w:r>
      <w:r w:rsidRPr="0055610F">
        <w:rPr>
          <w:sz w:val="22"/>
          <w:szCs w:val="22"/>
          <w:vertAlign w:val="subscript"/>
          <w:lang w:val="sr-Latn-ME"/>
        </w:rPr>
        <w:t xml:space="preserve">max  </w:t>
      </w:r>
      <w:r w:rsidRPr="0055610F">
        <w:rPr>
          <w:sz w:val="22"/>
          <w:szCs w:val="22"/>
          <w:lang w:val="sr-Latn-ME"/>
        </w:rPr>
        <w:t>nakon četvrte infuzije iznosila je 486 μg/</w:t>
      </w:r>
      <w:r w:rsidR="007642DC">
        <w:rPr>
          <w:sz w:val="22"/>
          <w:szCs w:val="22"/>
          <w:lang w:val="sr-Latn-ME"/>
        </w:rPr>
        <w:t>ml</w:t>
      </w:r>
      <w:r w:rsidRPr="0055610F">
        <w:rPr>
          <w:sz w:val="22"/>
          <w:szCs w:val="22"/>
          <w:lang w:val="sr-Latn-ME"/>
        </w:rPr>
        <w:t xml:space="preserve"> (opseg 77.5 do 996.6 μg/</w:t>
      </w:r>
      <w:r w:rsidR="007642DC">
        <w:rPr>
          <w:sz w:val="22"/>
          <w:szCs w:val="22"/>
          <w:lang w:val="sr-Latn-ME"/>
        </w:rPr>
        <w:t>ml</w:t>
      </w:r>
      <w:r w:rsidRPr="0055610F">
        <w:rPr>
          <w:sz w:val="22"/>
          <w:szCs w:val="22"/>
          <w:lang w:val="sr-Latn-ME"/>
        </w:rPr>
        <w:t>). Rituksimab se može detektovati u serumu pacijenata 3-6 mjeseci nakon završetka terapije.</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Nakon primjene rituksimaba kao intravenske infuzije u dozi od 375</w:t>
      </w:r>
      <w:r w:rsidR="00D714A0" w:rsidRPr="0055610F">
        <w:rPr>
          <w:sz w:val="22"/>
          <w:szCs w:val="22"/>
          <w:lang w:val="sr-Latn-ME"/>
        </w:rPr>
        <w:t xml:space="preserve"> </w:t>
      </w:r>
      <w:r w:rsidRPr="0055610F">
        <w:rPr>
          <w:sz w:val="22"/>
          <w:szCs w:val="22"/>
          <w:lang w:val="sr-Latn-ME"/>
        </w:rPr>
        <w:t>mg/m</w:t>
      </w:r>
      <w:r w:rsidRPr="0055610F">
        <w:rPr>
          <w:sz w:val="22"/>
          <w:szCs w:val="22"/>
          <w:vertAlign w:val="superscript"/>
          <w:lang w:val="sr-Latn-ME"/>
        </w:rPr>
        <w:t>2</w:t>
      </w:r>
      <w:r w:rsidRPr="0055610F">
        <w:rPr>
          <w:sz w:val="22"/>
          <w:szCs w:val="22"/>
          <w:lang w:val="sr-Latn-ME"/>
        </w:rPr>
        <w:t xml:space="preserve"> u osam ned</w:t>
      </w:r>
      <w:r w:rsidR="00D714A0" w:rsidRPr="0055610F">
        <w:rPr>
          <w:sz w:val="22"/>
          <w:szCs w:val="22"/>
          <w:lang w:val="sr-Latn-ME"/>
        </w:rPr>
        <w:t>j</w:t>
      </w:r>
      <w:r w:rsidRPr="0055610F">
        <w:rPr>
          <w:sz w:val="22"/>
          <w:szCs w:val="22"/>
          <w:lang w:val="sr-Latn-ME"/>
        </w:rPr>
        <w:t>eljnih doza kod 37 pacijenata sa NHL koji ranije ni</w:t>
      </w:r>
      <w:r w:rsidR="00D714A0" w:rsidRPr="0055610F">
        <w:rPr>
          <w:sz w:val="22"/>
          <w:szCs w:val="22"/>
          <w:lang w:val="sr-Latn-ME"/>
        </w:rPr>
        <w:t>je</w:t>
      </w:r>
      <w:r w:rsidRPr="0055610F">
        <w:rPr>
          <w:sz w:val="22"/>
          <w:szCs w:val="22"/>
          <w:lang w:val="sr-Latn-ME"/>
        </w:rPr>
        <w:t>su dobijali rituksimab, srednja C</w:t>
      </w:r>
      <w:r w:rsidRPr="0055610F">
        <w:rPr>
          <w:sz w:val="22"/>
          <w:szCs w:val="22"/>
          <w:vertAlign w:val="subscript"/>
          <w:lang w:val="sr-Latn-ME"/>
        </w:rPr>
        <w:t xml:space="preserve">max  </w:t>
      </w:r>
      <w:r w:rsidRPr="0055610F">
        <w:rPr>
          <w:sz w:val="22"/>
          <w:szCs w:val="22"/>
          <w:lang w:val="sr-Latn-ME"/>
        </w:rPr>
        <w:t xml:space="preserve">povećavao se </w:t>
      </w:r>
      <w:r w:rsidRPr="0055610F">
        <w:rPr>
          <w:sz w:val="22"/>
          <w:szCs w:val="22"/>
          <w:vertAlign w:val="subscript"/>
          <w:lang w:val="sr-Latn-ME"/>
        </w:rPr>
        <w:t xml:space="preserve"> </w:t>
      </w:r>
      <w:r w:rsidRPr="0055610F">
        <w:rPr>
          <w:sz w:val="22"/>
          <w:szCs w:val="22"/>
          <w:lang w:val="sr-Latn-ME"/>
        </w:rPr>
        <w:t>nakon svake infuzije, od srednje vrijednosti od 243 μg/</w:t>
      </w:r>
      <w:r w:rsidR="007642DC">
        <w:rPr>
          <w:sz w:val="22"/>
          <w:szCs w:val="22"/>
          <w:lang w:val="sr-Latn-ME"/>
        </w:rPr>
        <w:t>ml</w:t>
      </w:r>
      <w:r w:rsidRPr="0055610F">
        <w:rPr>
          <w:sz w:val="22"/>
          <w:szCs w:val="22"/>
          <w:lang w:val="sr-Latn-ME"/>
        </w:rPr>
        <w:t xml:space="preserve"> (opseg 16 - 582 μg/</w:t>
      </w:r>
      <w:r w:rsidR="007642DC">
        <w:rPr>
          <w:sz w:val="22"/>
          <w:szCs w:val="22"/>
          <w:lang w:val="sr-Latn-ME"/>
        </w:rPr>
        <w:t>ml</w:t>
      </w:r>
      <w:r w:rsidRPr="0055610F">
        <w:rPr>
          <w:sz w:val="22"/>
          <w:szCs w:val="22"/>
          <w:lang w:val="sr-Latn-ME"/>
        </w:rPr>
        <w:t>) nakon prve infuzije, do 550 μg/</w:t>
      </w:r>
      <w:r w:rsidR="007642DC">
        <w:rPr>
          <w:sz w:val="22"/>
          <w:szCs w:val="22"/>
          <w:lang w:val="sr-Latn-ME"/>
        </w:rPr>
        <w:t>ml</w:t>
      </w:r>
      <w:r w:rsidRPr="0055610F">
        <w:rPr>
          <w:sz w:val="22"/>
          <w:szCs w:val="22"/>
          <w:lang w:val="sr-Latn-ME"/>
        </w:rPr>
        <w:t xml:space="preserve"> (opseg 171 - 1177 μg/</w:t>
      </w:r>
      <w:r w:rsidR="007642DC">
        <w:rPr>
          <w:sz w:val="22"/>
          <w:szCs w:val="22"/>
          <w:lang w:val="sr-Latn-ME"/>
        </w:rPr>
        <w:t>ml</w:t>
      </w:r>
      <w:r w:rsidRPr="0055610F">
        <w:rPr>
          <w:sz w:val="22"/>
          <w:szCs w:val="22"/>
          <w:lang w:val="sr-Latn-ME"/>
        </w:rPr>
        <w:t>) nakon osme infuzije.</w:t>
      </w:r>
    </w:p>
    <w:p w:rsidR="007B7C69" w:rsidRPr="0055610F" w:rsidRDefault="007B7C69" w:rsidP="004D5825">
      <w:pPr>
        <w:jc w:val="both"/>
        <w:rPr>
          <w:sz w:val="22"/>
          <w:szCs w:val="22"/>
          <w:lang w:val="sr-Latn-ME"/>
        </w:rPr>
      </w:pPr>
    </w:p>
    <w:p w:rsidR="007B7C69" w:rsidRDefault="007B7C69" w:rsidP="004D5825">
      <w:pPr>
        <w:jc w:val="both"/>
        <w:rPr>
          <w:sz w:val="22"/>
          <w:szCs w:val="22"/>
          <w:lang w:val="sr-Latn-ME"/>
        </w:rPr>
      </w:pPr>
      <w:r w:rsidRPr="0055610F">
        <w:rPr>
          <w:sz w:val="22"/>
          <w:szCs w:val="22"/>
          <w:lang w:val="sr-Latn-ME"/>
        </w:rPr>
        <w:t>Farmakokinetićki profil rituksimaba nakon primjene 6 infuzija u dozi od 375 mg/m</w:t>
      </w:r>
      <w:r w:rsidRPr="0055610F">
        <w:rPr>
          <w:sz w:val="22"/>
          <w:szCs w:val="22"/>
          <w:vertAlign w:val="superscript"/>
          <w:lang w:val="sr-Latn-ME"/>
        </w:rPr>
        <w:t>2</w:t>
      </w:r>
      <w:r w:rsidRPr="0055610F">
        <w:rPr>
          <w:sz w:val="22"/>
          <w:szCs w:val="22"/>
          <w:lang w:val="sr-Latn-ME"/>
        </w:rPr>
        <w:t xml:space="preserve"> u kombinaciji sa 6 ciklusa CHOP hemioterapije bio je sličan kao i pri primjeni samog rituksimaba.</w:t>
      </w:r>
    </w:p>
    <w:p w:rsidR="00DB219C" w:rsidRPr="0055610F" w:rsidRDefault="00DB219C" w:rsidP="004D5825">
      <w:pPr>
        <w:jc w:val="both"/>
        <w:rPr>
          <w:sz w:val="22"/>
          <w:szCs w:val="22"/>
          <w:lang w:val="sr-Latn-ME"/>
        </w:rPr>
      </w:pPr>
    </w:p>
    <w:p w:rsidR="007B7C69" w:rsidRPr="0055610F" w:rsidRDefault="007B7C69" w:rsidP="004D5825">
      <w:pPr>
        <w:tabs>
          <w:tab w:val="left" w:pos="284"/>
        </w:tabs>
        <w:jc w:val="both"/>
        <w:rPr>
          <w:sz w:val="22"/>
          <w:szCs w:val="22"/>
          <w:u w:val="single"/>
          <w:lang w:val="sr-Latn-ME"/>
        </w:rPr>
      </w:pPr>
      <w:r w:rsidRPr="0055610F">
        <w:rPr>
          <w:sz w:val="22"/>
          <w:szCs w:val="22"/>
          <w:u w:val="single"/>
          <w:lang w:val="sr-Latn-ME"/>
        </w:rPr>
        <w:t xml:space="preserve">DLBCL/BL/B-AL/BLL kod pedijatrijskih pacijenata </w:t>
      </w:r>
    </w:p>
    <w:p w:rsidR="007B7C69" w:rsidRPr="0055610F" w:rsidRDefault="007B7C69" w:rsidP="004D5825">
      <w:pPr>
        <w:tabs>
          <w:tab w:val="left" w:pos="284"/>
        </w:tabs>
        <w:jc w:val="both"/>
        <w:rPr>
          <w:sz w:val="22"/>
          <w:szCs w:val="22"/>
          <w:lang w:val="sr-Latn-ME"/>
        </w:rPr>
      </w:pPr>
    </w:p>
    <w:p w:rsidR="007B7C69" w:rsidRPr="0055610F" w:rsidRDefault="007B7C69" w:rsidP="004D5825">
      <w:pPr>
        <w:tabs>
          <w:tab w:val="left" w:pos="284"/>
        </w:tabs>
        <w:jc w:val="both"/>
        <w:rPr>
          <w:sz w:val="22"/>
          <w:szCs w:val="22"/>
          <w:lang w:val="sr-Latn-ME"/>
        </w:rPr>
      </w:pPr>
      <w:r w:rsidRPr="0055610F">
        <w:rPr>
          <w:sz w:val="22"/>
          <w:szCs w:val="22"/>
          <w:lang w:val="sr-Latn-ME"/>
        </w:rPr>
        <w:t>U kliničkom ispitivanju koje je sprovedeno kod pedijatrijskih pacijenata s DLBCL-om/BL-om/B-AL-om/BLL-om farmakokinetika se ocjenjivala u podgrupi koja je uključivala 35 pacijenata starosti od 3 ili više godina. Farmakokinetika je bila uporediva u obje starosne grupe (≥ 3 do &lt; 12 godina naspram ≥ 12 do &lt; 18 godina). Nakon dvije i.v. infuzije lijeka MabThera u dozi od 375 mg/m2 tokom svakog od dva ciklusa indukcione terapije (1. i 2. ciklus), nakon kojih je uslijedila po jedna infuzija lijeka MabThera u dozi od 375 mg/m</w:t>
      </w:r>
      <w:r w:rsidRPr="0055610F">
        <w:rPr>
          <w:sz w:val="22"/>
          <w:szCs w:val="22"/>
          <w:vertAlign w:val="superscript"/>
          <w:lang w:val="sr-Latn-ME"/>
        </w:rPr>
        <w:t>2</w:t>
      </w:r>
      <w:r w:rsidRPr="0055610F">
        <w:rPr>
          <w:sz w:val="22"/>
          <w:szCs w:val="22"/>
          <w:lang w:val="sr-Latn-ME"/>
        </w:rPr>
        <w:t xml:space="preserve"> u svakom od dva ciklusa terapije konsolidacije (3. i 4. ciklus), maksimalna koncentracija bila je najviša nakon četvrte infuzije (2. ciklus), pri čemu je geometrijska srednja vrijednost iznosila 347 mikrograma/</w:t>
      </w:r>
      <w:r w:rsidR="007642DC">
        <w:rPr>
          <w:sz w:val="22"/>
          <w:szCs w:val="22"/>
          <w:lang w:val="sr-Latn-ME"/>
        </w:rPr>
        <w:t>ml</w:t>
      </w:r>
      <w:r w:rsidRPr="0055610F">
        <w:rPr>
          <w:sz w:val="22"/>
          <w:szCs w:val="22"/>
          <w:lang w:val="sr-Latn-ME"/>
        </w:rPr>
        <w:t>. Nakon toga je geometrijska srednja vrijednost maksimalnih koncentracija bila niža (4. ciklus: 247 mikrograma/</w:t>
      </w:r>
      <w:r w:rsidR="007642DC">
        <w:rPr>
          <w:sz w:val="22"/>
          <w:szCs w:val="22"/>
          <w:lang w:val="sr-Latn-ME"/>
        </w:rPr>
        <w:t>ml</w:t>
      </w:r>
      <w:r w:rsidRPr="0055610F">
        <w:rPr>
          <w:sz w:val="22"/>
          <w:szCs w:val="22"/>
          <w:lang w:val="sr-Latn-ME"/>
        </w:rPr>
        <w:t>). Tim su se režimom doziranja održale najniže koncentracije (geometrijske srednje vrijednosti: 41,8 mikrograma/</w:t>
      </w:r>
      <w:r w:rsidR="007642DC">
        <w:rPr>
          <w:sz w:val="22"/>
          <w:szCs w:val="22"/>
          <w:lang w:val="sr-Latn-ME"/>
        </w:rPr>
        <w:t>ml</w:t>
      </w:r>
      <w:r w:rsidRPr="0055610F">
        <w:rPr>
          <w:sz w:val="22"/>
          <w:szCs w:val="22"/>
          <w:lang w:val="sr-Latn-ME"/>
        </w:rPr>
        <w:t xml:space="preserve"> [pre doze u 2. ciklusu; nakon 1 ciklusa], 67,7 mikrograma/</w:t>
      </w:r>
      <w:r w:rsidR="007642DC">
        <w:rPr>
          <w:sz w:val="22"/>
          <w:szCs w:val="22"/>
          <w:lang w:val="sr-Latn-ME"/>
        </w:rPr>
        <w:t>ml</w:t>
      </w:r>
      <w:r w:rsidRPr="0055610F">
        <w:rPr>
          <w:sz w:val="22"/>
          <w:szCs w:val="22"/>
          <w:lang w:val="sr-Latn-ME"/>
        </w:rPr>
        <w:t xml:space="preserve"> [pre doze u 3. ciklusu, nakon 2 ciklusa] i 58,5 mikrograma/</w:t>
      </w:r>
      <w:r w:rsidR="007642DC">
        <w:rPr>
          <w:sz w:val="22"/>
          <w:szCs w:val="22"/>
          <w:lang w:val="sr-Latn-ME"/>
        </w:rPr>
        <w:t>ml</w:t>
      </w:r>
      <w:r w:rsidRPr="0055610F">
        <w:rPr>
          <w:sz w:val="22"/>
          <w:szCs w:val="22"/>
          <w:lang w:val="sr-Latn-ME"/>
        </w:rPr>
        <w:t xml:space="preserve"> [pre doze u 4. ciklusu, nakon 3 ciklusa]). Medijana poluvremena eliminacije kod pedijatrijskih pacijenata starosti od 3 ili više godina iznosila je 26 dana.</w:t>
      </w:r>
    </w:p>
    <w:p w:rsidR="007B7C69" w:rsidRPr="0055610F" w:rsidRDefault="007B7C69" w:rsidP="004D5825">
      <w:pPr>
        <w:tabs>
          <w:tab w:val="left" w:pos="284"/>
        </w:tabs>
        <w:jc w:val="both"/>
        <w:rPr>
          <w:sz w:val="22"/>
          <w:szCs w:val="22"/>
          <w:lang w:val="sr-Latn-ME"/>
        </w:rPr>
      </w:pPr>
    </w:p>
    <w:p w:rsidR="007B7C69" w:rsidRPr="0055610F" w:rsidRDefault="007B7C69" w:rsidP="004D5825">
      <w:pPr>
        <w:tabs>
          <w:tab w:val="left" w:pos="284"/>
        </w:tabs>
        <w:jc w:val="both"/>
        <w:rPr>
          <w:sz w:val="22"/>
          <w:szCs w:val="22"/>
          <w:lang w:val="sr-Latn-ME"/>
        </w:rPr>
      </w:pPr>
      <w:r w:rsidRPr="0055610F">
        <w:rPr>
          <w:sz w:val="22"/>
          <w:szCs w:val="22"/>
          <w:lang w:val="sr-Latn-ME"/>
        </w:rPr>
        <w:t xml:space="preserve">Farmakokinetičke karakteristike lijeka MabThera kod pedijatrijskih pacijenata s DLBCL-om/BL-om/B-AL-om/BLL-om bile su slične onima opaženima u odraslih pacijenata sa NHL-om. </w:t>
      </w:r>
    </w:p>
    <w:p w:rsidR="0076239E" w:rsidRPr="0055610F" w:rsidRDefault="0076239E" w:rsidP="004D5825">
      <w:pPr>
        <w:tabs>
          <w:tab w:val="left" w:pos="284"/>
        </w:tabs>
        <w:jc w:val="both"/>
        <w:rPr>
          <w:sz w:val="22"/>
          <w:szCs w:val="22"/>
          <w:lang w:val="sr-Latn-ME"/>
        </w:rPr>
      </w:pPr>
    </w:p>
    <w:p w:rsidR="00277702" w:rsidRDefault="007B7C69" w:rsidP="004D5825">
      <w:pPr>
        <w:tabs>
          <w:tab w:val="left" w:pos="284"/>
        </w:tabs>
        <w:jc w:val="both"/>
        <w:rPr>
          <w:sz w:val="22"/>
          <w:szCs w:val="22"/>
          <w:lang w:val="sr-Latn-ME"/>
        </w:rPr>
      </w:pPr>
      <w:r w:rsidRPr="0055610F">
        <w:rPr>
          <w:sz w:val="22"/>
          <w:szCs w:val="22"/>
          <w:lang w:val="sr-Latn-ME"/>
        </w:rPr>
        <w:t>Ni</w:t>
      </w:r>
      <w:r w:rsidR="00D714A0" w:rsidRPr="0055610F">
        <w:rPr>
          <w:sz w:val="22"/>
          <w:szCs w:val="22"/>
          <w:lang w:val="sr-Latn-ME"/>
        </w:rPr>
        <w:t>je</w:t>
      </w:r>
      <w:r w:rsidRPr="0055610F">
        <w:rPr>
          <w:sz w:val="22"/>
          <w:szCs w:val="22"/>
          <w:lang w:val="sr-Latn-ME"/>
        </w:rPr>
        <w:t>su dostupni farmakokinetički podaci za starosnu grupu od ≥ 6 m</w:t>
      </w:r>
      <w:r w:rsidR="00D714A0" w:rsidRPr="0055610F">
        <w:rPr>
          <w:sz w:val="22"/>
          <w:szCs w:val="22"/>
          <w:lang w:val="sr-Latn-ME"/>
        </w:rPr>
        <w:t>j</w:t>
      </w:r>
      <w:r w:rsidRPr="0055610F">
        <w:rPr>
          <w:sz w:val="22"/>
          <w:szCs w:val="22"/>
          <w:lang w:val="sr-Latn-ME"/>
        </w:rPr>
        <w:t>eseci do &lt; 3 godine, ali predviđene vrijednosti farmakokinetičkih parametara u toj populaciji govore u prilog uporedivoj sistemskoj izloženosti (PIK, Ctrough) u toj starosnoj grupi i grupi od ≥ 3 godine (Tabela 24). Manja početna veličina tumora povezana je s većom izloženošću zbog manjeg klirensa zavisnog od vremena; međutim, nivoi sistemske izloženosti uslovljene različitim veličinama tumora i dalje su u rasponu izloženosti koja je bila efikasna i imala prihvatljiv bezbjednosni profil.</w:t>
      </w:r>
    </w:p>
    <w:p w:rsidR="00277702" w:rsidRPr="0055610F" w:rsidRDefault="00277702" w:rsidP="004D5825">
      <w:pPr>
        <w:tabs>
          <w:tab w:val="left" w:pos="284"/>
        </w:tabs>
        <w:jc w:val="both"/>
        <w:rPr>
          <w:sz w:val="22"/>
          <w:szCs w:val="22"/>
          <w:lang w:val="sr-Latn-ME"/>
        </w:rPr>
      </w:pPr>
    </w:p>
    <w:p w:rsidR="007B7C69" w:rsidRPr="0055610F" w:rsidRDefault="007B7C69" w:rsidP="004D5825">
      <w:pPr>
        <w:tabs>
          <w:tab w:val="left" w:pos="284"/>
        </w:tabs>
        <w:jc w:val="both"/>
        <w:rPr>
          <w:b/>
          <w:sz w:val="22"/>
          <w:szCs w:val="22"/>
          <w:lang w:val="sr-Latn-ME"/>
        </w:rPr>
      </w:pPr>
      <w:r w:rsidRPr="0055610F">
        <w:rPr>
          <w:b/>
          <w:sz w:val="22"/>
          <w:szCs w:val="22"/>
          <w:lang w:val="sr-Latn-ME"/>
        </w:rPr>
        <w:t>Tabela 24. Predviđene vrijednosti farmakokinetičkih parametara praćene nakon primjene doznog režima rituksimaba kod pedijatrijskih pacijenata sa DLBCL/BL/BAL/BLL</w:t>
      </w:r>
    </w:p>
    <w:p w:rsidR="0076239E" w:rsidRPr="0055610F" w:rsidRDefault="0076239E" w:rsidP="004D5825">
      <w:pPr>
        <w:tabs>
          <w:tab w:val="left" w:pos="284"/>
        </w:tabs>
        <w:jc w:val="both"/>
        <w:rPr>
          <w:b/>
          <w:sz w:val="22"/>
          <w:szCs w:val="22"/>
          <w:u w:val="single"/>
          <w:lang w:val="sr-Latn-ME"/>
        </w:rPr>
      </w:pP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8"/>
        <w:gridCol w:w="2346"/>
        <w:gridCol w:w="2346"/>
        <w:gridCol w:w="2347"/>
      </w:tblGrid>
      <w:tr w:rsidR="007B7C69" w:rsidRPr="007642DC" w:rsidTr="007B7C69">
        <w:trPr>
          <w:trHeight w:val="491"/>
        </w:trPr>
        <w:tc>
          <w:tcPr>
            <w:tcW w:w="2028"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tabs>
                <w:tab w:val="left" w:pos="284"/>
              </w:tabs>
              <w:jc w:val="both"/>
              <w:rPr>
                <w:b/>
                <w:sz w:val="22"/>
                <w:szCs w:val="22"/>
                <w:lang w:val="sr-Latn-ME"/>
              </w:rPr>
            </w:pPr>
            <w:r w:rsidRPr="0055610F">
              <w:rPr>
                <w:b/>
                <w:sz w:val="22"/>
                <w:szCs w:val="22"/>
                <w:lang w:val="sr-Latn-ME"/>
              </w:rPr>
              <w:t>Starosna grupa</w:t>
            </w:r>
          </w:p>
        </w:tc>
        <w:tc>
          <w:tcPr>
            <w:tcW w:w="2346"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55610F">
            <w:pPr>
              <w:tabs>
                <w:tab w:val="left" w:pos="284"/>
              </w:tabs>
              <w:jc w:val="center"/>
              <w:rPr>
                <w:b/>
                <w:sz w:val="22"/>
                <w:szCs w:val="22"/>
                <w:lang w:val="sr-Latn-ME"/>
              </w:rPr>
            </w:pPr>
            <w:r w:rsidRPr="0055610F">
              <w:rPr>
                <w:b/>
                <w:sz w:val="22"/>
                <w:szCs w:val="22"/>
                <w:lang w:val="sr-Latn-ME"/>
              </w:rPr>
              <w:t>≥ 6 mjeseci do &lt; 3 godine</w:t>
            </w:r>
          </w:p>
        </w:tc>
        <w:tc>
          <w:tcPr>
            <w:tcW w:w="2346"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55610F">
            <w:pPr>
              <w:tabs>
                <w:tab w:val="left" w:pos="284"/>
              </w:tabs>
              <w:jc w:val="center"/>
              <w:rPr>
                <w:b/>
                <w:sz w:val="22"/>
                <w:szCs w:val="22"/>
                <w:lang w:val="sr-Latn-ME"/>
              </w:rPr>
            </w:pPr>
            <w:r w:rsidRPr="0055610F">
              <w:rPr>
                <w:b/>
                <w:sz w:val="22"/>
                <w:szCs w:val="22"/>
                <w:lang w:val="sr-Latn-ME"/>
              </w:rPr>
              <w:t>≥ 3 do &lt; 12 godina</w:t>
            </w:r>
          </w:p>
        </w:tc>
        <w:tc>
          <w:tcPr>
            <w:tcW w:w="2347"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55610F">
            <w:pPr>
              <w:tabs>
                <w:tab w:val="left" w:pos="284"/>
              </w:tabs>
              <w:jc w:val="center"/>
              <w:rPr>
                <w:b/>
                <w:sz w:val="22"/>
                <w:szCs w:val="22"/>
                <w:lang w:val="sr-Latn-ME"/>
              </w:rPr>
            </w:pPr>
            <w:r w:rsidRPr="0055610F">
              <w:rPr>
                <w:b/>
                <w:sz w:val="22"/>
                <w:szCs w:val="22"/>
                <w:lang w:val="sr-Latn-ME"/>
              </w:rPr>
              <w:t>≥ 12 do &lt; 18 godina</w:t>
            </w:r>
          </w:p>
        </w:tc>
      </w:tr>
      <w:tr w:rsidR="007B7C69" w:rsidRPr="007642DC" w:rsidTr="007B7C69">
        <w:trPr>
          <w:trHeight w:val="397"/>
        </w:trPr>
        <w:tc>
          <w:tcPr>
            <w:tcW w:w="2028"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tabs>
                <w:tab w:val="left" w:pos="284"/>
              </w:tabs>
              <w:jc w:val="both"/>
              <w:rPr>
                <w:sz w:val="22"/>
                <w:szCs w:val="22"/>
                <w:vertAlign w:val="subscript"/>
                <w:lang w:val="sr-Latn-ME"/>
              </w:rPr>
            </w:pPr>
            <w:r w:rsidRPr="0055610F">
              <w:rPr>
                <w:sz w:val="22"/>
                <w:szCs w:val="22"/>
                <w:lang w:val="sr-Latn-ME"/>
              </w:rPr>
              <w:lastRenderedPageBreak/>
              <w:t>C</w:t>
            </w:r>
            <w:r w:rsidRPr="0055610F">
              <w:rPr>
                <w:sz w:val="22"/>
                <w:szCs w:val="22"/>
                <w:vertAlign w:val="subscript"/>
                <w:lang w:val="sr-Latn-ME"/>
              </w:rPr>
              <w:t xml:space="preserve">trough </w:t>
            </w:r>
            <w:r w:rsidRPr="0055610F">
              <w:rPr>
                <w:sz w:val="22"/>
                <w:szCs w:val="22"/>
                <w:lang w:val="sr-Latn-ME"/>
              </w:rPr>
              <w:t>(mikrograma/</w:t>
            </w:r>
            <w:r w:rsidR="007642DC">
              <w:rPr>
                <w:sz w:val="22"/>
                <w:szCs w:val="22"/>
                <w:lang w:val="sr-Latn-ME"/>
              </w:rPr>
              <w:t>ml</w:t>
            </w:r>
            <w:r w:rsidRPr="0055610F">
              <w:rPr>
                <w:sz w:val="22"/>
                <w:szCs w:val="22"/>
                <w:lang w:val="sr-Latn-ME"/>
              </w:rPr>
              <w:t>)</w:t>
            </w:r>
          </w:p>
        </w:tc>
        <w:tc>
          <w:tcPr>
            <w:tcW w:w="2346"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55610F">
            <w:pPr>
              <w:tabs>
                <w:tab w:val="left" w:pos="284"/>
              </w:tabs>
              <w:jc w:val="center"/>
              <w:rPr>
                <w:sz w:val="22"/>
                <w:szCs w:val="22"/>
                <w:lang w:val="sr-Latn-ME"/>
              </w:rPr>
            </w:pPr>
            <w:r w:rsidRPr="0055610F">
              <w:rPr>
                <w:sz w:val="22"/>
                <w:szCs w:val="22"/>
                <w:lang w:val="sr-Latn-ME"/>
              </w:rPr>
              <w:t>47,5 (0,01-179)</w:t>
            </w:r>
          </w:p>
        </w:tc>
        <w:tc>
          <w:tcPr>
            <w:tcW w:w="2346"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55610F">
            <w:pPr>
              <w:tabs>
                <w:tab w:val="left" w:pos="284"/>
              </w:tabs>
              <w:jc w:val="center"/>
              <w:rPr>
                <w:sz w:val="22"/>
                <w:szCs w:val="22"/>
                <w:lang w:val="sr-Latn-ME"/>
              </w:rPr>
            </w:pPr>
            <w:r w:rsidRPr="0055610F">
              <w:rPr>
                <w:sz w:val="22"/>
                <w:szCs w:val="22"/>
                <w:lang w:val="sr-Latn-ME"/>
              </w:rPr>
              <w:t>51,4 (0,00-182)</w:t>
            </w:r>
          </w:p>
        </w:tc>
        <w:tc>
          <w:tcPr>
            <w:tcW w:w="2347"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55610F">
            <w:pPr>
              <w:tabs>
                <w:tab w:val="left" w:pos="284"/>
              </w:tabs>
              <w:jc w:val="center"/>
              <w:rPr>
                <w:sz w:val="22"/>
                <w:szCs w:val="22"/>
                <w:lang w:val="sr-Latn-ME"/>
              </w:rPr>
            </w:pPr>
            <w:r w:rsidRPr="0055610F">
              <w:rPr>
                <w:sz w:val="22"/>
                <w:szCs w:val="22"/>
                <w:lang w:val="sr-Latn-ME"/>
              </w:rPr>
              <w:t>44,1 (0,00-149)</w:t>
            </w:r>
          </w:p>
        </w:tc>
      </w:tr>
      <w:tr w:rsidR="007B7C69" w:rsidRPr="007642DC" w:rsidTr="007B7C69">
        <w:trPr>
          <w:trHeight w:val="624"/>
        </w:trPr>
        <w:tc>
          <w:tcPr>
            <w:tcW w:w="2028"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4D5825">
            <w:pPr>
              <w:tabs>
                <w:tab w:val="left" w:pos="284"/>
              </w:tabs>
              <w:jc w:val="both"/>
              <w:rPr>
                <w:sz w:val="22"/>
                <w:szCs w:val="22"/>
                <w:lang w:val="sr-Latn-ME"/>
              </w:rPr>
            </w:pPr>
            <w:r w:rsidRPr="0055610F">
              <w:rPr>
                <w:sz w:val="22"/>
                <w:szCs w:val="22"/>
                <w:lang w:val="sr-Latn-ME"/>
              </w:rPr>
              <w:t>PIK</w:t>
            </w:r>
            <w:r w:rsidRPr="0055610F">
              <w:rPr>
                <w:sz w:val="22"/>
                <w:szCs w:val="22"/>
                <w:vertAlign w:val="subscript"/>
                <w:lang w:val="sr-Latn-ME"/>
              </w:rPr>
              <w:t>1-4 ciklusa</w:t>
            </w:r>
            <w:r w:rsidRPr="0055610F">
              <w:rPr>
                <w:sz w:val="22"/>
                <w:szCs w:val="22"/>
                <w:lang w:val="sr-Latn-ME"/>
              </w:rPr>
              <w:t xml:space="preserve"> (mikrograma*dan/</w:t>
            </w:r>
            <w:r w:rsidR="007642DC">
              <w:rPr>
                <w:sz w:val="22"/>
                <w:szCs w:val="22"/>
                <w:lang w:val="sr-Latn-ME"/>
              </w:rPr>
              <w:t>ml</w:t>
            </w:r>
            <w:r w:rsidRPr="0055610F">
              <w:rPr>
                <w:sz w:val="22"/>
                <w:szCs w:val="22"/>
                <w:lang w:val="sr-Latn-ME"/>
              </w:rPr>
              <w:t>)</w:t>
            </w:r>
          </w:p>
        </w:tc>
        <w:tc>
          <w:tcPr>
            <w:tcW w:w="2346"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55610F">
            <w:pPr>
              <w:tabs>
                <w:tab w:val="left" w:pos="284"/>
              </w:tabs>
              <w:jc w:val="center"/>
              <w:rPr>
                <w:sz w:val="22"/>
                <w:szCs w:val="22"/>
                <w:lang w:val="sr-Latn-ME"/>
              </w:rPr>
            </w:pPr>
            <w:r w:rsidRPr="0055610F">
              <w:rPr>
                <w:sz w:val="22"/>
                <w:szCs w:val="22"/>
                <w:lang w:val="sr-Latn-ME"/>
              </w:rPr>
              <w:t>13501 (278-31070)</w:t>
            </w:r>
          </w:p>
        </w:tc>
        <w:tc>
          <w:tcPr>
            <w:tcW w:w="2346"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55610F">
            <w:pPr>
              <w:tabs>
                <w:tab w:val="left" w:pos="284"/>
              </w:tabs>
              <w:jc w:val="center"/>
              <w:rPr>
                <w:sz w:val="22"/>
                <w:szCs w:val="22"/>
                <w:lang w:val="sr-Latn-ME"/>
              </w:rPr>
            </w:pPr>
            <w:r w:rsidRPr="0055610F">
              <w:rPr>
                <w:sz w:val="22"/>
                <w:szCs w:val="22"/>
                <w:lang w:val="sr-Latn-ME"/>
              </w:rPr>
              <w:t>11609 (135-31157)</w:t>
            </w:r>
          </w:p>
        </w:tc>
        <w:tc>
          <w:tcPr>
            <w:tcW w:w="2347" w:type="dxa"/>
            <w:tcBorders>
              <w:top w:val="single" w:sz="4" w:space="0" w:color="000000"/>
              <w:left w:val="single" w:sz="4" w:space="0" w:color="000000"/>
              <w:bottom w:val="single" w:sz="4" w:space="0" w:color="000000"/>
              <w:right w:val="single" w:sz="4" w:space="0" w:color="000000"/>
            </w:tcBorders>
            <w:vAlign w:val="center"/>
            <w:hideMark/>
          </w:tcPr>
          <w:p w:rsidR="007B7C69" w:rsidRPr="0055610F" w:rsidRDefault="007B7C69" w:rsidP="0055610F">
            <w:pPr>
              <w:tabs>
                <w:tab w:val="left" w:pos="284"/>
              </w:tabs>
              <w:jc w:val="center"/>
              <w:rPr>
                <w:sz w:val="22"/>
                <w:szCs w:val="22"/>
                <w:lang w:val="sr-Latn-ME"/>
              </w:rPr>
            </w:pPr>
            <w:r w:rsidRPr="0055610F">
              <w:rPr>
                <w:sz w:val="22"/>
                <w:szCs w:val="22"/>
                <w:lang w:val="sr-Latn-ME"/>
              </w:rPr>
              <w:t>11467 (110-27066)</w:t>
            </w:r>
          </w:p>
        </w:tc>
      </w:tr>
    </w:tbl>
    <w:p w:rsidR="007B7C69" w:rsidRPr="009941F7" w:rsidRDefault="007B7C69" w:rsidP="004D5825">
      <w:pPr>
        <w:tabs>
          <w:tab w:val="left" w:pos="284"/>
        </w:tabs>
        <w:jc w:val="both"/>
        <w:rPr>
          <w:sz w:val="22"/>
          <w:szCs w:val="22"/>
          <w:lang w:val="sr-Latn-ME"/>
        </w:rPr>
      </w:pPr>
      <w:r w:rsidRPr="009941F7">
        <w:rPr>
          <w:sz w:val="22"/>
          <w:szCs w:val="22"/>
          <w:lang w:val="sr-Latn-ME"/>
        </w:rPr>
        <w:t>rezultati su prezentovani kao medijana (min – maks); Cthrough se odnosi na vr</w:t>
      </w:r>
      <w:r w:rsidR="00D714A0" w:rsidRPr="009941F7">
        <w:rPr>
          <w:sz w:val="22"/>
          <w:szCs w:val="22"/>
          <w:lang w:val="sr-Latn-ME"/>
        </w:rPr>
        <w:t>ij</w:t>
      </w:r>
      <w:r w:rsidRPr="009941F7">
        <w:rPr>
          <w:sz w:val="22"/>
          <w:szCs w:val="22"/>
          <w:lang w:val="sr-Latn-ME"/>
        </w:rPr>
        <w:t>ednost pr</w:t>
      </w:r>
      <w:r w:rsidR="00D714A0" w:rsidRPr="009941F7">
        <w:rPr>
          <w:sz w:val="22"/>
          <w:szCs w:val="22"/>
          <w:lang w:val="sr-Latn-ME"/>
        </w:rPr>
        <w:t>ij</w:t>
      </w:r>
      <w:r w:rsidRPr="009941F7">
        <w:rPr>
          <w:sz w:val="22"/>
          <w:szCs w:val="22"/>
          <w:lang w:val="sr-Latn-ME"/>
        </w:rPr>
        <w:t>e primjene doze u 4. ciklusu</w:t>
      </w:r>
    </w:p>
    <w:p w:rsidR="007B7C69" w:rsidRPr="0055610F" w:rsidRDefault="007B7C69" w:rsidP="004D5825">
      <w:pPr>
        <w:jc w:val="both"/>
        <w:rPr>
          <w:sz w:val="22"/>
          <w:szCs w:val="22"/>
          <w:u w:val="single"/>
          <w:lang w:val="sr-Latn-ME"/>
        </w:rPr>
      </w:pPr>
    </w:p>
    <w:p w:rsidR="007B7C69" w:rsidRDefault="007B7C69" w:rsidP="004D5825">
      <w:pPr>
        <w:jc w:val="both"/>
        <w:rPr>
          <w:sz w:val="22"/>
          <w:szCs w:val="22"/>
          <w:u w:val="single"/>
          <w:lang w:val="sr-Latn-ME"/>
        </w:rPr>
      </w:pPr>
      <w:r w:rsidRPr="0055610F">
        <w:rPr>
          <w:sz w:val="22"/>
          <w:szCs w:val="22"/>
          <w:u w:val="single"/>
          <w:lang w:val="sr-Latn-ME"/>
        </w:rPr>
        <w:t>Hronična limfocitna leukemija</w:t>
      </w:r>
    </w:p>
    <w:p w:rsidR="00DB219C" w:rsidRPr="0055610F" w:rsidRDefault="00DB219C" w:rsidP="004D5825">
      <w:pPr>
        <w:jc w:val="both"/>
        <w:rPr>
          <w:sz w:val="22"/>
          <w:szCs w:val="22"/>
          <w:u w:val="single"/>
          <w:lang w:val="sr-Latn-ME"/>
        </w:rPr>
      </w:pPr>
    </w:p>
    <w:p w:rsidR="007B7C69" w:rsidRPr="0055610F" w:rsidRDefault="007B7C69" w:rsidP="004D5825">
      <w:pPr>
        <w:jc w:val="both"/>
        <w:rPr>
          <w:sz w:val="22"/>
          <w:szCs w:val="22"/>
          <w:lang w:val="sr-Latn-ME"/>
        </w:rPr>
      </w:pPr>
      <w:r w:rsidRPr="0055610F">
        <w:rPr>
          <w:sz w:val="22"/>
          <w:szCs w:val="22"/>
          <w:lang w:val="sr-Latn-ME"/>
        </w:rPr>
        <w:t>MabThera je primijenjena intravenskom infuzijom u dozi od 375 mg/m2 u prvom ciklusu, koja je povećana na 500 mg/m2 u svakom od narednih pet ciklusa, u kombinaciji s fludarabinom i ciklofosfamidom kod pacijenata sa CLL</w:t>
      </w:r>
      <w:r w:rsidRPr="0055610F">
        <w:rPr>
          <w:sz w:val="22"/>
          <w:szCs w:val="22"/>
          <w:lang w:val="sr-Latn-ME"/>
        </w:rPr>
        <w:noBreakHyphen/>
        <w:t>om. Prosječni Cmax (N = 15) nakon pete infuzije od 500 mg/m2 iznosio je 408 µg/</w:t>
      </w:r>
      <w:r w:rsidR="007642DC">
        <w:rPr>
          <w:sz w:val="22"/>
          <w:szCs w:val="22"/>
          <w:lang w:val="sr-Latn-ME"/>
        </w:rPr>
        <w:t>ml</w:t>
      </w:r>
      <w:r w:rsidRPr="0055610F">
        <w:rPr>
          <w:sz w:val="22"/>
          <w:szCs w:val="22"/>
          <w:lang w:val="sr-Latn-ME"/>
        </w:rPr>
        <w:t xml:space="preserve"> (raspon 97</w:t>
      </w:r>
      <w:r w:rsidRPr="0055610F">
        <w:rPr>
          <w:sz w:val="22"/>
          <w:szCs w:val="22"/>
          <w:lang w:val="sr-Latn-ME"/>
        </w:rPr>
        <w:noBreakHyphen/>
        <w:t>764 µg/</w:t>
      </w:r>
      <w:r w:rsidR="007642DC">
        <w:rPr>
          <w:sz w:val="22"/>
          <w:szCs w:val="22"/>
          <w:lang w:val="sr-Latn-ME"/>
        </w:rPr>
        <w:t>ml</w:t>
      </w:r>
      <w:r w:rsidRPr="0055610F">
        <w:rPr>
          <w:sz w:val="22"/>
          <w:szCs w:val="22"/>
          <w:lang w:val="sr-Latn-ME"/>
        </w:rPr>
        <w:t>), dok je prosječno terminalno poluvrijeme eliminacije blio 32 dana (raspon 14</w:t>
      </w:r>
      <w:r w:rsidRPr="0055610F">
        <w:rPr>
          <w:sz w:val="22"/>
          <w:szCs w:val="22"/>
          <w:lang w:val="sr-Latn-ME"/>
        </w:rPr>
        <w:noBreakHyphen/>
        <w:t xml:space="preserve">62 dana). </w:t>
      </w:r>
    </w:p>
    <w:p w:rsidR="007B7C69" w:rsidRPr="0055610F" w:rsidRDefault="007B7C69" w:rsidP="004D5825">
      <w:pPr>
        <w:jc w:val="both"/>
        <w:rPr>
          <w:sz w:val="22"/>
          <w:szCs w:val="22"/>
          <w:lang w:val="sr-Latn-ME"/>
        </w:rPr>
      </w:pPr>
    </w:p>
    <w:p w:rsidR="007B7C69" w:rsidRDefault="007B7C69" w:rsidP="004D5825">
      <w:pPr>
        <w:jc w:val="both"/>
        <w:rPr>
          <w:sz w:val="22"/>
          <w:szCs w:val="22"/>
          <w:u w:val="single"/>
          <w:lang w:val="sr-Latn-ME"/>
        </w:rPr>
      </w:pPr>
      <w:r w:rsidRPr="0055610F">
        <w:rPr>
          <w:sz w:val="22"/>
          <w:szCs w:val="22"/>
          <w:u w:val="single"/>
          <w:lang w:val="sr-Latn-ME"/>
        </w:rPr>
        <w:t>Reumatoidni artritis</w:t>
      </w:r>
    </w:p>
    <w:p w:rsidR="00DB219C" w:rsidRPr="0055610F" w:rsidRDefault="00DB219C" w:rsidP="004D5825">
      <w:pPr>
        <w:jc w:val="both"/>
        <w:rPr>
          <w:sz w:val="22"/>
          <w:szCs w:val="22"/>
          <w:u w:val="single"/>
          <w:lang w:val="sr-Latn-ME"/>
        </w:rPr>
      </w:pPr>
    </w:p>
    <w:p w:rsidR="007B7C69" w:rsidRPr="0055610F" w:rsidRDefault="007B7C69" w:rsidP="004D5825">
      <w:pPr>
        <w:jc w:val="both"/>
        <w:rPr>
          <w:sz w:val="22"/>
          <w:szCs w:val="22"/>
          <w:lang w:val="sr-Latn-ME"/>
        </w:rPr>
      </w:pPr>
      <w:r w:rsidRPr="0055610F">
        <w:rPr>
          <w:sz w:val="22"/>
          <w:szCs w:val="22"/>
          <w:lang w:val="sr-Latn-ME"/>
        </w:rPr>
        <w:t>Poslije dvije intravenske infuzije rituksimaba u dozi od 1000 mg, u razmaku od dvije ned</w:t>
      </w:r>
      <w:r w:rsidR="00135703" w:rsidRPr="0055610F">
        <w:rPr>
          <w:sz w:val="22"/>
          <w:szCs w:val="22"/>
          <w:lang w:val="sr-Latn-ME"/>
        </w:rPr>
        <w:t>j</w:t>
      </w:r>
      <w:r w:rsidRPr="0055610F">
        <w:rPr>
          <w:sz w:val="22"/>
          <w:szCs w:val="22"/>
          <w:lang w:val="sr-Latn-ME"/>
        </w:rPr>
        <w:t xml:space="preserve">elje, srednje terminalno poluvrijeme eliminacije iznosilo je 20,8 dana (raspon 8,58 do 35,9 dana), srednji sistemski klirens bio je 0,23 L/dan (raspon 0,091 do 0,67 L/dan), a srednji volumen distribucije u stanju ravnoteže bio je 4,6 L (raspon 1,7 do 7,51 L). Analiza populacione farmakokinetike istih podataka dala je slične vrijednosti za sistemski klirens i poluživot (0,26 L/dan odnosno 20,4 dana). Populaciona farmakokinetička analiza otkrila je takođe da su BSA i pol najznačajnije kovarijable kojima se objašnjavaju i razlike u farmakokinetičkim parametrima između pojedinih </w:t>
      </w:r>
      <w:r w:rsidR="00B16626" w:rsidRPr="0055610F">
        <w:rPr>
          <w:sz w:val="22"/>
          <w:szCs w:val="22"/>
          <w:lang w:val="sr-Latn-ME"/>
        </w:rPr>
        <w:t>pacijenata</w:t>
      </w:r>
      <w:r w:rsidRPr="0055610F">
        <w:rPr>
          <w:sz w:val="22"/>
          <w:szCs w:val="22"/>
          <w:lang w:val="sr-Latn-ME"/>
        </w:rPr>
        <w:t xml:space="preserve">. Po podešavanju za BSA, muškarci su imali veći volumen distribucije i brži klirens od žena. Farmakokinetičke razlike po polu ne smatraju se klinički relevantnim, pa stoga nije potrebno podešavanje doze. </w:t>
      </w:r>
    </w:p>
    <w:p w:rsidR="007B7C69" w:rsidRPr="0055610F" w:rsidRDefault="007B7C69" w:rsidP="004D5825">
      <w:pPr>
        <w:jc w:val="both"/>
        <w:rPr>
          <w:sz w:val="22"/>
          <w:szCs w:val="22"/>
          <w:lang w:val="sr-Latn-ME"/>
        </w:rPr>
      </w:pPr>
      <w:r w:rsidRPr="0055610F">
        <w:rPr>
          <w:sz w:val="22"/>
          <w:szCs w:val="22"/>
          <w:lang w:val="sr-Latn-ME"/>
        </w:rPr>
        <w:t>Nema farmakokinetičkih podataka o pacijentima sa oštećenjem jetre ili bubrega.</w:t>
      </w:r>
    </w:p>
    <w:p w:rsidR="007B7C69" w:rsidRPr="0055610F" w:rsidRDefault="007B7C69" w:rsidP="004D5825">
      <w:pPr>
        <w:jc w:val="both"/>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Farmakokinetika rituksimaba ispitivana je nakon dvije intravenske ( i.v.) doze od 500 mg i 1000 mg prim</w:t>
      </w:r>
      <w:r w:rsidR="00135703" w:rsidRPr="0055610F">
        <w:rPr>
          <w:sz w:val="22"/>
          <w:szCs w:val="22"/>
          <w:lang w:val="sr-Latn-ME"/>
        </w:rPr>
        <w:t>i</w:t>
      </w:r>
      <w:r w:rsidRPr="0055610F">
        <w:rPr>
          <w:sz w:val="22"/>
          <w:szCs w:val="22"/>
          <w:lang w:val="sr-Latn-ME"/>
        </w:rPr>
        <w:t xml:space="preserve">jenjene 1- i 15.  dana u četiri </w:t>
      </w:r>
      <w:r w:rsidR="00CA6E91" w:rsidRPr="0055610F">
        <w:rPr>
          <w:sz w:val="22"/>
          <w:szCs w:val="22"/>
          <w:lang w:val="sr-Latn-ME"/>
        </w:rPr>
        <w:t>s</w:t>
      </w:r>
      <w:r w:rsidRPr="0055610F">
        <w:rPr>
          <w:sz w:val="22"/>
          <w:szCs w:val="22"/>
          <w:lang w:val="sr-Latn-ME"/>
        </w:rPr>
        <w:t xml:space="preserve">tudije. U svim su tim </w:t>
      </w:r>
      <w:r w:rsidR="00CA6E91" w:rsidRPr="0055610F">
        <w:rPr>
          <w:sz w:val="22"/>
          <w:szCs w:val="22"/>
          <w:lang w:val="sr-Latn-ME"/>
        </w:rPr>
        <w:t>s</w:t>
      </w:r>
      <w:r w:rsidRPr="0055610F">
        <w:rPr>
          <w:sz w:val="22"/>
          <w:szCs w:val="22"/>
          <w:lang w:val="sr-Latn-ME"/>
        </w:rPr>
        <w:t>tudijama farmakokinetičke osobine rituksimaba bil</w:t>
      </w:r>
      <w:r w:rsidR="00135703" w:rsidRPr="0055610F">
        <w:rPr>
          <w:sz w:val="22"/>
          <w:szCs w:val="22"/>
          <w:lang w:val="sr-Latn-ME"/>
        </w:rPr>
        <w:t>e su</w:t>
      </w:r>
      <w:r w:rsidRPr="0055610F">
        <w:rPr>
          <w:sz w:val="22"/>
          <w:szCs w:val="22"/>
          <w:lang w:val="sr-Latn-ME"/>
        </w:rPr>
        <w:t xml:space="preserve"> srazmjeren</w:t>
      </w:r>
      <w:r w:rsidR="00135703" w:rsidRPr="0055610F">
        <w:rPr>
          <w:sz w:val="22"/>
          <w:szCs w:val="22"/>
          <w:lang w:val="sr-Latn-ME"/>
        </w:rPr>
        <w:t>e</w:t>
      </w:r>
      <w:r w:rsidRPr="0055610F">
        <w:rPr>
          <w:sz w:val="22"/>
          <w:szCs w:val="22"/>
          <w:lang w:val="sr-Latn-ME"/>
        </w:rPr>
        <w:t xml:space="preserve"> dozi u ograničenom ispitivanom rasponu doza. Prosječni Cmax rituksimaba u serumu nakon prve infuzije kretao se između 157 i 171 µg/</w:t>
      </w:r>
      <w:r w:rsidR="007642DC">
        <w:rPr>
          <w:sz w:val="22"/>
          <w:szCs w:val="22"/>
          <w:lang w:val="sr-Latn-ME"/>
        </w:rPr>
        <w:t>ml</w:t>
      </w:r>
      <w:r w:rsidRPr="0055610F">
        <w:rPr>
          <w:sz w:val="22"/>
          <w:szCs w:val="22"/>
          <w:lang w:val="sr-Latn-ME"/>
        </w:rPr>
        <w:t xml:space="preserve"> pri dozi od 2 x 500 mg, odnosno između 298 i 341 µg/</w:t>
      </w:r>
      <w:r w:rsidR="007642DC">
        <w:rPr>
          <w:sz w:val="22"/>
          <w:szCs w:val="22"/>
          <w:lang w:val="sr-Latn-ME"/>
        </w:rPr>
        <w:t>ml</w:t>
      </w:r>
      <w:r w:rsidRPr="0055610F">
        <w:rPr>
          <w:sz w:val="22"/>
          <w:szCs w:val="22"/>
          <w:lang w:val="sr-Latn-ME"/>
        </w:rPr>
        <w:t xml:space="preserve"> pri dozi od 2 x 1000 mg. Nakon druge  infuzije se prosječni Cmax kretao između 183 i 198 µg/</w:t>
      </w:r>
      <w:r w:rsidR="007642DC">
        <w:rPr>
          <w:sz w:val="22"/>
          <w:szCs w:val="22"/>
          <w:lang w:val="sr-Latn-ME"/>
        </w:rPr>
        <w:t>ml</w:t>
      </w:r>
      <w:r w:rsidRPr="0055610F">
        <w:rPr>
          <w:sz w:val="22"/>
          <w:szCs w:val="22"/>
          <w:lang w:val="sr-Latn-ME"/>
        </w:rPr>
        <w:t xml:space="preserve"> pri dozi od 2 x 500 mg, odnosno između 355 i 404 µg/</w:t>
      </w:r>
      <w:r w:rsidR="007642DC">
        <w:rPr>
          <w:sz w:val="22"/>
          <w:szCs w:val="22"/>
          <w:lang w:val="sr-Latn-ME"/>
        </w:rPr>
        <w:t>ml</w:t>
      </w:r>
      <w:r w:rsidRPr="0055610F">
        <w:rPr>
          <w:sz w:val="22"/>
          <w:szCs w:val="22"/>
          <w:lang w:val="sr-Latn-ME"/>
        </w:rPr>
        <w:t xml:space="preserve"> pri dozi od 2 x 1000 mg. Srednje terminalno poluvrijeme eliminacije iznosilo je od 15 do 16 dana u grupi koja je primala dozu od 2 x 500 mg te 17 do 21 dan u grupi koja je primala dozu od 2 x 1000 mg. Prosječni Cmax za obe  doze je  bio 16% do 19% veći nakon druge infuzije u poređenju sa prvom infuzijom.</w:t>
      </w:r>
    </w:p>
    <w:p w:rsidR="007B7C69" w:rsidRPr="0055610F" w:rsidRDefault="007B7C69" w:rsidP="004D5825">
      <w:pPr>
        <w:jc w:val="both"/>
        <w:rPr>
          <w:sz w:val="22"/>
          <w:szCs w:val="22"/>
          <w:lang w:val="sr-Latn-ME"/>
        </w:rPr>
      </w:pPr>
    </w:p>
    <w:p w:rsidR="007B7C69" w:rsidRPr="0055610F" w:rsidRDefault="007B7C69" w:rsidP="004D5825">
      <w:pPr>
        <w:jc w:val="both"/>
        <w:outlineLvl w:val="0"/>
        <w:rPr>
          <w:sz w:val="22"/>
          <w:szCs w:val="22"/>
          <w:lang w:val="sr-Latn-ME"/>
        </w:rPr>
      </w:pPr>
      <w:r w:rsidRPr="0055610F">
        <w:rPr>
          <w:sz w:val="22"/>
          <w:szCs w:val="22"/>
          <w:lang w:val="sr-Latn-ME"/>
        </w:rPr>
        <w:t>Ispitane su farmakokinetičke osobine rituksimaba nakon dvije intravenske doze od 500 mg i 1000 mg primijenjene u ponovnom liječenju u drugom ciklusu. Prosječni Cmax rituksimaba u serumu nakon prve infuzije bio je 170 do 175 µg/</w:t>
      </w:r>
      <w:r w:rsidR="007642DC">
        <w:rPr>
          <w:sz w:val="22"/>
          <w:szCs w:val="22"/>
          <w:lang w:val="sr-Latn-ME"/>
        </w:rPr>
        <w:t>ml</w:t>
      </w:r>
      <w:r w:rsidRPr="0055610F">
        <w:rPr>
          <w:sz w:val="22"/>
          <w:szCs w:val="22"/>
          <w:lang w:val="sr-Latn-ME"/>
        </w:rPr>
        <w:t xml:space="preserve"> pri dozi od 2 x 500 mg, odnosno 317 do 370 µg/</w:t>
      </w:r>
      <w:r w:rsidR="007642DC">
        <w:rPr>
          <w:sz w:val="22"/>
          <w:szCs w:val="22"/>
          <w:lang w:val="sr-Latn-ME"/>
        </w:rPr>
        <w:t>ml</w:t>
      </w:r>
      <w:r w:rsidRPr="0055610F">
        <w:rPr>
          <w:sz w:val="22"/>
          <w:szCs w:val="22"/>
          <w:lang w:val="sr-Latn-ME"/>
        </w:rPr>
        <w:t xml:space="preserve"> pri dozi od 2 x 1000 mg. Nakon druge infuzije vrijednost Cmax iznosila je 207 µg/</w:t>
      </w:r>
      <w:r w:rsidR="007642DC">
        <w:rPr>
          <w:sz w:val="22"/>
          <w:szCs w:val="22"/>
          <w:lang w:val="sr-Latn-ME"/>
        </w:rPr>
        <w:t>ml</w:t>
      </w:r>
      <w:r w:rsidRPr="0055610F">
        <w:rPr>
          <w:sz w:val="22"/>
          <w:szCs w:val="22"/>
          <w:lang w:val="sr-Latn-ME"/>
        </w:rPr>
        <w:t xml:space="preserve"> pri dozi od 2 x 500 mg te 377 do 386 µg/</w:t>
      </w:r>
      <w:r w:rsidR="007642DC">
        <w:rPr>
          <w:sz w:val="22"/>
          <w:szCs w:val="22"/>
          <w:lang w:val="sr-Latn-ME"/>
        </w:rPr>
        <w:t>ml</w:t>
      </w:r>
      <w:r w:rsidRPr="0055610F">
        <w:rPr>
          <w:sz w:val="22"/>
          <w:szCs w:val="22"/>
          <w:lang w:val="sr-Latn-ME"/>
        </w:rPr>
        <w:t xml:space="preserve"> pri dozi od 2 x 1000 mg. Srednje terminalno poluvrijeme eliminacije nakon druge infuzije i drugog ciklusa iznosio je 19 dana za dozu od 2 x 500 mg te od 21 do 22 dana za dozu od 2 x 1000 mg. Farmakokinetički parametri za rituksimab bili su slični tokom dva ciklusa liječenja.</w:t>
      </w:r>
    </w:p>
    <w:p w:rsidR="007B7C69" w:rsidRPr="0055610F" w:rsidRDefault="007B7C69" w:rsidP="004D5825">
      <w:pPr>
        <w:jc w:val="both"/>
        <w:outlineLvl w:val="0"/>
        <w:rPr>
          <w:sz w:val="22"/>
          <w:szCs w:val="22"/>
          <w:lang w:val="sr-Latn-ME"/>
        </w:rPr>
      </w:pPr>
      <w:r w:rsidRPr="0055610F">
        <w:rPr>
          <w:sz w:val="22"/>
          <w:szCs w:val="22"/>
          <w:lang w:val="sr-Latn-ME"/>
        </w:rPr>
        <w:t xml:space="preserve"> </w:t>
      </w:r>
    </w:p>
    <w:p w:rsidR="007B7C69" w:rsidRDefault="007B7C69" w:rsidP="004D5825">
      <w:pPr>
        <w:jc w:val="both"/>
        <w:rPr>
          <w:sz w:val="22"/>
          <w:szCs w:val="22"/>
          <w:lang w:val="sr-Latn-ME"/>
        </w:rPr>
      </w:pPr>
      <w:r w:rsidRPr="0055610F">
        <w:rPr>
          <w:sz w:val="22"/>
          <w:szCs w:val="22"/>
          <w:lang w:val="sr-Latn-ME"/>
        </w:rPr>
        <w:t>Farmakokinetički (PK) parametri u populaciji koja neodgovarajuće reaguje na anti-TNF terapiju, po istom režimu doziranja (2 x 1000 mg, i.v., u razmaku od 2 ned</w:t>
      </w:r>
      <w:r w:rsidR="00135703" w:rsidRPr="0055610F">
        <w:rPr>
          <w:sz w:val="22"/>
          <w:szCs w:val="22"/>
          <w:lang w:val="sr-Latn-ME"/>
        </w:rPr>
        <w:t>j</w:t>
      </w:r>
      <w:r w:rsidRPr="0055610F">
        <w:rPr>
          <w:sz w:val="22"/>
          <w:szCs w:val="22"/>
          <w:lang w:val="sr-Latn-ME"/>
        </w:rPr>
        <w:t>elje) bili su slični sa srednjim maksimalnim koncentracijama u serumu od 369 µg/</w:t>
      </w:r>
      <w:r w:rsidR="007642DC">
        <w:rPr>
          <w:sz w:val="22"/>
          <w:szCs w:val="22"/>
          <w:lang w:val="sr-Latn-ME"/>
        </w:rPr>
        <w:t>ml</w:t>
      </w:r>
      <w:r w:rsidRPr="0055610F">
        <w:rPr>
          <w:sz w:val="22"/>
          <w:szCs w:val="22"/>
          <w:lang w:val="sr-Latn-ME"/>
        </w:rPr>
        <w:t xml:space="preserve"> i srednjim terminalnim poluvremenom eliminacije od 19,2 dana. </w:t>
      </w:r>
    </w:p>
    <w:p w:rsidR="00277702" w:rsidRPr="0055610F" w:rsidRDefault="00277702" w:rsidP="004D5825">
      <w:pPr>
        <w:jc w:val="both"/>
        <w:rPr>
          <w:sz w:val="22"/>
          <w:szCs w:val="22"/>
          <w:lang w:val="sr-Latn-ME"/>
        </w:rPr>
      </w:pPr>
    </w:p>
    <w:p w:rsidR="007B7C69" w:rsidRPr="0055610F" w:rsidRDefault="007B7C69" w:rsidP="004D5825">
      <w:pPr>
        <w:jc w:val="both"/>
        <w:rPr>
          <w:sz w:val="22"/>
          <w:szCs w:val="22"/>
          <w:u w:val="single"/>
          <w:lang w:val="sr-Latn-ME"/>
        </w:rPr>
      </w:pPr>
      <w:r w:rsidRPr="0055610F">
        <w:rPr>
          <w:sz w:val="22"/>
          <w:szCs w:val="22"/>
          <w:u w:val="single"/>
          <w:lang w:val="sr-Latn-ME"/>
        </w:rPr>
        <w:t>Granulomatoza sa poliangitisom (GPA) i mikroskopski poliangitis (MPA)</w:t>
      </w:r>
    </w:p>
    <w:p w:rsidR="007B7C69" w:rsidRPr="0055610F" w:rsidRDefault="007B7C69" w:rsidP="004D5825">
      <w:pPr>
        <w:jc w:val="both"/>
        <w:rPr>
          <w:sz w:val="22"/>
          <w:szCs w:val="22"/>
          <w:lang w:val="sr-Latn-ME"/>
        </w:rPr>
      </w:pPr>
    </w:p>
    <w:p w:rsidR="007B7C69" w:rsidRPr="0055610F" w:rsidRDefault="007B7C69" w:rsidP="004D5825">
      <w:pPr>
        <w:pStyle w:val="Header"/>
        <w:tabs>
          <w:tab w:val="left" w:pos="284"/>
        </w:tabs>
        <w:jc w:val="both"/>
        <w:rPr>
          <w:i/>
          <w:sz w:val="22"/>
          <w:szCs w:val="22"/>
          <w:lang w:val="sr-Latn-ME"/>
        </w:rPr>
      </w:pPr>
      <w:r w:rsidRPr="0055610F">
        <w:rPr>
          <w:i/>
          <w:sz w:val="22"/>
          <w:szCs w:val="22"/>
          <w:lang w:val="sr-Latn-ME"/>
        </w:rPr>
        <w:t>Populacija odraslih pacijenata</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lastRenderedPageBreak/>
        <w:t>Na osnovu populacijske farmakokinetičke analize podataka za 97 pacijenata sa granulomatozom sa poliangitisom i mikroskopskim poliangitisom koji su primali lijek MabThera u dozi od 375 mg/m2 jedanput nedjeljno tokom čet</w:t>
      </w:r>
      <w:r w:rsidR="00135703" w:rsidRPr="0055610F">
        <w:rPr>
          <w:sz w:val="22"/>
          <w:szCs w:val="22"/>
          <w:lang w:val="sr-Latn-ME"/>
        </w:rPr>
        <w:t>i</w:t>
      </w:r>
      <w:r w:rsidRPr="0055610F">
        <w:rPr>
          <w:sz w:val="22"/>
          <w:szCs w:val="22"/>
          <w:lang w:val="sr-Latn-ME"/>
        </w:rPr>
        <w:t>ri nedjelje, procijenjen</w:t>
      </w:r>
      <w:r w:rsidR="00135703" w:rsidRPr="0055610F">
        <w:rPr>
          <w:sz w:val="22"/>
          <w:szCs w:val="22"/>
          <w:lang w:val="sr-Latn-ME"/>
        </w:rPr>
        <w:t>a</w:t>
      </w:r>
      <w:r w:rsidRPr="0055610F">
        <w:rPr>
          <w:sz w:val="22"/>
          <w:szCs w:val="22"/>
          <w:lang w:val="sr-Latn-ME"/>
        </w:rPr>
        <w:t xml:space="preserve"> medijan</w:t>
      </w:r>
      <w:r w:rsidR="00135703" w:rsidRPr="0055610F">
        <w:rPr>
          <w:sz w:val="22"/>
          <w:szCs w:val="22"/>
          <w:lang w:val="sr-Latn-ME"/>
        </w:rPr>
        <w:t>a</w:t>
      </w:r>
      <w:r w:rsidRPr="0055610F">
        <w:rPr>
          <w:sz w:val="22"/>
          <w:szCs w:val="22"/>
          <w:lang w:val="sr-Latn-ME"/>
        </w:rPr>
        <w:t xml:space="preserve"> terminalnog poluvremena eliminacije bi</w:t>
      </w:r>
      <w:r w:rsidR="00135703" w:rsidRPr="0055610F">
        <w:rPr>
          <w:sz w:val="22"/>
          <w:szCs w:val="22"/>
          <w:lang w:val="sr-Latn-ME"/>
        </w:rPr>
        <w:t>la</w:t>
      </w:r>
      <w:r w:rsidRPr="0055610F">
        <w:rPr>
          <w:sz w:val="22"/>
          <w:szCs w:val="22"/>
          <w:lang w:val="sr-Latn-ME"/>
        </w:rPr>
        <w:t xml:space="preserve"> je 23 dana (raspon od 9 do 49 dana). Srednja vrijednost klirensa rituksimaba iznosila je 0,313 l/dan (raspon: 0,116 do 0,726 l/dan), a volumen raspodjele 4,50 l (raspon: 2,25 do 7,39 l). Maksimalna koncentracija tokom prvih 180 dana (C</w:t>
      </w:r>
      <w:r w:rsidRPr="0055610F">
        <w:rPr>
          <w:sz w:val="22"/>
          <w:szCs w:val="22"/>
          <w:vertAlign w:val="subscript"/>
          <w:lang w:val="sr-Latn-ME"/>
        </w:rPr>
        <w:t>max</w:t>
      </w:r>
      <w:r w:rsidRPr="0055610F">
        <w:rPr>
          <w:sz w:val="22"/>
          <w:szCs w:val="22"/>
          <w:lang w:val="sr-Latn-ME"/>
        </w:rPr>
        <w:t>), minimalna koncentracija u 180. danu (C180) i kumulativna površina ispod krive tokom 180 dana (AUC180) su (medijana [opseg] 372.6 (252.3-533.5) µg/</w:t>
      </w:r>
      <w:r w:rsidR="007642DC">
        <w:rPr>
          <w:sz w:val="22"/>
          <w:szCs w:val="22"/>
          <w:lang w:val="sr-Latn-ME"/>
        </w:rPr>
        <w:t>ml</w:t>
      </w:r>
      <w:r w:rsidRPr="0055610F">
        <w:rPr>
          <w:sz w:val="22"/>
          <w:szCs w:val="22"/>
          <w:lang w:val="sr-Latn-ME"/>
        </w:rPr>
        <w:t>, 2.1 (0-29.3) µg/</w:t>
      </w:r>
      <w:r w:rsidR="007642DC">
        <w:rPr>
          <w:sz w:val="22"/>
          <w:szCs w:val="22"/>
          <w:lang w:val="sr-Latn-ME"/>
        </w:rPr>
        <w:t>ml</w:t>
      </w:r>
      <w:r w:rsidRPr="0055610F">
        <w:rPr>
          <w:sz w:val="22"/>
          <w:szCs w:val="22"/>
          <w:lang w:val="sr-Latn-ME"/>
        </w:rPr>
        <w:t xml:space="preserve"> i 10302 (3653-21874)µg/</w:t>
      </w:r>
      <w:r w:rsidR="007642DC">
        <w:rPr>
          <w:sz w:val="22"/>
          <w:szCs w:val="22"/>
          <w:lang w:val="sr-Latn-ME"/>
        </w:rPr>
        <w:t>ml</w:t>
      </w:r>
      <w:r w:rsidRPr="0055610F">
        <w:rPr>
          <w:sz w:val="22"/>
          <w:szCs w:val="22"/>
          <w:lang w:val="sr-Latn-ME"/>
        </w:rPr>
        <w:t>*dani, respektivno. Čini se da su farmakokinetički parametri rituksimaba kod tih odraslih pacijenata sa GPA i MPA slični onima prim</w:t>
      </w:r>
      <w:r w:rsidR="00135703" w:rsidRPr="0055610F">
        <w:rPr>
          <w:sz w:val="22"/>
          <w:szCs w:val="22"/>
          <w:lang w:val="sr-Latn-ME"/>
        </w:rPr>
        <w:t>i</w:t>
      </w:r>
      <w:r w:rsidRPr="0055610F">
        <w:rPr>
          <w:sz w:val="22"/>
          <w:szCs w:val="22"/>
          <w:lang w:val="sr-Latn-ME"/>
        </w:rPr>
        <w:t>jećenim kod pacijenata sa reumatoidnim artritisom.</w:t>
      </w:r>
    </w:p>
    <w:p w:rsidR="007B7C69" w:rsidRPr="0055610F" w:rsidRDefault="007B7C69" w:rsidP="004D5825">
      <w:pPr>
        <w:tabs>
          <w:tab w:val="left" w:pos="540"/>
          <w:tab w:val="left" w:pos="569"/>
        </w:tabs>
        <w:jc w:val="both"/>
        <w:rPr>
          <w:bCs/>
          <w:sz w:val="22"/>
          <w:szCs w:val="22"/>
          <w:lang w:val="sr-Latn-ME"/>
        </w:rPr>
      </w:pPr>
    </w:p>
    <w:p w:rsidR="007B7C69" w:rsidRPr="0055610F" w:rsidRDefault="007B7C69" w:rsidP="004D5825">
      <w:pPr>
        <w:keepNext/>
        <w:keepLines/>
        <w:jc w:val="both"/>
        <w:rPr>
          <w:i/>
          <w:sz w:val="22"/>
          <w:szCs w:val="22"/>
          <w:lang w:val="sr-Latn-ME"/>
        </w:rPr>
      </w:pPr>
      <w:r w:rsidRPr="0055610F">
        <w:rPr>
          <w:i/>
          <w:sz w:val="22"/>
          <w:szCs w:val="22"/>
          <w:lang w:val="sr-Latn-ME"/>
        </w:rPr>
        <w:t>Pedijatrijska populacija</w:t>
      </w:r>
    </w:p>
    <w:p w:rsidR="007B7C69" w:rsidRPr="0055610F" w:rsidRDefault="007B7C69" w:rsidP="004D5825">
      <w:pPr>
        <w:keepNext/>
        <w:keepLines/>
        <w:jc w:val="both"/>
        <w:rPr>
          <w:i/>
          <w:sz w:val="22"/>
          <w:szCs w:val="22"/>
          <w:lang w:val="sr-Latn-ME"/>
        </w:rPr>
      </w:pPr>
    </w:p>
    <w:p w:rsidR="007B7C69" w:rsidRPr="0055610F" w:rsidRDefault="007B7C69" w:rsidP="004D5825">
      <w:pPr>
        <w:jc w:val="both"/>
        <w:rPr>
          <w:rFonts w:eastAsia="Calibri"/>
          <w:sz w:val="22"/>
          <w:szCs w:val="22"/>
          <w:lang w:val="sr-Latn-ME"/>
        </w:rPr>
      </w:pPr>
      <w:r w:rsidRPr="0055610F">
        <w:rPr>
          <w:rFonts w:eastAsia="Calibri"/>
          <w:sz w:val="22"/>
          <w:szCs w:val="22"/>
          <w:lang w:val="sr-Latn-ME"/>
        </w:rPr>
        <w:t xml:space="preserve">Prema populacijskoj farmakokinetičkoj analizi koja je obuhvatila 25 djece (starosti od </w:t>
      </w:r>
      <w:r w:rsidRPr="0055610F">
        <w:rPr>
          <w:sz w:val="22"/>
          <w:szCs w:val="22"/>
          <w:lang w:val="sr-Latn-ME"/>
        </w:rPr>
        <w:t>6 do 17 godina) s GPA i MPA</w:t>
      </w:r>
      <w:r w:rsidRPr="0055610F">
        <w:rPr>
          <w:sz w:val="22"/>
          <w:szCs w:val="22"/>
          <w:lang w:val="sr-Latn-ME"/>
        </w:rPr>
        <w:noBreakHyphen/>
        <w:t xml:space="preserve">om koja su primila četiri doze </w:t>
      </w:r>
      <w:r w:rsidRPr="0055610F">
        <w:rPr>
          <w:rFonts w:eastAsia="Calibri"/>
          <w:sz w:val="22"/>
          <w:szCs w:val="22"/>
          <w:lang w:val="sr-Latn-ME"/>
        </w:rPr>
        <w:t>lijeka MabThera od 375 mg/m</w:t>
      </w:r>
      <w:r w:rsidRPr="0055610F">
        <w:rPr>
          <w:rFonts w:eastAsia="Calibri"/>
          <w:sz w:val="22"/>
          <w:szCs w:val="22"/>
          <w:vertAlign w:val="superscript"/>
          <w:lang w:val="sr-Latn-ME"/>
        </w:rPr>
        <w:t>2</w:t>
      </w:r>
      <w:r w:rsidRPr="0055610F">
        <w:rPr>
          <w:rFonts w:eastAsia="Calibri"/>
          <w:sz w:val="22"/>
          <w:szCs w:val="22"/>
          <w:lang w:val="sr-Latn-ME"/>
        </w:rPr>
        <w:t xml:space="preserve"> jedanput nedeljno, procjenjena medijana terminalnog poluvremena eliminacije iznosila je 22 dana (raspon od 11 do 42 dana). Srednja vrijednost klirensa rituksimaba iznosila je 0,221 l/dan (raspon od 0,0996 do 0,381 l/dan), a srednja vrijednost volumena distribucije 2,27 l (opseg od 1,43 do 3,17 l). </w:t>
      </w:r>
      <w:r w:rsidRPr="0055610F">
        <w:rPr>
          <w:sz w:val="22"/>
          <w:szCs w:val="22"/>
          <w:lang w:val="sr-Latn-ME"/>
        </w:rPr>
        <w:t>Maksimalna koncentracija lijeka tokom prvih 180 dana (C</w:t>
      </w:r>
      <w:r w:rsidRPr="0055610F">
        <w:rPr>
          <w:sz w:val="22"/>
          <w:szCs w:val="22"/>
          <w:vertAlign w:val="subscript"/>
          <w:lang w:val="sr-Latn-ME"/>
        </w:rPr>
        <w:t>max</w:t>
      </w:r>
      <w:r w:rsidRPr="0055610F">
        <w:rPr>
          <w:sz w:val="22"/>
          <w:szCs w:val="22"/>
          <w:lang w:val="sr-Latn-ME"/>
        </w:rPr>
        <w:t>) iznosila je (medijana [opseg]) 382,8 (270,6 </w:t>
      </w:r>
      <w:r w:rsidRPr="0055610F">
        <w:rPr>
          <w:sz w:val="22"/>
          <w:szCs w:val="22"/>
          <w:lang w:val="sr-Latn-ME"/>
        </w:rPr>
        <w:noBreakHyphen/>
        <w:t> 513,6) µg/</w:t>
      </w:r>
      <w:r w:rsidR="007642DC">
        <w:rPr>
          <w:sz w:val="22"/>
          <w:szCs w:val="22"/>
          <w:lang w:val="sr-Latn-ME"/>
        </w:rPr>
        <w:t>ml</w:t>
      </w:r>
      <w:r w:rsidRPr="0055610F">
        <w:rPr>
          <w:sz w:val="22"/>
          <w:szCs w:val="22"/>
          <w:lang w:val="sr-Latn-ME"/>
        </w:rPr>
        <w:t>, minimalna koncentracija 180. dana (C180) bila je 0,9 (0 </w:t>
      </w:r>
      <w:r w:rsidRPr="0055610F">
        <w:rPr>
          <w:sz w:val="22"/>
          <w:szCs w:val="22"/>
          <w:lang w:val="sr-Latn-ME"/>
        </w:rPr>
        <w:noBreakHyphen/>
        <w:t> 17,7) µg/</w:t>
      </w:r>
      <w:r w:rsidR="007642DC">
        <w:rPr>
          <w:sz w:val="22"/>
          <w:szCs w:val="22"/>
          <w:lang w:val="sr-Latn-ME"/>
        </w:rPr>
        <w:t>ml</w:t>
      </w:r>
      <w:r w:rsidRPr="0055610F">
        <w:rPr>
          <w:sz w:val="22"/>
          <w:szCs w:val="22"/>
          <w:lang w:val="sr-Latn-ME"/>
        </w:rPr>
        <w:t>, dok je kumulativna površina ispod krive tokom 180 dana (AUC180) iznosila 9787 (4838 </w:t>
      </w:r>
      <w:r w:rsidRPr="0055610F">
        <w:rPr>
          <w:sz w:val="22"/>
          <w:szCs w:val="22"/>
          <w:lang w:val="sr-Latn-ME"/>
        </w:rPr>
        <w:noBreakHyphen/>
        <w:t> 20 446) µg/</w:t>
      </w:r>
      <w:r w:rsidR="007642DC">
        <w:rPr>
          <w:sz w:val="22"/>
          <w:szCs w:val="22"/>
          <w:lang w:val="sr-Latn-ME"/>
        </w:rPr>
        <w:t>ml</w:t>
      </w:r>
      <w:r w:rsidRPr="0055610F">
        <w:rPr>
          <w:sz w:val="22"/>
          <w:szCs w:val="22"/>
          <w:lang w:val="sr-Latn-ME"/>
        </w:rPr>
        <w:t xml:space="preserve">*dan. </w:t>
      </w:r>
      <w:r w:rsidRPr="0055610F">
        <w:rPr>
          <w:rFonts w:eastAsia="Calibri"/>
          <w:sz w:val="22"/>
          <w:szCs w:val="22"/>
          <w:lang w:val="sr-Latn-ME"/>
        </w:rPr>
        <w:t>Farmakokinetički parametri rituksimaba kod pedijatrijskih pacijenata s GPA ili MPA bili su slični onima kod odraslih s GPA ili MPA, uzimajući u obzir uticaj tjelesne površine na klirens i volumen distribucije.</w:t>
      </w:r>
    </w:p>
    <w:p w:rsidR="007B7C69" w:rsidRPr="0055610F" w:rsidRDefault="007B7C69" w:rsidP="004D5825">
      <w:pPr>
        <w:tabs>
          <w:tab w:val="left" w:pos="540"/>
          <w:tab w:val="left" w:pos="569"/>
        </w:tabs>
        <w:jc w:val="both"/>
        <w:rPr>
          <w:bCs/>
          <w:sz w:val="22"/>
          <w:szCs w:val="22"/>
          <w:lang w:val="sr-Latn-ME"/>
        </w:rPr>
      </w:pPr>
    </w:p>
    <w:p w:rsidR="007B7C69" w:rsidRPr="0055610F" w:rsidRDefault="007B7C69" w:rsidP="004D5825">
      <w:pPr>
        <w:keepNext/>
        <w:jc w:val="both"/>
        <w:outlineLvl w:val="0"/>
        <w:rPr>
          <w:sz w:val="22"/>
          <w:szCs w:val="22"/>
          <w:u w:val="single"/>
          <w:lang w:val="sr-Latn-ME"/>
        </w:rPr>
      </w:pPr>
      <w:r w:rsidRPr="0055610F">
        <w:rPr>
          <w:sz w:val="22"/>
          <w:szCs w:val="22"/>
          <w:u w:val="single"/>
          <w:lang w:val="sr-Latn-ME"/>
        </w:rPr>
        <w:t>Obični pemfigus</w:t>
      </w:r>
    </w:p>
    <w:p w:rsidR="007B7C69" w:rsidRPr="0055610F" w:rsidRDefault="007B7C69" w:rsidP="004D5825">
      <w:pPr>
        <w:keepNext/>
        <w:jc w:val="both"/>
        <w:outlineLvl w:val="0"/>
        <w:rPr>
          <w:sz w:val="22"/>
          <w:szCs w:val="22"/>
          <w:u w:val="single"/>
          <w:lang w:val="sr-Latn-ME"/>
        </w:rPr>
      </w:pPr>
    </w:p>
    <w:p w:rsidR="007B7C69" w:rsidRPr="0055610F" w:rsidRDefault="007B7C69" w:rsidP="004D5825">
      <w:pPr>
        <w:jc w:val="both"/>
        <w:rPr>
          <w:sz w:val="22"/>
          <w:szCs w:val="22"/>
          <w:lang w:val="sr-Latn-ME"/>
        </w:rPr>
      </w:pPr>
      <w:r w:rsidRPr="0055610F">
        <w:rPr>
          <w:sz w:val="22"/>
          <w:szCs w:val="22"/>
          <w:lang w:val="sr-Latn-ME"/>
        </w:rPr>
        <w:t>Farmakokinetički parametri kod odraslih pacijenata sa PV koji su primili lijek MabThera u dozi od 1000 mg 1., 15., 168. i 182. dana sažeto su prikazani u Tabeli 25.</w:t>
      </w:r>
    </w:p>
    <w:p w:rsidR="007B7C69" w:rsidRPr="0055610F" w:rsidRDefault="007B7C69" w:rsidP="004D5825">
      <w:pPr>
        <w:jc w:val="both"/>
        <w:rPr>
          <w:sz w:val="22"/>
          <w:szCs w:val="22"/>
          <w:lang w:val="sr-Latn-ME"/>
        </w:rPr>
      </w:pPr>
    </w:p>
    <w:p w:rsidR="007B7C69" w:rsidRPr="0055610F" w:rsidRDefault="007B7C69" w:rsidP="004D5825">
      <w:pPr>
        <w:keepNext/>
        <w:ind w:left="1134" w:hanging="1134"/>
        <w:jc w:val="both"/>
        <w:rPr>
          <w:b/>
          <w:sz w:val="22"/>
          <w:szCs w:val="22"/>
          <w:lang w:val="sr-Latn-ME"/>
        </w:rPr>
      </w:pPr>
      <w:r w:rsidRPr="0055610F">
        <w:rPr>
          <w:b/>
          <w:sz w:val="22"/>
          <w:szCs w:val="22"/>
          <w:lang w:val="sr-Latn-ME"/>
        </w:rPr>
        <w:t>Tabela 25</w:t>
      </w:r>
      <w:r w:rsidRPr="0055610F">
        <w:rPr>
          <w:b/>
          <w:sz w:val="22"/>
          <w:szCs w:val="22"/>
          <w:lang w:val="sr-Latn-ME"/>
        </w:rPr>
        <w:tab/>
        <w:t>Farmakokinetički parametri u populaciji odraslih pacijenata s PV iz 2. </w:t>
      </w:r>
      <w:r w:rsidR="00CA6E91" w:rsidRPr="0055610F">
        <w:rPr>
          <w:b/>
          <w:sz w:val="22"/>
          <w:szCs w:val="22"/>
          <w:lang w:val="sr-Latn-ME"/>
        </w:rPr>
        <w:t xml:space="preserve">studije </w:t>
      </w:r>
      <w:r w:rsidRPr="0055610F">
        <w:rPr>
          <w:b/>
          <w:sz w:val="22"/>
          <w:szCs w:val="22"/>
          <w:lang w:val="sr-Latn-ME"/>
        </w:rPr>
        <w:t>kod PV</w:t>
      </w:r>
    </w:p>
    <w:p w:rsidR="007B7C69" w:rsidRPr="0055610F" w:rsidRDefault="007B7C69" w:rsidP="004D5825">
      <w:pPr>
        <w:keepNext/>
        <w:ind w:left="1134" w:hanging="1134"/>
        <w:jc w:val="both"/>
        <w:rPr>
          <w:b/>
          <w:sz w:val="22"/>
          <w:szCs w:val="22"/>
          <w:lang w:val="sr-Latn-ME"/>
        </w:rPr>
      </w:pP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409"/>
        <w:gridCol w:w="2407"/>
      </w:tblGrid>
      <w:tr w:rsidR="007B7C69" w:rsidRPr="007642DC" w:rsidTr="007B7C69">
        <w:trPr>
          <w:trHeight w:val="440"/>
        </w:trPr>
        <w:tc>
          <w:tcPr>
            <w:tcW w:w="3369" w:type="dxa"/>
            <w:tcBorders>
              <w:top w:val="single" w:sz="4" w:space="0" w:color="auto"/>
              <w:left w:val="single" w:sz="4" w:space="0" w:color="auto"/>
              <w:bottom w:val="single" w:sz="4" w:space="0" w:color="auto"/>
              <w:right w:val="single" w:sz="4" w:space="0" w:color="auto"/>
            </w:tcBorders>
            <w:hideMark/>
          </w:tcPr>
          <w:p w:rsidR="007B7C69" w:rsidRPr="0055610F" w:rsidRDefault="007B7C69" w:rsidP="004D5825">
            <w:pPr>
              <w:keepNext/>
              <w:jc w:val="both"/>
              <w:rPr>
                <w:sz w:val="22"/>
                <w:szCs w:val="22"/>
                <w:lang w:val="sr-Latn-ME"/>
              </w:rPr>
            </w:pPr>
            <w:r w:rsidRPr="0055610F">
              <w:rPr>
                <w:sz w:val="22"/>
                <w:szCs w:val="22"/>
                <w:lang w:val="sr-Latn-ME"/>
              </w:rPr>
              <w:t>Parametar</w:t>
            </w:r>
          </w:p>
        </w:tc>
        <w:tc>
          <w:tcPr>
            <w:tcW w:w="4816" w:type="dxa"/>
            <w:gridSpan w:val="2"/>
            <w:tcBorders>
              <w:top w:val="single" w:sz="4" w:space="0" w:color="auto"/>
              <w:left w:val="single" w:sz="4" w:space="0" w:color="auto"/>
              <w:bottom w:val="single" w:sz="4" w:space="0" w:color="auto"/>
              <w:right w:val="single" w:sz="4" w:space="0" w:color="auto"/>
            </w:tcBorders>
            <w:hideMark/>
          </w:tcPr>
          <w:p w:rsidR="007B7C69" w:rsidRPr="0055610F" w:rsidRDefault="007B7C69" w:rsidP="0055610F">
            <w:pPr>
              <w:keepNext/>
              <w:jc w:val="center"/>
              <w:rPr>
                <w:sz w:val="22"/>
                <w:szCs w:val="22"/>
                <w:lang w:val="sr-Latn-ME"/>
              </w:rPr>
            </w:pPr>
            <w:r w:rsidRPr="0055610F">
              <w:rPr>
                <w:sz w:val="22"/>
                <w:szCs w:val="22"/>
                <w:lang w:val="sr-Latn-ME"/>
              </w:rPr>
              <w:t>Infuzijski ciklus</w:t>
            </w:r>
          </w:p>
        </w:tc>
      </w:tr>
      <w:tr w:rsidR="007B7C69" w:rsidRPr="007642DC" w:rsidTr="007B7C69">
        <w:trPr>
          <w:trHeight w:val="972"/>
        </w:trPr>
        <w:tc>
          <w:tcPr>
            <w:tcW w:w="3369" w:type="dxa"/>
            <w:tcBorders>
              <w:top w:val="single" w:sz="4" w:space="0" w:color="auto"/>
              <w:left w:val="single" w:sz="4" w:space="0" w:color="auto"/>
              <w:bottom w:val="single" w:sz="4" w:space="0" w:color="auto"/>
              <w:right w:val="single" w:sz="4" w:space="0" w:color="auto"/>
            </w:tcBorders>
          </w:tcPr>
          <w:p w:rsidR="007B7C69" w:rsidRPr="0055610F" w:rsidRDefault="007B7C69" w:rsidP="004D5825">
            <w:pPr>
              <w:keepNext/>
              <w:jc w:val="both"/>
              <w:rPr>
                <w:sz w:val="22"/>
                <w:szCs w:val="22"/>
                <w:lang w:val="sr-Latn-ME"/>
              </w:rPr>
            </w:pPr>
          </w:p>
        </w:tc>
        <w:tc>
          <w:tcPr>
            <w:tcW w:w="2409" w:type="dxa"/>
            <w:tcBorders>
              <w:top w:val="single" w:sz="4" w:space="0" w:color="auto"/>
              <w:left w:val="single" w:sz="4" w:space="0" w:color="auto"/>
              <w:bottom w:val="single" w:sz="4" w:space="0" w:color="auto"/>
              <w:right w:val="single" w:sz="4" w:space="0" w:color="auto"/>
            </w:tcBorders>
            <w:hideMark/>
          </w:tcPr>
          <w:p w:rsidR="007B7C69" w:rsidRPr="0055610F" w:rsidRDefault="007B7C69" w:rsidP="0055610F">
            <w:pPr>
              <w:keepNext/>
              <w:jc w:val="center"/>
              <w:rPr>
                <w:sz w:val="22"/>
                <w:szCs w:val="22"/>
                <w:lang w:val="sr-Latn-ME"/>
              </w:rPr>
            </w:pPr>
            <w:r w:rsidRPr="0055610F">
              <w:rPr>
                <w:sz w:val="22"/>
                <w:szCs w:val="22"/>
                <w:lang w:val="sr-Latn-ME"/>
              </w:rPr>
              <w:t>1. ciklus primjene doze od 1000 mg</w:t>
            </w:r>
          </w:p>
          <w:p w:rsidR="007B7C69" w:rsidRPr="0055610F" w:rsidRDefault="007B7C69" w:rsidP="0055610F">
            <w:pPr>
              <w:keepNext/>
              <w:jc w:val="center"/>
              <w:rPr>
                <w:sz w:val="22"/>
                <w:szCs w:val="22"/>
                <w:lang w:val="sr-Latn-ME"/>
              </w:rPr>
            </w:pPr>
            <w:r w:rsidRPr="0055610F">
              <w:rPr>
                <w:sz w:val="22"/>
                <w:szCs w:val="22"/>
                <w:lang w:val="sr-Latn-ME"/>
              </w:rPr>
              <w:t>1. dan i 15. dan</w:t>
            </w:r>
          </w:p>
          <w:p w:rsidR="007B7C69" w:rsidRPr="0055610F" w:rsidRDefault="007B7C69" w:rsidP="0055610F">
            <w:pPr>
              <w:keepNext/>
              <w:jc w:val="center"/>
              <w:rPr>
                <w:sz w:val="22"/>
                <w:szCs w:val="22"/>
                <w:lang w:val="sr-Latn-ME"/>
              </w:rPr>
            </w:pPr>
            <w:r w:rsidRPr="0055610F">
              <w:rPr>
                <w:sz w:val="22"/>
                <w:szCs w:val="22"/>
                <w:lang w:val="sr-Latn-ME"/>
              </w:rPr>
              <w:t>N=67</w:t>
            </w:r>
          </w:p>
        </w:tc>
        <w:tc>
          <w:tcPr>
            <w:tcW w:w="2407" w:type="dxa"/>
            <w:tcBorders>
              <w:top w:val="single" w:sz="4" w:space="0" w:color="auto"/>
              <w:left w:val="single" w:sz="4" w:space="0" w:color="auto"/>
              <w:bottom w:val="single" w:sz="4" w:space="0" w:color="auto"/>
              <w:right w:val="single" w:sz="4" w:space="0" w:color="auto"/>
            </w:tcBorders>
            <w:hideMark/>
          </w:tcPr>
          <w:p w:rsidR="007B7C69" w:rsidRPr="0055610F" w:rsidRDefault="007B7C69" w:rsidP="0055610F">
            <w:pPr>
              <w:keepNext/>
              <w:jc w:val="center"/>
              <w:rPr>
                <w:sz w:val="22"/>
                <w:szCs w:val="22"/>
                <w:lang w:val="sr-Latn-ME"/>
              </w:rPr>
            </w:pPr>
            <w:r w:rsidRPr="0055610F">
              <w:rPr>
                <w:sz w:val="22"/>
                <w:szCs w:val="22"/>
                <w:lang w:val="sr-Latn-ME"/>
              </w:rPr>
              <w:t>2. ciklus primjene doze od 1000 mg</w:t>
            </w:r>
          </w:p>
          <w:p w:rsidR="007B7C69" w:rsidRPr="0055610F" w:rsidRDefault="007B7C69" w:rsidP="0055610F">
            <w:pPr>
              <w:keepNext/>
              <w:jc w:val="center"/>
              <w:rPr>
                <w:sz w:val="22"/>
                <w:szCs w:val="22"/>
                <w:lang w:val="sr-Latn-ME"/>
              </w:rPr>
            </w:pPr>
            <w:r w:rsidRPr="0055610F">
              <w:rPr>
                <w:sz w:val="22"/>
                <w:szCs w:val="22"/>
                <w:lang w:val="sr-Latn-ME"/>
              </w:rPr>
              <w:t>168. dan i 182. dan</w:t>
            </w:r>
          </w:p>
          <w:p w:rsidR="007B7C69" w:rsidRPr="0055610F" w:rsidRDefault="007B7C69" w:rsidP="0055610F">
            <w:pPr>
              <w:keepNext/>
              <w:jc w:val="center"/>
              <w:rPr>
                <w:sz w:val="22"/>
                <w:szCs w:val="22"/>
                <w:lang w:val="sr-Latn-ME"/>
              </w:rPr>
            </w:pPr>
            <w:r w:rsidRPr="0055610F">
              <w:rPr>
                <w:sz w:val="22"/>
                <w:szCs w:val="22"/>
                <w:lang w:val="sr-Latn-ME"/>
              </w:rPr>
              <w:t>N=67</w:t>
            </w:r>
          </w:p>
        </w:tc>
      </w:tr>
      <w:tr w:rsidR="007B7C69" w:rsidRPr="007642DC" w:rsidTr="007B7C69">
        <w:trPr>
          <w:trHeight w:val="561"/>
        </w:trPr>
        <w:tc>
          <w:tcPr>
            <w:tcW w:w="3369" w:type="dxa"/>
            <w:tcBorders>
              <w:top w:val="single" w:sz="4" w:space="0" w:color="auto"/>
              <w:left w:val="single" w:sz="4" w:space="0" w:color="auto"/>
              <w:bottom w:val="single" w:sz="4" w:space="0" w:color="auto"/>
              <w:right w:val="single" w:sz="4" w:space="0" w:color="auto"/>
            </w:tcBorders>
            <w:hideMark/>
          </w:tcPr>
          <w:p w:rsidR="007B7C69" w:rsidRPr="0055610F" w:rsidRDefault="00135703" w:rsidP="0055610F">
            <w:pPr>
              <w:keepNext/>
              <w:rPr>
                <w:sz w:val="22"/>
                <w:szCs w:val="22"/>
                <w:lang w:val="sr-Latn-ME"/>
              </w:rPr>
            </w:pPr>
            <w:r w:rsidRPr="0055610F">
              <w:rPr>
                <w:sz w:val="22"/>
                <w:szCs w:val="22"/>
                <w:lang w:val="sr-Latn-ME"/>
              </w:rPr>
              <w:t>T</w:t>
            </w:r>
            <w:r w:rsidR="007B7C69" w:rsidRPr="0055610F">
              <w:rPr>
                <w:sz w:val="22"/>
                <w:szCs w:val="22"/>
                <w:lang w:val="sr-Latn-ME"/>
              </w:rPr>
              <w:t>erminalno poluvrijeme eliminacije (dani)</w:t>
            </w:r>
          </w:p>
          <w:p w:rsidR="007B7C69" w:rsidRPr="0055610F" w:rsidRDefault="007B7C69" w:rsidP="0055610F">
            <w:pPr>
              <w:keepNext/>
              <w:rPr>
                <w:sz w:val="22"/>
                <w:szCs w:val="22"/>
                <w:lang w:val="sr-Latn-ME"/>
              </w:rPr>
            </w:pPr>
            <w:r w:rsidRPr="0055610F">
              <w:rPr>
                <w:sz w:val="22"/>
                <w:szCs w:val="22"/>
                <w:lang w:val="sr-Latn-ME"/>
              </w:rPr>
              <w:t>Medijana</w:t>
            </w:r>
          </w:p>
          <w:p w:rsidR="007B7C69" w:rsidRPr="0055610F" w:rsidRDefault="007B7C69" w:rsidP="0055610F">
            <w:pPr>
              <w:keepNext/>
              <w:rPr>
                <w:sz w:val="22"/>
                <w:szCs w:val="22"/>
                <w:lang w:val="sr-Latn-ME"/>
              </w:rPr>
            </w:pPr>
            <w:r w:rsidRPr="0055610F">
              <w:rPr>
                <w:sz w:val="22"/>
                <w:szCs w:val="22"/>
                <w:lang w:val="sr-Latn-ME"/>
              </w:rPr>
              <w:t>(Raspon)</w:t>
            </w:r>
          </w:p>
        </w:tc>
        <w:tc>
          <w:tcPr>
            <w:tcW w:w="2409" w:type="dxa"/>
            <w:tcBorders>
              <w:top w:val="single" w:sz="4" w:space="0" w:color="auto"/>
              <w:left w:val="single" w:sz="4" w:space="0" w:color="auto"/>
              <w:bottom w:val="single" w:sz="4" w:space="0" w:color="auto"/>
              <w:right w:val="single" w:sz="4" w:space="0" w:color="auto"/>
            </w:tcBorders>
          </w:tcPr>
          <w:p w:rsidR="007B7C69" w:rsidRPr="0055610F" w:rsidRDefault="007B7C69" w:rsidP="0055610F">
            <w:pPr>
              <w:keepNext/>
              <w:jc w:val="center"/>
              <w:rPr>
                <w:sz w:val="22"/>
                <w:szCs w:val="22"/>
                <w:lang w:val="sr-Latn-ME"/>
              </w:rPr>
            </w:pPr>
          </w:p>
          <w:p w:rsidR="007B7C69" w:rsidRPr="0055610F" w:rsidRDefault="007B7C69" w:rsidP="0055610F">
            <w:pPr>
              <w:keepNext/>
              <w:jc w:val="center"/>
              <w:rPr>
                <w:sz w:val="22"/>
                <w:szCs w:val="22"/>
                <w:lang w:val="sr-Latn-ME"/>
              </w:rPr>
            </w:pPr>
            <w:r w:rsidRPr="0055610F">
              <w:rPr>
                <w:sz w:val="22"/>
                <w:szCs w:val="22"/>
                <w:lang w:val="sr-Latn-ME"/>
              </w:rPr>
              <w:t>21,0</w:t>
            </w:r>
          </w:p>
          <w:p w:rsidR="007B7C69" w:rsidRPr="0055610F" w:rsidRDefault="007B7C69" w:rsidP="0055610F">
            <w:pPr>
              <w:keepNext/>
              <w:jc w:val="center"/>
              <w:rPr>
                <w:sz w:val="22"/>
                <w:szCs w:val="22"/>
                <w:lang w:val="sr-Latn-ME"/>
              </w:rPr>
            </w:pPr>
            <w:r w:rsidRPr="0055610F">
              <w:rPr>
                <w:sz w:val="22"/>
                <w:szCs w:val="22"/>
                <w:lang w:val="sr-Latn-ME"/>
              </w:rPr>
              <w:t>(9,3 – 36,2)</w:t>
            </w:r>
          </w:p>
        </w:tc>
        <w:tc>
          <w:tcPr>
            <w:tcW w:w="2407" w:type="dxa"/>
            <w:tcBorders>
              <w:top w:val="single" w:sz="4" w:space="0" w:color="auto"/>
              <w:left w:val="single" w:sz="4" w:space="0" w:color="auto"/>
              <w:bottom w:val="single" w:sz="4" w:space="0" w:color="auto"/>
              <w:right w:val="single" w:sz="4" w:space="0" w:color="auto"/>
            </w:tcBorders>
          </w:tcPr>
          <w:p w:rsidR="007B7C69" w:rsidRPr="0055610F" w:rsidRDefault="007B7C69" w:rsidP="0055610F">
            <w:pPr>
              <w:keepNext/>
              <w:jc w:val="center"/>
              <w:rPr>
                <w:sz w:val="22"/>
                <w:szCs w:val="22"/>
                <w:lang w:val="sr-Latn-ME"/>
              </w:rPr>
            </w:pPr>
          </w:p>
          <w:p w:rsidR="007B7C69" w:rsidRPr="0055610F" w:rsidRDefault="007B7C69" w:rsidP="0055610F">
            <w:pPr>
              <w:keepNext/>
              <w:jc w:val="center"/>
              <w:rPr>
                <w:sz w:val="22"/>
                <w:szCs w:val="22"/>
                <w:lang w:val="sr-Latn-ME"/>
              </w:rPr>
            </w:pPr>
            <w:r w:rsidRPr="0055610F">
              <w:rPr>
                <w:sz w:val="22"/>
                <w:szCs w:val="22"/>
                <w:lang w:val="sr-Latn-ME"/>
              </w:rPr>
              <w:t>26,5</w:t>
            </w:r>
          </w:p>
          <w:p w:rsidR="007B7C69" w:rsidRPr="0055610F" w:rsidRDefault="007B7C69" w:rsidP="0055610F">
            <w:pPr>
              <w:keepNext/>
              <w:jc w:val="center"/>
              <w:rPr>
                <w:sz w:val="22"/>
                <w:szCs w:val="22"/>
                <w:lang w:val="sr-Latn-ME"/>
              </w:rPr>
            </w:pPr>
            <w:r w:rsidRPr="0055610F">
              <w:rPr>
                <w:sz w:val="22"/>
                <w:szCs w:val="22"/>
                <w:lang w:val="sr-Latn-ME"/>
              </w:rPr>
              <w:t>(16,4 – 42,8)</w:t>
            </w:r>
          </w:p>
        </w:tc>
      </w:tr>
      <w:tr w:rsidR="007B7C69" w:rsidRPr="007642DC" w:rsidTr="007B7C69">
        <w:trPr>
          <w:trHeight w:val="437"/>
        </w:trPr>
        <w:tc>
          <w:tcPr>
            <w:tcW w:w="3369" w:type="dxa"/>
            <w:tcBorders>
              <w:top w:val="single" w:sz="4" w:space="0" w:color="auto"/>
              <w:left w:val="single" w:sz="4" w:space="0" w:color="auto"/>
              <w:bottom w:val="single" w:sz="4" w:space="0" w:color="auto"/>
              <w:right w:val="single" w:sz="4" w:space="0" w:color="auto"/>
            </w:tcBorders>
            <w:hideMark/>
          </w:tcPr>
          <w:p w:rsidR="007B7C69" w:rsidRPr="0055610F" w:rsidRDefault="007B7C69" w:rsidP="0055610F">
            <w:pPr>
              <w:keepNext/>
              <w:rPr>
                <w:sz w:val="22"/>
                <w:szCs w:val="22"/>
                <w:lang w:val="sr-Latn-ME"/>
              </w:rPr>
            </w:pPr>
            <w:r w:rsidRPr="0055610F">
              <w:rPr>
                <w:sz w:val="22"/>
                <w:szCs w:val="22"/>
                <w:lang w:val="sr-Latn-ME"/>
              </w:rPr>
              <w:t>Klirens (l/dan)</w:t>
            </w:r>
          </w:p>
          <w:p w:rsidR="007B7C69" w:rsidRPr="0055610F" w:rsidRDefault="007B7C69" w:rsidP="0055610F">
            <w:pPr>
              <w:keepNext/>
              <w:rPr>
                <w:sz w:val="22"/>
                <w:szCs w:val="22"/>
                <w:lang w:val="sr-Latn-ME"/>
              </w:rPr>
            </w:pPr>
            <w:r w:rsidRPr="0055610F">
              <w:rPr>
                <w:sz w:val="22"/>
                <w:szCs w:val="22"/>
                <w:lang w:val="sr-Latn-ME"/>
              </w:rPr>
              <w:t>Srednja vr</w:t>
            </w:r>
            <w:r w:rsidR="00135703" w:rsidRPr="0055610F">
              <w:rPr>
                <w:sz w:val="22"/>
                <w:szCs w:val="22"/>
                <w:lang w:val="sr-Latn-ME"/>
              </w:rPr>
              <w:t>ij</w:t>
            </w:r>
            <w:r w:rsidRPr="0055610F">
              <w:rPr>
                <w:sz w:val="22"/>
                <w:szCs w:val="22"/>
                <w:lang w:val="sr-Latn-ME"/>
              </w:rPr>
              <w:t>ednost</w:t>
            </w:r>
          </w:p>
          <w:p w:rsidR="007B7C69" w:rsidRPr="0055610F" w:rsidRDefault="007B7C69" w:rsidP="0055610F">
            <w:pPr>
              <w:keepNext/>
              <w:rPr>
                <w:sz w:val="22"/>
                <w:szCs w:val="22"/>
                <w:lang w:val="sr-Latn-ME"/>
              </w:rPr>
            </w:pPr>
            <w:r w:rsidRPr="0055610F">
              <w:rPr>
                <w:sz w:val="22"/>
                <w:szCs w:val="22"/>
                <w:lang w:val="sr-Latn-ME"/>
              </w:rPr>
              <w:t>(Raspon)</w:t>
            </w:r>
          </w:p>
        </w:tc>
        <w:tc>
          <w:tcPr>
            <w:tcW w:w="2409" w:type="dxa"/>
            <w:tcBorders>
              <w:top w:val="single" w:sz="4" w:space="0" w:color="auto"/>
              <w:left w:val="single" w:sz="4" w:space="0" w:color="auto"/>
              <w:bottom w:val="single" w:sz="4" w:space="0" w:color="auto"/>
              <w:right w:val="single" w:sz="4" w:space="0" w:color="auto"/>
            </w:tcBorders>
          </w:tcPr>
          <w:p w:rsidR="007B7C69" w:rsidRPr="0055610F" w:rsidRDefault="007B7C69" w:rsidP="0055610F">
            <w:pPr>
              <w:keepNext/>
              <w:jc w:val="center"/>
              <w:rPr>
                <w:sz w:val="22"/>
                <w:szCs w:val="22"/>
                <w:lang w:val="sr-Latn-ME"/>
              </w:rPr>
            </w:pPr>
          </w:p>
          <w:p w:rsidR="007B7C69" w:rsidRPr="0055610F" w:rsidRDefault="007B7C69" w:rsidP="0055610F">
            <w:pPr>
              <w:keepNext/>
              <w:jc w:val="center"/>
              <w:rPr>
                <w:sz w:val="22"/>
                <w:szCs w:val="22"/>
                <w:lang w:val="sr-Latn-ME"/>
              </w:rPr>
            </w:pPr>
            <w:r w:rsidRPr="0055610F">
              <w:rPr>
                <w:sz w:val="22"/>
                <w:szCs w:val="22"/>
                <w:lang w:val="sr-Latn-ME"/>
              </w:rPr>
              <w:t>391</w:t>
            </w:r>
          </w:p>
          <w:p w:rsidR="007B7C69" w:rsidRPr="0055610F" w:rsidRDefault="007B7C69" w:rsidP="0055610F">
            <w:pPr>
              <w:keepNext/>
              <w:jc w:val="center"/>
              <w:rPr>
                <w:sz w:val="22"/>
                <w:szCs w:val="22"/>
                <w:lang w:val="sr-Latn-ME"/>
              </w:rPr>
            </w:pPr>
            <w:r w:rsidRPr="0055610F">
              <w:rPr>
                <w:sz w:val="22"/>
                <w:szCs w:val="22"/>
                <w:lang w:val="sr-Latn-ME"/>
              </w:rPr>
              <w:t>(159 – 1510)</w:t>
            </w:r>
          </w:p>
        </w:tc>
        <w:tc>
          <w:tcPr>
            <w:tcW w:w="2407" w:type="dxa"/>
            <w:tcBorders>
              <w:top w:val="single" w:sz="4" w:space="0" w:color="auto"/>
              <w:left w:val="single" w:sz="4" w:space="0" w:color="auto"/>
              <w:bottom w:val="single" w:sz="4" w:space="0" w:color="auto"/>
              <w:right w:val="single" w:sz="4" w:space="0" w:color="auto"/>
            </w:tcBorders>
          </w:tcPr>
          <w:p w:rsidR="007B7C69" w:rsidRPr="0055610F" w:rsidRDefault="007B7C69" w:rsidP="0055610F">
            <w:pPr>
              <w:keepNext/>
              <w:jc w:val="center"/>
              <w:rPr>
                <w:sz w:val="22"/>
                <w:szCs w:val="22"/>
                <w:lang w:val="sr-Latn-ME"/>
              </w:rPr>
            </w:pPr>
          </w:p>
          <w:p w:rsidR="007B7C69" w:rsidRPr="0055610F" w:rsidRDefault="007B7C69" w:rsidP="0055610F">
            <w:pPr>
              <w:keepNext/>
              <w:jc w:val="center"/>
              <w:rPr>
                <w:sz w:val="22"/>
                <w:szCs w:val="22"/>
                <w:lang w:val="sr-Latn-ME"/>
              </w:rPr>
            </w:pPr>
            <w:r w:rsidRPr="0055610F">
              <w:rPr>
                <w:sz w:val="22"/>
                <w:szCs w:val="22"/>
                <w:lang w:val="sr-Latn-ME"/>
              </w:rPr>
              <w:t>247</w:t>
            </w:r>
          </w:p>
          <w:p w:rsidR="007B7C69" w:rsidRPr="0055610F" w:rsidRDefault="007B7C69" w:rsidP="0055610F">
            <w:pPr>
              <w:keepNext/>
              <w:jc w:val="center"/>
              <w:rPr>
                <w:sz w:val="22"/>
                <w:szCs w:val="22"/>
                <w:lang w:val="sr-Latn-ME"/>
              </w:rPr>
            </w:pPr>
            <w:r w:rsidRPr="0055610F">
              <w:rPr>
                <w:sz w:val="22"/>
                <w:szCs w:val="22"/>
                <w:lang w:val="sr-Latn-ME"/>
              </w:rPr>
              <w:t>(128 – 454)</w:t>
            </w:r>
          </w:p>
        </w:tc>
      </w:tr>
      <w:tr w:rsidR="007B7C69" w:rsidRPr="007642DC" w:rsidTr="007B7C69">
        <w:trPr>
          <w:trHeight w:val="635"/>
        </w:trPr>
        <w:tc>
          <w:tcPr>
            <w:tcW w:w="3369" w:type="dxa"/>
            <w:tcBorders>
              <w:top w:val="single" w:sz="4" w:space="0" w:color="auto"/>
              <w:left w:val="single" w:sz="4" w:space="0" w:color="auto"/>
              <w:bottom w:val="single" w:sz="4" w:space="0" w:color="auto"/>
              <w:right w:val="single" w:sz="4" w:space="0" w:color="auto"/>
            </w:tcBorders>
            <w:hideMark/>
          </w:tcPr>
          <w:p w:rsidR="007B7C69" w:rsidRPr="0055610F" w:rsidRDefault="007B7C69" w:rsidP="0055610F">
            <w:pPr>
              <w:rPr>
                <w:sz w:val="22"/>
                <w:szCs w:val="22"/>
                <w:lang w:val="sr-Latn-ME"/>
              </w:rPr>
            </w:pPr>
            <w:r w:rsidRPr="0055610F">
              <w:rPr>
                <w:sz w:val="22"/>
                <w:szCs w:val="22"/>
                <w:lang w:val="sr-Latn-ME"/>
              </w:rPr>
              <w:t>Volumen distribucije u srednjem </w:t>
            </w:r>
            <w:r w:rsidR="00135703" w:rsidRPr="0055610F">
              <w:rPr>
                <w:sz w:val="22"/>
                <w:szCs w:val="22"/>
                <w:lang w:val="sr-Latn-ME"/>
              </w:rPr>
              <w:t xml:space="preserve">dijelu </w:t>
            </w:r>
            <w:r w:rsidRPr="0055610F">
              <w:rPr>
                <w:sz w:val="22"/>
                <w:szCs w:val="22"/>
                <w:lang w:val="sr-Latn-ME"/>
              </w:rPr>
              <w:t>(l)</w:t>
            </w:r>
          </w:p>
          <w:p w:rsidR="007B7C69" w:rsidRPr="0055610F" w:rsidRDefault="007B7C69" w:rsidP="0055610F">
            <w:pPr>
              <w:keepNext/>
              <w:rPr>
                <w:sz w:val="22"/>
                <w:szCs w:val="22"/>
                <w:lang w:val="sr-Latn-ME"/>
              </w:rPr>
            </w:pPr>
            <w:r w:rsidRPr="0055610F">
              <w:rPr>
                <w:sz w:val="22"/>
                <w:szCs w:val="22"/>
                <w:lang w:val="sr-Latn-ME"/>
              </w:rPr>
              <w:t>Srednja vrijednost</w:t>
            </w:r>
          </w:p>
          <w:p w:rsidR="007B7C69" w:rsidRPr="0055610F" w:rsidRDefault="007B7C69" w:rsidP="0055610F">
            <w:pPr>
              <w:rPr>
                <w:sz w:val="22"/>
                <w:szCs w:val="22"/>
                <w:lang w:val="sr-Latn-ME"/>
              </w:rPr>
            </w:pPr>
            <w:r w:rsidRPr="0055610F">
              <w:rPr>
                <w:sz w:val="22"/>
                <w:szCs w:val="22"/>
                <w:lang w:val="sr-Latn-ME"/>
              </w:rPr>
              <w:t>(Raspon)</w:t>
            </w:r>
          </w:p>
        </w:tc>
        <w:tc>
          <w:tcPr>
            <w:tcW w:w="2409" w:type="dxa"/>
            <w:tcBorders>
              <w:top w:val="single" w:sz="4" w:space="0" w:color="auto"/>
              <w:left w:val="single" w:sz="4" w:space="0" w:color="auto"/>
              <w:bottom w:val="single" w:sz="4" w:space="0" w:color="auto"/>
              <w:right w:val="single" w:sz="4" w:space="0" w:color="auto"/>
            </w:tcBorders>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3,52</w:t>
            </w:r>
          </w:p>
          <w:p w:rsidR="007B7C69" w:rsidRPr="0055610F" w:rsidRDefault="007B7C69" w:rsidP="0055610F">
            <w:pPr>
              <w:jc w:val="center"/>
              <w:rPr>
                <w:sz w:val="22"/>
                <w:szCs w:val="22"/>
                <w:lang w:val="sr-Latn-ME"/>
              </w:rPr>
            </w:pPr>
            <w:r w:rsidRPr="0055610F">
              <w:rPr>
                <w:sz w:val="22"/>
                <w:szCs w:val="22"/>
                <w:lang w:val="sr-Latn-ME"/>
              </w:rPr>
              <w:t>(2,48 – 5,22)</w:t>
            </w:r>
          </w:p>
        </w:tc>
        <w:tc>
          <w:tcPr>
            <w:tcW w:w="2407" w:type="dxa"/>
            <w:tcBorders>
              <w:top w:val="single" w:sz="4" w:space="0" w:color="auto"/>
              <w:left w:val="single" w:sz="4" w:space="0" w:color="auto"/>
              <w:bottom w:val="single" w:sz="4" w:space="0" w:color="auto"/>
              <w:right w:val="single" w:sz="4" w:space="0" w:color="auto"/>
            </w:tcBorders>
          </w:tcPr>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p>
          <w:p w:rsidR="007B7C69" w:rsidRPr="0055610F" w:rsidRDefault="007B7C69" w:rsidP="0055610F">
            <w:pPr>
              <w:jc w:val="center"/>
              <w:rPr>
                <w:sz w:val="22"/>
                <w:szCs w:val="22"/>
                <w:lang w:val="sr-Latn-ME"/>
              </w:rPr>
            </w:pPr>
            <w:r w:rsidRPr="0055610F">
              <w:rPr>
                <w:sz w:val="22"/>
                <w:szCs w:val="22"/>
                <w:lang w:val="sr-Latn-ME"/>
              </w:rPr>
              <w:t>3,52</w:t>
            </w:r>
          </w:p>
          <w:p w:rsidR="007B7C69" w:rsidRPr="0055610F" w:rsidRDefault="007B7C69" w:rsidP="0055610F">
            <w:pPr>
              <w:jc w:val="center"/>
              <w:rPr>
                <w:sz w:val="22"/>
                <w:szCs w:val="22"/>
                <w:lang w:val="sr-Latn-ME"/>
              </w:rPr>
            </w:pPr>
            <w:r w:rsidRPr="0055610F">
              <w:rPr>
                <w:sz w:val="22"/>
                <w:szCs w:val="22"/>
                <w:lang w:val="sr-Latn-ME"/>
              </w:rPr>
              <w:t>(2,48 – 5,22)</w:t>
            </w:r>
          </w:p>
        </w:tc>
      </w:tr>
    </w:tbl>
    <w:p w:rsidR="007B7C69" w:rsidRPr="0055610F" w:rsidRDefault="007B7C69" w:rsidP="004D5825">
      <w:pPr>
        <w:jc w:val="both"/>
        <w:rPr>
          <w:sz w:val="22"/>
          <w:szCs w:val="22"/>
          <w:lang w:val="sr-Latn-ME"/>
        </w:rPr>
      </w:pPr>
    </w:p>
    <w:p w:rsidR="007B7C69" w:rsidRPr="0055610F" w:rsidRDefault="007B7C69" w:rsidP="004D5825">
      <w:pPr>
        <w:tabs>
          <w:tab w:val="left" w:pos="540"/>
          <w:tab w:val="left" w:pos="569"/>
        </w:tabs>
        <w:jc w:val="both"/>
        <w:rPr>
          <w:bCs/>
          <w:sz w:val="22"/>
          <w:szCs w:val="22"/>
          <w:lang w:val="sr-Latn-ME"/>
        </w:rPr>
      </w:pPr>
      <w:r w:rsidRPr="0055610F">
        <w:rPr>
          <w:sz w:val="22"/>
          <w:szCs w:val="22"/>
          <w:lang w:val="sr-Latn-ME"/>
        </w:rPr>
        <w:t>Nakon prve dvije primjene rituksimaba (1. i 15. dana, što odgovara 1. ciklusu) farmakokinetički parametri rituksimaba kod pacijenata sa PV bili su slični onima kod pacijenata sa GPA</w:t>
      </w:r>
      <w:r w:rsidR="00B16626" w:rsidRPr="0055610F">
        <w:rPr>
          <w:sz w:val="22"/>
          <w:szCs w:val="22"/>
          <w:lang w:val="sr-Latn-ME"/>
        </w:rPr>
        <w:t xml:space="preserve"> </w:t>
      </w:r>
      <w:r w:rsidRPr="0055610F">
        <w:rPr>
          <w:sz w:val="22"/>
          <w:szCs w:val="22"/>
          <w:lang w:val="sr-Latn-ME"/>
        </w:rPr>
        <w:t xml:space="preserve">/MPA i pacijenata koji su imali RA. Nakon zadnje dvije primjene (168. i 182, dana, što odgovara 2. ciklusu) klirens rituksimaba se smanjio, dok je volumen distribucije u srednjem </w:t>
      </w:r>
      <w:r w:rsidR="00135703" w:rsidRPr="0055610F">
        <w:rPr>
          <w:sz w:val="22"/>
          <w:szCs w:val="22"/>
          <w:lang w:val="sr-Latn-ME"/>
        </w:rPr>
        <w:t xml:space="preserve">dijelu </w:t>
      </w:r>
      <w:r w:rsidRPr="0055610F">
        <w:rPr>
          <w:sz w:val="22"/>
          <w:szCs w:val="22"/>
          <w:lang w:val="sr-Latn-ME"/>
        </w:rPr>
        <w:t>ostao nepromijenjen.</w:t>
      </w:r>
    </w:p>
    <w:p w:rsidR="007B7C69" w:rsidRPr="0055610F" w:rsidRDefault="007B7C69" w:rsidP="004D5825">
      <w:pPr>
        <w:tabs>
          <w:tab w:val="left" w:pos="540"/>
          <w:tab w:val="left" w:pos="569"/>
        </w:tabs>
        <w:jc w:val="both"/>
        <w:rPr>
          <w:bCs/>
          <w:sz w:val="22"/>
          <w:szCs w:val="22"/>
          <w:lang w:val="sr-Latn-ME"/>
        </w:rPr>
      </w:pPr>
    </w:p>
    <w:p w:rsidR="0072020E"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5.3. </w:t>
      </w:r>
      <w:r w:rsidR="00480FB1" w:rsidRPr="0055610F">
        <w:rPr>
          <w:b/>
          <w:bCs/>
          <w:sz w:val="22"/>
          <w:szCs w:val="22"/>
          <w:lang w:val="sr-Latn-ME"/>
        </w:rPr>
        <w:tab/>
      </w:r>
      <w:r w:rsidRPr="0055610F">
        <w:rPr>
          <w:b/>
          <w:bCs/>
          <w:sz w:val="22"/>
          <w:szCs w:val="22"/>
          <w:lang w:val="sr-Latn-ME"/>
        </w:rPr>
        <w:t xml:space="preserve">Pretklinički podaci o bezbjednosti </w:t>
      </w:r>
    </w:p>
    <w:p w:rsidR="00836B35" w:rsidRPr="0055610F" w:rsidRDefault="00836B35" w:rsidP="004D5825">
      <w:pPr>
        <w:tabs>
          <w:tab w:val="left" w:pos="540"/>
          <w:tab w:val="left" w:pos="569"/>
        </w:tabs>
        <w:jc w:val="both"/>
        <w:rPr>
          <w:bCs/>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Pokazano je da je rituksimab visoko specifičan za CD20 antigen na B ćelijama. Ispitivanja toksičnosti kod </w:t>
      </w:r>
      <w:r w:rsidR="00DB219C">
        <w:rPr>
          <w:sz w:val="22"/>
          <w:szCs w:val="22"/>
          <w:lang w:val="sr-Latn-ME"/>
        </w:rPr>
        <w:t>makaki</w:t>
      </w:r>
      <w:r w:rsidRPr="0055610F">
        <w:rPr>
          <w:sz w:val="22"/>
          <w:szCs w:val="22"/>
          <w:lang w:val="sr-Latn-ME"/>
        </w:rPr>
        <w:t xml:space="preserve"> majmuna pokazala su da nema drugog dejstva od očekivane farmakološke deplecije B ćelija u perifernoj krvi i limfoidnom tkivu. </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 xml:space="preserve">Ispitivanja razvojne toksičnosti obavljena su na </w:t>
      </w:r>
      <w:r w:rsidR="00DB219C">
        <w:rPr>
          <w:sz w:val="22"/>
          <w:szCs w:val="22"/>
          <w:lang w:val="sr-Latn-ME"/>
        </w:rPr>
        <w:t>makaki</w:t>
      </w:r>
      <w:r w:rsidRPr="0055610F">
        <w:rPr>
          <w:sz w:val="22"/>
          <w:szCs w:val="22"/>
          <w:lang w:val="sr-Latn-ME"/>
        </w:rPr>
        <w:t xml:space="preserve"> majmunima u dozama do 100 mg/kg (tretman 20.-50. dan gestacije) i nisu otkrila nikakve dokaze o toksičnosti na fetus izazvane rituksimabom. Međutim, zabilježena je dozno zavisna farmakološka deplecija B ćelija u limfoidnim organima fetusa, koja se održavala po rođenju, i bila praćena smanjenjem nivoa IgG kod novorođenih životinja. Broj B ćelija se vraćao na normalu kod ovih životinja u roku od 6 mjeseci po rođenju i nije ugrožavao reakciju na imunizaciju. </w:t>
      </w:r>
    </w:p>
    <w:p w:rsidR="007B7C69" w:rsidRPr="0055610F" w:rsidRDefault="007B7C69"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Ni</w:t>
      </w:r>
      <w:r w:rsidR="00130C54" w:rsidRPr="0055610F">
        <w:rPr>
          <w:sz w:val="22"/>
          <w:szCs w:val="22"/>
          <w:lang w:val="sr-Latn-ME"/>
        </w:rPr>
        <w:t>je</w:t>
      </w:r>
      <w:r w:rsidRPr="0055610F">
        <w:rPr>
          <w:sz w:val="22"/>
          <w:szCs w:val="22"/>
          <w:lang w:val="sr-Latn-ME"/>
        </w:rPr>
        <w:t>su sprovedeni standardni testovi za ispitivanje mutagenosti jer takvi testovi ni</w:t>
      </w:r>
      <w:r w:rsidR="00130C54" w:rsidRPr="0055610F">
        <w:rPr>
          <w:sz w:val="22"/>
          <w:szCs w:val="22"/>
          <w:lang w:val="sr-Latn-ME"/>
        </w:rPr>
        <w:t>je</w:t>
      </w:r>
      <w:r w:rsidRPr="0055610F">
        <w:rPr>
          <w:sz w:val="22"/>
          <w:szCs w:val="22"/>
          <w:lang w:val="sr-Latn-ME"/>
        </w:rPr>
        <w:t>su relevantni za ovu molekulu. Ni</w:t>
      </w:r>
      <w:r w:rsidR="00130C54" w:rsidRPr="0055610F">
        <w:rPr>
          <w:sz w:val="22"/>
          <w:szCs w:val="22"/>
          <w:lang w:val="sr-Latn-ME"/>
        </w:rPr>
        <w:t>je</w:t>
      </w:r>
      <w:r w:rsidRPr="0055610F">
        <w:rPr>
          <w:sz w:val="22"/>
          <w:szCs w:val="22"/>
          <w:lang w:val="sr-Latn-ME"/>
        </w:rPr>
        <w:t>su sprovedena dugotrajna ispitivanja na životinjama da se utvrdi kancerogeni potencijal rituksimaba.</w:t>
      </w:r>
    </w:p>
    <w:p w:rsidR="00396DFD" w:rsidRPr="0055610F" w:rsidRDefault="007B7C69" w:rsidP="004D5825">
      <w:pPr>
        <w:tabs>
          <w:tab w:val="left" w:pos="540"/>
          <w:tab w:val="left" w:pos="569"/>
        </w:tabs>
        <w:jc w:val="both"/>
        <w:rPr>
          <w:sz w:val="22"/>
          <w:szCs w:val="22"/>
          <w:lang w:val="sr-Latn-ME"/>
        </w:rPr>
      </w:pPr>
      <w:r w:rsidRPr="0055610F">
        <w:rPr>
          <w:sz w:val="22"/>
          <w:szCs w:val="22"/>
          <w:lang w:val="sr-Latn-ME"/>
        </w:rPr>
        <w:t>Ni</w:t>
      </w:r>
      <w:r w:rsidR="00130C54" w:rsidRPr="0055610F">
        <w:rPr>
          <w:sz w:val="22"/>
          <w:szCs w:val="22"/>
          <w:lang w:val="sr-Latn-ME"/>
        </w:rPr>
        <w:t>je</w:t>
      </w:r>
      <w:r w:rsidRPr="0055610F">
        <w:rPr>
          <w:sz w:val="22"/>
          <w:szCs w:val="22"/>
          <w:lang w:val="sr-Latn-ME"/>
        </w:rPr>
        <w:t>su sprovedena specifična istraživanja kojim bi se utvrdio efekat rituksimaba na plodnost. U istraživanjima opšte toksičnosti na makaki majmunima ni</w:t>
      </w:r>
      <w:r w:rsidR="00130C54" w:rsidRPr="0055610F">
        <w:rPr>
          <w:sz w:val="22"/>
          <w:szCs w:val="22"/>
          <w:lang w:val="sr-Latn-ME"/>
        </w:rPr>
        <w:t>je</w:t>
      </w:r>
      <w:r w:rsidRPr="0055610F">
        <w:rPr>
          <w:sz w:val="22"/>
          <w:szCs w:val="22"/>
          <w:lang w:val="sr-Latn-ME"/>
        </w:rPr>
        <w:t>su primijećeni štetni efekti na reproduktivne organe mužjaka niti ženki.</w:t>
      </w:r>
    </w:p>
    <w:p w:rsidR="007B7C69" w:rsidRDefault="007B7C69" w:rsidP="004D5825">
      <w:pPr>
        <w:tabs>
          <w:tab w:val="left" w:pos="540"/>
          <w:tab w:val="left" w:pos="569"/>
        </w:tabs>
        <w:jc w:val="both"/>
        <w:rPr>
          <w:b/>
          <w:bCs/>
          <w:sz w:val="22"/>
          <w:szCs w:val="22"/>
          <w:lang w:val="sr-Latn-ME"/>
        </w:rPr>
      </w:pPr>
    </w:p>
    <w:p w:rsidR="00277702" w:rsidRPr="0055610F" w:rsidRDefault="00277702" w:rsidP="004D5825">
      <w:pPr>
        <w:tabs>
          <w:tab w:val="left" w:pos="540"/>
          <w:tab w:val="left" w:pos="569"/>
        </w:tabs>
        <w:jc w:val="both"/>
        <w:rPr>
          <w:b/>
          <w:bCs/>
          <w:sz w:val="22"/>
          <w:szCs w:val="22"/>
          <w:lang w:val="sr-Latn-ME"/>
        </w:rPr>
      </w:pPr>
    </w:p>
    <w:p w:rsidR="0072020E"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6. </w:t>
      </w:r>
      <w:r w:rsidR="00480FB1" w:rsidRPr="0055610F">
        <w:rPr>
          <w:b/>
          <w:bCs/>
          <w:sz w:val="22"/>
          <w:szCs w:val="22"/>
          <w:lang w:val="sr-Latn-ME"/>
        </w:rPr>
        <w:tab/>
      </w:r>
      <w:r w:rsidRPr="0055610F">
        <w:rPr>
          <w:b/>
          <w:bCs/>
          <w:sz w:val="22"/>
          <w:szCs w:val="22"/>
          <w:lang w:val="sr-Latn-ME"/>
        </w:rPr>
        <w:t>FARMACEUTSKI PODACI</w:t>
      </w:r>
    </w:p>
    <w:p w:rsidR="00836B35" w:rsidRPr="0055610F" w:rsidRDefault="00836B35" w:rsidP="004D5825">
      <w:pPr>
        <w:tabs>
          <w:tab w:val="left" w:pos="540"/>
          <w:tab w:val="left" w:pos="569"/>
        </w:tabs>
        <w:jc w:val="both"/>
        <w:rPr>
          <w:bCs/>
          <w:sz w:val="22"/>
          <w:szCs w:val="22"/>
          <w:lang w:val="sr-Latn-ME"/>
        </w:rPr>
      </w:pPr>
    </w:p>
    <w:p w:rsidR="00277702" w:rsidRDefault="0072020E" w:rsidP="004D5825">
      <w:pPr>
        <w:tabs>
          <w:tab w:val="left" w:pos="540"/>
          <w:tab w:val="left" w:pos="569"/>
        </w:tabs>
        <w:jc w:val="both"/>
        <w:rPr>
          <w:sz w:val="22"/>
          <w:szCs w:val="22"/>
          <w:lang w:val="sr-Latn-ME"/>
        </w:rPr>
      </w:pPr>
      <w:r w:rsidRPr="0055610F">
        <w:rPr>
          <w:b/>
          <w:bCs/>
          <w:sz w:val="22"/>
          <w:szCs w:val="22"/>
          <w:lang w:val="sr-Latn-ME"/>
        </w:rPr>
        <w:t xml:space="preserve">6.1. </w:t>
      </w:r>
      <w:r w:rsidR="00480FB1" w:rsidRPr="0055610F">
        <w:rPr>
          <w:b/>
          <w:bCs/>
          <w:sz w:val="22"/>
          <w:szCs w:val="22"/>
          <w:lang w:val="sr-Latn-ME"/>
        </w:rPr>
        <w:tab/>
      </w:r>
      <w:r w:rsidRPr="0055610F">
        <w:rPr>
          <w:b/>
          <w:bCs/>
          <w:sz w:val="22"/>
          <w:szCs w:val="22"/>
          <w:lang w:val="sr-Latn-ME"/>
        </w:rPr>
        <w:t>Lista pomoćnih supstanci</w:t>
      </w:r>
      <w:r w:rsidR="002E0135" w:rsidRPr="0055610F">
        <w:rPr>
          <w:b/>
          <w:bCs/>
          <w:sz w:val="22"/>
          <w:szCs w:val="22"/>
          <w:lang w:val="sr-Latn-ME"/>
        </w:rPr>
        <w:t xml:space="preserve"> (ekscipijenasa)</w:t>
      </w:r>
    </w:p>
    <w:p w:rsidR="00277702" w:rsidRPr="0055610F" w:rsidRDefault="00277702" w:rsidP="004D5825">
      <w:pPr>
        <w:tabs>
          <w:tab w:val="left" w:pos="540"/>
          <w:tab w:val="left" w:pos="569"/>
        </w:tabs>
        <w:jc w:val="both"/>
        <w:rPr>
          <w:b/>
          <w:bCs/>
          <w:sz w:val="22"/>
          <w:szCs w:val="22"/>
          <w:lang w:val="sr-Latn-ME"/>
        </w:rPr>
      </w:pPr>
    </w:p>
    <w:p w:rsidR="007B7C69" w:rsidRPr="0055610F" w:rsidRDefault="007B7C69" w:rsidP="0055610F">
      <w:pPr>
        <w:tabs>
          <w:tab w:val="left" w:pos="540"/>
          <w:tab w:val="left" w:pos="569"/>
        </w:tabs>
        <w:jc w:val="both"/>
        <w:rPr>
          <w:sz w:val="22"/>
          <w:szCs w:val="22"/>
          <w:lang w:val="sr-Latn-ME"/>
        </w:rPr>
      </w:pPr>
      <w:r w:rsidRPr="0055610F">
        <w:rPr>
          <w:sz w:val="22"/>
          <w:szCs w:val="22"/>
          <w:lang w:val="sr-Latn-ME"/>
        </w:rPr>
        <w:t>Natrijum</w:t>
      </w:r>
      <w:r w:rsidR="00277702">
        <w:rPr>
          <w:sz w:val="22"/>
          <w:szCs w:val="22"/>
          <w:lang w:val="sr-Latn-ME"/>
        </w:rPr>
        <w:t xml:space="preserve"> </w:t>
      </w:r>
      <w:r w:rsidRPr="0055610F">
        <w:rPr>
          <w:sz w:val="22"/>
          <w:szCs w:val="22"/>
          <w:lang w:val="sr-Latn-ME"/>
        </w:rPr>
        <w:t>citrat (E331)</w:t>
      </w:r>
    </w:p>
    <w:p w:rsidR="007B7C69" w:rsidRPr="0055610F" w:rsidRDefault="007B7C69" w:rsidP="0055610F">
      <w:pPr>
        <w:tabs>
          <w:tab w:val="left" w:pos="540"/>
          <w:tab w:val="left" w:pos="569"/>
        </w:tabs>
        <w:jc w:val="both"/>
        <w:rPr>
          <w:sz w:val="22"/>
          <w:szCs w:val="22"/>
          <w:lang w:val="sr-Latn-ME"/>
        </w:rPr>
      </w:pPr>
      <w:r w:rsidRPr="0055610F">
        <w:rPr>
          <w:sz w:val="22"/>
          <w:szCs w:val="22"/>
          <w:lang w:val="sr-Latn-ME"/>
        </w:rPr>
        <w:t>Polisorbat 80 (E433)</w:t>
      </w:r>
    </w:p>
    <w:p w:rsidR="007B7C69" w:rsidRPr="0055610F" w:rsidRDefault="007B7C69" w:rsidP="0055610F">
      <w:pPr>
        <w:tabs>
          <w:tab w:val="left" w:pos="540"/>
          <w:tab w:val="left" w:pos="569"/>
        </w:tabs>
        <w:jc w:val="both"/>
        <w:rPr>
          <w:sz w:val="22"/>
          <w:szCs w:val="22"/>
          <w:lang w:val="sr-Latn-ME"/>
        </w:rPr>
      </w:pPr>
      <w:r w:rsidRPr="0055610F">
        <w:rPr>
          <w:sz w:val="22"/>
          <w:szCs w:val="22"/>
          <w:lang w:val="sr-Latn-ME"/>
        </w:rPr>
        <w:t>Natrijum</w:t>
      </w:r>
      <w:r w:rsidR="00A10F8C">
        <w:rPr>
          <w:sz w:val="22"/>
          <w:szCs w:val="22"/>
          <w:lang w:val="sr-Latn-ME"/>
        </w:rPr>
        <w:t xml:space="preserve"> </w:t>
      </w:r>
      <w:r w:rsidRPr="0055610F">
        <w:rPr>
          <w:sz w:val="22"/>
          <w:szCs w:val="22"/>
          <w:lang w:val="sr-Latn-ME"/>
        </w:rPr>
        <w:t>hlorid</w:t>
      </w:r>
    </w:p>
    <w:p w:rsidR="007B7C69" w:rsidRPr="0055610F" w:rsidRDefault="007B7C69" w:rsidP="0055610F">
      <w:pPr>
        <w:tabs>
          <w:tab w:val="left" w:pos="540"/>
          <w:tab w:val="left" w:pos="569"/>
        </w:tabs>
        <w:jc w:val="both"/>
        <w:rPr>
          <w:sz w:val="22"/>
          <w:szCs w:val="22"/>
          <w:lang w:val="sr-Latn-ME"/>
        </w:rPr>
      </w:pPr>
      <w:r w:rsidRPr="0055610F">
        <w:rPr>
          <w:sz w:val="22"/>
          <w:szCs w:val="22"/>
          <w:lang w:val="sr-Latn-ME"/>
        </w:rPr>
        <w:t>Natrijum</w:t>
      </w:r>
      <w:r w:rsidR="00A10F8C">
        <w:rPr>
          <w:sz w:val="22"/>
          <w:szCs w:val="22"/>
          <w:lang w:val="sr-Latn-ME"/>
        </w:rPr>
        <w:t xml:space="preserve"> </w:t>
      </w:r>
      <w:r w:rsidRPr="0055610F">
        <w:rPr>
          <w:sz w:val="22"/>
          <w:szCs w:val="22"/>
          <w:lang w:val="sr-Latn-ME"/>
        </w:rPr>
        <w:t>hidroksid (za podešavanje pH) (E524)</w:t>
      </w:r>
    </w:p>
    <w:p w:rsidR="007B7C69" w:rsidRPr="0055610F" w:rsidRDefault="007B7C69" w:rsidP="0055610F">
      <w:pPr>
        <w:tabs>
          <w:tab w:val="left" w:pos="540"/>
          <w:tab w:val="left" w:pos="569"/>
        </w:tabs>
        <w:jc w:val="both"/>
        <w:rPr>
          <w:sz w:val="22"/>
          <w:szCs w:val="22"/>
          <w:lang w:val="sr-Latn-ME"/>
        </w:rPr>
      </w:pPr>
      <w:r w:rsidRPr="0055610F">
        <w:rPr>
          <w:sz w:val="22"/>
          <w:szCs w:val="22"/>
          <w:lang w:val="sr-Latn-ME"/>
        </w:rPr>
        <w:t>Hlorovodonična kisjelina (za podešavanje pH) (E507)</w:t>
      </w:r>
    </w:p>
    <w:p w:rsidR="007B7C69" w:rsidRPr="0055610F" w:rsidRDefault="007B7C69" w:rsidP="0055610F">
      <w:pPr>
        <w:tabs>
          <w:tab w:val="left" w:pos="540"/>
          <w:tab w:val="left" w:pos="569"/>
        </w:tabs>
        <w:jc w:val="both"/>
        <w:rPr>
          <w:sz w:val="22"/>
          <w:szCs w:val="22"/>
          <w:lang w:val="sr-Latn-ME"/>
        </w:rPr>
      </w:pPr>
      <w:r w:rsidRPr="0055610F">
        <w:rPr>
          <w:sz w:val="22"/>
          <w:szCs w:val="22"/>
          <w:lang w:val="sr-Latn-ME"/>
        </w:rPr>
        <w:t>Voda za injekcije</w:t>
      </w:r>
    </w:p>
    <w:p w:rsidR="007B7C69" w:rsidRPr="0055610F" w:rsidRDefault="007B7C69" w:rsidP="004D5825">
      <w:pPr>
        <w:tabs>
          <w:tab w:val="left" w:pos="540"/>
          <w:tab w:val="left" w:pos="569"/>
        </w:tabs>
        <w:jc w:val="both"/>
        <w:rPr>
          <w:bCs/>
          <w:sz w:val="22"/>
          <w:szCs w:val="22"/>
          <w:lang w:val="sr-Latn-ME"/>
        </w:rPr>
      </w:pPr>
    </w:p>
    <w:p w:rsidR="0072020E"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6.2. </w:t>
      </w:r>
      <w:r w:rsidR="00480FB1" w:rsidRPr="0055610F">
        <w:rPr>
          <w:b/>
          <w:bCs/>
          <w:sz w:val="22"/>
          <w:szCs w:val="22"/>
          <w:lang w:val="sr-Latn-ME"/>
        </w:rPr>
        <w:tab/>
      </w:r>
      <w:r w:rsidRPr="0055610F">
        <w:rPr>
          <w:b/>
          <w:bCs/>
          <w:sz w:val="22"/>
          <w:szCs w:val="22"/>
          <w:lang w:val="sr-Latn-ME"/>
        </w:rPr>
        <w:t>Inkompatibilnost</w:t>
      </w:r>
      <w:r w:rsidR="002846DB" w:rsidRPr="0055610F">
        <w:rPr>
          <w:b/>
          <w:bCs/>
          <w:sz w:val="22"/>
          <w:szCs w:val="22"/>
          <w:lang w:val="sr-Latn-ME"/>
        </w:rPr>
        <w:t>i</w:t>
      </w:r>
    </w:p>
    <w:p w:rsidR="0072020E" w:rsidRPr="0055610F" w:rsidRDefault="0072020E" w:rsidP="004D5825">
      <w:pPr>
        <w:tabs>
          <w:tab w:val="left" w:pos="540"/>
          <w:tab w:val="left" w:pos="569"/>
        </w:tabs>
        <w:jc w:val="both"/>
        <w:rPr>
          <w:bCs/>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Ni</w:t>
      </w:r>
      <w:r w:rsidR="007E6772" w:rsidRPr="0055610F">
        <w:rPr>
          <w:sz w:val="22"/>
          <w:szCs w:val="22"/>
          <w:lang w:val="sr-Latn-ME"/>
        </w:rPr>
        <w:t>je</w:t>
      </w:r>
      <w:r w:rsidRPr="0055610F">
        <w:rPr>
          <w:sz w:val="22"/>
          <w:szCs w:val="22"/>
          <w:lang w:val="sr-Latn-ME"/>
        </w:rPr>
        <w:t>su primijećene inkompatibilnosti između lijeka MabThera i polivinil hlorida ili polietilenskih kesa ili setova za infuziju.</w:t>
      </w:r>
    </w:p>
    <w:p w:rsidR="00DB219C" w:rsidRPr="0055610F" w:rsidRDefault="00DB219C" w:rsidP="004D5825">
      <w:pPr>
        <w:tabs>
          <w:tab w:val="left" w:pos="540"/>
          <w:tab w:val="left" w:pos="569"/>
        </w:tabs>
        <w:jc w:val="both"/>
        <w:rPr>
          <w:bCs/>
          <w:sz w:val="22"/>
          <w:szCs w:val="22"/>
          <w:lang w:val="sr-Latn-ME"/>
        </w:rPr>
      </w:pPr>
    </w:p>
    <w:p w:rsidR="0072020E" w:rsidRPr="0055610F" w:rsidRDefault="0072020E" w:rsidP="004D5825">
      <w:pPr>
        <w:tabs>
          <w:tab w:val="left" w:pos="540"/>
          <w:tab w:val="left" w:pos="569"/>
        </w:tabs>
        <w:jc w:val="both"/>
        <w:rPr>
          <w:b/>
          <w:bCs/>
          <w:sz w:val="22"/>
          <w:szCs w:val="22"/>
          <w:lang w:val="sr-Latn-ME"/>
        </w:rPr>
      </w:pPr>
      <w:r w:rsidRPr="0055610F">
        <w:rPr>
          <w:b/>
          <w:bCs/>
          <w:sz w:val="22"/>
          <w:szCs w:val="22"/>
          <w:lang w:val="sr-Latn-ME"/>
        </w:rPr>
        <w:t>6.3.</w:t>
      </w:r>
      <w:r w:rsidR="00C05DF8" w:rsidRPr="0055610F">
        <w:rPr>
          <w:b/>
          <w:bCs/>
          <w:sz w:val="22"/>
          <w:szCs w:val="22"/>
          <w:lang w:val="sr-Latn-ME"/>
        </w:rPr>
        <w:t xml:space="preserve"> </w:t>
      </w:r>
      <w:r w:rsidR="00480FB1" w:rsidRPr="0055610F">
        <w:rPr>
          <w:b/>
          <w:bCs/>
          <w:sz w:val="22"/>
          <w:szCs w:val="22"/>
          <w:lang w:val="sr-Latn-ME"/>
        </w:rPr>
        <w:tab/>
      </w:r>
      <w:r w:rsidRPr="0055610F">
        <w:rPr>
          <w:b/>
          <w:bCs/>
          <w:sz w:val="22"/>
          <w:szCs w:val="22"/>
          <w:lang w:val="sr-Latn-ME"/>
        </w:rPr>
        <w:t>Rok upotrebe</w:t>
      </w:r>
    </w:p>
    <w:p w:rsidR="007B7C69" w:rsidRPr="0055610F" w:rsidRDefault="007B7C69" w:rsidP="004D5825">
      <w:pPr>
        <w:tabs>
          <w:tab w:val="left" w:pos="540"/>
          <w:tab w:val="left" w:pos="569"/>
        </w:tabs>
        <w:jc w:val="both"/>
        <w:rPr>
          <w:b/>
          <w:bCs/>
          <w:sz w:val="22"/>
          <w:szCs w:val="22"/>
          <w:lang w:val="sr-Latn-ME"/>
        </w:rPr>
      </w:pPr>
    </w:p>
    <w:p w:rsidR="0076239E" w:rsidRDefault="0076239E" w:rsidP="004D5825">
      <w:pPr>
        <w:tabs>
          <w:tab w:val="left" w:pos="540"/>
          <w:tab w:val="left" w:pos="569"/>
        </w:tabs>
        <w:jc w:val="both"/>
        <w:rPr>
          <w:bCs/>
          <w:sz w:val="22"/>
          <w:szCs w:val="22"/>
          <w:u w:val="single"/>
          <w:lang w:val="sr-Latn-ME"/>
        </w:rPr>
      </w:pPr>
      <w:r w:rsidRPr="0055610F">
        <w:rPr>
          <w:bCs/>
          <w:sz w:val="22"/>
          <w:szCs w:val="22"/>
          <w:u w:val="single"/>
          <w:lang w:val="sr-Latn-ME"/>
        </w:rPr>
        <w:t>Neotvorena bočica</w:t>
      </w:r>
    </w:p>
    <w:p w:rsidR="00A10F8C" w:rsidRPr="0055610F" w:rsidRDefault="00A10F8C" w:rsidP="004D5825">
      <w:pPr>
        <w:tabs>
          <w:tab w:val="left" w:pos="540"/>
          <w:tab w:val="left" w:pos="569"/>
        </w:tabs>
        <w:jc w:val="both"/>
        <w:rPr>
          <w:bCs/>
          <w:sz w:val="22"/>
          <w:szCs w:val="22"/>
          <w:u w:val="single"/>
          <w:lang w:val="sr-Latn-ME"/>
        </w:rPr>
      </w:pPr>
    </w:p>
    <w:p w:rsidR="007B7C69" w:rsidRPr="0055610F" w:rsidRDefault="00C965AE" w:rsidP="004D5825">
      <w:pPr>
        <w:jc w:val="both"/>
        <w:rPr>
          <w:sz w:val="22"/>
          <w:szCs w:val="22"/>
          <w:lang w:val="sr-Latn-ME"/>
        </w:rPr>
      </w:pPr>
      <w:r w:rsidRPr="0055610F">
        <w:rPr>
          <w:sz w:val="22"/>
          <w:szCs w:val="22"/>
          <w:lang w:val="sr-Latn-ME"/>
        </w:rPr>
        <w:t xml:space="preserve">36 </w:t>
      </w:r>
      <w:r w:rsidR="007B7C69" w:rsidRPr="0055610F">
        <w:rPr>
          <w:sz w:val="22"/>
          <w:szCs w:val="22"/>
          <w:lang w:val="sr-Latn-ME"/>
        </w:rPr>
        <w:t>mjeseci.</w:t>
      </w:r>
    </w:p>
    <w:p w:rsidR="007B7C69" w:rsidRPr="0055610F" w:rsidRDefault="007B7C69" w:rsidP="004D5825">
      <w:pPr>
        <w:jc w:val="both"/>
        <w:rPr>
          <w:sz w:val="22"/>
          <w:szCs w:val="22"/>
          <w:lang w:val="sr-Latn-ME"/>
        </w:rPr>
      </w:pPr>
    </w:p>
    <w:p w:rsidR="0076239E" w:rsidRPr="0055610F" w:rsidRDefault="0076239E" w:rsidP="004D5825">
      <w:pPr>
        <w:jc w:val="both"/>
        <w:rPr>
          <w:sz w:val="22"/>
          <w:szCs w:val="22"/>
          <w:u w:val="single"/>
          <w:lang w:val="sr-Latn-ME"/>
        </w:rPr>
      </w:pPr>
      <w:r w:rsidRPr="0055610F">
        <w:rPr>
          <w:sz w:val="22"/>
          <w:szCs w:val="22"/>
          <w:u w:val="single"/>
          <w:lang w:val="sr-Latn-ME"/>
        </w:rPr>
        <w:t>Razblažen lijek</w:t>
      </w:r>
    </w:p>
    <w:p w:rsidR="00C965AE" w:rsidRPr="0055610F" w:rsidRDefault="00C965AE" w:rsidP="004D5825">
      <w:pPr>
        <w:jc w:val="both"/>
        <w:rPr>
          <w:sz w:val="22"/>
          <w:szCs w:val="22"/>
          <w:lang w:val="sr-Latn-ME"/>
        </w:rPr>
      </w:pPr>
    </w:p>
    <w:p w:rsidR="00C965AE" w:rsidRPr="0055610F" w:rsidRDefault="00C965AE" w:rsidP="000C6BF4">
      <w:pPr>
        <w:pStyle w:val="ListParagraph"/>
        <w:numPr>
          <w:ilvl w:val="0"/>
          <w:numId w:val="37"/>
        </w:numPr>
        <w:jc w:val="both"/>
        <w:rPr>
          <w:sz w:val="22"/>
          <w:szCs w:val="22"/>
          <w:lang w:val="sr-Latn-ME"/>
        </w:rPr>
      </w:pPr>
      <w:r w:rsidRPr="0055610F">
        <w:rPr>
          <w:sz w:val="22"/>
          <w:szCs w:val="22"/>
          <w:lang w:val="sr-Latn-ME"/>
        </w:rPr>
        <w:t>Nakon aseptičkog razblaživanja u rastvoru natrijum hlorida</w:t>
      </w:r>
    </w:p>
    <w:p w:rsidR="00C965AE" w:rsidRPr="0055610F" w:rsidRDefault="00C965AE" w:rsidP="004D5825">
      <w:pPr>
        <w:jc w:val="both"/>
        <w:rPr>
          <w:sz w:val="22"/>
          <w:szCs w:val="22"/>
          <w:lang w:val="sr-Latn-ME"/>
        </w:rPr>
      </w:pPr>
      <w:r w:rsidRPr="0055610F">
        <w:rPr>
          <w:sz w:val="22"/>
          <w:szCs w:val="22"/>
          <w:lang w:val="sr-Latn-ME"/>
        </w:rPr>
        <w:t>Pripre</w:t>
      </w:r>
      <w:r w:rsidR="007642DC">
        <w:rPr>
          <w:sz w:val="22"/>
          <w:szCs w:val="22"/>
          <w:lang w:val="sr-Latn-ME"/>
        </w:rPr>
        <w:t>ml</w:t>
      </w:r>
      <w:r w:rsidRPr="0055610F">
        <w:rPr>
          <w:sz w:val="22"/>
          <w:szCs w:val="22"/>
          <w:lang w:val="sr-Latn-ME"/>
        </w:rPr>
        <w:t>jeni infuzioni rastvor lijeka MabThera u 0,9% rastvoru natrijum</w:t>
      </w:r>
      <w:r w:rsidR="00A10F8C">
        <w:rPr>
          <w:sz w:val="22"/>
          <w:szCs w:val="22"/>
          <w:lang w:val="sr-Latn-ME"/>
        </w:rPr>
        <w:t xml:space="preserve"> </w:t>
      </w:r>
      <w:r w:rsidRPr="0055610F">
        <w:rPr>
          <w:sz w:val="22"/>
          <w:szCs w:val="22"/>
          <w:lang w:val="sr-Latn-ME"/>
        </w:rPr>
        <w:t xml:space="preserve">hlorida fizički je i hemijski stabilan 30 dana na temperaturi od 2°C do 8°C, a nakon toga još dodatna 24 sata na temperaturi ≤ 30°C. </w:t>
      </w:r>
    </w:p>
    <w:p w:rsidR="00C965AE" w:rsidRPr="0055610F" w:rsidRDefault="00C965AE" w:rsidP="004D5825">
      <w:pPr>
        <w:jc w:val="both"/>
        <w:rPr>
          <w:sz w:val="22"/>
          <w:szCs w:val="22"/>
          <w:lang w:val="sr-Latn-ME"/>
        </w:rPr>
      </w:pPr>
    </w:p>
    <w:p w:rsidR="00C965AE" w:rsidRPr="0055610F" w:rsidRDefault="00C965AE" w:rsidP="000C6BF4">
      <w:pPr>
        <w:pStyle w:val="ListParagraph"/>
        <w:numPr>
          <w:ilvl w:val="0"/>
          <w:numId w:val="37"/>
        </w:numPr>
        <w:jc w:val="both"/>
        <w:rPr>
          <w:sz w:val="22"/>
          <w:szCs w:val="22"/>
          <w:lang w:val="sr-Latn-ME"/>
        </w:rPr>
      </w:pPr>
      <w:r w:rsidRPr="0055610F">
        <w:rPr>
          <w:sz w:val="22"/>
          <w:szCs w:val="22"/>
          <w:lang w:val="sr-Latn-ME"/>
        </w:rPr>
        <w:t xml:space="preserve">Nakon aseptičkog razblaživanja u rastvoru glukoze </w:t>
      </w:r>
    </w:p>
    <w:p w:rsidR="007B7C69" w:rsidRDefault="00C965AE" w:rsidP="004D5825">
      <w:pPr>
        <w:jc w:val="both"/>
        <w:rPr>
          <w:sz w:val="22"/>
          <w:szCs w:val="22"/>
          <w:lang w:val="sr-Latn-ME"/>
        </w:rPr>
      </w:pPr>
      <w:r w:rsidRPr="0055610F">
        <w:rPr>
          <w:sz w:val="22"/>
          <w:szCs w:val="22"/>
          <w:lang w:val="sr-Latn-ME"/>
        </w:rPr>
        <w:t>Pripre</w:t>
      </w:r>
      <w:r w:rsidR="007642DC">
        <w:rPr>
          <w:sz w:val="22"/>
          <w:szCs w:val="22"/>
          <w:lang w:val="sr-Latn-ME"/>
        </w:rPr>
        <w:t>ml</w:t>
      </w:r>
      <w:r w:rsidRPr="0055610F">
        <w:rPr>
          <w:sz w:val="22"/>
          <w:szCs w:val="22"/>
          <w:lang w:val="sr-Latn-ME"/>
        </w:rPr>
        <w:t>jeni infuzioni rastvor lijeka MabThera u 5% rastvoru glukoze fizički je i hemijski stabilan 24 sata na temperaturi od 2°C do 8°C, a nakon toga još dodatnih 12 sati na sobnoj temperaturi</w:t>
      </w:r>
      <w:r w:rsidR="009B4467">
        <w:rPr>
          <w:sz w:val="22"/>
          <w:szCs w:val="22"/>
          <w:lang w:val="sr-Latn-ME"/>
        </w:rPr>
        <w:t>.</w:t>
      </w:r>
      <w:r w:rsidRPr="0055610F" w:rsidDel="00C965AE">
        <w:rPr>
          <w:sz w:val="22"/>
          <w:szCs w:val="22"/>
          <w:lang w:val="sr-Latn-ME"/>
        </w:rPr>
        <w:t xml:space="preserve"> </w:t>
      </w:r>
    </w:p>
    <w:p w:rsidR="00DB219C" w:rsidRPr="0055610F" w:rsidRDefault="00DB219C" w:rsidP="004D5825">
      <w:pPr>
        <w:jc w:val="both"/>
        <w:rPr>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Sa mikrobiološke tačke gledišta, pripre</w:t>
      </w:r>
      <w:r w:rsidR="007642DC">
        <w:rPr>
          <w:sz w:val="22"/>
          <w:szCs w:val="22"/>
          <w:lang w:val="sr-Latn-ME"/>
        </w:rPr>
        <w:t>ml</w:t>
      </w:r>
      <w:r w:rsidRPr="0055610F">
        <w:rPr>
          <w:sz w:val="22"/>
          <w:szCs w:val="22"/>
          <w:lang w:val="sr-Latn-ME"/>
        </w:rPr>
        <w:t xml:space="preserve">jeni rastvor za infuziju treba upotrijebiti odmah. Ako se ne upotrijebi odmah, trajanje čuvanja i uslovi prije upotrebe su isključiva odgovornost korisnika, i normalno se rastvor ne čuva duže od 24 sata na </w:t>
      </w:r>
      <w:r w:rsidR="00A10F8C">
        <w:rPr>
          <w:sz w:val="22"/>
          <w:szCs w:val="22"/>
          <w:lang w:val="sr-Latn-ME"/>
        </w:rPr>
        <w:t xml:space="preserve">temperaturi od </w:t>
      </w:r>
      <w:r w:rsidRPr="0055610F">
        <w:rPr>
          <w:sz w:val="22"/>
          <w:szCs w:val="22"/>
          <w:lang w:val="sr-Latn-ME"/>
        </w:rPr>
        <w:t>2</w:t>
      </w:r>
      <w:r w:rsidRPr="0055610F">
        <w:rPr>
          <w:sz w:val="22"/>
          <w:szCs w:val="22"/>
          <w:vertAlign w:val="superscript"/>
          <w:lang w:val="sr-Latn-ME"/>
        </w:rPr>
        <w:t>o</w:t>
      </w:r>
      <w:r w:rsidRPr="0055610F">
        <w:rPr>
          <w:sz w:val="22"/>
          <w:szCs w:val="22"/>
          <w:lang w:val="sr-Latn-ME"/>
        </w:rPr>
        <w:t>C do 8</w:t>
      </w:r>
      <w:r w:rsidRPr="0055610F">
        <w:rPr>
          <w:sz w:val="22"/>
          <w:szCs w:val="22"/>
          <w:vertAlign w:val="superscript"/>
          <w:lang w:val="sr-Latn-ME"/>
        </w:rPr>
        <w:t>o</w:t>
      </w:r>
      <w:r w:rsidRPr="0055610F">
        <w:rPr>
          <w:sz w:val="22"/>
          <w:szCs w:val="22"/>
          <w:lang w:val="sr-Latn-ME"/>
        </w:rPr>
        <w:t>C, osim ako se razblaženje ne obavlja u kontrolisanim i provjereno aseptičnim uslovima</w:t>
      </w:r>
      <w:r w:rsidR="00A10F8C">
        <w:rPr>
          <w:sz w:val="22"/>
          <w:szCs w:val="22"/>
          <w:lang w:val="sr-Latn-ME"/>
        </w:rPr>
        <w:t>.</w:t>
      </w:r>
    </w:p>
    <w:p w:rsidR="0072020E" w:rsidRDefault="0072020E" w:rsidP="004D5825">
      <w:pPr>
        <w:tabs>
          <w:tab w:val="left" w:pos="540"/>
          <w:tab w:val="left" w:pos="569"/>
        </w:tabs>
        <w:jc w:val="both"/>
        <w:rPr>
          <w:bCs/>
          <w:sz w:val="22"/>
          <w:szCs w:val="22"/>
          <w:lang w:val="sr-Latn-ME"/>
        </w:rPr>
      </w:pPr>
    </w:p>
    <w:p w:rsidR="009B4467" w:rsidRPr="0055610F" w:rsidRDefault="009B4467" w:rsidP="004D5825">
      <w:pPr>
        <w:tabs>
          <w:tab w:val="left" w:pos="540"/>
          <w:tab w:val="left" w:pos="569"/>
        </w:tabs>
        <w:jc w:val="both"/>
        <w:rPr>
          <w:bCs/>
          <w:sz w:val="22"/>
          <w:szCs w:val="22"/>
          <w:lang w:val="sr-Latn-ME"/>
        </w:rPr>
      </w:pPr>
    </w:p>
    <w:p w:rsidR="0072020E"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6.4. </w:t>
      </w:r>
      <w:r w:rsidR="00480FB1" w:rsidRPr="0055610F">
        <w:rPr>
          <w:b/>
          <w:bCs/>
          <w:sz w:val="22"/>
          <w:szCs w:val="22"/>
          <w:lang w:val="sr-Latn-ME"/>
        </w:rPr>
        <w:tab/>
      </w:r>
      <w:r w:rsidRPr="0055610F">
        <w:rPr>
          <w:b/>
          <w:bCs/>
          <w:sz w:val="22"/>
          <w:szCs w:val="22"/>
          <w:lang w:val="sr-Latn-ME"/>
        </w:rPr>
        <w:t>Posebne mjere upozorenja pri čuvanju</w:t>
      </w:r>
      <w:r w:rsidR="00F8570A" w:rsidRPr="0055610F">
        <w:rPr>
          <w:b/>
          <w:bCs/>
          <w:sz w:val="22"/>
          <w:szCs w:val="22"/>
          <w:lang w:val="sr-Latn-ME"/>
        </w:rPr>
        <w:t xml:space="preserve"> lijeka</w:t>
      </w:r>
    </w:p>
    <w:p w:rsidR="007B7C69" w:rsidRPr="0055610F" w:rsidRDefault="007B7C69" w:rsidP="004D5825">
      <w:pPr>
        <w:tabs>
          <w:tab w:val="left" w:pos="540"/>
          <w:tab w:val="left" w:pos="569"/>
        </w:tabs>
        <w:jc w:val="both"/>
        <w:rPr>
          <w:b/>
          <w:bCs/>
          <w:sz w:val="22"/>
          <w:szCs w:val="22"/>
          <w:lang w:val="sr-Latn-ME"/>
        </w:rPr>
      </w:pPr>
    </w:p>
    <w:p w:rsidR="007B7C69" w:rsidRPr="0055610F" w:rsidRDefault="007B7C69" w:rsidP="004D5825">
      <w:pPr>
        <w:jc w:val="both"/>
        <w:rPr>
          <w:sz w:val="22"/>
          <w:szCs w:val="22"/>
          <w:lang w:val="sr-Latn-ME"/>
        </w:rPr>
      </w:pPr>
      <w:r w:rsidRPr="0055610F">
        <w:rPr>
          <w:sz w:val="22"/>
          <w:szCs w:val="22"/>
          <w:lang w:val="sr-Latn-ME"/>
        </w:rPr>
        <w:t>Čuvati u frižideru (2</w:t>
      </w:r>
      <w:r w:rsidRPr="0055610F">
        <w:rPr>
          <w:sz w:val="22"/>
          <w:szCs w:val="22"/>
          <w:vertAlign w:val="superscript"/>
          <w:lang w:val="sr-Latn-ME"/>
        </w:rPr>
        <w:t>o</w:t>
      </w:r>
      <w:r w:rsidRPr="0055610F">
        <w:rPr>
          <w:sz w:val="22"/>
          <w:szCs w:val="22"/>
          <w:lang w:val="sr-Latn-ME"/>
        </w:rPr>
        <w:t xml:space="preserve">C </w:t>
      </w:r>
      <w:r w:rsidR="00DB219C">
        <w:rPr>
          <w:sz w:val="22"/>
          <w:szCs w:val="22"/>
          <w:lang w:val="sr-Latn-ME"/>
        </w:rPr>
        <w:t>-</w:t>
      </w:r>
      <w:r w:rsidRPr="0055610F">
        <w:rPr>
          <w:sz w:val="22"/>
          <w:szCs w:val="22"/>
          <w:lang w:val="sr-Latn-ME"/>
        </w:rPr>
        <w:t xml:space="preserve"> 8</w:t>
      </w:r>
      <w:r w:rsidRPr="0055610F">
        <w:rPr>
          <w:sz w:val="22"/>
          <w:szCs w:val="22"/>
          <w:vertAlign w:val="superscript"/>
          <w:lang w:val="sr-Latn-ME"/>
        </w:rPr>
        <w:t>o</w:t>
      </w:r>
      <w:r w:rsidRPr="0055610F">
        <w:rPr>
          <w:sz w:val="22"/>
          <w:szCs w:val="22"/>
          <w:lang w:val="sr-Latn-ME"/>
        </w:rPr>
        <w:t xml:space="preserve">C). </w:t>
      </w:r>
      <w:r w:rsidR="00DB219C">
        <w:rPr>
          <w:sz w:val="22"/>
          <w:szCs w:val="22"/>
          <w:lang w:val="sr-Latn-ME"/>
        </w:rPr>
        <w:t xml:space="preserve">Ne zamrzavati. </w:t>
      </w:r>
      <w:r w:rsidRPr="0055610F">
        <w:rPr>
          <w:sz w:val="22"/>
          <w:szCs w:val="22"/>
          <w:lang w:val="sr-Latn-ME"/>
        </w:rPr>
        <w:t>Bočicu čuvati u spoljašnjoj kartonskoj ambalaži da se zaštiti od sv</w:t>
      </w:r>
      <w:r w:rsidR="007E6772" w:rsidRPr="0055610F">
        <w:rPr>
          <w:sz w:val="22"/>
          <w:szCs w:val="22"/>
          <w:lang w:val="sr-Latn-ME"/>
        </w:rPr>
        <w:t>i</w:t>
      </w:r>
      <w:r w:rsidRPr="0055610F">
        <w:rPr>
          <w:sz w:val="22"/>
          <w:szCs w:val="22"/>
          <w:lang w:val="sr-Latn-ME"/>
        </w:rPr>
        <w:t xml:space="preserve">jetla. </w:t>
      </w:r>
    </w:p>
    <w:p w:rsidR="007B7C69" w:rsidRPr="0055610F" w:rsidRDefault="007B7C69" w:rsidP="004D5825">
      <w:pPr>
        <w:jc w:val="both"/>
        <w:rPr>
          <w:sz w:val="22"/>
          <w:szCs w:val="22"/>
          <w:lang w:val="sr-Latn-ME"/>
        </w:rPr>
      </w:pPr>
      <w:r w:rsidRPr="0055610F">
        <w:rPr>
          <w:sz w:val="22"/>
          <w:szCs w:val="22"/>
          <w:lang w:val="sr-Latn-ME"/>
        </w:rPr>
        <w:t xml:space="preserve">Za uslove čuvanja razblaženog lijeka, vidjeti </w:t>
      </w:r>
      <w:r w:rsidR="007E6772" w:rsidRPr="0055610F">
        <w:rPr>
          <w:sz w:val="22"/>
          <w:szCs w:val="22"/>
          <w:lang w:val="sr-Latn-ME"/>
        </w:rPr>
        <w:t xml:space="preserve">dio </w:t>
      </w:r>
      <w:r w:rsidRPr="0055610F">
        <w:rPr>
          <w:sz w:val="22"/>
          <w:szCs w:val="22"/>
          <w:lang w:val="sr-Latn-ME"/>
        </w:rPr>
        <w:t xml:space="preserve">6.3. </w:t>
      </w:r>
    </w:p>
    <w:p w:rsidR="00EC2532" w:rsidRPr="0055610F" w:rsidRDefault="00EC2532" w:rsidP="004D5825">
      <w:pPr>
        <w:tabs>
          <w:tab w:val="left" w:pos="540"/>
          <w:tab w:val="left" w:pos="569"/>
        </w:tabs>
        <w:jc w:val="both"/>
        <w:rPr>
          <w:bCs/>
          <w:sz w:val="22"/>
          <w:szCs w:val="22"/>
          <w:lang w:val="sr-Latn-ME"/>
        </w:rPr>
      </w:pPr>
    </w:p>
    <w:p w:rsidR="0072020E"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6.5. </w:t>
      </w:r>
      <w:r w:rsidR="00480FB1" w:rsidRPr="0055610F">
        <w:rPr>
          <w:b/>
          <w:bCs/>
          <w:sz w:val="22"/>
          <w:szCs w:val="22"/>
          <w:lang w:val="sr-Latn-ME"/>
        </w:rPr>
        <w:tab/>
      </w:r>
      <w:r w:rsidR="002846DB" w:rsidRPr="0055610F">
        <w:rPr>
          <w:b/>
          <w:bCs/>
          <w:sz w:val="22"/>
          <w:szCs w:val="22"/>
          <w:lang w:val="sr-Latn-ME"/>
        </w:rPr>
        <w:t xml:space="preserve">Vrsta i sadržaj </w:t>
      </w:r>
      <w:r w:rsidR="00F8570A" w:rsidRPr="0055610F">
        <w:rPr>
          <w:b/>
          <w:bCs/>
          <w:sz w:val="22"/>
          <w:szCs w:val="22"/>
          <w:lang w:val="sr-Latn-ME"/>
        </w:rPr>
        <w:t>pakovanja</w:t>
      </w:r>
      <w:r w:rsidR="00C06864" w:rsidRPr="0055610F">
        <w:rPr>
          <w:b/>
          <w:bCs/>
          <w:sz w:val="22"/>
          <w:szCs w:val="22"/>
          <w:lang w:val="sr-Latn-ME"/>
        </w:rPr>
        <w:t xml:space="preserve"> </w:t>
      </w:r>
    </w:p>
    <w:p w:rsidR="007B7C69" w:rsidRPr="0055610F" w:rsidRDefault="007B7C69" w:rsidP="004D5825">
      <w:pPr>
        <w:tabs>
          <w:tab w:val="left" w:pos="540"/>
          <w:tab w:val="left" w:pos="569"/>
        </w:tabs>
        <w:jc w:val="both"/>
        <w:rPr>
          <w:b/>
          <w:bCs/>
          <w:sz w:val="22"/>
          <w:szCs w:val="22"/>
          <w:lang w:val="sr-Latn-ME"/>
        </w:rPr>
      </w:pPr>
    </w:p>
    <w:p w:rsidR="007B7C69" w:rsidRPr="0055610F" w:rsidRDefault="007B7C69" w:rsidP="004D5825">
      <w:pPr>
        <w:pStyle w:val="Header"/>
        <w:tabs>
          <w:tab w:val="left" w:pos="284"/>
        </w:tabs>
        <w:jc w:val="both"/>
        <w:rPr>
          <w:sz w:val="22"/>
          <w:szCs w:val="22"/>
          <w:lang w:val="sr-Latn-ME"/>
        </w:rPr>
      </w:pPr>
      <w:r w:rsidRPr="0055610F">
        <w:rPr>
          <w:i/>
          <w:sz w:val="22"/>
          <w:szCs w:val="22"/>
          <w:lang w:val="sr-Latn-ME"/>
        </w:rPr>
        <w:t>MabThera 100 mg</w:t>
      </w:r>
      <w:r w:rsidRPr="0055610F">
        <w:rPr>
          <w:sz w:val="22"/>
          <w:szCs w:val="22"/>
          <w:lang w:val="sr-Latn-ME"/>
        </w:rPr>
        <w:t xml:space="preserve">: Staklene bočice (bezbojno staklo tipa I) sa butil gumenim zatvaračem </w:t>
      </w:r>
      <w:r w:rsidR="00E11D1A">
        <w:rPr>
          <w:sz w:val="22"/>
          <w:szCs w:val="22"/>
          <w:lang w:val="sr-Latn-ME"/>
        </w:rPr>
        <w:t>koje sadrže</w:t>
      </w:r>
      <w:r w:rsidRPr="0055610F">
        <w:rPr>
          <w:sz w:val="22"/>
          <w:szCs w:val="22"/>
          <w:lang w:val="sr-Latn-ME"/>
        </w:rPr>
        <w:t xml:space="preserve"> 100 mg rituksimaba u 10 </w:t>
      </w:r>
      <w:r w:rsidR="007642DC">
        <w:rPr>
          <w:sz w:val="22"/>
          <w:szCs w:val="22"/>
          <w:lang w:val="sr-Latn-ME"/>
        </w:rPr>
        <w:t>ml</w:t>
      </w:r>
      <w:r w:rsidRPr="0055610F">
        <w:rPr>
          <w:sz w:val="22"/>
          <w:szCs w:val="22"/>
          <w:lang w:val="sr-Latn-ME"/>
        </w:rPr>
        <w:t>. Pakovanje sa 2 bočice.</w:t>
      </w:r>
    </w:p>
    <w:p w:rsidR="007B7C69" w:rsidRPr="0055610F" w:rsidRDefault="007B7C69" w:rsidP="004D5825">
      <w:pPr>
        <w:pStyle w:val="Header"/>
        <w:tabs>
          <w:tab w:val="left" w:pos="284"/>
        </w:tabs>
        <w:jc w:val="both"/>
        <w:rPr>
          <w:sz w:val="22"/>
          <w:szCs w:val="22"/>
          <w:lang w:val="sr-Latn-ME"/>
        </w:rPr>
      </w:pPr>
      <w:r w:rsidRPr="0055610F">
        <w:rPr>
          <w:i/>
          <w:sz w:val="22"/>
          <w:szCs w:val="22"/>
          <w:lang w:val="sr-Latn-ME"/>
        </w:rPr>
        <w:t>MabThera 500 mg</w:t>
      </w:r>
      <w:r w:rsidRPr="0055610F">
        <w:rPr>
          <w:sz w:val="22"/>
          <w:szCs w:val="22"/>
          <w:lang w:val="sr-Latn-ME"/>
        </w:rPr>
        <w:t xml:space="preserve">: Staklene bočice (bezbojno staklo tipa I) sa butil gumenim zatvaračem </w:t>
      </w:r>
      <w:r w:rsidR="00E11D1A">
        <w:rPr>
          <w:sz w:val="22"/>
          <w:szCs w:val="22"/>
          <w:lang w:val="sr-Latn-ME"/>
        </w:rPr>
        <w:t>koje sadrže</w:t>
      </w:r>
      <w:r w:rsidRPr="0055610F">
        <w:rPr>
          <w:sz w:val="22"/>
          <w:szCs w:val="22"/>
          <w:lang w:val="sr-Latn-ME"/>
        </w:rPr>
        <w:t xml:space="preserve"> 500 mg rituksimaba u 50 </w:t>
      </w:r>
      <w:r w:rsidR="007642DC">
        <w:rPr>
          <w:sz w:val="22"/>
          <w:szCs w:val="22"/>
          <w:lang w:val="sr-Latn-ME"/>
        </w:rPr>
        <w:t>ml</w:t>
      </w:r>
      <w:r w:rsidRPr="0055610F">
        <w:rPr>
          <w:sz w:val="22"/>
          <w:szCs w:val="22"/>
          <w:lang w:val="sr-Latn-ME"/>
        </w:rPr>
        <w:t>. Pakovanje sa 1 bočicom.</w:t>
      </w:r>
    </w:p>
    <w:p w:rsidR="0072020E" w:rsidRDefault="0072020E" w:rsidP="004D5825">
      <w:pPr>
        <w:tabs>
          <w:tab w:val="left" w:pos="540"/>
          <w:tab w:val="left" w:pos="569"/>
        </w:tabs>
        <w:jc w:val="both"/>
        <w:rPr>
          <w:bCs/>
          <w:sz w:val="22"/>
          <w:szCs w:val="22"/>
          <w:lang w:val="sr-Latn-ME"/>
        </w:rPr>
      </w:pPr>
    </w:p>
    <w:p w:rsidR="00DB219C" w:rsidRDefault="00DB219C" w:rsidP="004D5825">
      <w:pPr>
        <w:tabs>
          <w:tab w:val="left" w:pos="540"/>
          <w:tab w:val="left" w:pos="569"/>
        </w:tabs>
        <w:jc w:val="both"/>
        <w:rPr>
          <w:bCs/>
          <w:sz w:val="22"/>
          <w:szCs w:val="22"/>
          <w:lang w:val="sr-Latn-ME"/>
        </w:rPr>
      </w:pPr>
      <w:r w:rsidRPr="00DB219C">
        <w:rPr>
          <w:bCs/>
          <w:sz w:val="22"/>
          <w:szCs w:val="22"/>
          <w:lang w:val="sr-Latn-ME"/>
        </w:rPr>
        <w:t>Na tržištu se ne mo</w:t>
      </w:r>
      <w:r>
        <w:rPr>
          <w:bCs/>
          <w:sz w:val="22"/>
          <w:szCs w:val="22"/>
          <w:lang w:val="sr-Latn-ME"/>
        </w:rPr>
        <w:t>raju nalaziti sve veličine pakov</w:t>
      </w:r>
      <w:r w:rsidRPr="00DB219C">
        <w:rPr>
          <w:bCs/>
          <w:sz w:val="22"/>
          <w:szCs w:val="22"/>
          <w:lang w:val="sr-Latn-ME"/>
        </w:rPr>
        <w:t>anja.</w:t>
      </w:r>
    </w:p>
    <w:p w:rsidR="00DB219C" w:rsidRPr="0055610F" w:rsidRDefault="00DB219C" w:rsidP="004D5825">
      <w:pPr>
        <w:tabs>
          <w:tab w:val="left" w:pos="540"/>
          <w:tab w:val="left" w:pos="569"/>
        </w:tabs>
        <w:jc w:val="both"/>
        <w:rPr>
          <w:bCs/>
          <w:sz w:val="22"/>
          <w:szCs w:val="22"/>
          <w:lang w:val="sr-Latn-ME"/>
        </w:rPr>
      </w:pPr>
    </w:p>
    <w:p w:rsidR="002846DB"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6.6. </w:t>
      </w:r>
      <w:r w:rsidR="00480FB1" w:rsidRPr="0055610F">
        <w:rPr>
          <w:b/>
          <w:bCs/>
          <w:sz w:val="22"/>
          <w:szCs w:val="22"/>
          <w:lang w:val="sr-Latn-ME"/>
        </w:rPr>
        <w:tab/>
      </w:r>
      <w:r w:rsidRPr="0055610F">
        <w:rPr>
          <w:b/>
          <w:bCs/>
          <w:color w:val="000000"/>
          <w:sz w:val="22"/>
          <w:szCs w:val="22"/>
          <w:lang w:val="sr-Latn-ME"/>
        </w:rPr>
        <w:t>Posebne mjere opreza pri odlaganju materijala koji treba odbaciti nakon primjene lijeka</w:t>
      </w:r>
      <w:r w:rsidRPr="0055610F">
        <w:rPr>
          <w:b/>
          <w:bCs/>
          <w:sz w:val="22"/>
          <w:szCs w:val="22"/>
          <w:lang w:val="sr-Latn-ME"/>
        </w:rPr>
        <w:t xml:space="preserve"> </w:t>
      </w:r>
      <w:r w:rsidR="00310F03" w:rsidRPr="0055610F">
        <w:rPr>
          <w:b/>
          <w:bCs/>
          <w:sz w:val="22"/>
          <w:szCs w:val="22"/>
          <w:lang w:val="sr-Latn-ME"/>
        </w:rPr>
        <w:t>(i druga uputs</w:t>
      </w:r>
      <w:r w:rsidR="004109FA" w:rsidRPr="0055610F">
        <w:rPr>
          <w:b/>
          <w:bCs/>
          <w:sz w:val="22"/>
          <w:szCs w:val="22"/>
          <w:lang w:val="sr-Latn-ME"/>
        </w:rPr>
        <w:t>t</w:t>
      </w:r>
      <w:r w:rsidR="00310F03" w:rsidRPr="0055610F">
        <w:rPr>
          <w:b/>
          <w:bCs/>
          <w:sz w:val="22"/>
          <w:szCs w:val="22"/>
          <w:lang w:val="sr-Latn-ME"/>
        </w:rPr>
        <w:t xml:space="preserve">va za rukovanje lijekom) </w:t>
      </w:r>
    </w:p>
    <w:p w:rsidR="00B66A70" w:rsidRPr="0055610F" w:rsidRDefault="00B66A70" w:rsidP="004D5825">
      <w:pPr>
        <w:tabs>
          <w:tab w:val="left" w:pos="540"/>
          <w:tab w:val="left" w:pos="569"/>
        </w:tabs>
        <w:jc w:val="both"/>
        <w:rPr>
          <w:b/>
          <w:bCs/>
          <w:sz w:val="22"/>
          <w:szCs w:val="22"/>
          <w:lang w:val="sr-Latn-ME"/>
        </w:rPr>
      </w:pPr>
    </w:p>
    <w:p w:rsidR="007B7C69" w:rsidRPr="0055610F" w:rsidRDefault="00A74FE0" w:rsidP="004D5825">
      <w:pPr>
        <w:tabs>
          <w:tab w:val="left" w:pos="540"/>
          <w:tab w:val="left" w:pos="569"/>
        </w:tabs>
        <w:jc w:val="both"/>
        <w:rPr>
          <w:bCs/>
          <w:sz w:val="22"/>
          <w:szCs w:val="22"/>
          <w:lang w:val="sr-Latn-ME"/>
        </w:rPr>
      </w:pPr>
      <w:r w:rsidRPr="0055610F">
        <w:rPr>
          <w:bCs/>
          <w:sz w:val="22"/>
          <w:szCs w:val="22"/>
          <w:lang w:val="sr-Latn-ME"/>
        </w:rPr>
        <w:t xml:space="preserve">Lijek </w:t>
      </w:r>
      <w:r w:rsidR="007B7C69" w:rsidRPr="0055610F">
        <w:rPr>
          <w:bCs/>
          <w:sz w:val="22"/>
          <w:szCs w:val="22"/>
          <w:lang w:val="sr-Latn-ME"/>
        </w:rPr>
        <w:t xml:space="preserve">MabThera je </w:t>
      </w:r>
      <w:r w:rsidRPr="0055610F">
        <w:rPr>
          <w:bCs/>
          <w:sz w:val="22"/>
          <w:szCs w:val="22"/>
          <w:lang w:val="sr-Latn-ME"/>
        </w:rPr>
        <w:t xml:space="preserve">dostupan </w:t>
      </w:r>
      <w:r w:rsidR="007B7C69" w:rsidRPr="0055610F">
        <w:rPr>
          <w:bCs/>
          <w:sz w:val="22"/>
          <w:szCs w:val="22"/>
          <w:lang w:val="sr-Latn-ME"/>
        </w:rPr>
        <w:t xml:space="preserve">u sterilnim, apirogenim bočicama za jednokratnu upotrebu bez konzervansa.   </w:t>
      </w:r>
    </w:p>
    <w:p w:rsidR="007B7C69" w:rsidRPr="0055610F" w:rsidRDefault="007B7C69" w:rsidP="004D5825">
      <w:pPr>
        <w:tabs>
          <w:tab w:val="left" w:pos="540"/>
          <w:tab w:val="left" w:pos="569"/>
        </w:tabs>
        <w:jc w:val="both"/>
        <w:rPr>
          <w:bCs/>
          <w:sz w:val="22"/>
          <w:szCs w:val="22"/>
          <w:lang w:val="sr-Latn-ME"/>
        </w:rPr>
      </w:pPr>
    </w:p>
    <w:p w:rsidR="007B7C69" w:rsidRPr="0055610F" w:rsidRDefault="008535FB" w:rsidP="004D5825">
      <w:pPr>
        <w:tabs>
          <w:tab w:val="left" w:pos="540"/>
          <w:tab w:val="left" w:pos="569"/>
        </w:tabs>
        <w:jc w:val="both"/>
        <w:rPr>
          <w:bCs/>
          <w:sz w:val="22"/>
          <w:szCs w:val="22"/>
          <w:lang w:val="sr-Latn-ME"/>
        </w:rPr>
      </w:pPr>
      <w:r>
        <w:rPr>
          <w:bCs/>
          <w:sz w:val="22"/>
          <w:szCs w:val="22"/>
          <w:lang w:val="sr-Latn-ME"/>
        </w:rPr>
        <w:t xml:space="preserve">Koristite sterilnu iglu i špric prilikom pripreme lijeka MabThera. </w:t>
      </w:r>
      <w:r w:rsidR="007B7C69" w:rsidRPr="0055610F">
        <w:rPr>
          <w:bCs/>
          <w:sz w:val="22"/>
          <w:szCs w:val="22"/>
          <w:lang w:val="sr-Latn-ME"/>
        </w:rPr>
        <w:t>U aseptičnim uslovima izvući potrebnu količinu lijeka MabThera i razblažiti do izračunate koncentracije od 1 do 4 mg/</w:t>
      </w:r>
      <w:r w:rsidR="007642DC">
        <w:rPr>
          <w:bCs/>
          <w:sz w:val="22"/>
          <w:szCs w:val="22"/>
          <w:lang w:val="sr-Latn-ME"/>
        </w:rPr>
        <w:t>ml</w:t>
      </w:r>
      <w:r w:rsidR="007B7C69" w:rsidRPr="0055610F">
        <w:rPr>
          <w:bCs/>
          <w:sz w:val="22"/>
          <w:szCs w:val="22"/>
          <w:lang w:val="sr-Latn-ME"/>
        </w:rPr>
        <w:t xml:space="preserve"> rituksimaba u kesi za infuziju koja sadrži sterilni, apirogeni natrijum</w:t>
      </w:r>
      <w:r>
        <w:rPr>
          <w:bCs/>
          <w:sz w:val="22"/>
          <w:szCs w:val="22"/>
          <w:lang w:val="sr-Latn-ME"/>
        </w:rPr>
        <w:t xml:space="preserve"> </w:t>
      </w:r>
      <w:r w:rsidR="007B7C69" w:rsidRPr="0055610F">
        <w:rPr>
          <w:bCs/>
          <w:sz w:val="22"/>
          <w:szCs w:val="22"/>
          <w:lang w:val="sr-Latn-ME"/>
        </w:rPr>
        <w:t>hlorid 9</w:t>
      </w:r>
      <w:r>
        <w:rPr>
          <w:bCs/>
          <w:sz w:val="22"/>
          <w:szCs w:val="22"/>
          <w:lang w:val="sr-Latn-ME"/>
        </w:rPr>
        <w:t xml:space="preserve"> </w:t>
      </w:r>
      <w:r w:rsidR="007B7C69" w:rsidRPr="0055610F">
        <w:rPr>
          <w:bCs/>
          <w:sz w:val="22"/>
          <w:szCs w:val="22"/>
          <w:lang w:val="sr-Latn-ME"/>
        </w:rPr>
        <w:t>mg/</w:t>
      </w:r>
      <w:r w:rsidR="007642DC">
        <w:rPr>
          <w:bCs/>
          <w:sz w:val="22"/>
          <w:szCs w:val="22"/>
          <w:lang w:val="sr-Latn-ME"/>
        </w:rPr>
        <w:t>ml</w:t>
      </w:r>
      <w:r w:rsidR="007B7C69" w:rsidRPr="0055610F">
        <w:rPr>
          <w:bCs/>
          <w:sz w:val="22"/>
          <w:szCs w:val="22"/>
          <w:lang w:val="sr-Latn-ME"/>
        </w:rPr>
        <w:t xml:space="preserve"> (0,9%) rastvor za injekcije ili 5% rastvor D-glukoze u vodi. Za miješanje ovog rastvora, pažljivo okrenite kesu da se izbjegne stvaranje pjene. Mora se voditi računa da se obezbijedi sterilnost pripre</w:t>
      </w:r>
      <w:r w:rsidR="007642DC">
        <w:rPr>
          <w:bCs/>
          <w:sz w:val="22"/>
          <w:szCs w:val="22"/>
          <w:lang w:val="sr-Latn-ME"/>
        </w:rPr>
        <w:t>ml</w:t>
      </w:r>
      <w:r w:rsidR="007B7C69" w:rsidRPr="0055610F">
        <w:rPr>
          <w:bCs/>
          <w:sz w:val="22"/>
          <w:szCs w:val="22"/>
          <w:lang w:val="sr-Latn-ME"/>
        </w:rPr>
        <w:t xml:space="preserve">jenog rastvora. Budući da ovaj lijek ne sadrži nikakve antimikrobne konzervanse ili bakteriostatske agense, mora se primijeniti aseptična tehnika. Parenteralne ljekove treba vizuelno provjeriti na prisustvo čestica i promjenu boje prije aplikacije. </w:t>
      </w:r>
    </w:p>
    <w:p w:rsidR="007B7C69" w:rsidRPr="0055610F" w:rsidRDefault="007B7C69" w:rsidP="004D5825">
      <w:pPr>
        <w:tabs>
          <w:tab w:val="left" w:pos="540"/>
          <w:tab w:val="left" w:pos="569"/>
        </w:tabs>
        <w:jc w:val="both"/>
        <w:rPr>
          <w:bCs/>
          <w:sz w:val="22"/>
          <w:szCs w:val="22"/>
          <w:lang w:val="sr-Latn-ME"/>
        </w:rPr>
      </w:pPr>
    </w:p>
    <w:p w:rsidR="0072020E" w:rsidRPr="0055610F" w:rsidRDefault="007B7C69" w:rsidP="004D5825">
      <w:pPr>
        <w:tabs>
          <w:tab w:val="left" w:pos="540"/>
          <w:tab w:val="left" w:pos="569"/>
        </w:tabs>
        <w:jc w:val="both"/>
        <w:rPr>
          <w:bCs/>
          <w:sz w:val="22"/>
          <w:szCs w:val="22"/>
          <w:lang w:val="sr-Latn-ME"/>
        </w:rPr>
      </w:pPr>
      <w:r w:rsidRPr="0055610F">
        <w:rPr>
          <w:bCs/>
          <w:sz w:val="22"/>
          <w:szCs w:val="22"/>
          <w:lang w:val="sr-Latn-ME"/>
        </w:rPr>
        <w:t xml:space="preserve">Svu neiskorišćenu količinu </w:t>
      </w:r>
      <w:r w:rsidR="008535FB">
        <w:rPr>
          <w:bCs/>
          <w:sz w:val="22"/>
          <w:szCs w:val="22"/>
          <w:lang w:val="sr-Latn-ME"/>
        </w:rPr>
        <w:t>lijeka</w:t>
      </w:r>
      <w:r w:rsidR="008535FB" w:rsidRPr="0055610F">
        <w:rPr>
          <w:bCs/>
          <w:sz w:val="22"/>
          <w:szCs w:val="22"/>
          <w:lang w:val="sr-Latn-ME"/>
        </w:rPr>
        <w:t xml:space="preserve"> </w:t>
      </w:r>
      <w:r w:rsidRPr="0055610F">
        <w:rPr>
          <w:bCs/>
          <w:sz w:val="22"/>
          <w:szCs w:val="22"/>
          <w:lang w:val="sr-Latn-ME"/>
        </w:rPr>
        <w:t>ili otpadni materijal treba ukloniti u skladu sa lokalnim propisima.</w:t>
      </w:r>
    </w:p>
    <w:p w:rsidR="007B7C69" w:rsidRPr="0055610F" w:rsidRDefault="007B7C69" w:rsidP="004D5825">
      <w:pPr>
        <w:tabs>
          <w:tab w:val="left" w:pos="540"/>
          <w:tab w:val="left" w:pos="569"/>
        </w:tabs>
        <w:jc w:val="both"/>
        <w:rPr>
          <w:bCs/>
          <w:sz w:val="22"/>
          <w:szCs w:val="22"/>
          <w:lang w:val="sr-Latn-ME"/>
        </w:rPr>
      </w:pPr>
    </w:p>
    <w:p w:rsidR="008535FB" w:rsidRDefault="008535FB" w:rsidP="004D5825">
      <w:pPr>
        <w:tabs>
          <w:tab w:val="left" w:pos="540"/>
          <w:tab w:val="left" w:pos="569"/>
        </w:tabs>
        <w:jc w:val="both"/>
        <w:rPr>
          <w:b/>
          <w:bCs/>
          <w:sz w:val="22"/>
          <w:szCs w:val="22"/>
          <w:lang w:val="sr-Latn-ME"/>
        </w:rPr>
      </w:pPr>
    </w:p>
    <w:p w:rsidR="00F8570A"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7. </w:t>
      </w:r>
      <w:r w:rsidR="00480FB1" w:rsidRPr="0055610F">
        <w:rPr>
          <w:b/>
          <w:bCs/>
          <w:sz w:val="22"/>
          <w:szCs w:val="22"/>
          <w:lang w:val="sr-Latn-ME"/>
        </w:rPr>
        <w:tab/>
      </w:r>
      <w:r w:rsidRPr="0055610F">
        <w:rPr>
          <w:b/>
          <w:bCs/>
          <w:sz w:val="22"/>
          <w:szCs w:val="22"/>
          <w:lang w:val="sr-Latn-ME"/>
        </w:rPr>
        <w:t>NOSILAC DOZVOLE</w:t>
      </w:r>
      <w:r w:rsidR="00483928" w:rsidRPr="0055610F">
        <w:rPr>
          <w:b/>
          <w:bCs/>
          <w:sz w:val="22"/>
          <w:szCs w:val="22"/>
          <w:lang w:val="sr-Latn-ME"/>
        </w:rPr>
        <w:t xml:space="preserve"> </w:t>
      </w:r>
    </w:p>
    <w:p w:rsidR="00C61BE0" w:rsidRPr="0055610F" w:rsidRDefault="00C61BE0" w:rsidP="004D5825">
      <w:pPr>
        <w:tabs>
          <w:tab w:val="left" w:pos="540"/>
          <w:tab w:val="left" w:pos="569"/>
        </w:tabs>
        <w:jc w:val="both"/>
        <w:rPr>
          <w:bCs/>
          <w:sz w:val="22"/>
          <w:szCs w:val="22"/>
          <w:lang w:val="sr-Latn-ME"/>
        </w:rPr>
      </w:pPr>
    </w:p>
    <w:p w:rsidR="00221111" w:rsidRPr="007642DC" w:rsidRDefault="00221111" w:rsidP="00221111">
      <w:pPr>
        <w:jc w:val="both"/>
        <w:rPr>
          <w:noProof/>
          <w:sz w:val="22"/>
          <w:szCs w:val="22"/>
          <w:lang w:val="sr-Latn-ME"/>
        </w:rPr>
      </w:pPr>
      <w:r w:rsidRPr="007642DC">
        <w:rPr>
          <w:noProof/>
          <w:sz w:val="22"/>
          <w:szCs w:val="22"/>
          <w:lang w:val="sr-Latn-ME"/>
        </w:rPr>
        <w:t>''Hoffmann - La Roche LTD'' D.S.D. Podgorica</w:t>
      </w:r>
    </w:p>
    <w:p w:rsidR="00221111" w:rsidRPr="007642DC" w:rsidRDefault="008535FB" w:rsidP="00221111">
      <w:pPr>
        <w:jc w:val="both"/>
        <w:rPr>
          <w:noProof/>
          <w:sz w:val="22"/>
          <w:szCs w:val="22"/>
          <w:lang w:val="sr-Latn-ME"/>
        </w:rPr>
      </w:pPr>
      <w:r>
        <w:rPr>
          <w:noProof/>
          <w:sz w:val="22"/>
          <w:szCs w:val="22"/>
          <w:lang w:val="sr-Latn-ME"/>
        </w:rPr>
        <w:t xml:space="preserve">ul. </w:t>
      </w:r>
      <w:r w:rsidR="00221111" w:rsidRPr="007642DC">
        <w:rPr>
          <w:noProof/>
          <w:sz w:val="22"/>
          <w:szCs w:val="22"/>
          <w:lang w:val="sr-Latn-ME"/>
        </w:rPr>
        <w:t>Cetinjska 11, 81000 Podgorica, Crna Gora</w:t>
      </w:r>
    </w:p>
    <w:p w:rsidR="00C37FD7" w:rsidRPr="0055610F" w:rsidRDefault="00C37FD7" w:rsidP="004D5825">
      <w:pPr>
        <w:tabs>
          <w:tab w:val="left" w:pos="540"/>
          <w:tab w:val="left" w:pos="569"/>
        </w:tabs>
        <w:jc w:val="both"/>
        <w:rPr>
          <w:bCs/>
          <w:sz w:val="22"/>
          <w:szCs w:val="22"/>
          <w:lang w:val="sr-Latn-ME"/>
        </w:rPr>
      </w:pPr>
    </w:p>
    <w:p w:rsidR="008535FB" w:rsidRDefault="008535FB" w:rsidP="004D5825">
      <w:pPr>
        <w:tabs>
          <w:tab w:val="left" w:pos="540"/>
          <w:tab w:val="left" w:pos="569"/>
        </w:tabs>
        <w:jc w:val="both"/>
        <w:rPr>
          <w:b/>
          <w:bCs/>
          <w:sz w:val="22"/>
          <w:szCs w:val="22"/>
          <w:lang w:val="sr-Latn-ME"/>
        </w:rPr>
      </w:pPr>
    </w:p>
    <w:p w:rsidR="0072020E"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8. </w:t>
      </w:r>
      <w:r w:rsidR="00480FB1" w:rsidRPr="0055610F">
        <w:rPr>
          <w:b/>
          <w:bCs/>
          <w:sz w:val="22"/>
          <w:szCs w:val="22"/>
          <w:lang w:val="sr-Latn-ME"/>
        </w:rPr>
        <w:tab/>
      </w:r>
      <w:r w:rsidRPr="0055610F">
        <w:rPr>
          <w:b/>
          <w:bCs/>
          <w:sz w:val="22"/>
          <w:szCs w:val="22"/>
          <w:lang w:val="sr-Latn-ME"/>
        </w:rPr>
        <w:t>BROJ DOZVOLE</w:t>
      </w:r>
      <w:r w:rsidR="008A6D43" w:rsidRPr="0055610F">
        <w:rPr>
          <w:b/>
          <w:bCs/>
          <w:sz w:val="22"/>
          <w:szCs w:val="22"/>
          <w:lang w:val="sr-Latn-ME"/>
        </w:rPr>
        <w:t xml:space="preserve"> ZA STAVLJANJE LIJEKA U PROMET</w:t>
      </w:r>
    </w:p>
    <w:p w:rsidR="0072020E" w:rsidRPr="0055610F" w:rsidRDefault="0072020E" w:rsidP="004D5825">
      <w:pPr>
        <w:tabs>
          <w:tab w:val="left" w:pos="540"/>
          <w:tab w:val="left" w:pos="569"/>
        </w:tabs>
        <w:jc w:val="both"/>
        <w:rPr>
          <w:bCs/>
          <w:sz w:val="22"/>
          <w:szCs w:val="22"/>
          <w:lang w:val="sr-Latn-ME"/>
        </w:rPr>
      </w:pPr>
    </w:p>
    <w:p w:rsidR="007B7C69" w:rsidRDefault="007B7C69" w:rsidP="004D5825">
      <w:pPr>
        <w:tabs>
          <w:tab w:val="center" w:pos="4320"/>
          <w:tab w:val="right" w:pos="8640"/>
        </w:tabs>
        <w:jc w:val="both"/>
        <w:rPr>
          <w:bCs/>
          <w:sz w:val="22"/>
          <w:szCs w:val="22"/>
          <w:lang w:val="sr-Latn-ME"/>
        </w:rPr>
      </w:pPr>
      <w:r w:rsidRPr="0055610F">
        <w:rPr>
          <w:bCs/>
          <w:sz w:val="22"/>
          <w:szCs w:val="22"/>
          <w:lang w:val="sr-Latn-ME"/>
        </w:rPr>
        <w:t>Mab</w:t>
      </w:r>
      <w:r w:rsidR="007A426B">
        <w:rPr>
          <w:bCs/>
          <w:sz w:val="22"/>
          <w:szCs w:val="22"/>
          <w:lang w:val="sr-Latn-ME"/>
        </w:rPr>
        <w:t>T</w:t>
      </w:r>
      <w:r w:rsidRPr="0055610F">
        <w:rPr>
          <w:bCs/>
          <w:sz w:val="22"/>
          <w:szCs w:val="22"/>
          <w:lang w:val="sr-Latn-ME"/>
        </w:rPr>
        <w:t>hera, koncentrat za rastvor za infuziju, 100 mg/10</w:t>
      </w:r>
      <w:r w:rsidR="008535FB">
        <w:rPr>
          <w:bCs/>
          <w:sz w:val="22"/>
          <w:szCs w:val="22"/>
          <w:lang w:val="sr-Latn-ME"/>
        </w:rPr>
        <w:t xml:space="preserve"> </w:t>
      </w:r>
      <w:r w:rsidR="007642DC">
        <w:rPr>
          <w:bCs/>
          <w:sz w:val="22"/>
          <w:szCs w:val="22"/>
          <w:lang w:val="sr-Latn-ME"/>
        </w:rPr>
        <w:t>ml</w:t>
      </w:r>
      <w:r w:rsidRPr="0055610F">
        <w:rPr>
          <w:bCs/>
          <w:sz w:val="22"/>
          <w:szCs w:val="22"/>
          <w:lang w:val="sr-Latn-ME"/>
        </w:rPr>
        <w:t xml:space="preserve"> (10 mg/</w:t>
      </w:r>
      <w:r w:rsidR="007642DC">
        <w:rPr>
          <w:bCs/>
          <w:sz w:val="22"/>
          <w:szCs w:val="22"/>
          <w:lang w:val="sr-Latn-ME"/>
        </w:rPr>
        <w:t>ml</w:t>
      </w:r>
      <w:r w:rsidRPr="0055610F">
        <w:rPr>
          <w:bCs/>
          <w:sz w:val="22"/>
          <w:szCs w:val="22"/>
          <w:lang w:val="sr-Latn-ME"/>
        </w:rPr>
        <w:t xml:space="preserve">), 2 bočice sa 10 </w:t>
      </w:r>
      <w:r w:rsidR="007642DC">
        <w:rPr>
          <w:bCs/>
          <w:sz w:val="22"/>
          <w:szCs w:val="22"/>
          <w:lang w:val="sr-Latn-ME"/>
        </w:rPr>
        <w:t>ml</w:t>
      </w:r>
      <w:r w:rsidRPr="0055610F">
        <w:rPr>
          <w:bCs/>
          <w:sz w:val="22"/>
          <w:szCs w:val="22"/>
          <w:lang w:val="sr-Latn-ME"/>
        </w:rPr>
        <w:t xml:space="preserve"> koncentrata</w:t>
      </w:r>
      <w:r w:rsidR="00D6328C">
        <w:rPr>
          <w:bCs/>
          <w:sz w:val="22"/>
          <w:szCs w:val="22"/>
          <w:lang w:val="sr-Latn-ME"/>
        </w:rPr>
        <w:t>:</w:t>
      </w:r>
    </w:p>
    <w:p w:rsidR="0055610F" w:rsidRPr="0055610F" w:rsidRDefault="00810618" w:rsidP="004D5825">
      <w:pPr>
        <w:tabs>
          <w:tab w:val="center" w:pos="4320"/>
          <w:tab w:val="right" w:pos="8640"/>
        </w:tabs>
        <w:jc w:val="both"/>
        <w:rPr>
          <w:bCs/>
          <w:sz w:val="22"/>
          <w:szCs w:val="22"/>
          <w:lang w:val="sr-Latn-ME"/>
        </w:rPr>
      </w:pPr>
      <w:r w:rsidRPr="00810618">
        <w:rPr>
          <w:bCs/>
          <w:sz w:val="22"/>
          <w:szCs w:val="22"/>
          <w:lang w:val="sr-Latn-ME"/>
        </w:rPr>
        <w:t>2030/22/1345 - 7740</w:t>
      </w:r>
    </w:p>
    <w:p w:rsidR="007B7C69" w:rsidRDefault="007B7C69" w:rsidP="004D5825">
      <w:pPr>
        <w:tabs>
          <w:tab w:val="left" w:pos="540"/>
          <w:tab w:val="left" w:pos="569"/>
        </w:tabs>
        <w:jc w:val="both"/>
        <w:rPr>
          <w:bCs/>
          <w:sz w:val="22"/>
          <w:szCs w:val="22"/>
          <w:lang w:val="sr-Latn-ME"/>
        </w:rPr>
      </w:pPr>
      <w:r w:rsidRPr="0055610F">
        <w:rPr>
          <w:bCs/>
          <w:sz w:val="22"/>
          <w:szCs w:val="22"/>
          <w:lang w:val="sr-Latn-ME"/>
        </w:rPr>
        <w:t>Mab</w:t>
      </w:r>
      <w:r w:rsidR="007A426B">
        <w:rPr>
          <w:bCs/>
          <w:sz w:val="22"/>
          <w:szCs w:val="22"/>
          <w:lang w:val="sr-Latn-ME"/>
        </w:rPr>
        <w:t>T</w:t>
      </w:r>
      <w:r w:rsidRPr="0055610F">
        <w:rPr>
          <w:bCs/>
          <w:sz w:val="22"/>
          <w:szCs w:val="22"/>
          <w:lang w:val="sr-Latn-ME"/>
        </w:rPr>
        <w:t>hera, koncentrat za rastvor za infuziju, 500 mg/50</w:t>
      </w:r>
      <w:r w:rsidR="008535FB">
        <w:rPr>
          <w:bCs/>
          <w:sz w:val="22"/>
          <w:szCs w:val="22"/>
          <w:lang w:val="sr-Latn-ME"/>
        </w:rPr>
        <w:t xml:space="preserve"> </w:t>
      </w:r>
      <w:r w:rsidR="007642DC">
        <w:rPr>
          <w:bCs/>
          <w:sz w:val="22"/>
          <w:szCs w:val="22"/>
          <w:lang w:val="sr-Latn-ME"/>
        </w:rPr>
        <w:t>ml</w:t>
      </w:r>
      <w:r w:rsidRPr="0055610F">
        <w:rPr>
          <w:bCs/>
          <w:sz w:val="22"/>
          <w:szCs w:val="22"/>
          <w:lang w:val="sr-Latn-ME"/>
        </w:rPr>
        <w:t xml:space="preserve"> (10 mg/</w:t>
      </w:r>
      <w:r w:rsidR="007642DC">
        <w:rPr>
          <w:bCs/>
          <w:sz w:val="22"/>
          <w:szCs w:val="22"/>
          <w:lang w:val="sr-Latn-ME"/>
        </w:rPr>
        <w:t>ml</w:t>
      </w:r>
      <w:r w:rsidRPr="0055610F">
        <w:rPr>
          <w:bCs/>
          <w:sz w:val="22"/>
          <w:szCs w:val="22"/>
          <w:lang w:val="sr-Latn-ME"/>
        </w:rPr>
        <w:t xml:space="preserve">), 1 bočica sa 50 </w:t>
      </w:r>
      <w:r w:rsidR="007642DC">
        <w:rPr>
          <w:bCs/>
          <w:sz w:val="22"/>
          <w:szCs w:val="22"/>
          <w:lang w:val="sr-Latn-ME"/>
        </w:rPr>
        <w:t>ml</w:t>
      </w:r>
      <w:r w:rsidRPr="0055610F">
        <w:rPr>
          <w:bCs/>
          <w:sz w:val="22"/>
          <w:szCs w:val="22"/>
          <w:lang w:val="sr-Latn-ME"/>
        </w:rPr>
        <w:t xml:space="preserve"> koncentrata: </w:t>
      </w:r>
    </w:p>
    <w:p w:rsidR="00810618" w:rsidRPr="0055610F" w:rsidRDefault="00810618" w:rsidP="004D5825">
      <w:pPr>
        <w:tabs>
          <w:tab w:val="left" w:pos="540"/>
          <w:tab w:val="left" w:pos="569"/>
        </w:tabs>
        <w:jc w:val="both"/>
        <w:rPr>
          <w:bCs/>
          <w:sz w:val="22"/>
          <w:szCs w:val="22"/>
          <w:lang w:val="sr-Latn-ME"/>
        </w:rPr>
      </w:pPr>
      <w:r w:rsidRPr="00810618">
        <w:rPr>
          <w:bCs/>
          <w:sz w:val="22"/>
          <w:szCs w:val="22"/>
          <w:lang w:val="sr-Latn-ME"/>
        </w:rPr>
        <w:t>2030/22/1347 - 7741</w:t>
      </w:r>
    </w:p>
    <w:p w:rsidR="00F45F77" w:rsidRPr="0055610F" w:rsidRDefault="00F45F77" w:rsidP="004D5825">
      <w:pPr>
        <w:tabs>
          <w:tab w:val="left" w:pos="540"/>
          <w:tab w:val="left" w:pos="569"/>
        </w:tabs>
        <w:jc w:val="both"/>
        <w:rPr>
          <w:bCs/>
          <w:sz w:val="22"/>
          <w:szCs w:val="22"/>
          <w:lang w:val="sr-Latn-ME"/>
        </w:rPr>
      </w:pPr>
    </w:p>
    <w:p w:rsidR="008535FB" w:rsidRDefault="008535FB" w:rsidP="004D5825">
      <w:pPr>
        <w:tabs>
          <w:tab w:val="left" w:pos="540"/>
          <w:tab w:val="left" w:pos="569"/>
        </w:tabs>
        <w:jc w:val="both"/>
        <w:rPr>
          <w:b/>
          <w:bCs/>
          <w:sz w:val="22"/>
          <w:szCs w:val="22"/>
          <w:lang w:val="sr-Latn-ME"/>
        </w:rPr>
      </w:pPr>
    </w:p>
    <w:p w:rsidR="0072020E" w:rsidRPr="0055610F" w:rsidRDefault="0072020E" w:rsidP="004D5825">
      <w:pPr>
        <w:tabs>
          <w:tab w:val="left" w:pos="540"/>
          <w:tab w:val="left" w:pos="569"/>
        </w:tabs>
        <w:jc w:val="both"/>
        <w:rPr>
          <w:b/>
          <w:bCs/>
          <w:sz w:val="22"/>
          <w:szCs w:val="22"/>
          <w:lang w:val="sr-Latn-ME"/>
        </w:rPr>
      </w:pPr>
      <w:r w:rsidRPr="0055610F">
        <w:rPr>
          <w:b/>
          <w:bCs/>
          <w:sz w:val="22"/>
          <w:szCs w:val="22"/>
          <w:lang w:val="sr-Latn-ME"/>
        </w:rPr>
        <w:t xml:space="preserve">9. </w:t>
      </w:r>
      <w:r w:rsidR="00480FB1" w:rsidRPr="0055610F">
        <w:rPr>
          <w:b/>
          <w:bCs/>
          <w:sz w:val="22"/>
          <w:szCs w:val="22"/>
          <w:lang w:val="sr-Latn-ME"/>
        </w:rPr>
        <w:tab/>
      </w:r>
      <w:r w:rsidRPr="0055610F">
        <w:rPr>
          <w:b/>
          <w:bCs/>
          <w:sz w:val="22"/>
          <w:szCs w:val="22"/>
          <w:lang w:val="sr-Latn-ME"/>
        </w:rPr>
        <w:t xml:space="preserve">DATUM </w:t>
      </w:r>
      <w:r w:rsidR="00C05DF8" w:rsidRPr="0055610F">
        <w:rPr>
          <w:b/>
          <w:bCs/>
          <w:sz w:val="22"/>
          <w:szCs w:val="22"/>
          <w:lang w:val="sr-Latn-ME"/>
        </w:rPr>
        <w:t xml:space="preserve">PRVE </w:t>
      </w:r>
      <w:r w:rsidR="008A6D43" w:rsidRPr="0055610F">
        <w:rPr>
          <w:b/>
          <w:bCs/>
          <w:sz w:val="22"/>
          <w:szCs w:val="22"/>
          <w:lang w:val="sr-Latn-ME"/>
        </w:rPr>
        <w:t>DOZVOLE</w:t>
      </w:r>
      <w:r w:rsidR="00C05DF8" w:rsidRPr="0055610F">
        <w:rPr>
          <w:b/>
          <w:bCs/>
          <w:sz w:val="22"/>
          <w:szCs w:val="22"/>
          <w:lang w:val="sr-Latn-ME"/>
        </w:rPr>
        <w:t>/OBNOVE DOZVOLE</w:t>
      </w:r>
      <w:r w:rsidR="008A6D43" w:rsidRPr="0055610F">
        <w:rPr>
          <w:b/>
          <w:bCs/>
          <w:sz w:val="22"/>
          <w:szCs w:val="22"/>
          <w:lang w:val="sr-Latn-ME"/>
        </w:rPr>
        <w:t xml:space="preserve"> ZA STAVLJANJE LIJEKA U PROMET</w:t>
      </w:r>
    </w:p>
    <w:p w:rsidR="0072020E" w:rsidRPr="0055610F" w:rsidRDefault="0072020E" w:rsidP="004D5825">
      <w:pPr>
        <w:tabs>
          <w:tab w:val="left" w:pos="540"/>
          <w:tab w:val="left" w:pos="569"/>
        </w:tabs>
        <w:jc w:val="both"/>
        <w:rPr>
          <w:bCs/>
          <w:sz w:val="22"/>
          <w:szCs w:val="22"/>
          <w:lang w:val="sr-Latn-ME"/>
        </w:rPr>
      </w:pPr>
    </w:p>
    <w:p w:rsidR="007B7C69" w:rsidRDefault="00043433" w:rsidP="004D5825">
      <w:pPr>
        <w:tabs>
          <w:tab w:val="left" w:pos="540"/>
          <w:tab w:val="left" w:pos="569"/>
        </w:tabs>
        <w:jc w:val="both"/>
        <w:rPr>
          <w:sz w:val="22"/>
          <w:szCs w:val="22"/>
          <w:lang w:val="sr-Latn-ME"/>
        </w:rPr>
      </w:pPr>
      <w:r>
        <w:rPr>
          <w:sz w:val="22"/>
          <w:szCs w:val="22"/>
          <w:lang w:val="sr-Latn-ME"/>
        </w:rPr>
        <w:t xml:space="preserve">Datum prve dozvole: </w:t>
      </w:r>
      <w:r w:rsidR="007B7C69" w:rsidRPr="0055610F">
        <w:rPr>
          <w:sz w:val="22"/>
          <w:szCs w:val="22"/>
          <w:lang w:val="sr-Latn-ME"/>
        </w:rPr>
        <w:t>16.12.2009. godine</w:t>
      </w:r>
    </w:p>
    <w:p w:rsidR="00043433" w:rsidRPr="0055610F" w:rsidRDefault="00043433" w:rsidP="004D5825">
      <w:pPr>
        <w:tabs>
          <w:tab w:val="left" w:pos="540"/>
          <w:tab w:val="left" w:pos="569"/>
        </w:tabs>
        <w:jc w:val="both"/>
        <w:rPr>
          <w:sz w:val="22"/>
          <w:szCs w:val="22"/>
          <w:lang w:val="sr-Latn-ME"/>
        </w:rPr>
      </w:pPr>
      <w:r>
        <w:rPr>
          <w:sz w:val="22"/>
          <w:szCs w:val="22"/>
          <w:lang w:val="sr-Latn-ME"/>
        </w:rPr>
        <w:t xml:space="preserve">Datum poslednje obnove dozvole: </w:t>
      </w:r>
      <w:r w:rsidR="00810618">
        <w:rPr>
          <w:sz w:val="22"/>
          <w:szCs w:val="22"/>
          <w:lang w:val="sr-Latn-ME"/>
        </w:rPr>
        <w:t>28.06.2022. godine</w:t>
      </w:r>
    </w:p>
    <w:p w:rsidR="00836B35" w:rsidRDefault="00836B35" w:rsidP="004D5825">
      <w:pPr>
        <w:tabs>
          <w:tab w:val="left" w:pos="540"/>
          <w:tab w:val="left" w:pos="569"/>
        </w:tabs>
        <w:jc w:val="both"/>
        <w:rPr>
          <w:bCs/>
          <w:sz w:val="22"/>
          <w:szCs w:val="22"/>
          <w:lang w:val="sr-Latn-ME"/>
        </w:rPr>
      </w:pPr>
    </w:p>
    <w:p w:rsidR="00810618" w:rsidRDefault="00810618" w:rsidP="004D5825">
      <w:pPr>
        <w:tabs>
          <w:tab w:val="left" w:pos="540"/>
          <w:tab w:val="left" w:pos="569"/>
        </w:tabs>
        <w:jc w:val="both"/>
        <w:rPr>
          <w:bCs/>
          <w:sz w:val="22"/>
          <w:szCs w:val="22"/>
          <w:lang w:val="sr-Latn-ME"/>
        </w:rPr>
      </w:pPr>
    </w:p>
    <w:p w:rsidR="007F376B" w:rsidRPr="0055610F" w:rsidRDefault="007F376B" w:rsidP="004D5825">
      <w:pPr>
        <w:tabs>
          <w:tab w:val="left" w:pos="540"/>
          <w:tab w:val="left" w:pos="569"/>
        </w:tabs>
        <w:jc w:val="both"/>
        <w:rPr>
          <w:bCs/>
          <w:sz w:val="22"/>
          <w:szCs w:val="22"/>
          <w:lang w:val="sr-Latn-ME"/>
        </w:rPr>
      </w:pPr>
    </w:p>
    <w:p w:rsidR="003F6A59" w:rsidRPr="0055610F" w:rsidRDefault="0072020E" w:rsidP="004D5825">
      <w:pPr>
        <w:tabs>
          <w:tab w:val="left" w:pos="540"/>
          <w:tab w:val="left" w:pos="569"/>
        </w:tabs>
        <w:ind w:left="540" w:hanging="540"/>
        <w:jc w:val="both"/>
        <w:rPr>
          <w:bCs/>
          <w:sz w:val="22"/>
          <w:szCs w:val="22"/>
          <w:lang w:val="sr-Latn-ME"/>
        </w:rPr>
      </w:pPr>
      <w:r w:rsidRPr="0055610F">
        <w:rPr>
          <w:b/>
          <w:bCs/>
          <w:sz w:val="22"/>
          <w:szCs w:val="22"/>
          <w:lang w:val="sr-Latn-ME"/>
        </w:rPr>
        <w:lastRenderedPageBreak/>
        <w:t xml:space="preserve">10. </w:t>
      </w:r>
      <w:r w:rsidR="00480FB1" w:rsidRPr="0055610F">
        <w:rPr>
          <w:b/>
          <w:bCs/>
          <w:sz w:val="22"/>
          <w:szCs w:val="22"/>
          <w:lang w:val="sr-Latn-ME"/>
        </w:rPr>
        <w:tab/>
      </w:r>
      <w:r w:rsidR="002846DB" w:rsidRPr="0055610F">
        <w:rPr>
          <w:b/>
          <w:bCs/>
          <w:sz w:val="22"/>
          <w:szCs w:val="22"/>
          <w:lang w:val="sr-Latn-ME"/>
        </w:rPr>
        <w:t>D</w:t>
      </w:r>
      <w:r w:rsidR="00EC2532" w:rsidRPr="0055610F">
        <w:rPr>
          <w:b/>
          <w:bCs/>
          <w:sz w:val="22"/>
          <w:szCs w:val="22"/>
          <w:lang w:val="sr-Latn-ME"/>
        </w:rPr>
        <w:t xml:space="preserve">ATUM REVIZIJE TEKSTA </w:t>
      </w:r>
    </w:p>
    <w:p w:rsidR="003F6A59" w:rsidRPr="0055610F" w:rsidRDefault="003F6A59" w:rsidP="004D5825">
      <w:pPr>
        <w:tabs>
          <w:tab w:val="left" w:pos="540"/>
          <w:tab w:val="left" w:pos="569"/>
        </w:tabs>
        <w:jc w:val="both"/>
        <w:rPr>
          <w:bCs/>
          <w:sz w:val="22"/>
          <w:szCs w:val="22"/>
          <w:lang w:val="sr-Latn-ME"/>
        </w:rPr>
      </w:pPr>
    </w:p>
    <w:p w:rsidR="00702E22" w:rsidRPr="0077727C" w:rsidRDefault="00321101" w:rsidP="004D5825">
      <w:pPr>
        <w:tabs>
          <w:tab w:val="left" w:pos="540"/>
          <w:tab w:val="left" w:pos="569"/>
        </w:tabs>
        <w:jc w:val="both"/>
        <w:rPr>
          <w:iCs/>
          <w:sz w:val="22"/>
          <w:szCs w:val="22"/>
          <w:lang w:val="sr-Latn-ME"/>
        </w:rPr>
      </w:pPr>
      <w:r>
        <w:rPr>
          <w:iCs/>
          <w:sz w:val="22"/>
          <w:szCs w:val="22"/>
          <w:lang w:val="sr-Latn-ME"/>
        </w:rPr>
        <w:t>Jun, 2025</w:t>
      </w:r>
      <w:bookmarkStart w:id="2" w:name="_GoBack"/>
      <w:bookmarkEnd w:id="2"/>
      <w:r w:rsidR="009B4467" w:rsidRPr="0077727C">
        <w:rPr>
          <w:iCs/>
          <w:sz w:val="22"/>
          <w:szCs w:val="22"/>
          <w:lang w:val="sr-Latn-ME"/>
        </w:rPr>
        <w:t>. godine</w:t>
      </w:r>
    </w:p>
    <w:p w:rsidR="003F6A59" w:rsidRPr="0055610F" w:rsidRDefault="003F6A59" w:rsidP="00DE3F5C">
      <w:pPr>
        <w:rPr>
          <w:sz w:val="22"/>
          <w:szCs w:val="22"/>
          <w:lang w:val="sr-Latn-ME"/>
        </w:rPr>
      </w:pPr>
    </w:p>
    <w:sectPr w:rsidR="003F6A59" w:rsidRPr="0055610F" w:rsidSect="00B16626">
      <w:footerReference w:type="default" r:id="rId16"/>
      <w:pgSz w:w="11909" w:h="16834" w:code="9"/>
      <w:pgMar w:top="1140" w:right="1559"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C95" w:rsidRDefault="00141C95">
      <w:r>
        <w:separator/>
      </w:r>
    </w:p>
  </w:endnote>
  <w:endnote w:type="continuationSeparator" w:id="0">
    <w:p w:rsidR="00141C95" w:rsidRDefault="00141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nion">
    <w:charset w:val="00"/>
    <w:family w:val="roman"/>
    <w:pitch w:val="variable"/>
    <w:sig w:usb0="E00002AF" w:usb1="5000E07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E58" w:rsidRPr="00B65385" w:rsidRDefault="009F7E58" w:rsidP="00B23F69">
    <w:pPr>
      <w:pStyle w:val="Footer"/>
      <w:jc w:val="center"/>
      <w:rPr>
        <w:sz w:val="22"/>
        <w:szCs w:val="22"/>
      </w:rPr>
    </w:pPr>
    <w:r w:rsidRPr="00B65385">
      <w:rPr>
        <w:sz w:val="22"/>
        <w:szCs w:val="22"/>
      </w:rPr>
      <w:fldChar w:fldCharType="begin"/>
    </w:r>
    <w:r w:rsidRPr="00B65385">
      <w:rPr>
        <w:sz w:val="22"/>
        <w:szCs w:val="22"/>
      </w:rPr>
      <w:instrText xml:space="preserve"> PAGE </w:instrText>
    </w:r>
    <w:r w:rsidRPr="00B65385">
      <w:rPr>
        <w:sz w:val="22"/>
        <w:szCs w:val="22"/>
      </w:rPr>
      <w:fldChar w:fldCharType="separate"/>
    </w:r>
    <w:r w:rsidR="00321101">
      <w:rPr>
        <w:noProof/>
        <w:sz w:val="22"/>
        <w:szCs w:val="22"/>
      </w:rPr>
      <w:t>62</w:t>
    </w:r>
    <w:r w:rsidRPr="00B65385">
      <w:rPr>
        <w:sz w:val="22"/>
        <w:szCs w:val="22"/>
      </w:rPr>
      <w:fldChar w:fldCharType="end"/>
    </w:r>
    <w:r w:rsidRPr="00B65385">
      <w:rPr>
        <w:sz w:val="22"/>
        <w:szCs w:val="22"/>
      </w:rPr>
      <w:t xml:space="preserve"> / </w:t>
    </w:r>
    <w:r w:rsidRPr="00B65385">
      <w:rPr>
        <w:sz w:val="22"/>
        <w:szCs w:val="22"/>
      </w:rPr>
      <w:fldChar w:fldCharType="begin"/>
    </w:r>
    <w:r w:rsidRPr="00B65385">
      <w:rPr>
        <w:sz w:val="22"/>
        <w:szCs w:val="22"/>
      </w:rPr>
      <w:instrText xml:space="preserve"> NUMPAGES </w:instrText>
    </w:r>
    <w:r w:rsidRPr="00B65385">
      <w:rPr>
        <w:sz w:val="22"/>
        <w:szCs w:val="22"/>
      </w:rPr>
      <w:fldChar w:fldCharType="separate"/>
    </w:r>
    <w:r w:rsidR="00321101">
      <w:rPr>
        <w:noProof/>
        <w:sz w:val="22"/>
        <w:szCs w:val="22"/>
      </w:rPr>
      <w:t>62</w:t>
    </w:r>
    <w:r w:rsidRPr="00B65385">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C95" w:rsidRDefault="00141C95">
      <w:r>
        <w:separator/>
      </w:r>
    </w:p>
  </w:footnote>
  <w:footnote w:type="continuationSeparator" w:id="0">
    <w:p w:rsidR="00141C95" w:rsidRDefault="00141C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5pt;height:14pt;visibility:visible" o:bullet="t">
        <v:imagedata r:id="rId1" o:title="BT_1000x858px"/>
      </v:shape>
    </w:pict>
  </w:numPicBullet>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540C9"/>
    <w:multiLevelType w:val="hybridMultilevel"/>
    <w:tmpl w:val="21D08B02"/>
    <w:lvl w:ilvl="0" w:tplc="3C448478">
      <w:start w:val="8"/>
      <w:numFmt w:val="bullet"/>
      <w:lvlText w:val="-"/>
      <w:lvlJc w:val="left"/>
      <w:pPr>
        <w:tabs>
          <w:tab w:val="num" w:pos="567"/>
        </w:tabs>
        <w:ind w:left="567" w:hanging="56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EC31154"/>
    <w:multiLevelType w:val="hybridMultilevel"/>
    <w:tmpl w:val="D73A8894"/>
    <w:lvl w:ilvl="0" w:tplc="81D652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5855E2A"/>
    <w:multiLevelType w:val="hybridMultilevel"/>
    <w:tmpl w:val="0020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542C71"/>
    <w:multiLevelType w:val="hybridMultilevel"/>
    <w:tmpl w:val="587AC020"/>
    <w:lvl w:ilvl="0" w:tplc="4C2EEEA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6331B40"/>
    <w:multiLevelType w:val="hybridMultilevel"/>
    <w:tmpl w:val="D922992C"/>
    <w:lvl w:ilvl="0" w:tplc="8ADC7C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FB68A0"/>
    <w:multiLevelType w:val="hybridMultilevel"/>
    <w:tmpl w:val="8572C6DA"/>
    <w:lvl w:ilvl="0" w:tplc="4C2EEEAA">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C60966"/>
    <w:multiLevelType w:val="hybridMultilevel"/>
    <w:tmpl w:val="A1861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1"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C304DC7"/>
    <w:multiLevelType w:val="hybridMultilevel"/>
    <w:tmpl w:val="25EC4A8E"/>
    <w:lvl w:ilvl="0" w:tplc="ED0EF2DC">
      <w:start w:val="37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667873"/>
    <w:multiLevelType w:val="hybridMultilevel"/>
    <w:tmpl w:val="BC301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E13F25"/>
    <w:multiLevelType w:val="hybridMultilevel"/>
    <w:tmpl w:val="F996AF32"/>
    <w:lvl w:ilvl="0" w:tplc="C08EA274">
      <w:start w:val="8"/>
      <w:numFmt w:val="bullet"/>
      <w:lvlText w:val="-"/>
      <w:lvlJc w:val="left"/>
      <w:pPr>
        <w:tabs>
          <w:tab w:val="num" w:pos="567"/>
        </w:tabs>
        <w:ind w:left="567" w:hanging="567"/>
      </w:pPr>
      <w:rPr>
        <w:rFonts w:ascii="Arial" w:eastAsia="Times New Roman" w:hAnsi="Arial" w:hint="default"/>
      </w:rPr>
    </w:lvl>
    <w:lvl w:ilvl="1" w:tplc="D40A3CC6">
      <w:start w:val="4"/>
      <w:numFmt w:val="decimal"/>
      <w:lvlText w:val="4.%2."/>
      <w:lvlJc w:val="left"/>
      <w:pPr>
        <w:tabs>
          <w:tab w:val="num" w:pos="567"/>
        </w:tabs>
        <w:ind w:left="567" w:hanging="567"/>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2"/>
  </w:num>
  <w:num w:numId="3">
    <w:abstractNumId w:val="11"/>
  </w:num>
  <w:num w:numId="4">
    <w:abstractNumId w:val="26"/>
  </w:num>
  <w:num w:numId="5">
    <w:abstractNumId w:val="16"/>
  </w:num>
  <w:num w:numId="6">
    <w:abstractNumId w:val="12"/>
  </w:num>
  <w:num w:numId="7">
    <w:abstractNumId w:val="25"/>
  </w:num>
  <w:num w:numId="8">
    <w:abstractNumId w:val="15"/>
  </w:num>
  <w:num w:numId="9">
    <w:abstractNumId w:val="20"/>
  </w:num>
  <w:num w:numId="10">
    <w:abstractNumId w:val="34"/>
  </w:num>
  <w:num w:numId="11">
    <w:abstractNumId w:val="17"/>
  </w:num>
  <w:num w:numId="12">
    <w:abstractNumId w:val="35"/>
  </w:num>
  <w:num w:numId="13">
    <w:abstractNumId w:val="29"/>
  </w:num>
  <w:num w:numId="14">
    <w:abstractNumId w:val="21"/>
  </w:num>
  <w:num w:numId="15">
    <w:abstractNumId w:val="24"/>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9"/>
  </w:num>
  <w:num w:numId="29">
    <w:abstractNumId w:val="30"/>
  </w:num>
  <w:num w:numId="30">
    <w:abstractNumId w:val="13"/>
  </w:num>
  <w:num w:numId="31">
    <w:abstractNumId w:val="23"/>
  </w:num>
  <w:num w:numId="32">
    <w:abstractNumId w:val="28"/>
  </w:num>
  <w:num w:numId="33">
    <w:abstractNumId w:val="10"/>
  </w:num>
  <w:num w:numId="34">
    <w:abstractNumId w:val="36"/>
  </w:num>
  <w:num w:numId="35">
    <w:abstractNumId w:val="27"/>
  </w:num>
  <w:num w:numId="36">
    <w:abstractNumId w:val="3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53E"/>
    <w:rsid w:val="00011D28"/>
    <w:rsid w:val="000124C9"/>
    <w:rsid w:val="00016DB8"/>
    <w:rsid w:val="000176CA"/>
    <w:rsid w:val="000337CA"/>
    <w:rsid w:val="00036FA0"/>
    <w:rsid w:val="0003793F"/>
    <w:rsid w:val="0004233E"/>
    <w:rsid w:val="00043433"/>
    <w:rsid w:val="00057E35"/>
    <w:rsid w:val="00073369"/>
    <w:rsid w:val="00076726"/>
    <w:rsid w:val="00080303"/>
    <w:rsid w:val="0009234E"/>
    <w:rsid w:val="00093B73"/>
    <w:rsid w:val="000A3F58"/>
    <w:rsid w:val="000C6BF4"/>
    <w:rsid w:val="000D2343"/>
    <w:rsid w:val="000D3449"/>
    <w:rsid w:val="000D425A"/>
    <w:rsid w:val="000D60CC"/>
    <w:rsid w:val="000E2084"/>
    <w:rsid w:val="000E6F55"/>
    <w:rsid w:val="000F26FD"/>
    <w:rsid w:val="000F6EB5"/>
    <w:rsid w:val="000F77FA"/>
    <w:rsid w:val="00107BF7"/>
    <w:rsid w:val="00117E76"/>
    <w:rsid w:val="00126F53"/>
    <w:rsid w:val="00130C54"/>
    <w:rsid w:val="00135703"/>
    <w:rsid w:val="00141C95"/>
    <w:rsid w:val="0014766D"/>
    <w:rsid w:val="001536CC"/>
    <w:rsid w:val="00170A87"/>
    <w:rsid w:val="00181E10"/>
    <w:rsid w:val="0018551C"/>
    <w:rsid w:val="00191F16"/>
    <w:rsid w:val="00194C12"/>
    <w:rsid w:val="001A3FBA"/>
    <w:rsid w:val="001A5518"/>
    <w:rsid w:val="001B1C6A"/>
    <w:rsid w:val="001C1263"/>
    <w:rsid w:val="001C1417"/>
    <w:rsid w:val="001C41CF"/>
    <w:rsid w:val="001C7B8B"/>
    <w:rsid w:val="001D5E47"/>
    <w:rsid w:val="001E390B"/>
    <w:rsid w:val="001E6646"/>
    <w:rsid w:val="001F1EC4"/>
    <w:rsid w:val="001F42FB"/>
    <w:rsid w:val="001F719A"/>
    <w:rsid w:val="002031B3"/>
    <w:rsid w:val="00215931"/>
    <w:rsid w:val="00221111"/>
    <w:rsid w:val="00227BDB"/>
    <w:rsid w:val="00234CB1"/>
    <w:rsid w:val="002352F8"/>
    <w:rsid w:val="002510A5"/>
    <w:rsid w:val="00252B3B"/>
    <w:rsid w:val="00254A0A"/>
    <w:rsid w:val="00254B5D"/>
    <w:rsid w:val="00266046"/>
    <w:rsid w:val="00277702"/>
    <w:rsid w:val="002846DB"/>
    <w:rsid w:val="00284CCD"/>
    <w:rsid w:val="002C4094"/>
    <w:rsid w:val="002C6637"/>
    <w:rsid w:val="002D3938"/>
    <w:rsid w:val="002E0135"/>
    <w:rsid w:val="002E37A5"/>
    <w:rsid w:val="002E4051"/>
    <w:rsid w:val="002E7754"/>
    <w:rsid w:val="002F047B"/>
    <w:rsid w:val="002F1173"/>
    <w:rsid w:val="00304DC0"/>
    <w:rsid w:val="00310F03"/>
    <w:rsid w:val="003142FF"/>
    <w:rsid w:val="00317BCF"/>
    <w:rsid w:val="00321101"/>
    <w:rsid w:val="003247D2"/>
    <w:rsid w:val="00334D52"/>
    <w:rsid w:val="003445C1"/>
    <w:rsid w:val="003468E1"/>
    <w:rsid w:val="00355B61"/>
    <w:rsid w:val="00362686"/>
    <w:rsid w:val="00371510"/>
    <w:rsid w:val="00391B88"/>
    <w:rsid w:val="00395587"/>
    <w:rsid w:val="003963A5"/>
    <w:rsid w:val="00396DFD"/>
    <w:rsid w:val="003A7059"/>
    <w:rsid w:val="003B5EFD"/>
    <w:rsid w:val="003B7A36"/>
    <w:rsid w:val="003C17AB"/>
    <w:rsid w:val="003C4422"/>
    <w:rsid w:val="003C7823"/>
    <w:rsid w:val="003D18FF"/>
    <w:rsid w:val="003E1DCC"/>
    <w:rsid w:val="003E333A"/>
    <w:rsid w:val="003F6A59"/>
    <w:rsid w:val="003F7C57"/>
    <w:rsid w:val="004065C8"/>
    <w:rsid w:val="004109FA"/>
    <w:rsid w:val="00411B4B"/>
    <w:rsid w:val="00415BEE"/>
    <w:rsid w:val="00421CF2"/>
    <w:rsid w:val="00427020"/>
    <w:rsid w:val="00427F85"/>
    <w:rsid w:val="00430A27"/>
    <w:rsid w:val="00430D75"/>
    <w:rsid w:val="00432C44"/>
    <w:rsid w:val="00436F42"/>
    <w:rsid w:val="004378B4"/>
    <w:rsid w:val="00442F39"/>
    <w:rsid w:val="00451314"/>
    <w:rsid w:val="004523BE"/>
    <w:rsid w:val="00452E9D"/>
    <w:rsid w:val="004534C7"/>
    <w:rsid w:val="004671AA"/>
    <w:rsid w:val="00480FB1"/>
    <w:rsid w:val="00483928"/>
    <w:rsid w:val="00496E03"/>
    <w:rsid w:val="004B21C8"/>
    <w:rsid w:val="004B5023"/>
    <w:rsid w:val="004D5825"/>
    <w:rsid w:val="004D6103"/>
    <w:rsid w:val="004E3BCE"/>
    <w:rsid w:val="004F0E97"/>
    <w:rsid w:val="00501371"/>
    <w:rsid w:val="00501DD1"/>
    <w:rsid w:val="00507E75"/>
    <w:rsid w:val="00511601"/>
    <w:rsid w:val="00515C21"/>
    <w:rsid w:val="00530BD7"/>
    <w:rsid w:val="00545CD2"/>
    <w:rsid w:val="005476F3"/>
    <w:rsid w:val="0055610F"/>
    <w:rsid w:val="005622EE"/>
    <w:rsid w:val="005712D5"/>
    <w:rsid w:val="00572527"/>
    <w:rsid w:val="00573E40"/>
    <w:rsid w:val="00576348"/>
    <w:rsid w:val="00577B60"/>
    <w:rsid w:val="00586969"/>
    <w:rsid w:val="00594B3E"/>
    <w:rsid w:val="005A0B2E"/>
    <w:rsid w:val="005A23D2"/>
    <w:rsid w:val="005A36CB"/>
    <w:rsid w:val="005B49B8"/>
    <w:rsid w:val="005C0741"/>
    <w:rsid w:val="005C5EF4"/>
    <w:rsid w:val="005C660F"/>
    <w:rsid w:val="005C70AA"/>
    <w:rsid w:val="005D3C83"/>
    <w:rsid w:val="005D60CA"/>
    <w:rsid w:val="005E2E0B"/>
    <w:rsid w:val="005E7A7D"/>
    <w:rsid w:val="00602457"/>
    <w:rsid w:val="00606BAE"/>
    <w:rsid w:val="0061399D"/>
    <w:rsid w:val="00626CFB"/>
    <w:rsid w:val="00646BD1"/>
    <w:rsid w:val="0065291D"/>
    <w:rsid w:val="006561C2"/>
    <w:rsid w:val="00664856"/>
    <w:rsid w:val="00671CB3"/>
    <w:rsid w:val="00674BAF"/>
    <w:rsid w:val="00680E9F"/>
    <w:rsid w:val="00682200"/>
    <w:rsid w:val="00692BF6"/>
    <w:rsid w:val="00696763"/>
    <w:rsid w:val="006A1497"/>
    <w:rsid w:val="006B0BD1"/>
    <w:rsid w:val="006B7A8F"/>
    <w:rsid w:val="006D20A5"/>
    <w:rsid w:val="006D37BF"/>
    <w:rsid w:val="006F268D"/>
    <w:rsid w:val="006F7465"/>
    <w:rsid w:val="00702E22"/>
    <w:rsid w:val="0072020E"/>
    <w:rsid w:val="0074611C"/>
    <w:rsid w:val="00746516"/>
    <w:rsid w:val="0074778C"/>
    <w:rsid w:val="00756249"/>
    <w:rsid w:val="0076239E"/>
    <w:rsid w:val="007642DC"/>
    <w:rsid w:val="007704D8"/>
    <w:rsid w:val="0077727C"/>
    <w:rsid w:val="00777814"/>
    <w:rsid w:val="00786071"/>
    <w:rsid w:val="007A20EC"/>
    <w:rsid w:val="007A3ECB"/>
    <w:rsid w:val="007A426B"/>
    <w:rsid w:val="007B7C69"/>
    <w:rsid w:val="007C4543"/>
    <w:rsid w:val="007C5C12"/>
    <w:rsid w:val="007D383C"/>
    <w:rsid w:val="007E6772"/>
    <w:rsid w:val="007F376B"/>
    <w:rsid w:val="00807455"/>
    <w:rsid w:val="00810618"/>
    <w:rsid w:val="00824AB9"/>
    <w:rsid w:val="008313EA"/>
    <w:rsid w:val="00831702"/>
    <w:rsid w:val="00836B35"/>
    <w:rsid w:val="00843BDE"/>
    <w:rsid w:val="008535FB"/>
    <w:rsid w:val="00872F1F"/>
    <w:rsid w:val="0089705C"/>
    <w:rsid w:val="008A6D43"/>
    <w:rsid w:val="008B491E"/>
    <w:rsid w:val="008C1A28"/>
    <w:rsid w:val="008C2E98"/>
    <w:rsid w:val="008E49BD"/>
    <w:rsid w:val="008E53E9"/>
    <w:rsid w:val="008E5771"/>
    <w:rsid w:val="008F4ACF"/>
    <w:rsid w:val="0091672A"/>
    <w:rsid w:val="00930450"/>
    <w:rsid w:val="00940B9B"/>
    <w:rsid w:val="009449C7"/>
    <w:rsid w:val="0095676E"/>
    <w:rsid w:val="00956983"/>
    <w:rsid w:val="009611F8"/>
    <w:rsid w:val="00963CF0"/>
    <w:rsid w:val="00964BB1"/>
    <w:rsid w:val="009775D9"/>
    <w:rsid w:val="009941F7"/>
    <w:rsid w:val="00997175"/>
    <w:rsid w:val="009A1847"/>
    <w:rsid w:val="009B062A"/>
    <w:rsid w:val="009B4467"/>
    <w:rsid w:val="009B5886"/>
    <w:rsid w:val="009C76FB"/>
    <w:rsid w:val="009E7C6F"/>
    <w:rsid w:val="009F1793"/>
    <w:rsid w:val="009F2D23"/>
    <w:rsid w:val="009F7E58"/>
    <w:rsid w:val="00A01D69"/>
    <w:rsid w:val="00A02335"/>
    <w:rsid w:val="00A10F8C"/>
    <w:rsid w:val="00A12C89"/>
    <w:rsid w:val="00A156BD"/>
    <w:rsid w:val="00A24E7E"/>
    <w:rsid w:val="00A30AAA"/>
    <w:rsid w:val="00A32865"/>
    <w:rsid w:val="00A34AFE"/>
    <w:rsid w:val="00A46C9A"/>
    <w:rsid w:val="00A56ECE"/>
    <w:rsid w:val="00A57E99"/>
    <w:rsid w:val="00A6117E"/>
    <w:rsid w:val="00A619F3"/>
    <w:rsid w:val="00A62A73"/>
    <w:rsid w:val="00A74FE0"/>
    <w:rsid w:val="00A87FF6"/>
    <w:rsid w:val="00AA0A3B"/>
    <w:rsid w:val="00AA2763"/>
    <w:rsid w:val="00AA33B6"/>
    <w:rsid w:val="00AB50CA"/>
    <w:rsid w:val="00AB6D64"/>
    <w:rsid w:val="00AC53CE"/>
    <w:rsid w:val="00AD1A2F"/>
    <w:rsid w:val="00AD2193"/>
    <w:rsid w:val="00AD4E16"/>
    <w:rsid w:val="00AE03BA"/>
    <w:rsid w:val="00AE2111"/>
    <w:rsid w:val="00AE501D"/>
    <w:rsid w:val="00AF2AC7"/>
    <w:rsid w:val="00AF536E"/>
    <w:rsid w:val="00AF74CE"/>
    <w:rsid w:val="00B04709"/>
    <w:rsid w:val="00B16626"/>
    <w:rsid w:val="00B2002A"/>
    <w:rsid w:val="00B208DB"/>
    <w:rsid w:val="00B21971"/>
    <w:rsid w:val="00B23F69"/>
    <w:rsid w:val="00B366BC"/>
    <w:rsid w:val="00B4139E"/>
    <w:rsid w:val="00B60619"/>
    <w:rsid w:val="00B65385"/>
    <w:rsid w:val="00B66A70"/>
    <w:rsid w:val="00B67366"/>
    <w:rsid w:val="00B8085A"/>
    <w:rsid w:val="00B80EE1"/>
    <w:rsid w:val="00B83649"/>
    <w:rsid w:val="00B83BCA"/>
    <w:rsid w:val="00B84135"/>
    <w:rsid w:val="00B94E07"/>
    <w:rsid w:val="00BB7FC5"/>
    <w:rsid w:val="00BC572C"/>
    <w:rsid w:val="00BD3063"/>
    <w:rsid w:val="00BD3210"/>
    <w:rsid w:val="00BF25A5"/>
    <w:rsid w:val="00C04D34"/>
    <w:rsid w:val="00C0552F"/>
    <w:rsid w:val="00C05DF8"/>
    <w:rsid w:val="00C06864"/>
    <w:rsid w:val="00C10F54"/>
    <w:rsid w:val="00C23D8D"/>
    <w:rsid w:val="00C26F6B"/>
    <w:rsid w:val="00C37AA3"/>
    <w:rsid w:val="00C37FD7"/>
    <w:rsid w:val="00C43419"/>
    <w:rsid w:val="00C44CF3"/>
    <w:rsid w:val="00C44D4E"/>
    <w:rsid w:val="00C510AB"/>
    <w:rsid w:val="00C57D09"/>
    <w:rsid w:val="00C60957"/>
    <w:rsid w:val="00C61BE0"/>
    <w:rsid w:val="00C65065"/>
    <w:rsid w:val="00C70B0E"/>
    <w:rsid w:val="00C7361B"/>
    <w:rsid w:val="00C773CA"/>
    <w:rsid w:val="00C83785"/>
    <w:rsid w:val="00C85A85"/>
    <w:rsid w:val="00C9133E"/>
    <w:rsid w:val="00C94C0D"/>
    <w:rsid w:val="00C965AE"/>
    <w:rsid w:val="00CA1FEB"/>
    <w:rsid w:val="00CA6E91"/>
    <w:rsid w:val="00CD4F85"/>
    <w:rsid w:val="00CD6F02"/>
    <w:rsid w:val="00CE246D"/>
    <w:rsid w:val="00CE2741"/>
    <w:rsid w:val="00CE3391"/>
    <w:rsid w:val="00CF07A0"/>
    <w:rsid w:val="00CF3E03"/>
    <w:rsid w:val="00D0082A"/>
    <w:rsid w:val="00D21455"/>
    <w:rsid w:val="00D47634"/>
    <w:rsid w:val="00D527D8"/>
    <w:rsid w:val="00D6328C"/>
    <w:rsid w:val="00D64200"/>
    <w:rsid w:val="00D66C9F"/>
    <w:rsid w:val="00D709B3"/>
    <w:rsid w:val="00D714A0"/>
    <w:rsid w:val="00DA2ED6"/>
    <w:rsid w:val="00DA475E"/>
    <w:rsid w:val="00DB219C"/>
    <w:rsid w:val="00DB76B8"/>
    <w:rsid w:val="00DC2EA1"/>
    <w:rsid w:val="00DD6AAF"/>
    <w:rsid w:val="00DE2669"/>
    <w:rsid w:val="00DE3F5C"/>
    <w:rsid w:val="00DF1D20"/>
    <w:rsid w:val="00DF2490"/>
    <w:rsid w:val="00E11D1A"/>
    <w:rsid w:val="00E21324"/>
    <w:rsid w:val="00E246B9"/>
    <w:rsid w:val="00E31FEA"/>
    <w:rsid w:val="00E45169"/>
    <w:rsid w:val="00E47787"/>
    <w:rsid w:val="00E51C30"/>
    <w:rsid w:val="00E55BAB"/>
    <w:rsid w:val="00E6203D"/>
    <w:rsid w:val="00E63D26"/>
    <w:rsid w:val="00E64180"/>
    <w:rsid w:val="00E74AEE"/>
    <w:rsid w:val="00E868E5"/>
    <w:rsid w:val="00E9237A"/>
    <w:rsid w:val="00E939FA"/>
    <w:rsid w:val="00EA5765"/>
    <w:rsid w:val="00EB11D8"/>
    <w:rsid w:val="00EC2532"/>
    <w:rsid w:val="00EC738D"/>
    <w:rsid w:val="00ED7812"/>
    <w:rsid w:val="00EE1154"/>
    <w:rsid w:val="00EF157A"/>
    <w:rsid w:val="00EF3B86"/>
    <w:rsid w:val="00F16139"/>
    <w:rsid w:val="00F317E9"/>
    <w:rsid w:val="00F34554"/>
    <w:rsid w:val="00F35647"/>
    <w:rsid w:val="00F45F77"/>
    <w:rsid w:val="00F5167F"/>
    <w:rsid w:val="00F52258"/>
    <w:rsid w:val="00F8570A"/>
    <w:rsid w:val="00F91C7B"/>
    <w:rsid w:val="00FB34CE"/>
    <w:rsid w:val="00FD3056"/>
    <w:rsid w:val="00FF12BB"/>
    <w:rsid w:val="00FF5F82"/>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6CED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496E03"/>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496E03"/>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496E03"/>
    <w:pPr>
      <w:keepNext/>
      <w:tabs>
        <w:tab w:val="left" w:pos="284"/>
      </w:tabs>
      <w:ind w:right="265"/>
      <w:jc w:val="right"/>
      <w:outlineLvl w:val="3"/>
    </w:pPr>
    <w:rPr>
      <w:rFonts w:ascii="Arial" w:hAnsi="Arial" w:cs="Arial"/>
      <w:i/>
      <w:iCs/>
      <w:color w:val="999999"/>
      <w:sz w:val="16"/>
    </w:rPr>
  </w:style>
  <w:style w:type="paragraph" w:styleId="Heading8">
    <w:name w:val="heading 8"/>
    <w:basedOn w:val="Normal"/>
    <w:next w:val="Normal"/>
    <w:link w:val="Heading8Char"/>
    <w:qFormat/>
    <w:rsid w:val="00496E0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rsid w:val="00E246B9"/>
    <w:pPr>
      <w:tabs>
        <w:tab w:val="center" w:pos="4320"/>
        <w:tab w:val="right" w:pos="8640"/>
      </w:tabs>
    </w:pPr>
  </w:style>
  <w:style w:type="paragraph" w:styleId="Footer">
    <w:name w:val="footer"/>
    <w:basedOn w:val="Normal"/>
    <w:link w:val="FooterChar"/>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link w:val="CommentSubjectChar"/>
    <w:semiHidden/>
    <w:rsid w:val="005A0B2E"/>
    <w:rPr>
      <w:b/>
      <w:bCs/>
    </w:rPr>
  </w:style>
  <w:style w:type="paragraph" w:styleId="BalloonText">
    <w:name w:val="Balloon Text"/>
    <w:basedOn w:val="Normal"/>
    <w:link w:val="BalloonTextChar"/>
    <w:rsid w:val="005A0B2E"/>
    <w:rPr>
      <w:rFonts w:ascii="Tahoma" w:hAnsi="Tahoma" w:cs="Tahoma"/>
      <w:sz w:val="16"/>
      <w:szCs w:val="16"/>
    </w:rPr>
  </w:style>
  <w:style w:type="paragraph" w:styleId="NoSpacing">
    <w:name w:val="No Spacing"/>
    <w:link w:val="NoSpacingChar"/>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basedOn w:val="DefaultParagraphFont"/>
    <w:link w:val="Header"/>
    <w:rsid w:val="00496E03"/>
    <w:rPr>
      <w:sz w:val="24"/>
      <w:szCs w:val="24"/>
      <w:lang w:val="en-US" w:eastAsia="en-US"/>
    </w:rPr>
  </w:style>
  <w:style w:type="character" w:customStyle="1" w:styleId="Heading1Char">
    <w:name w:val="Heading 1 Char"/>
    <w:basedOn w:val="DefaultParagraphFont"/>
    <w:link w:val="Heading1"/>
    <w:rsid w:val="00496E03"/>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496E03"/>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496E03"/>
    <w:rPr>
      <w:rFonts w:ascii="Arial" w:hAnsi="Arial" w:cs="Arial"/>
      <w:i/>
      <w:iCs/>
      <w:color w:val="999999"/>
      <w:sz w:val="16"/>
      <w:szCs w:val="24"/>
      <w:lang w:val="en-US" w:eastAsia="en-US"/>
    </w:rPr>
  </w:style>
  <w:style w:type="character" w:customStyle="1" w:styleId="Heading8Char">
    <w:name w:val="Heading 8 Char"/>
    <w:basedOn w:val="DefaultParagraphFont"/>
    <w:link w:val="Heading8"/>
    <w:rsid w:val="00496E03"/>
    <w:rPr>
      <w:i/>
      <w:iCs/>
      <w:sz w:val="24"/>
      <w:szCs w:val="24"/>
      <w:lang w:val="en-US" w:eastAsia="en-US"/>
    </w:rPr>
  </w:style>
  <w:style w:type="character" w:customStyle="1" w:styleId="Heading2Char">
    <w:name w:val="Heading 2 Char"/>
    <w:basedOn w:val="DefaultParagraphFont"/>
    <w:link w:val="Heading2"/>
    <w:rsid w:val="00496E03"/>
    <w:rPr>
      <w:rFonts w:ascii="Arial" w:hAnsi="Arial" w:cs="Arial"/>
      <w:i/>
      <w:iCs/>
      <w:color w:val="999999"/>
      <w:sz w:val="18"/>
      <w:szCs w:val="24"/>
      <w:lang w:val="en-US" w:eastAsia="en-US"/>
    </w:rPr>
  </w:style>
  <w:style w:type="character" w:customStyle="1" w:styleId="FooterChar">
    <w:name w:val="Footer Char"/>
    <w:basedOn w:val="DefaultParagraphFont"/>
    <w:link w:val="Footer"/>
    <w:rsid w:val="00496E03"/>
    <w:rPr>
      <w:sz w:val="24"/>
      <w:szCs w:val="24"/>
      <w:lang w:val="en-US" w:eastAsia="en-US"/>
    </w:rPr>
  </w:style>
  <w:style w:type="character" w:customStyle="1" w:styleId="CommentSubjectChar">
    <w:name w:val="Comment Subject Char"/>
    <w:basedOn w:val="CommentTextChar"/>
    <w:link w:val="CommentSubject"/>
    <w:semiHidden/>
    <w:rsid w:val="00496E03"/>
    <w:rPr>
      <w:b/>
      <w:bCs/>
      <w:lang w:val="en-US" w:eastAsia="en-US"/>
    </w:rPr>
  </w:style>
  <w:style w:type="character" w:customStyle="1" w:styleId="BalloonTextChar">
    <w:name w:val="Balloon Text Char"/>
    <w:basedOn w:val="DefaultParagraphFont"/>
    <w:link w:val="BalloonText"/>
    <w:rsid w:val="00496E03"/>
    <w:rPr>
      <w:rFonts w:ascii="Tahoma" w:hAnsi="Tahoma" w:cs="Tahoma"/>
      <w:sz w:val="16"/>
      <w:szCs w:val="16"/>
      <w:lang w:val="en-US" w:eastAsia="en-US"/>
    </w:rPr>
  </w:style>
  <w:style w:type="numbering" w:customStyle="1" w:styleId="NoList1">
    <w:name w:val="No List1"/>
    <w:next w:val="NoList"/>
    <w:semiHidden/>
    <w:rsid w:val="00496E03"/>
  </w:style>
  <w:style w:type="paragraph" w:styleId="Title">
    <w:name w:val="Title"/>
    <w:basedOn w:val="Normal"/>
    <w:link w:val="TitleChar"/>
    <w:qFormat/>
    <w:rsid w:val="00496E03"/>
    <w:pPr>
      <w:jc w:val="center"/>
    </w:pPr>
    <w:rPr>
      <w:b/>
    </w:rPr>
  </w:style>
  <w:style w:type="character" w:customStyle="1" w:styleId="TitleChar">
    <w:name w:val="Title Char"/>
    <w:basedOn w:val="DefaultParagraphFont"/>
    <w:link w:val="Title"/>
    <w:rsid w:val="00496E03"/>
    <w:rPr>
      <w:b/>
      <w:sz w:val="24"/>
      <w:szCs w:val="24"/>
      <w:lang w:val="en-US" w:eastAsia="en-US"/>
    </w:rPr>
  </w:style>
  <w:style w:type="paragraph" w:styleId="EndnoteText">
    <w:name w:val="endnote text"/>
    <w:basedOn w:val="Normal"/>
    <w:link w:val="EndnoteTextChar"/>
    <w:rsid w:val="00496E03"/>
    <w:rPr>
      <w:rFonts w:ascii="TmsRmn 12pt" w:hAnsi="TmsRmn 12pt"/>
    </w:rPr>
  </w:style>
  <w:style w:type="character" w:customStyle="1" w:styleId="EndnoteTextChar">
    <w:name w:val="Endnote Text Char"/>
    <w:basedOn w:val="DefaultParagraphFont"/>
    <w:link w:val="EndnoteText"/>
    <w:rsid w:val="00496E03"/>
    <w:rPr>
      <w:rFonts w:ascii="TmsRmn 12pt" w:hAnsi="TmsRmn 12pt"/>
      <w:sz w:val="24"/>
      <w:szCs w:val="24"/>
      <w:lang w:val="en-US" w:eastAsia="en-US"/>
    </w:rPr>
  </w:style>
  <w:style w:type="paragraph" w:styleId="BodyTextIndent2">
    <w:name w:val="Body Text Indent 2"/>
    <w:basedOn w:val="Normal"/>
    <w:link w:val="BodyTextIndent2Char"/>
    <w:rsid w:val="00496E03"/>
    <w:pPr>
      <w:ind w:left="1440"/>
    </w:pPr>
    <w:rPr>
      <w:i/>
    </w:rPr>
  </w:style>
  <w:style w:type="character" w:customStyle="1" w:styleId="BodyTextIndent2Char">
    <w:name w:val="Body Text Indent 2 Char"/>
    <w:basedOn w:val="DefaultParagraphFont"/>
    <w:link w:val="BodyTextIndent2"/>
    <w:rsid w:val="00496E03"/>
    <w:rPr>
      <w:i/>
      <w:sz w:val="24"/>
      <w:szCs w:val="24"/>
      <w:lang w:val="en-US" w:eastAsia="en-US"/>
    </w:rPr>
  </w:style>
  <w:style w:type="table" w:styleId="TableGrid">
    <w:name w:val="Table Grid"/>
    <w:basedOn w:val="TableNormal"/>
    <w:rsid w:val="00496E0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496E03"/>
    <w:pPr>
      <w:jc w:val="both"/>
    </w:pPr>
    <w:rPr>
      <w:b/>
    </w:rPr>
  </w:style>
  <w:style w:type="paragraph" w:styleId="BodyText">
    <w:name w:val="Body Text"/>
    <w:basedOn w:val="Normal"/>
    <w:link w:val="BodyTextChar"/>
    <w:rsid w:val="00496E03"/>
    <w:pPr>
      <w:spacing w:after="120"/>
    </w:pPr>
    <w:rPr>
      <w:sz w:val="20"/>
      <w:szCs w:val="20"/>
    </w:rPr>
  </w:style>
  <w:style w:type="character" w:customStyle="1" w:styleId="BodyTextChar">
    <w:name w:val="Body Text Char"/>
    <w:basedOn w:val="DefaultParagraphFont"/>
    <w:link w:val="BodyText"/>
    <w:rsid w:val="00496E03"/>
    <w:rPr>
      <w:lang w:val="en-US" w:eastAsia="en-US"/>
    </w:rPr>
  </w:style>
  <w:style w:type="paragraph" w:styleId="BodyTextIndent3">
    <w:name w:val="Body Text Indent 3"/>
    <w:basedOn w:val="Normal"/>
    <w:link w:val="BodyTextIndent3Char"/>
    <w:rsid w:val="00496E03"/>
    <w:pPr>
      <w:spacing w:after="120"/>
      <w:ind w:left="360"/>
    </w:pPr>
    <w:rPr>
      <w:sz w:val="16"/>
      <w:szCs w:val="16"/>
    </w:rPr>
  </w:style>
  <w:style w:type="character" w:customStyle="1" w:styleId="BodyTextIndent3Char">
    <w:name w:val="Body Text Indent 3 Char"/>
    <w:basedOn w:val="DefaultParagraphFont"/>
    <w:link w:val="BodyTextIndent3"/>
    <w:rsid w:val="00496E03"/>
    <w:rPr>
      <w:sz w:val="16"/>
      <w:szCs w:val="16"/>
      <w:lang w:val="en-US" w:eastAsia="en-US"/>
    </w:rPr>
  </w:style>
  <w:style w:type="paragraph" w:styleId="BodyTextIndent">
    <w:name w:val="Body Text Indent"/>
    <w:basedOn w:val="Normal"/>
    <w:link w:val="BodyTextIndentChar"/>
    <w:rsid w:val="00496E03"/>
    <w:pPr>
      <w:spacing w:after="120"/>
      <w:ind w:left="360"/>
    </w:pPr>
    <w:rPr>
      <w:sz w:val="20"/>
      <w:szCs w:val="20"/>
    </w:rPr>
  </w:style>
  <w:style w:type="character" w:customStyle="1" w:styleId="BodyTextIndentChar">
    <w:name w:val="Body Text Indent Char"/>
    <w:basedOn w:val="DefaultParagraphFont"/>
    <w:link w:val="BodyTextIndent"/>
    <w:rsid w:val="00496E03"/>
    <w:rPr>
      <w:lang w:val="en-US" w:eastAsia="en-US"/>
    </w:rPr>
  </w:style>
  <w:style w:type="character" w:styleId="Strong">
    <w:name w:val="Strong"/>
    <w:qFormat/>
    <w:rsid w:val="00496E03"/>
    <w:rPr>
      <w:b/>
      <w:bCs w:val="0"/>
    </w:rPr>
  </w:style>
  <w:style w:type="character" w:customStyle="1" w:styleId="WW8Num7z0">
    <w:name w:val="WW8Num7z0"/>
    <w:rsid w:val="00496E03"/>
    <w:rPr>
      <w:rFonts w:ascii="Symbol" w:hAnsi="Symbol"/>
    </w:rPr>
  </w:style>
  <w:style w:type="character" w:styleId="Hyperlink">
    <w:name w:val="Hyperlink"/>
    <w:rsid w:val="00496E03"/>
    <w:rPr>
      <w:color w:val="0000FF"/>
      <w:u w:val="single"/>
    </w:rPr>
  </w:style>
  <w:style w:type="paragraph" w:customStyle="1" w:styleId="TextTi10">
    <w:name w:val="Text:Ti10"/>
    <w:basedOn w:val="Normal"/>
    <w:rsid w:val="00496E03"/>
    <w:rPr>
      <w:rFonts w:eastAsia="MS Mincho"/>
      <w:sz w:val="20"/>
      <w:szCs w:val="20"/>
      <w:lang w:eastAsia="ja-JP"/>
    </w:rPr>
  </w:style>
  <w:style w:type="paragraph" w:customStyle="1" w:styleId="TableText10">
    <w:name w:val="TableText:10"/>
    <w:basedOn w:val="Normal"/>
    <w:rsid w:val="00496E03"/>
    <w:rPr>
      <w:rFonts w:eastAsia="SimSun"/>
      <w:sz w:val="20"/>
      <w:lang w:eastAsia="ja-JP"/>
    </w:rPr>
  </w:style>
  <w:style w:type="numbering" w:customStyle="1" w:styleId="NoList2">
    <w:name w:val="No List2"/>
    <w:next w:val="NoList"/>
    <w:semiHidden/>
    <w:rsid w:val="00496E03"/>
  </w:style>
  <w:style w:type="paragraph" w:styleId="Revision">
    <w:name w:val="Revision"/>
    <w:hidden/>
    <w:uiPriority w:val="99"/>
    <w:semiHidden/>
    <w:rsid w:val="00496E03"/>
    <w:rPr>
      <w:sz w:val="24"/>
      <w:szCs w:val="24"/>
      <w:lang w:val="en-US" w:eastAsia="en-US"/>
    </w:rPr>
  </w:style>
  <w:style w:type="paragraph" w:customStyle="1" w:styleId="TextTi12">
    <w:name w:val="Text:Ti12"/>
    <w:basedOn w:val="Normal"/>
    <w:rsid w:val="00496E03"/>
    <w:pPr>
      <w:spacing w:after="170" w:line="280" w:lineRule="atLeast"/>
      <w:jc w:val="both"/>
    </w:pPr>
    <w:rPr>
      <w:sz w:val="22"/>
      <w:szCs w:val="20"/>
      <w:lang w:eastAsia="ja-JP"/>
    </w:rPr>
  </w:style>
  <w:style w:type="paragraph" w:customStyle="1" w:styleId="Paragraph">
    <w:name w:val="Paragraph"/>
    <w:basedOn w:val="Normal"/>
    <w:link w:val="ParagraphChar1"/>
    <w:rsid w:val="00496E03"/>
    <w:pPr>
      <w:spacing w:after="250" w:line="300" w:lineRule="atLeast"/>
    </w:pPr>
    <w:rPr>
      <w:rFonts w:ascii="Minion" w:eastAsia="Calibri" w:hAnsi="Minion"/>
      <w:sz w:val="22"/>
      <w:szCs w:val="22"/>
    </w:rPr>
  </w:style>
  <w:style w:type="character" w:customStyle="1" w:styleId="ParagraphChar1">
    <w:name w:val="Paragraph Char1"/>
    <w:link w:val="Paragraph"/>
    <w:locked/>
    <w:rsid w:val="00496E03"/>
    <w:rPr>
      <w:rFonts w:ascii="Minion" w:eastAsia="Calibri" w:hAnsi="Minion"/>
      <w:sz w:val="22"/>
      <w:szCs w:val="22"/>
      <w:lang w:val="en-US" w:eastAsia="en-US"/>
    </w:rPr>
  </w:style>
  <w:style w:type="paragraph" w:customStyle="1" w:styleId="TableTitle">
    <w:name w:val="Table Title"/>
    <w:basedOn w:val="Normal"/>
    <w:next w:val="Paragraph"/>
    <w:link w:val="TableTitleChar"/>
    <w:rsid w:val="00496E03"/>
    <w:pPr>
      <w:keepNext/>
      <w:keepLines/>
      <w:tabs>
        <w:tab w:val="left" w:pos="1152"/>
      </w:tabs>
      <w:spacing w:before="40" w:after="160" w:line="280" w:lineRule="exact"/>
      <w:ind w:left="1152" w:hanging="1152"/>
    </w:pPr>
    <w:rPr>
      <w:rFonts w:ascii="Arial" w:eastAsia="SimSun" w:hAnsi="Arial"/>
      <w:b/>
      <w:lang w:eastAsia="zh-CN"/>
    </w:rPr>
  </w:style>
  <w:style w:type="character" w:customStyle="1" w:styleId="TableTitleChar">
    <w:name w:val="Table Title Char"/>
    <w:link w:val="TableTitle"/>
    <w:rsid w:val="00496E03"/>
    <w:rPr>
      <w:rFonts w:ascii="Arial" w:eastAsia="SimSun" w:hAnsi="Arial"/>
      <w:b/>
      <w:sz w:val="24"/>
      <w:szCs w:val="24"/>
      <w:lang w:val="en-US" w:eastAsia="zh-CN"/>
    </w:rPr>
  </w:style>
  <w:style w:type="character" w:styleId="FollowedHyperlink">
    <w:name w:val="FollowedHyperlink"/>
    <w:basedOn w:val="DefaultParagraphFont"/>
    <w:uiPriority w:val="99"/>
    <w:unhideWhenUsed/>
    <w:rsid w:val="00496E03"/>
    <w:rPr>
      <w:color w:val="954F72" w:themeColor="followedHyperlink"/>
      <w:u w:val="single"/>
    </w:rPr>
  </w:style>
  <w:style w:type="paragraph" w:styleId="ListParagraph">
    <w:name w:val="List Paragraph"/>
    <w:basedOn w:val="Normal"/>
    <w:uiPriority w:val="34"/>
    <w:qFormat/>
    <w:rsid w:val="00B21971"/>
    <w:pPr>
      <w:ind w:left="720"/>
      <w:contextualSpacing/>
    </w:pPr>
  </w:style>
  <w:style w:type="character" w:customStyle="1" w:styleId="NoSpacingChar">
    <w:name w:val="No Spacing Char"/>
    <w:basedOn w:val="DefaultParagraphFont"/>
    <w:link w:val="NoSpacing"/>
    <w:uiPriority w:val="1"/>
    <w:rsid w:val="00507E75"/>
    <w:rPr>
      <w:sz w:val="24"/>
      <w:szCs w:val="24"/>
      <w:lang w:val="en-US" w:eastAsia="en-US"/>
    </w:rPr>
  </w:style>
  <w:style w:type="paragraph" w:customStyle="1" w:styleId="TableParagraph">
    <w:name w:val="Table Paragraph"/>
    <w:basedOn w:val="Normal"/>
    <w:uiPriority w:val="1"/>
    <w:qFormat/>
    <w:rsid w:val="00EC738D"/>
    <w:rPr>
      <w:sz w:val="22"/>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777777777777778"/>
          <c:y val="9.8130841121495324E-2"/>
          <c:w val="0.60952380952380958"/>
          <c:h val="0.66355140186915884"/>
        </c:manualLayout>
      </c:layout>
      <c:barChart>
        <c:barDir val="col"/>
        <c:grouping val="clustered"/>
        <c:varyColors val="0"/>
        <c:ser>
          <c:idx val="0"/>
          <c:order val="0"/>
          <c:tx>
            <c:strRef>
              <c:f>Sheet1!$A$2</c:f>
              <c:strCache>
                <c:ptCount val="1"/>
                <c:pt idx="0">
                  <c:v>ACR20</c:v>
                </c:pt>
              </c:strCache>
            </c:strRef>
          </c:tx>
          <c:spPr>
            <a:solidFill>
              <a:srgbClr val="000000"/>
            </a:solidFill>
            <a:ln w="12644">
              <a:solidFill>
                <a:srgbClr val="000000"/>
              </a:solidFill>
              <a:prstDash val="solid"/>
            </a:ln>
          </c:spPr>
          <c:invertIfNegative val="0"/>
          <c:cat>
            <c:strRef>
              <c:f>Sheet1!$B$1:$E$1</c:f>
              <c:strCache>
                <c:ptCount val="4"/>
                <c:pt idx="0">
                  <c:v>1. ciklus</c:v>
                </c:pt>
                <c:pt idx="1">
                  <c:v>2. ciklus </c:v>
                </c:pt>
                <c:pt idx="2">
                  <c:v>3. ciklus</c:v>
                </c:pt>
                <c:pt idx="3">
                  <c:v>4. ciklus</c:v>
                </c:pt>
              </c:strCache>
            </c:strRef>
          </c:cat>
          <c:val>
            <c:numRef>
              <c:f>Sheet1!$B$2:$E$2</c:f>
              <c:numCache>
                <c:formatCode>General</c:formatCode>
                <c:ptCount val="4"/>
                <c:pt idx="0">
                  <c:v>69.2</c:v>
                </c:pt>
                <c:pt idx="1">
                  <c:v>74</c:v>
                </c:pt>
                <c:pt idx="2">
                  <c:v>71.900000000000006</c:v>
                </c:pt>
                <c:pt idx="3">
                  <c:v>65.8</c:v>
                </c:pt>
              </c:numCache>
            </c:numRef>
          </c:val>
          <c:extLst>
            <c:ext xmlns:c16="http://schemas.microsoft.com/office/drawing/2014/chart" uri="{C3380CC4-5D6E-409C-BE32-E72D297353CC}">
              <c16:uniqueId val="{00000000-3684-4DC6-912F-4FF0D315EAF1}"/>
            </c:ext>
          </c:extLst>
        </c:ser>
        <c:ser>
          <c:idx val="1"/>
          <c:order val="1"/>
          <c:tx>
            <c:strRef>
              <c:f>Sheet1!$A$3</c:f>
              <c:strCache>
                <c:ptCount val="1"/>
                <c:pt idx="0">
                  <c:v>ACR50</c:v>
                </c:pt>
              </c:strCache>
            </c:strRef>
          </c:tx>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44">
              <a:solidFill>
                <a:srgbClr val="000000"/>
              </a:solidFill>
              <a:prstDash val="solid"/>
            </a:ln>
          </c:spPr>
          <c:invertIfNegative val="0"/>
          <c:cat>
            <c:strRef>
              <c:f>Sheet1!$B$1:$E$1</c:f>
              <c:strCache>
                <c:ptCount val="4"/>
                <c:pt idx="0">
                  <c:v>1. ciklus</c:v>
                </c:pt>
                <c:pt idx="1">
                  <c:v>2. ciklus </c:v>
                </c:pt>
                <c:pt idx="2">
                  <c:v>3. ciklus</c:v>
                </c:pt>
                <c:pt idx="3">
                  <c:v>4. ciklus</c:v>
                </c:pt>
              </c:strCache>
            </c:strRef>
          </c:cat>
          <c:val>
            <c:numRef>
              <c:f>Sheet1!$B$3:$E$3</c:f>
              <c:numCache>
                <c:formatCode>General</c:formatCode>
                <c:ptCount val="4"/>
                <c:pt idx="0">
                  <c:v>36.299999999999997</c:v>
                </c:pt>
                <c:pt idx="1">
                  <c:v>42.5</c:v>
                </c:pt>
                <c:pt idx="2">
                  <c:v>45.9</c:v>
                </c:pt>
                <c:pt idx="3">
                  <c:v>43.8</c:v>
                </c:pt>
              </c:numCache>
            </c:numRef>
          </c:val>
          <c:extLst>
            <c:ext xmlns:c16="http://schemas.microsoft.com/office/drawing/2014/chart" uri="{C3380CC4-5D6E-409C-BE32-E72D297353CC}">
              <c16:uniqueId val="{00000001-3684-4DC6-912F-4FF0D315EAF1}"/>
            </c:ext>
          </c:extLst>
        </c:ser>
        <c:ser>
          <c:idx val="2"/>
          <c:order val="2"/>
          <c:tx>
            <c:strRef>
              <c:f>Sheet1!$A$4</c:f>
              <c:strCache>
                <c:ptCount val="1"/>
                <c:pt idx="0">
                  <c:v>ACR70</c:v>
                </c:pt>
              </c:strCache>
            </c:strRef>
          </c:tx>
          <c:spPr>
            <a:pattFill prst="pct80">
              <a:fgClr>
                <a:srgbClr xmlns:mc="http://schemas.openxmlformats.org/markup-compatibility/2006" xmlns:a14="http://schemas.microsoft.com/office/drawing/2010/main" val="FFFFFF" mc:Ignorable="a14" a14:legacySpreadsheetColorIndex="9"/>
              </a:fgClr>
              <a:bgClr>
                <a:srgbClr xmlns:mc="http://schemas.openxmlformats.org/markup-compatibility/2006" xmlns:a14="http://schemas.microsoft.com/office/drawing/2010/main" val="000000" mc:Ignorable="a14" a14:legacySpreadsheetColorIndex="8"/>
              </a:bgClr>
            </a:pattFill>
            <a:ln w="12644">
              <a:solidFill>
                <a:srgbClr val="000000"/>
              </a:solidFill>
              <a:prstDash val="solid"/>
            </a:ln>
          </c:spPr>
          <c:invertIfNegative val="0"/>
          <c:dPt>
            <c:idx val="0"/>
            <c:invertIfNegative val="0"/>
            <c:bubble3D val="0"/>
            <c:extLst>
              <c:ext xmlns:c16="http://schemas.microsoft.com/office/drawing/2014/chart" uri="{C3380CC4-5D6E-409C-BE32-E72D297353CC}">
                <c16:uniqueId val="{00000002-3684-4DC6-912F-4FF0D315EAF1}"/>
              </c:ext>
            </c:extLst>
          </c:dPt>
          <c:cat>
            <c:strRef>
              <c:f>Sheet1!$B$1:$E$1</c:f>
              <c:strCache>
                <c:ptCount val="4"/>
                <c:pt idx="0">
                  <c:v>1. ciklus</c:v>
                </c:pt>
                <c:pt idx="1">
                  <c:v>2. ciklus </c:v>
                </c:pt>
                <c:pt idx="2">
                  <c:v>3. ciklus</c:v>
                </c:pt>
                <c:pt idx="3">
                  <c:v>4. ciklus</c:v>
                </c:pt>
              </c:strCache>
            </c:strRef>
          </c:cat>
          <c:val>
            <c:numRef>
              <c:f>Sheet1!$B$4:$E$4</c:f>
              <c:numCache>
                <c:formatCode>General</c:formatCode>
                <c:ptCount val="4"/>
                <c:pt idx="0">
                  <c:v>15.8</c:v>
                </c:pt>
                <c:pt idx="1">
                  <c:v>17.8</c:v>
                </c:pt>
                <c:pt idx="2">
                  <c:v>21.2</c:v>
                </c:pt>
                <c:pt idx="3">
                  <c:v>21.9</c:v>
                </c:pt>
              </c:numCache>
            </c:numRef>
          </c:val>
          <c:extLst>
            <c:ext xmlns:c16="http://schemas.microsoft.com/office/drawing/2014/chart" uri="{C3380CC4-5D6E-409C-BE32-E72D297353CC}">
              <c16:uniqueId val="{00000003-3684-4DC6-912F-4FF0D315EAF1}"/>
            </c:ext>
          </c:extLst>
        </c:ser>
        <c:dLbls>
          <c:showLegendKey val="0"/>
          <c:showVal val="0"/>
          <c:showCatName val="0"/>
          <c:showSerName val="0"/>
          <c:showPercent val="0"/>
          <c:showBubbleSize val="0"/>
        </c:dLbls>
        <c:gapWidth val="150"/>
        <c:axId val="150647936"/>
        <c:axId val="150649472"/>
      </c:barChart>
      <c:catAx>
        <c:axId val="150647936"/>
        <c:scaling>
          <c:orientation val="minMax"/>
        </c:scaling>
        <c:delete val="0"/>
        <c:axPos val="b"/>
        <c:numFmt formatCode="General" sourceLinked="1"/>
        <c:majorTickMark val="out"/>
        <c:minorTickMark val="none"/>
        <c:tickLblPos val="nextTo"/>
        <c:spPr>
          <a:ln w="3161">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150649472"/>
        <c:crosses val="autoZero"/>
        <c:auto val="1"/>
        <c:lblAlgn val="ctr"/>
        <c:lblOffset val="100"/>
        <c:tickLblSkip val="1"/>
        <c:tickMarkSkip val="1"/>
        <c:noMultiLvlLbl val="0"/>
      </c:catAx>
      <c:valAx>
        <c:axId val="150649472"/>
        <c:scaling>
          <c:orientation val="minMax"/>
          <c:max val="90"/>
        </c:scaling>
        <c:delete val="0"/>
        <c:axPos val="l"/>
        <c:title>
          <c:tx>
            <c:rich>
              <a:bodyPr/>
              <a:lstStyle/>
              <a:p>
                <a:pPr>
                  <a:defRPr sz="896" b="1" i="0" u="none" strike="noStrike" baseline="0">
                    <a:solidFill>
                      <a:srgbClr val="000000"/>
                    </a:solidFill>
                    <a:latin typeface="Arial"/>
                    <a:ea typeface="Arial"/>
                    <a:cs typeface="Arial"/>
                  </a:defRPr>
                </a:pPr>
                <a:r>
                  <a:rPr lang="en-US"/>
                  <a:t>% </a:t>
                </a:r>
                <a:r>
                  <a:rPr lang="sr-Latn-RS"/>
                  <a:t>pacijenata</a:t>
                </a:r>
                <a:endParaRPr lang="en-US"/>
              </a:p>
            </c:rich>
          </c:tx>
          <c:layout>
            <c:manualLayout>
              <c:xMode val="edge"/>
              <c:yMode val="edge"/>
              <c:x val="3.4920634920634921E-2"/>
              <c:y val="0.26168224299065418"/>
            </c:manualLayout>
          </c:layout>
          <c:overlay val="0"/>
          <c:spPr>
            <a:noFill/>
            <a:ln w="25287">
              <a:noFill/>
            </a:ln>
          </c:spPr>
        </c:title>
        <c:numFmt formatCode="General" sourceLinked="1"/>
        <c:majorTickMark val="out"/>
        <c:minorTickMark val="none"/>
        <c:tickLblPos val="nextTo"/>
        <c:spPr>
          <a:ln w="3161">
            <a:solidFill>
              <a:srgbClr val="000000"/>
            </a:solidFill>
            <a:prstDash val="solid"/>
          </a:ln>
        </c:spPr>
        <c:txPr>
          <a:bodyPr rot="0" vert="horz"/>
          <a:lstStyle/>
          <a:p>
            <a:pPr>
              <a:defRPr sz="796" b="1" i="0" u="none" strike="noStrike" baseline="0">
                <a:solidFill>
                  <a:srgbClr val="000000"/>
                </a:solidFill>
                <a:latin typeface="Arial"/>
                <a:ea typeface="Arial"/>
                <a:cs typeface="Arial"/>
              </a:defRPr>
            </a:pPr>
            <a:endParaRPr lang="en-US"/>
          </a:p>
        </c:txPr>
        <c:crossAx val="150647936"/>
        <c:crosses val="autoZero"/>
        <c:crossBetween val="between"/>
      </c:valAx>
      <c:spPr>
        <a:noFill/>
        <a:ln w="25287">
          <a:noFill/>
        </a:ln>
      </c:spPr>
    </c:plotArea>
    <c:legend>
      <c:legendPos val="r"/>
      <c:layout>
        <c:manualLayout>
          <c:xMode val="edge"/>
          <c:yMode val="edge"/>
          <c:x val="0.81904761904761902"/>
          <c:y val="0.28971962616822428"/>
          <c:w val="0.16825396825396827"/>
          <c:h val="0.27102803738317754"/>
        </c:manualLayout>
      </c:layout>
      <c:overlay val="0"/>
      <c:spPr>
        <a:noFill/>
        <a:ln w="3161">
          <a:solidFill>
            <a:srgbClr val="000000"/>
          </a:solidFill>
          <a:prstDash val="solid"/>
        </a:ln>
      </c:spPr>
      <c:txPr>
        <a:bodyPr/>
        <a:lstStyle/>
        <a:p>
          <a:pPr>
            <a:defRPr sz="732" b="1" i="0" u="none" strike="noStrike" baseline="0">
              <a:solidFill>
                <a:srgbClr val="000000"/>
              </a:solidFill>
              <a:latin typeface="Arial"/>
              <a:ea typeface="Arial"/>
              <a:cs typeface="Arial"/>
            </a:defRPr>
          </a:pPr>
          <a:endParaRPr lang="en-US"/>
        </a:p>
      </c:txPr>
    </c:legend>
    <c:plotVisOnly val="1"/>
    <c:dispBlanksAs val="gap"/>
    <c:showDLblsOverMax val="0"/>
  </c:chart>
  <c:spPr>
    <a:solidFill>
      <a:srgbClr val="FFFFFF"/>
    </a:solidFill>
    <a:ln>
      <a:noFill/>
    </a:ln>
  </c:spPr>
  <c:txPr>
    <a:bodyPr/>
    <a:lstStyle/>
    <a:p>
      <a:pPr>
        <a:defRPr sz="896"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9D38D-597F-4F17-8894-96FD0614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27251</Words>
  <Characters>155334</Characters>
  <Application>Microsoft Office Word</Application>
  <DocSecurity>0</DocSecurity>
  <Lines>1294</Lines>
  <Paragraphs>364</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182221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Ljumović</cp:lastModifiedBy>
  <cp:revision>2</cp:revision>
  <cp:lastPrinted>2024-03-18T09:08:00Z</cp:lastPrinted>
  <dcterms:created xsi:type="dcterms:W3CDTF">2025-06-13T13:30:00Z</dcterms:created>
  <dcterms:modified xsi:type="dcterms:W3CDTF">2025-06-13T13:30:00Z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