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19172" w14:textId="77777777" w:rsidR="00E6186C" w:rsidRPr="00EC7034" w:rsidRDefault="00E6186C" w:rsidP="00A25D4F">
      <w:pPr>
        <w:jc w:val="both"/>
        <w:rPr>
          <w:b/>
          <w:bCs/>
          <w:i/>
          <w:iCs/>
          <w:sz w:val="22"/>
          <w:szCs w:val="22"/>
          <w:u w:val="single"/>
        </w:rPr>
      </w:pPr>
    </w:p>
    <w:p w14:paraId="15157871" w14:textId="77777777" w:rsidR="002510A5" w:rsidRPr="00C76E49" w:rsidRDefault="002510A5" w:rsidP="00C76E49">
      <w:pPr>
        <w:jc w:val="center"/>
        <w:rPr>
          <w:b/>
          <w:bCs/>
          <w:iCs/>
          <w:sz w:val="22"/>
          <w:szCs w:val="22"/>
          <w:u w:val="single"/>
        </w:rPr>
      </w:pPr>
      <w:r w:rsidRPr="00C76E49">
        <w:rPr>
          <w:b/>
          <w:bCs/>
          <w:iCs/>
          <w:sz w:val="22"/>
          <w:szCs w:val="22"/>
          <w:u w:val="single"/>
        </w:rPr>
        <w:t>SAŽETAK KARAKTERISTIKA LIJEKA</w:t>
      </w:r>
    </w:p>
    <w:p w14:paraId="73BA391A" w14:textId="77777777" w:rsidR="003C17AB" w:rsidRPr="00C76E49" w:rsidRDefault="003C17AB" w:rsidP="00A25D4F">
      <w:pPr>
        <w:tabs>
          <w:tab w:val="left" w:pos="540"/>
          <w:tab w:val="left" w:pos="569"/>
        </w:tabs>
        <w:jc w:val="both"/>
        <w:rPr>
          <w:noProof/>
          <w:sz w:val="22"/>
          <w:szCs w:val="22"/>
          <w:lang w:val="hr-HR"/>
        </w:rPr>
      </w:pPr>
    </w:p>
    <w:p w14:paraId="4A2D812C" w14:textId="77777777" w:rsidR="00C37FD7" w:rsidRPr="00C76E49" w:rsidRDefault="00C37FD7" w:rsidP="00A25D4F">
      <w:pPr>
        <w:tabs>
          <w:tab w:val="left" w:pos="540"/>
          <w:tab w:val="left" w:pos="569"/>
        </w:tabs>
        <w:jc w:val="both"/>
        <w:rPr>
          <w:bCs/>
          <w:sz w:val="22"/>
          <w:szCs w:val="22"/>
          <w:lang w:val="hr-HR"/>
        </w:rPr>
      </w:pPr>
    </w:p>
    <w:p w14:paraId="4EC15006" w14:textId="77777777" w:rsidR="00411B4B" w:rsidRPr="00C76E49" w:rsidRDefault="00411B4B" w:rsidP="00A25D4F">
      <w:pPr>
        <w:tabs>
          <w:tab w:val="left" w:pos="540"/>
          <w:tab w:val="left" w:pos="569"/>
        </w:tabs>
        <w:jc w:val="both"/>
        <w:rPr>
          <w:b/>
          <w:bCs/>
          <w:sz w:val="22"/>
          <w:szCs w:val="22"/>
        </w:rPr>
      </w:pPr>
      <w:r w:rsidRPr="00C76E49">
        <w:rPr>
          <w:b/>
          <w:bCs/>
          <w:sz w:val="22"/>
          <w:szCs w:val="22"/>
        </w:rPr>
        <w:t>1.</w:t>
      </w:r>
      <w:r w:rsidR="00F5167F" w:rsidRPr="00C76E49">
        <w:rPr>
          <w:b/>
          <w:bCs/>
          <w:sz w:val="22"/>
          <w:szCs w:val="22"/>
        </w:rPr>
        <w:tab/>
      </w:r>
      <w:r w:rsidR="002846DB" w:rsidRPr="00C76E49">
        <w:rPr>
          <w:b/>
          <w:bCs/>
          <w:sz w:val="22"/>
          <w:szCs w:val="22"/>
        </w:rPr>
        <w:t xml:space="preserve">NAZIV </w:t>
      </w:r>
      <w:r w:rsidRPr="00C76E49">
        <w:rPr>
          <w:b/>
          <w:bCs/>
          <w:sz w:val="22"/>
          <w:szCs w:val="22"/>
        </w:rPr>
        <w:t>LIJEKA</w:t>
      </w:r>
    </w:p>
    <w:p w14:paraId="6927C441" w14:textId="77777777" w:rsidR="00EC2532" w:rsidRPr="00C76E49" w:rsidRDefault="00EC2532" w:rsidP="00A25D4F">
      <w:pPr>
        <w:jc w:val="both"/>
        <w:rPr>
          <w:sz w:val="22"/>
          <w:szCs w:val="22"/>
          <w:lang w:val="pl-PL"/>
        </w:rPr>
      </w:pPr>
    </w:p>
    <w:p w14:paraId="7636A0F6" w14:textId="6B711611" w:rsidR="00CF6B2C" w:rsidRPr="00C76E49" w:rsidRDefault="00CF6B2C" w:rsidP="00A25D4F">
      <w:pPr>
        <w:jc w:val="both"/>
        <w:rPr>
          <w:bCs/>
          <w:sz w:val="22"/>
          <w:szCs w:val="22"/>
          <w:lang w:val="sv-SE"/>
        </w:rPr>
      </w:pPr>
      <w:r w:rsidRPr="00C76E49">
        <w:rPr>
          <w:bCs/>
          <w:sz w:val="22"/>
          <w:szCs w:val="22"/>
          <w:lang w:val="sv-SE"/>
        </w:rPr>
        <w:t>Omnitrope</w:t>
      </w:r>
      <w:r w:rsidR="005F0096">
        <w:rPr>
          <w:bCs/>
          <w:sz w:val="22"/>
          <w:szCs w:val="22"/>
          <w:lang w:val="sv-SE"/>
        </w:rPr>
        <w:t>,</w:t>
      </w:r>
      <w:r w:rsidRPr="00C76E49">
        <w:rPr>
          <w:bCs/>
          <w:sz w:val="22"/>
          <w:szCs w:val="22"/>
          <w:lang w:val="sv-SE"/>
        </w:rPr>
        <w:t xml:space="preserve"> </w:t>
      </w:r>
      <w:r w:rsidR="005F0096" w:rsidRPr="00C76E49">
        <w:rPr>
          <w:bCs/>
          <w:sz w:val="22"/>
          <w:szCs w:val="22"/>
          <w:lang w:val="sv-SE"/>
        </w:rPr>
        <w:t>10 mg/1.5 ml</w:t>
      </w:r>
      <w:r w:rsidR="005F0096">
        <w:rPr>
          <w:bCs/>
          <w:sz w:val="22"/>
          <w:szCs w:val="22"/>
          <w:lang w:val="sv-SE"/>
        </w:rPr>
        <w:t xml:space="preserve">, </w:t>
      </w:r>
      <w:r w:rsidRPr="00C76E49">
        <w:rPr>
          <w:bCs/>
          <w:sz w:val="22"/>
          <w:szCs w:val="22"/>
          <w:lang w:val="sv-SE"/>
        </w:rPr>
        <w:t>rastvor za injekciju u ulošku</w:t>
      </w:r>
    </w:p>
    <w:p w14:paraId="28CA03DD" w14:textId="7CEB7286" w:rsidR="00CF6B2C" w:rsidRPr="00C76E49" w:rsidRDefault="00CF6B2C" w:rsidP="00A25D4F">
      <w:pPr>
        <w:jc w:val="both"/>
        <w:rPr>
          <w:bCs/>
          <w:sz w:val="22"/>
          <w:szCs w:val="22"/>
          <w:lang w:val="sv-SE"/>
        </w:rPr>
      </w:pPr>
      <w:r w:rsidRPr="00C76E49">
        <w:rPr>
          <w:bCs/>
          <w:sz w:val="22"/>
          <w:szCs w:val="22"/>
          <w:lang w:val="sv-SE"/>
        </w:rPr>
        <w:t>Omnitrope</w:t>
      </w:r>
      <w:r w:rsidR="005F0096">
        <w:rPr>
          <w:bCs/>
          <w:sz w:val="22"/>
          <w:szCs w:val="22"/>
          <w:lang w:val="sv-SE"/>
        </w:rPr>
        <w:t xml:space="preserve">, </w:t>
      </w:r>
      <w:r w:rsidR="005F0096" w:rsidRPr="00C76E49">
        <w:rPr>
          <w:bCs/>
          <w:sz w:val="22"/>
          <w:szCs w:val="22"/>
          <w:lang w:val="sv-SE"/>
        </w:rPr>
        <w:t>15 mg/1.5 ml</w:t>
      </w:r>
      <w:r w:rsidR="005F0096">
        <w:rPr>
          <w:bCs/>
          <w:sz w:val="22"/>
          <w:szCs w:val="22"/>
          <w:lang w:val="sv-SE"/>
        </w:rPr>
        <w:t>,</w:t>
      </w:r>
      <w:r w:rsidRPr="00C76E49">
        <w:rPr>
          <w:bCs/>
          <w:sz w:val="22"/>
          <w:szCs w:val="22"/>
          <w:lang w:val="sv-SE"/>
        </w:rPr>
        <w:t xml:space="preserve"> rastvor za injekciju u ulošku</w:t>
      </w:r>
    </w:p>
    <w:p w14:paraId="690310EC" w14:textId="77777777" w:rsidR="00CF6B2C" w:rsidRPr="00C76E49" w:rsidRDefault="00CF6B2C" w:rsidP="00A25D4F">
      <w:pPr>
        <w:jc w:val="both"/>
        <w:rPr>
          <w:bCs/>
          <w:sz w:val="22"/>
          <w:szCs w:val="22"/>
          <w:lang w:val="sv-SE"/>
        </w:rPr>
      </w:pPr>
    </w:p>
    <w:p w14:paraId="35AD0D32" w14:textId="77777777" w:rsidR="006D20A5" w:rsidRDefault="00CF6B2C" w:rsidP="00A25D4F">
      <w:pPr>
        <w:jc w:val="both"/>
        <w:rPr>
          <w:bCs/>
          <w:sz w:val="22"/>
          <w:szCs w:val="22"/>
          <w:lang w:val="sv-SE"/>
        </w:rPr>
      </w:pPr>
      <w:r w:rsidRPr="00C76E49">
        <w:rPr>
          <w:bCs/>
          <w:sz w:val="22"/>
          <w:szCs w:val="22"/>
          <w:lang w:val="sv-SE"/>
        </w:rPr>
        <w:t>INN: somatropin</w:t>
      </w:r>
    </w:p>
    <w:p w14:paraId="4ADFFA60" w14:textId="77777777" w:rsidR="0090137B" w:rsidRPr="00C76E49" w:rsidRDefault="0090137B" w:rsidP="00A25D4F">
      <w:pPr>
        <w:jc w:val="both"/>
        <w:rPr>
          <w:bCs/>
          <w:sz w:val="22"/>
          <w:szCs w:val="22"/>
          <w:lang w:val="sv-SE"/>
        </w:rPr>
      </w:pPr>
    </w:p>
    <w:p w14:paraId="0D950C18" w14:textId="77777777" w:rsidR="00530BD7" w:rsidRPr="00C76E49" w:rsidRDefault="00530BD7" w:rsidP="00A25D4F">
      <w:pPr>
        <w:jc w:val="both"/>
        <w:rPr>
          <w:bCs/>
          <w:sz w:val="22"/>
          <w:szCs w:val="22"/>
          <w:lang w:val="sv-SE"/>
        </w:rPr>
      </w:pPr>
    </w:p>
    <w:p w14:paraId="29FDB8AE" w14:textId="77777777" w:rsidR="00411B4B" w:rsidRPr="006E31B1" w:rsidRDefault="00411B4B" w:rsidP="00A25D4F">
      <w:pPr>
        <w:tabs>
          <w:tab w:val="left" w:pos="540"/>
          <w:tab w:val="left" w:pos="569"/>
        </w:tabs>
        <w:jc w:val="both"/>
        <w:rPr>
          <w:b/>
          <w:bCs/>
          <w:sz w:val="22"/>
          <w:szCs w:val="22"/>
          <w:lang w:val="it-IT"/>
        </w:rPr>
      </w:pPr>
      <w:r w:rsidRPr="006E31B1">
        <w:rPr>
          <w:b/>
          <w:bCs/>
          <w:sz w:val="22"/>
          <w:szCs w:val="22"/>
          <w:lang w:val="it-IT"/>
        </w:rPr>
        <w:t xml:space="preserve">2. </w:t>
      </w:r>
      <w:r w:rsidR="00F5167F" w:rsidRPr="006E31B1">
        <w:rPr>
          <w:b/>
          <w:bCs/>
          <w:sz w:val="22"/>
          <w:szCs w:val="22"/>
          <w:lang w:val="it-IT"/>
        </w:rPr>
        <w:tab/>
      </w:r>
      <w:r w:rsidRPr="006E31B1">
        <w:rPr>
          <w:b/>
          <w:bCs/>
          <w:sz w:val="22"/>
          <w:szCs w:val="22"/>
          <w:lang w:val="it-IT"/>
        </w:rPr>
        <w:t>KVALITATIVNI I KVANTITATIVNI SASTAV</w:t>
      </w:r>
    </w:p>
    <w:p w14:paraId="30400B2D" w14:textId="77777777" w:rsidR="00CF6B2C" w:rsidRPr="00C76E49" w:rsidRDefault="00CF6B2C" w:rsidP="00A25D4F">
      <w:pPr>
        <w:jc w:val="both"/>
        <w:rPr>
          <w:sz w:val="22"/>
          <w:szCs w:val="22"/>
          <w:lang w:val="sr-Latn-CS"/>
        </w:rPr>
      </w:pPr>
    </w:p>
    <w:p w14:paraId="23F97E16" w14:textId="41D2AD39" w:rsidR="00CF6B2C" w:rsidRPr="00C76E49" w:rsidRDefault="00CF6B2C" w:rsidP="00A25D4F">
      <w:pPr>
        <w:jc w:val="both"/>
        <w:rPr>
          <w:sz w:val="22"/>
          <w:szCs w:val="22"/>
          <w:u w:val="single"/>
          <w:lang w:val="sr-Latn-CS"/>
        </w:rPr>
      </w:pPr>
      <w:r w:rsidRPr="00C76E49">
        <w:rPr>
          <w:sz w:val="22"/>
          <w:szCs w:val="22"/>
          <w:u w:val="single"/>
          <w:lang w:val="sr-Latn-CS"/>
        </w:rPr>
        <w:t>Omnitrope</w:t>
      </w:r>
      <w:r w:rsidR="005F0096">
        <w:rPr>
          <w:sz w:val="22"/>
          <w:szCs w:val="22"/>
          <w:u w:val="single"/>
          <w:lang w:val="sr-Latn-CS"/>
        </w:rPr>
        <w:t xml:space="preserve">, </w:t>
      </w:r>
      <w:r w:rsidR="005F0096" w:rsidRPr="00C76E49">
        <w:rPr>
          <w:sz w:val="22"/>
          <w:szCs w:val="22"/>
          <w:u w:val="single"/>
          <w:lang w:val="sr-Latn-CS"/>
        </w:rPr>
        <w:t>10 mg/1.5 ml</w:t>
      </w:r>
      <w:r w:rsidR="005F0096">
        <w:rPr>
          <w:sz w:val="22"/>
          <w:szCs w:val="22"/>
          <w:u w:val="single"/>
          <w:lang w:val="sr-Latn-CS"/>
        </w:rPr>
        <w:t>,</w:t>
      </w:r>
      <w:r w:rsidRPr="00C76E49">
        <w:rPr>
          <w:sz w:val="22"/>
          <w:szCs w:val="22"/>
          <w:u w:val="single"/>
          <w:lang w:val="sr-Latn-CS"/>
        </w:rPr>
        <w:t xml:space="preserve"> rastvor za injekciju u ulošku</w:t>
      </w:r>
    </w:p>
    <w:p w14:paraId="3566E96F" w14:textId="77777777" w:rsidR="00CF6B2C" w:rsidRPr="00C76E49" w:rsidRDefault="00CF6B2C" w:rsidP="00A25D4F">
      <w:pPr>
        <w:jc w:val="both"/>
        <w:rPr>
          <w:sz w:val="22"/>
          <w:szCs w:val="22"/>
          <w:lang w:val="sr-Latn-CS"/>
        </w:rPr>
      </w:pPr>
      <w:r w:rsidRPr="00C76E49">
        <w:rPr>
          <w:sz w:val="22"/>
          <w:szCs w:val="22"/>
          <w:lang w:val="sr-Latn-CS"/>
        </w:rPr>
        <w:t>Jedan ml rastvora sadrži 6.7 mg somatropina* (što odgovara 20 i.j.).</w:t>
      </w:r>
    </w:p>
    <w:p w14:paraId="48162030" w14:textId="14931A22" w:rsidR="00CF6B2C" w:rsidRPr="00C76E49" w:rsidRDefault="00CF6B2C" w:rsidP="00A25D4F">
      <w:pPr>
        <w:jc w:val="both"/>
        <w:rPr>
          <w:sz w:val="22"/>
          <w:szCs w:val="22"/>
          <w:lang w:val="sr-Latn-CS"/>
        </w:rPr>
      </w:pPr>
      <w:r w:rsidRPr="00C76E49">
        <w:rPr>
          <w:sz w:val="22"/>
          <w:szCs w:val="22"/>
          <w:lang w:val="sr-Latn-CS"/>
        </w:rPr>
        <w:t>Jedan uložak sadrži 10 mg somatropina* (što odgovara 30 i.j.) u 1.5 ml</w:t>
      </w:r>
      <w:r w:rsidR="00A0470F">
        <w:rPr>
          <w:sz w:val="22"/>
          <w:szCs w:val="22"/>
          <w:lang w:val="sr-Latn-CS"/>
        </w:rPr>
        <w:t xml:space="preserve"> rastvora za injekciju</w:t>
      </w:r>
      <w:r w:rsidRPr="00C76E49">
        <w:rPr>
          <w:sz w:val="22"/>
          <w:szCs w:val="22"/>
          <w:lang w:val="sr-Latn-CS"/>
        </w:rPr>
        <w:t>.</w:t>
      </w:r>
    </w:p>
    <w:p w14:paraId="13DDBB9D" w14:textId="77777777" w:rsidR="00CF6B2C" w:rsidRPr="00C76E49" w:rsidRDefault="00CF6B2C" w:rsidP="00A25D4F">
      <w:pPr>
        <w:jc w:val="both"/>
        <w:rPr>
          <w:sz w:val="22"/>
          <w:szCs w:val="22"/>
          <w:lang w:val="sr-Latn-CS"/>
        </w:rPr>
      </w:pPr>
    </w:p>
    <w:p w14:paraId="3C733846" w14:textId="4A4C46B0" w:rsidR="00CF6B2C" w:rsidRPr="00C76E49" w:rsidRDefault="00CF6B2C" w:rsidP="00A25D4F">
      <w:pPr>
        <w:jc w:val="both"/>
        <w:rPr>
          <w:sz w:val="22"/>
          <w:szCs w:val="22"/>
          <w:u w:val="single"/>
          <w:lang w:val="sr-Latn-CS"/>
        </w:rPr>
      </w:pPr>
      <w:r w:rsidRPr="00C76E49">
        <w:rPr>
          <w:sz w:val="22"/>
          <w:szCs w:val="22"/>
          <w:u w:val="single"/>
          <w:lang w:val="sr-Latn-CS"/>
        </w:rPr>
        <w:t>Omnitrope</w:t>
      </w:r>
      <w:r w:rsidR="005F0096">
        <w:rPr>
          <w:sz w:val="22"/>
          <w:szCs w:val="22"/>
          <w:u w:val="single"/>
          <w:lang w:val="sr-Latn-CS"/>
        </w:rPr>
        <w:t xml:space="preserve">, </w:t>
      </w:r>
      <w:r w:rsidR="005F0096" w:rsidRPr="00C76E49">
        <w:rPr>
          <w:sz w:val="22"/>
          <w:szCs w:val="22"/>
          <w:u w:val="single"/>
          <w:lang w:val="sr-Latn-CS"/>
        </w:rPr>
        <w:t>15 mg/1.5 ml</w:t>
      </w:r>
      <w:r w:rsidR="005F0096">
        <w:rPr>
          <w:sz w:val="22"/>
          <w:szCs w:val="22"/>
          <w:u w:val="single"/>
          <w:lang w:val="sr-Latn-CS"/>
        </w:rPr>
        <w:t>,</w:t>
      </w:r>
      <w:r w:rsidRPr="00C76E49">
        <w:rPr>
          <w:sz w:val="22"/>
          <w:szCs w:val="22"/>
          <w:u w:val="single"/>
          <w:lang w:val="sr-Latn-CS"/>
        </w:rPr>
        <w:t xml:space="preserve"> rastvor za injekciju u ulošku</w:t>
      </w:r>
    </w:p>
    <w:p w14:paraId="2B429EC9" w14:textId="77777777" w:rsidR="00CF6B2C" w:rsidRPr="00C76E49" w:rsidRDefault="00CF6B2C" w:rsidP="00A25D4F">
      <w:pPr>
        <w:jc w:val="both"/>
        <w:rPr>
          <w:sz w:val="22"/>
          <w:szCs w:val="22"/>
          <w:lang w:val="sr-Latn-CS"/>
        </w:rPr>
      </w:pPr>
      <w:r w:rsidRPr="00C76E49">
        <w:rPr>
          <w:sz w:val="22"/>
          <w:szCs w:val="22"/>
          <w:lang w:val="sr-Latn-CS"/>
        </w:rPr>
        <w:t>Jedan ml rastvora sadrži 10 mg somatropina* (što odgovara 30 i.j.).</w:t>
      </w:r>
    </w:p>
    <w:p w14:paraId="35D25831" w14:textId="6E686D93" w:rsidR="00CF6B2C" w:rsidRPr="00C76E49" w:rsidRDefault="00CF6B2C" w:rsidP="00A25D4F">
      <w:pPr>
        <w:jc w:val="both"/>
        <w:rPr>
          <w:sz w:val="22"/>
          <w:szCs w:val="22"/>
          <w:lang w:val="sr-Latn-CS"/>
        </w:rPr>
      </w:pPr>
      <w:r w:rsidRPr="00C76E49">
        <w:rPr>
          <w:sz w:val="22"/>
          <w:szCs w:val="22"/>
          <w:lang w:val="sr-Latn-CS"/>
        </w:rPr>
        <w:t>Jedan uložak sadrži 15 mg somatropina* (što odgovara 45 i.j.) u 1.5 ml</w:t>
      </w:r>
      <w:r w:rsidR="00A0470F">
        <w:rPr>
          <w:sz w:val="22"/>
          <w:szCs w:val="22"/>
          <w:lang w:val="sr-Latn-CS"/>
        </w:rPr>
        <w:t xml:space="preserve"> rastvora za injekciju</w:t>
      </w:r>
      <w:r w:rsidRPr="00C76E49">
        <w:rPr>
          <w:sz w:val="22"/>
          <w:szCs w:val="22"/>
          <w:lang w:val="sr-Latn-CS"/>
        </w:rPr>
        <w:t>.</w:t>
      </w:r>
    </w:p>
    <w:p w14:paraId="618E1B1A" w14:textId="77777777" w:rsidR="00CF6B2C" w:rsidRPr="00C76E49" w:rsidRDefault="00CF6B2C" w:rsidP="00A25D4F">
      <w:pPr>
        <w:jc w:val="both"/>
        <w:rPr>
          <w:sz w:val="22"/>
          <w:szCs w:val="22"/>
          <w:lang w:val="sr-Latn-CS"/>
        </w:rPr>
      </w:pPr>
    </w:p>
    <w:p w14:paraId="23B2A357" w14:textId="77777777" w:rsidR="00CF6B2C" w:rsidRPr="00C76E49" w:rsidRDefault="00CF6B2C" w:rsidP="00A25D4F">
      <w:pPr>
        <w:jc w:val="both"/>
        <w:rPr>
          <w:sz w:val="22"/>
          <w:szCs w:val="22"/>
          <w:lang w:val="sr-Latn-CS"/>
        </w:rPr>
      </w:pPr>
      <w:r w:rsidRPr="00C76E49">
        <w:rPr>
          <w:sz w:val="22"/>
          <w:szCs w:val="22"/>
          <w:lang w:val="sr-Latn-CS"/>
        </w:rPr>
        <w:t xml:space="preserve">*proizveden tehnologijom rekombinantne DNK u </w:t>
      </w:r>
      <w:r w:rsidR="00ED245C" w:rsidRPr="00C76E49">
        <w:rPr>
          <w:sz w:val="22"/>
          <w:szCs w:val="22"/>
          <w:lang w:val="sr-Latn-CS"/>
        </w:rPr>
        <w:t xml:space="preserve">bakteriji </w:t>
      </w:r>
      <w:r w:rsidRPr="007B1358">
        <w:rPr>
          <w:i/>
          <w:sz w:val="22"/>
          <w:szCs w:val="22"/>
          <w:lang w:val="sr-Latn-CS"/>
        </w:rPr>
        <w:t>Escherichia coli</w:t>
      </w:r>
      <w:r w:rsidRPr="00C76E49">
        <w:rPr>
          <w:sz w:val="22"/>
          <w:szCs w:val="22"/>
          <w:lang w:val="sr-Latn-CS"/>
        </w:rPr>
        <w:t>.</w:t>
      </w:r>
    </w:p>
    <w:p w14:paraId="173113DB" w14:textId="77777777" w:rsidR="00CF6B2C" w:rsidRPr="00C76E49" w:rsidRDefault="00CF6B2C" w:rsidP="00A25D4F">
      <w:pPr>
        <w:jc w:val="both"/>
        <w:rPr>
          <w:sz w:val="22"/>
          <w:szCs w:val="22"/>
          <w:lang w:val="sr-Latn-CS"/>
        </w:rPr>
      </w:pPr>
    </w:p>
    <w:p w14:paraId="50D36477" w14:textId="77777777" w:rsidR="0003793F" w:rsidRDefault="0003793F" w:rsidP="00A25D4F">
      <w:pPr>
        <w:jc w:val="both"/>
        <w:rPr>
          <w:sz w:val="22"/>
          <w:szCs w:val="22"/>
          <w:lang w:val="sr-Latn-CS"/>
        </w:rPr>
      </w:pPr>
      <w:r w:rsidRPr="00C76E49">
        <w:rPr>
          <w:sz w:val="22"/>
          <w:szCs w:val="22"/>
          <w:lang w:val="sr-Latn-CS"/>
        </w:rPr>
        <w:t>Za spisak svih ekscipijenasa, pogledati dio 6.1.</w:t>
      </w:r>
    </w:p>
    <w:p w14:paraId="58C21401" w14:textId="77777777" w:rsidR="0090137B" w:rsidRPr="00C76E49" w:rsidRDefault="0090137B" w:rsidP="00A25D4F">
      <w:pPr>
        <w:jc w:val="both"/>
        <w:rPr>
          <w:sz w:val="22"/>
          <w:szCs w:val="22"/>
          <w:lang w:val="sr-Latn-CS"/>
        </w:rPr>
      </w:pPr>
    </w:p>
    <w:p w14:paraId="28863DFC" w14:textId="77777777" w:rsidR="00C37FD7" w:rsidRPr="00C76E49" w:rsidRDefault="00C37FD7" w:rsidP="00A25D4F">
      <w:pPr>
        <w:jc w:val="both"/>
        <w:rPr>
          <w:sz w:val="22"/>
          <w:szCs w:val="22"/>
          <w:lang w:val="sr-Latn-CS"/>
        </w:rPr>
      </w:pPr>
    </w:p>
    <w:p w14:paraId="4104BB4C" w14:textId="77777777" w:rsidR="00411B4B" w:rsidRPr="006E31B1" w:rsidRDefault="00411B4B" w:rsidP="00A25D4F">
      <w:pPr>
        <w:tabs>
          <w:tab w:val="left" w:pos="540"/>
          <w:tab w:val="left" w:pos="569"/>
        </w:tabs>
        <w:jc w:val="both"/>
        <w:rPr>
          <w:b/>
          <w:bCs/>
          <w:sz w:val="22"/>
          <w:szCs w:val="22"/>
          <w:lang w:val="sr-Latn-CS"/>
        </w:rPr>
      </w:pPr>
      <w:r w:rsidRPr="006E31B1">
        <w:rPr>
          <w:b/>
          <w:bCs/>
          <w:sz w:val="22"/>
          <w:szCs w:val="22"/>
          <w:lang w:val="sr-Latn-CS"/>
        </w:rPr>
        <w:t xml:space="preserve">3. </w:t>
      </w:r>
      <w:r w:rsidR="00F5167F" w:rsidRPr="006E31B1">
        <w:rPr>
          <w:b/>
          <w:bCs/>
          <w:sz w:val="22"/>
          <w:szCs w:val="22"/>
          <w:lang w:val="sr-Latn-CS"/>
        </w:rPr>
        <w:tab/>
      </w:r>
      <w:r w:rsidRPr="00C76E49">
        <w:rPr>
          <w:b/>
          <w:bCs/>
          <w:sz w:val="22"/>
          <w:szCs w:val="22"/>
        </w:rPr>
        <w:t>FARMACEUTSKI</w:t>
      </w:r>
      <w:r w:rsidRPr="006E31B1">
        <w:rPr>
          <w:b/>
          <w:bCs/>
          <w:sz w:val="22"/>
          <w:szCs w:val="22"/>
          <w:lang w:val="sr-Latn-CS"/>
        </w:rPr>
        <w:t xml:space="preserve"> </w:t>
      </w:r>
      <w:r w:rsidRPr="00C76E49">
        <w:rPr>
          <w:b/>
          <w:bCs/>
          <w:sz w:val="22"/>
          <w:szCs w:val="22"/>
        </w:rPr>
        <w:t>OBLIK</w:t>
      </w:r>
      <w:r w:rsidR="009F2D23" w:rsidRPr="006E31B1">
        <w:rPr>
          <w:b/>
          <w:bCs/>
          <w:sz w:val="22"/>
          <w:szCs w:val="22"/>
          <w:lang w:val="sr-Latn-CS"/>
        </w:rPr>
        <w:t xml:space="preserve"> </w:t>
      </w:r>
    </w:p>
    <w:p w14:paraId="6D9228C6" w14:textId="77777777" w:rsidR="00411B4B" w:rsidRPr="00C76E49" w:rsidRDefault="00411B4B" w:rsidP="00A25D4F">
      <w:pPr>
        <w:jc w:val="both"/>
        <w:rPr>
          <w:bCs/>
          <w:sz w:val="22"/>
          <w:szCs w:val="22"/>
          <w:lang w:val="sr-Latn-CS"/>
        </w:rPr>
      </w:pPr>
    </w:p>
    <w:p w14:paraId="1B332FCA" w14:textId="77777777" w:rsidR="00CF6B2C" w:rsidRPr="00C76E49" w:rsidRDefault="00CF6B2C" w:rsidP="00A25D4F">
      <w:pPr>
        <w:jc w:val="both"/>
        <w:rPr>
          <w:bCs/>
          <w:sz w:val="22"/>
          <w:szCs w:val="22"/>
          <w:lang w:val="sr-Latn-CS"/>
        </w:rPr>
      </w:pPr>
      <w:r w:rsidRPr="00C76E49">
        <w:rPr>
          <w:bCs/>
          <w:sz w:val="22"/>
          <w:szCs w:val="22"/>
          <w:lang w:val="sr-Latn-CS"/>
        </w:rPr>
        <w:t>Rastvor za injekciju u ulošku.</w:t>
      </w:r>
    </w:p>
    <w:p w14:paraId="15BD159A" w14:textId="77777777" w:rsidR="00CF6B2C" w:rsidRDefault="00CF6B2C" w:rsidP="00A25D4F">
      <w:pPr>
        <w:jc w:val="both"/>
        <w:rPr>
          <w:bCs/>
          <w:sz w:val="22"/>
          <w:szCs w:val="22"/>
          <w:lang w:val="sr-Latn-CS"/>
        </w:rPr>
      </w:pPr>
      <w:r w:rsidRPr="00C76E49">
        <w:rPr>
          <w:bCs/>
          <w:sz w:val="22"/>
          <w:szCs w:val="22"/>
          <w:lang w:val="sr-Latn-CS"/>
        </w:rPr>
        <w:t>Bistar, bezbojan rastvor.</w:t>
      </w:r>
    </w:p>
    <w:p w14:paraId="11F277C9" w14:textId="77777777" w:rsidR="0090137B" w:rsidRPr="00C76E49" w:rsidRDefault="0090137B" w:rsidP="00A25D4F">
      <w:pPr>
        <w:jc w:val="both"/>
        <w:rPr>
          <w:bCs/>
          <w:sz w:val="22"/>
          <w:szCs w:val="22"/>
          <w:lang w:val="sr-Latn-CS"/>
        </w:rPr>
      </w:pPr>
    </w:p>
    <w:p w14:paraId="1DEA0E66" w14:textId="77777777" w:rsidR="00EC2532" w:rsidRPr="00C76E49" w:rsidRDefault="00EC2532" w:rsidP="00A25D4F">
      <w:pPr>
        <w:jc w:val="both"/>
        <w:rPr>
          <w:bCs/>
          <w:sz w:val="22"/>
          <w:szCs w:val="22"/>
          <w:lang w:val="sr-Latn-CS"/>
        </w:rPr>
      </w:pPr>
    </w:p>
    <w:p w14:paraId="37371142" w14:textId="77777777" w:rsidR="00411B4B" w:rsidRPr="006E31B1" w:rsidRDefault="00411B4B" w:rsidP="00A25D4F">
      <w:pPr>
        <w:tabs>
          <w:tab w:val="left" w:pos="540"/>
          <w:tab w:val="left" w:pos="569"/>
        </w:tabs>
        <w:jc w:val="both"/>
        <w:rPr>
          <w:b/>
          <w:bCs/>
          <w:sz w:val="22"/>
          <w:szCs w:val="22"/>
          <w:lang w:val="sr-Latn-CS"/>
        </w:rPr>
      </w:pPr>
      <w:r w:rsidRPr="006E31B1">
        <w:rPr>
          <w:b/>
          <w:bCs/>
          <w:sz w:val="22"/>
          <w:szCs w:val="22"/>
          <w:lang w:val="sr-Latn-CS"/>
        </w:rPr>
        <w:t xml:space="preserve">4. </w:t>
      </w:r>
      <w:r w:rsidR="00480FB1" w:rsidRPr="006E31B1">
        <w:rPr>
          <w:b/>
          <w:bCs/>
          <w:sz w:val="22"/>
          <w:szCs w:val="22"/>
          <w:lang w:val="sr-Latn-CS"/>
        </w:rPr>
        <w:tab/>
      </w:r>
      <w:r w:rsidRPr="00C76E49">
        <w:rPr>
          <w:b/>
          <w:bCs/>
          <w:sz w:val="22"/>
          <w:szCs w:val="22"/>
        </w:rPr>
        <w:t>KLINI</w:t>
      </w:r>
      <w:r w:rsidRPr="006E31B1">
        <w:rPr>
          <w:b/>
          <w:bCs/>
          <w:sz w:val="22"/>
          <w:szCs w:val="22"/>
          <w:lang w:val="sr-Latn-CS"/>
        </w:rPr>
        <w:t>Č</w:t>
      </w:r>
      <w:r w:rsidRPr="00C76E49">
        <w:rPr>
          <w:b/>
          <w:bCs/>
          <w:sz w:val="22"/>
          <w:szCs w:val="22"/>
        </w:rPr>
        <w:t>KI</w:t>
      </w:r>
      <w:r w:rsidRPr="006E31B1">
        <w:rPr>
          <w:b/>
          <w:bCs/>
          <w:sz w:val="22"/>
          <w:szCs w:val="22"/>
          <w:lang w:val="sr-Latn-CS"/>
        </w:rPr>
        <w:t xml:space="preserve"> </w:t>
      </w:r>
      <w:r w:rsidRPr="00C76E49">
        <w:rPr>
          <w:b/>
          <w:bCs/>
          <w:sz w:val="22"/>
          <w:szCs w:val="22"/>
        </w:rPr>
        <w:t>PODACI</w:t>
      </w:r>
    </w:p>
    <w:p w14:paraId="569DDF47" w14:textId="77777777" w:rsidR="00CF6B2C" w:rsidRPr="006E31B1" w:rsidRDefault="00CF6B2C" w:rsidP="00A25D4F">
      <w:pPr>
        <w:tabs>
          <w:tab w:val="left" w:pos="540"/>
          <w:tab w:val="left" w:pos="569"/>
        </w:tabs>
        <w:jc w:val="both"/>
        <w:rPr>
          <w:bCs/>
          <w:sz w:val="22"/>
          <w:szCs w:val="22"/>
          <w:lang w:val="sr-Latn-CS"/>
        </w:rPr>
      </w:pPr>
    </w:p>
    <w:p w14:paraId="018B7985" w14:textId="77777777" w:rsidR="00411B4B" w:rsidRPr="006E31B1" w:rsidRDefault="00411B4B" w:rsidP="00A25D4F">
      <w:pPr>
        <w:tabs>
          <w:tab w:val="left" w:pos="540"/>
          <w:tab w:val="left" w:pos="569"/>
        </w:tabs>
        <w:jc w:val="both"/>
        <w:rPr>
          <w:b/>
          <w:bCs/>
          <w:sz w:val="22"/>
          <w:szCs w:val="22"/>
          <w:lang w:val="it-IT"/>
        </w:rPr>
      </w:pPr>
      <w:r w:rsidRPr="006E31B1">
        <w:rPr>
          <w:b/>
          <w:bCs/>
          <w:sz w:val="22"/>
          <w:szCs w:val="22"/>
          <w:lang w:val="sr-Latn-CS"/>
        </w:rPr>
        <w:t xml:space="preserve">4.1. </w:t>
      </w:r>
      <w:r w:rsidR="00480FB1" w:rsidRPr="006E31B1">
        <w:rPr>
          <w:b/>
          <w:bCs/>
          <w:sz w:val="22"/>
          <w:szCs w:val="22"/>
          <w:lang w:val="sr-Latn-CS"/>
        </w:rPr>
        <w:tab/>
      </w:r>
      <w:r w:rsidRPr="006E31B1">
        <w:rPr>
          <w:b/>
          <w:bCs/>
          <w:sz w:val="22"/>
          <w:szCs w:val="22"/>
          <w:lang w:val="it-IT"/>
        </w:rPr>
        <w:t>Terapijske indikacije</w:t>
      </w:r>
    </w:p>
    <w:p w14:paraId="5EC184CF" w14:textId="77777777" w:rsidR="00CF6B2C" w:rsidRPr="006E31B1" w:rsidRDefault="00CF6B2C" w:rsidP="00A25D4F">
      <w:pPr>
        <w:tabs>
          <w:tab w:val="left" w:pos="540"/>
          <w:tab w:val="left" w:pos="569"/>
        </w:tabs>
        <w:jc w:val="both"/>
        <w:rPr>
          <w:b/>
          <w:bCs/>
          <w:sz w:val="22"/>
          <w:szCs w:val="22"/>
          <w:lang w:val="it-IT"/>
        </w:rPr>
      </w:pPr>
    </w:p>
    <w:p w14:paraId="4110DA75" w14:textId="77777777" w:rsidR="00CF6B2C" w:rsidRPr="00C76E49" w:rsidRDefault="00CF6B2C" w:rsidP="00A25D4F">
      <w:pPr>
        <w:pStyle w:val="Header"/>
        <w:tabs>
          <w:tab w:val="left" w:pos="284"/>
        </w:tabs>
        <w:jc w:val="both"/>
        <w:rPr>
          <w:bCs/>
          <w:sz w:val="22"/>
          <w:szCs w:val="22"/>
          <w:u w:val="single"/>
          <w:lang w:val="sr-Latn-ME"/>
        </w:rPr>
      </w:pPr>
      <w:r w:rsidRPr="00C76E49">
        <w:rPr>
          <w:bCs/>
          <w:sz w:val="22"/>
          <w:szCs w:val="22"/>
          <w:u w:val="single"/>
          <w:lang w:val="sr-Latn-ME"/>
        </w:rPr>
        <w:t>Odojčad, djeca i adolescenti</w:t>
      </w:r>
    </w:p>
    <w:p w14:paraId="3E9996F7" w14:textId="32A178DA" w:rsidR="00CF6B2C" w:rsidRPr="00365B41" w:rsidRDefault="00CF6B2C" w:rsidP="00A25D4F">
      <w:pPr>
        <w:pStyle w:val="Header"/>
        <w:numPr>
          <w:ilvl w:val="0"/>
          <w:numId w:val="12"/>
        </w:numPr>
        <w:tabs>
          <w:tab w:val="clear" w:pos="4320"/>
          <w:tab w:val="left" w:pos="142"/>
        </w:tabs>
        <w:ind w:left="142" w:hanging="142"/>
        <w:jc w:val="both"/>
        <w:rPr>
          <w:bCs/>
          <w:sz w:val="22"/>
          <w:szCs w:val="22"/>
          <w:lang w:val="sr-Latn-ME"/>
        </w:rPr>
      </w:pPr>
      <w:r w:rsidRPr="00365B41">
        <w:rPr>
          <w:bCs/>
          <w:sz w:val="22"/>
          <w:szCs w:val="22"/>
          <w:lang w:val="sr-Latn-ME"/>
        </w:rPr>
        <w:t>Poremećaj rasta usljed nedovoljne sekrecije hormona rasta (</w:t>
      </w:r>
      <w:r w:rsidR="009F050A" w:rsidRPr="008A5390">
        <w:rPr>
          <w:bCs/>
          <w:sz w:val="22"/>
          <w:szCs w:val="22"/>
          <w:lang w:val="sr-Latn-ME"/>
        </w:rPr>
        <w:t xml:space="preserve">engl. growth hormone, </w:t>
      </w:r>
      <w:r w:rsidR="00DB02CF" w:rsidRPr="00365B41">
        <w:rPr>
          <w:bCs/>
          <w:sz w:val="22"/>
          <w:szCs w:val="22"/>
          <w:lang w:val="sr-Latn-ME"/>
        </w:rPr>
        <w:t>GH</w:t>
      </w:r>
      <w:r w:rsidRPr="00365B41">
        <w:rPr>
          <w:bCs/>
          <w:sz w:val="22"/>
          <w:szCs w:val="22"/>
          <w:lang w:val="sr-Latn-ME"/>
        </w:rPr>
        <w:t>)</w:t>
      </w:r>
    </w:p>
    <w:p w14:paraId="2541611E" w14:textId="77777777" w:rsidR="00CF6B2C" w:rsidRPr="00365B41" w:rsidRDefault="00CF6B2C" w:rsidP="00A25D4F">
      <w:pPr>
        <w:pStyle w:val="Header"/>
        <w:numPr>
          <w:ilvl w:val="0"/>
          <w:numId w:val="12"/>
        </w:numPr>
        <w:tabs>
          <w:tab w:val="clear" w:pos="4320"/>
          <w:tab w:val="left" w:pos="142"/>
        </w:tabs>
        <w:ind w:left="142" w:hanging="142"/>
        <w:jc w:val="both"/>
        <w:rPr>
          <w:bCs/>
          <w:sz w:val="22"/>
          <w:szCs w:val="22"/>
          <w:lang w:val="sr-Latn-ME"/>
        </w:rPr>
      </w:pPr>
      <w:r w:rsidRPr="00365B41">
        <w:rPr>
          <w:bCs/>
          <w:sz w:val="22"/>
          <w:szCs w:val="22"/>
          <w:lang w:val="sr-Latn-ME"/>
        </w:rPr>
        <w:t>Poremećaj rasta usljed  Tarnerovog sindroma</w:t>
      </w:r>
    </w:p>
    <w:p w14:paraId="58377824" w14:textId="3282A370" w:rsidR="00CF6B2C" w:rsidRPr="00365B41" w:rsidRDefault="00CF6B2C" w:rsidP="00A25D4F">
      <w:pPr>
        <w:pStyle w:val="Header"/>
        <w:numPr>
          <w:ilvl w:val="0"/>
          <w:numId w:val="12"/>
        </w:numPr>
        <w:tabs>
          <w:tab w:val="clear" w:pos="4320"/>
          <w:tab w:val="left" w:pos="142"/>
        </w:tabs>
        <w:ind w:left="142" w:hanging="142"/>
        <w:jc w:val="both"/>
        <w:rPr>
          <w:bCs/>
          <w:sz w:val="22"/>
          <w:szCs w:val="22"/>
          <w:lang w:val="sr-Latn-ME"/>
        </w:rPr>
      </w:pPr>
      <w:r w:rsidRPr="00365B41">
        <w:rPr>
          <w:bCs/>
          <w:sz w:val="22"/>
          <w:szCs w:val="22"/>
          <w:lang w:val="sr-Latn-ME"/>
        </w:rPr>
        <w:t>Poremećaj rasta usljed hronične insuficijencije</w:t>
      </w:r>
      <w:r w:rsidR="009F050A" w:rsidRPr="00365B41">
        <w:rPr>
          <w:bCs/>
          <w:sz w:val="22"/>
          <w:szCs w:val="22"/>
          <w:lang w:val="sr-Latn-ME"/>
        </w:rPr>
        <w:t xml:space="preserve"> bubrega</w:t>
      </w:r>
    </w:p>
    <w:p w14:paraId="6308D86A" w14:textId="6C8C240D" w:rsidR="00CF6B2C" w:rsidRPr="00365B41" w:rsidRDefault="00CF6B2C" w:rsidP="00A25D4F">
      <w:pPr>
        <w:pStyle w:val="Header"/>
        <w:numPr>
          <w:ilvl w:val="0"/>
          <w:numId w:val="12"/>
        </w:numPr>
        <w:tabs>
          <w:tab w:val="clear" w:pos="4320"/>
          <w:tab w:val="left" w:pos="142"/>
        </w:tabs>
        <w:ind w:left="142" w:hanging="142"/>
        <w:jc w:val="both"/>
        <w:rPr>
          <w:bCs/>
          <w:sz w:val="22"/>
          <w:szCs w:val="22"/>
          <w:lang w:val="sr-Latn-ME"/>
        </w:rPr>
      </w:pPr>
      <w:r w:rsidRPr="00365B41">
        <w:rPr>
          <w:bCs/>
          <w:sz w:val="22"/>
          <w:szCs w:val="22"/>
          <w:lang w:val="sr-Latn-ME"/>
        </w:rPr>
        <w:t xml:space="preserve">Poremećaj rasta (trenutna visina SDS &lt; -2.5 i visina u odnosu na roditelje </w:t>
      </w:r>
      <w:r w:rsidR="009F050A" w:rsidRPr="008A5390">
        <w:rPr>
          <w:sz w:val="22"/>
          <w:szCs w:val="22"/>
          <w:lang w:val="sr-Cyrl-RS"/>
        </w:rPr>
        <w:t>(</w:t>
      </w:r>
      <w:proofErr w:type="spellStart"/>
      <w:r w:rsidR="009F050A" w:rsidRPr="008A5390">
        <w:rPr>
          <w:sz w:val="22"/>
          <w:szCs w:val="22"/>
        </w:rPr>
        <w:t>engl</w:t>
      </w:r>
      <w:proofErr w:type="spellEnd"/>
      <w:r w:rsidR="009F050A" w:rsidRPr="008A5390">
        <w:rPr>
          <w:sz w:val="22"/>
          <w:szCs w:val="22"/>
          <w:lang w:val="sr-Latn-ME"/>
        </w:rPr>
        <w:t xml:space="preserve">. </w:t>
      </w:r>
      <w:r w:rsidR="009F050A" w:rsidRPr="008A5390">
        <w:rPr>
          <w:i/>
          <w:iCs/>
          <w:sz w:val="22"/>
          <w:szCs w:val="22"/>
          <w:lang w:val="sr-Latn-RS"/>
        </w:rPr>
        <w:t>standard deviation score</w:t>
      </w:r>
      <w:r w:rsidR="009F050A" w:rsidRPr="008A5390">
        <w:rPr>
          <w:sz w:val="22"/>
          <w:szCs w:val="22"/>
          <w:lang w:val="sr-Latn-RS"/>
        </w:rPr>
        <w:t xml:space="preserve">, </w:t>
      </w:r>
      <w:r w:rsidRPr="00365B41">
        <w:rPr>
          <w:bCs/>
          <w:sz w:val="22"/>
          <w:szCs w:val="22"/>
          <w:lang w:val="sr-Latn-ME"/>
        </w:rPr>
        <w:t>SDS</w:t>
      </w:r>
      <w:r w:rsidR="009F050A" w:rsidRPr="00365B41">
        <w:rPr>
          <w:bCs/>
          <w:sz w:val="22"/>
          <w:szCs w:val="22"/>
          <w:lang w:val="sr-Latn-ME"/>
        </w:rPr>
        <w:t>)</w:t>
      </w:r>
      <w:r w:rsidRPr="00365B41">
        <w:rPr>
          <w:bCs/>
          <w:sz w:val="22"/>
          <w:szCs w:val="22"/>
          <w:lang w:val="sr-Latn-ME"/>
        </w:rPr>
        <w:t>&lt; -1, SDS - skor standardne devijacije) kod niske djece/adolescenata koja su rođena mala za gestacijski uzrast (</w:t>
      </w:r>
      <w:proofErr w:type="spellStart"/>
      <w:r w:rsidR="009F050A" w:rsidRPr="008A5390">
        <w:rPr>
          <w:sz w:val="22"/>
          <w:szCs w:val="22"/>
        </w:rPr>
        <w:t>engl</w:t>
      </w:r>
      <w:proofErr w:type="spellEnd"/>
      <w:r w:rsidR="009F050A" w:rsidRPr="008A5390">
        <w:rPr>
          <w:sz w:val="22"/>
          <w:szCs w:val="22"/>
          <w:lang w:val="sr-Cyrl-RS"/>
        </w:rPr>
        <w:t xml:space="preserve">. </w:t>
      </w:r>
      <w:r w:rsidR="009F050A" w:rsidRPr="008A5390">
        <w:rPr>
          <w:i/>
          <w:iCs/>
          <w:sz w:val="22"/>
          <w:szCs w:val="22"/>
          <w:lang w:val="sr-Latn-RS"/>
        </w:rPr>
        <w:t>small for gestational age</w:t>
      </w:r>
      <w:r w:rsidR="009F050A" w:rsidRPr="008A5390">
        <w:rPr>
          <w:i/>
          <w:iCs/>
          <w:sz w:val="22"/>
          <w:szCs w:val="22"/>
          <w:lang w:val="sr-Cyrl-RS"/>
        </w:rPr>
        <w:t>,</w:t>
      </w:r>
      <w:r w:rsidR="009F050A" w:rsidRPr="008A5390">
        <w:rPr>
          <w:sz w:val="22"/>
          <w:szCs w:val="22"/>
          <w:lang w:val="sr-Cyrl-RS"/>
        </w:rPr>
        <w:t xml:space="preserve"> </w:t>
      </w:r>
      <w:r w:rsidRPr="00365B41">
        <w:rPr>
          <w:bCs/>
          <w:sz w:val="22"/>
          <w:szCs w:val="22"/>
          <w:lang w:val="sr-Latn-ME"/>
        </w:rPr>
        <w:t>SGA), sa tjelesnom masom na rođenju i/ili dužinom ispod -2 standardne devijacije (SD), koja nijesu uspjela da nadoknade zaostajanje u rastu (brzina rasta (</w:t>
      </w:r>
      <w:proofErr w:type="spellStart"/>
      <w:r w:rsidR="009F050A" w:rsidRPr="008A5390">
        <w:rPr>
          <w:sz w:val="22"/>
          <w:szCs w:val="22"/>
        </w:rPr>
        <w:t>engl</w:t>
      </w:r>
      <w:proofErr w:type="spellEnd"/>
      <w:r w:rsidR="009F050A" w:rsidRPr="008A5390">
        <w:rPr>
          <w:sz w:val="22"/>
          <w:szCs w:val="22"/>
          <w:lang w:val="sr-Cyrl-RS"/>
        </w:rPr>
        <w:t xml:space="preserve">. </w:t>
      </w:r>
      <w:r w:rsidR="009F050A" w:rsidRPr="008A5390">
        <w:rPr>
          <w:i/>
          <w:iCs/>
          <w:sz w:val="22"/>
          <w:szCs w:val="22"/>
          <w:lang w:val="sr-Latn-RS"/>
        </w:rPr>
        <w:t>height velocity</w:t>
      </w:r>
      <w:r w:rsidR="009F050A" w:rsidRPr="008A5390">
        <w:rPr>
          <w:sz w:val="22"/>
          <w:szCs w:val="22"/>
          <w:lang w:val="sr-Cyrl-RS"/>
        </w:rPr>
        <w:t xml:space="preserve">, </w:t>
      </w:r>
      <w:r w:rsidRPr="00365B41">
        <w:rPr>
          <w:bCs/>
          <w:sz w:val="22"/>
          <w:szCs w:val="22"/>
          <w:lang w:val="sr-Latn-ME"/>
        </w:rPr>
        <w:t>HV) SDS&lt;0 tokom posljednje godine) do 4. godine života ili kasnije.</w:t>
      </w:r>
    </w:p>
    <w:p w14:paraId="65634474" w14:textId="77777777" w:rsidR="00CF6B2C" w:rsidRPr="00365B41" w:rsidRDefault="00CF6B2C" w:rsidP="00A25D4F">
      <w:pPr>
        <w:pStyle w:val="Header"/>
        <w:numPr>
          <w:ilvl w:val="0"/>
          <w:numId w:val="12"/>
        </w:numPr>
        <w:tabs>
          <w:tab w:val="clear" w:pos="4320"/>
          <w:tab w:val="left" w:pos="142"/>
        </w:tabs>
        <w:ind w:left="142" w:hanging="142"/>
        <w:jc w:val="both"/>
        <w:rPr>
          <w:bCs/>
          <w:sz w:val="22"/>
          <w:szCs w:val="22"/>
          <w:lang w:val="sr-Latn-ME"/>
        </w:rPr>
      </w:pPr>
      <w:r w:rsidRPr="00365B41">
        <w:rPr>
          <w:bCs/>
          <w:sz w:val="22"/>
          <w:szCs w:val="22"/>
          <w:lang w:val="sr-Latn-ME"/>
        </w:rPr>
        <w:t>Prader-Willi sindrom (PWS), za poboljšanje rasta i tjelesne konstitucije. Dijagnoza PWS mora biti potvrđena odgovarajućim genetskim testiranjem.</w:t>
      </w:r>
    </w:p>
    <w:p w14:paraId="2C461033" w14:textId="77777777" w:rsidR="00CF6B2C" w:rsidRPr="00C76E49" w:rsidRDefault="00CF6B2C" w:rsidP="00A25D4F">
      <w:pPr>
        <w:pStyle w:val="Header"/>
        <w:tabs>
          <w:tab w:val="left" w:pos="284"/>
        </w:tabs>
        <w:jc w:val="both"/>
        <w:rPr>
          <w:bCs/>
          <w:sz w:val="22"/>
          <w:szCs w:val="22"/>
          <w:lang w:val="sr-Latn-ME"/>
        </w:rPr>
      </w:pPr>
    </w:p>
    <w:p w14:paraId="16E84A40" w14:textId="77777777" w:rsidR="00CF6B2C" w:rsidRPr="00C76E49" w:rsidRDefault="00CF6B2C" w:rsidP="00A25D4F">
      <w:pPr>
        <w:pStyle w:val="Header"/>
        <w:tabs>
          <w:tab w:val="left" w:pos="284"/>
        </w:tabs>
        <w:jc w:val="both"/>
        <w:rPr>
          <w:bCs/>
          <w:sz w:val="22"/>
          <w:szCs w:val="22"/>
          <w:u w:val="single"/>
          <w:lang w:val="sr-Latn-ME"/>
        </w:rPr>
      </w:pPr>
      <w:r w:rsidRPr="00C76E49">
        <w:rPr>
          <w:bCs/>
          <w:sz w:val="22"/>
          <w:szCs w:val="22"/>
          <w:u w:val="single"/>
          <w:lang w:val="sr-Latn-ME"/>
        </w:rPr>
        <w:t>Odrasli</w:t>
      </w:r>
    </w:p>
    <w:p w14:paraId="687524EE" w14:textId="77777777" w:rsidR="00CF6B2C" w:rsidRPr="00C76E49" w:rsidRDefault="00CF6B2C" w:rsidP="00A25D4F">
      <w:pPr>
        <w:pStyle w:val="Header"/>
        <w:numPr>
          <w:ilvl w:val="0"/>
          <w:numId w:val="12"/>
        </w:numPr>
        <w:tabs>
          <w:tab w:val="clear" w:pos="4320"/>
          <w:tab w:val="left" w:pos="142"/>
        </w:tabs>
        <w:ind w:left="142" w:hanging="142"/>
        <w:jc w:val="both"/>
        <w:rPr>
          <w:bCs/>
          <w:sz w:val="22"/>
          <w:szCs w:val="22"/>
          <w:lang w:val="sr-Latn-ME"/>
        </w:rPr>
      </w:pPr>
      <w:r w:rsidRPr="00C76E49">
        <w:rPr>
          <w:bCs/>
          <w:sz w:val="22"/>
          <w:szCs w:val="22"/>
          <w:lang w:val="sr-Latn-ME"/>
        </w:rPr>
        <w:t xml:space="preserve">Supstituciona terapija kod odraslih sa izraženim deficitom hormona rasta. </w:t>
      </w:r>
    </w:p>
    <w:p w14:paraId="7116BAB0" w14:textId="135B3BE6" w:rsidR="00CF6B2C" w:rsidRPr="00C76E49" w:rsidRDefault="00CF6B2C" w:rsidP="00A25D4F">
      <w:pPr>
        <w:pStyle w:val="Header"/>
        <w:numPr>
          <w:ilvl w:val="0"/>
          <w:numId w:val="12"/>
        </w:numPr>
        <w:tabs>
          <w:tab w:val="clear" w:pos="4320"/>
          <w:tab w:val="left" w:pos="142"/>
        </w:tabs>
        <w:ind w:left="142" w:hanging="142"/>
        <w:jc w:val="both"/>
        <w:rPr>
          <w:bCs/>
          <w:sz w:val="22"/>
          <w:szCs w:val="22"/>
          <w:lang w:val="sr-Latn-ME"/>
        </w:rPr>
      </w:pPr>
      <w:r w:rsidRPr="00C76E49">
        <w:rPr>
          <w:bCs/>
          <w:i/>
          <w:sz w:val="22"/>
          <w:szCs w:val="22"/>
          <w:lang w:val="sr-Latn-ME"/>
        </w:rPr>
        <w:t>Početak bolesti u odrasloj dobi:</w:t>
      </w:r>
      <w:r w:rsidRPr="00C76E49">
        <w:rPr>
          <w:bCs/>
          <w:sz w:val="22"/>
          <w:szCs w:val="22"/>
          <w:lang w:val="sr-Latn-ME"/>
        </w:rPr>
        <w:t xml:space="preserve"> Pacijenti sa teškim deficitom hormona rasta povezanom sa deficijencijom drugih hormona zbog poznate hipotalamičke ili hipofizne patologije i nedostatkom najmanje jednog hormona hipofize koji nije prolaktin. Ovi pacijenti </w:t>
      </w:r>
      <w:r w:rsidR="009F050A">
        <w:rPr>
          <w:bCs/>
          <w:sz w:val="22"/>
          <w:szCs w:val="22"/>
          <w:lang w:val="sr-Latn-ME"/>
        </w:rPr>
        <w:t xml:space="preserve">treba da </w:t>
      </w:r>
      <w:r w:rsidRPr="00C76E49">
        <w:rPr>
          <w:bCs/>
          <w:sz w:val="22"/>
          <w:szCs w:val="22"/>
          <w:lang w:val="sr-Latn-ME"/>
        </w:rPr>
        <w:t>se podvrgnu</w:t>
      </w:r>
      <w:r w:rsidR="009F050A">
        <w:rPr>
          <w:bCs/>
          <w:sz w:val="22"/>
          <w:szCs w:val="22"/>
          <w:lang w:val="sr-Latn-ME"/>
        </w:rPr>
        <w:t xml:space="preserve"> </w:t>
      </w:r>
      <w:r w:rsidRPr="00C76E49">
        <w:rPr>
          <w:bCs/>
          <w:sz w:val="22"/>
          <w:szCs w:val="22"/>
          <w:lang w:val="sr-Latn-ME"/>
        </w:rPr>
        <w:t xml:space="preserve"> odgovarajućem dinamičkom ispitivanju  u cilju postavljanja dijagnoze ili isključivanja deficita hormona rasta. </w:t>
      </w:r>
    </w:p>
    <w:p w14:paraId="1004F84A" w14:textId="77777777" w:rsidR="00CF6B2C" w:rsidRPr="00C76E49" w:rsidRDefault="00CF6B2C" w:rsidP="00A25D4F">
      <w:pPr>
        <w:pStyle w:val="Header"/>
        <w:numPr>
          <w:ilvl w:val="0"/>
          <w:numId w:val="12"/>
        </w:numPr>
        <w:tabs>
          <w:tab w:val="clear" w:pos="4320"/>
          <w:tab w:val="left" w:pos="142"/>
        </w:tabs>
        <w:ind w:left="142" w:hanging="142"/>
        <w:jc w:val="both"/>
        <w:rPr>
          <w:bCs/>
          <w:sz w:val="22"/>
          <w:szCs w:val="22"/>
          <w:lang w:val="sr-Latn-ME"/>
        </w:rPr>
      </w:pPr>
      <w:r w:rsidRPr="00C76E49">
        <w:rPr>
          <w:bCs/>
          <w:i/>
          <w:sz w:val="22"/>
          <w:szCs w:val="22"/>
          <w:lang w:val="sr-Latn-ME"/>
        </w:rPr>
        <w:lastRenderedPageBreak/>
        <w:t>Početak bolesti u djetinjstvu</w:t>
      </w:r>
      <w:r w:rsidRPr="00C76E49">
        <w:rPr>
          <w:bCs/>
          <w:sz w:val="22"/>
          <w:szCs w:val="22"/>
          <w:lang w:val="sr-Latn-ME"/>
        </w:rPr>
        <w:t>: Pacijenti sa deficitom hormona rasta tokom djetinjstva zbog kongenitalnih, genetskih, stečenih ili idiopatskih uzroka. Kod pacijenata sa deficitom hormona rasta koji je nastupio u djetinjstvu potrebno je ponovo procijeniti kapacitet lučenja hormona rasta nakon završetka longitudinalnog rasta. Kod pacijenata sa velikom vjerovatnoćom trajne deficijencije hormona rasta, tj. sa kongenitalnim uzrokom ili deficijencije hormona rasta koja je posljedica hipotalamo-hipofizne bolesti ili moždanog insulta, faktor rasta sličan isulinu-I (IGF-I) SSD&lt; -2 bez liječenja hormonom rasta tokom najmanje 4 nedjelje treba smatrati dovoljnim dokazom jake deficijencije hormona rasta.</w:t>
      </w:r>
    </w:p>
    <w:p w14:paraId="29B5D639" w14:textId="77777777" w:rsidR="00CF6B2C" w:rsidRPr="00C76E49" w:rsidRDefault="00CF6B2C" w:rsidP="00A25D4F">
      <w:pPr>
        <w:tabs>
          <w:tab w:val="left" w:pos="540"/>
          <w:tab w:val="left" w:pos="569"/>
        </w:tabs>
        <w:jc w:val="both"/>
        <w:rPr>
          <w:bCs/>
          <w:sz w:val="22"/>
          <w:szCs w:val="22"/>
          <w:lang w:val="sr-Latn-ME"/>
        </w:rPr>
      </w:pPr>
    </w:p>
    <w:p w14:paraId="3FE80A0B" w14:textId="4BE9C0F6" w:rsidR="00CF6B2C" w:rsidRPr="00C76E49" w:rsidRDefault="00CF6B2C" w:rsidP="00A25D4F">
      <w:pPr>
        <w:tabs>
          <w:tab w:val="left" w:pos="540"/>
          <w:tab w:val="left" w:pos="569"/>
        </w:tabs>
        <w:jc w:val="both"/>
        <w:rPr>
          <w:bCs/>
          <w:sz w:val="22"/>
          <w:szCs w:val="22"/>
          <w:lang w:val="sr-Latn-ME"/>
        </w:rPr>
      </w:pPr>
      <w:r w:rsidRPr="00C76E49">
        <w:rPr>
          <w:bCs/>
          <w:sz w:val="22"/>
          <w:szCs w:val="22"/>
          <w:lang w:val="sr-Latn-ME"/>
        </w:rPr>
        <w:t xml:space="preserve">Kod svih ostalih pacijenata potrebno je odrediti </w:t>
      </w:r>
      <w:r w:rsidR="009F050A">
        <w:rPr>
          <w:bCs/>
          <w:sz w:val="22"/>
          <w:szCs w:val="22"/>
          <w:lang w:val="sr-Latn-ME"/>
        </w:rPr>
        <w:t xml:space="preserve">koncentarciju </w:t>
      </w:r>
      <w:r w:rsidRPr="00C76E49">
        <w:rPr>
          <w:bCs/>
          <w:sz w:val="22"/>
          <w:szCs w:val="22"/>
          <w:lang w:val="sr-Latn-ME"/>
        </w:rPr>
        <w:t xml:space="preserve">IGF-I i sprovesti jedan test stimulacije hormona rasta. </w:t>
      </w:r>
    </w:p>
    <w:p w14:paraId="43D630D2" w14:textId="77777777" w:rsidR="00411B4B" w:rsidRPr="006E31B1" w:rsidRDefault="00411B4B" w:rsidP="00A25D4F">
      <w:pPr>
        <w:tabs>
          <w:tab w:val="left" w:pos="540"/>
          <w:tab w:val="left" w:pos="569"/>
        </w:tabs>
        <w:jc w:val="both"/>
        <w:rPr>
          <w:bCs/>
          <w:sz w:val="22"/>
          <w:szCs w:val="22"/>
          <w:lang w:val="it-IT"/>
        </w:rPr>
      </w:pPr>
    </w:p>
    <w:p w14:paraId="0B1BC68D" w14:textId="77777777" w:rsidR="00411B4B" w:rsidRPr="006E31B1" w:rsidRDefault="00411B4B" w:rsidP="00A25D4F">
      <w:pPr>
        <w:tabs>
          <w:tab w:val="left" w:pos="540"/>
          <w:tab w:val="left" w:pos="569"/>
        </w:tabs>
        <w:jc w:val="both"/>
        <w:rPr>
          <w:b/>
          <w:bCs/>
          <w:sz w:val="22"/>
          <w:szCs w:val="22"/>
          <w:lang w:val="it-IT"/>
        </w:rPr>
      </w:pPr>
      <w:r w:rsidRPr="006E31B1">
        <w:rPr>
          <w:b/>
          <w:bCs/>
          <w:sz w:val="22"/>
          <w:szCs w:val="22"/>
          <w:lang w:val="it-IT"/>
        </w:rPr>
        <w:t xml:space="preserve">4.2. </w:t>
      </w:r>
      <w:r w:rsidR="00480FB1" w:rsidRPr="006E31B1">
        <w:rPr>
          <w:b/>
          <w:bCs/>
          <w:sz w:val="22"/>
          <w:szCs w:val="22"/>
          <w:lang w:val="it-IT"/>
        </w:rPr>
        <w:tab/>
      </w:r>
      <w:r w:rsidRPr="006E31B1">
        <w:rPr>
          <w:b/>
          <w:bCs/>
          <w:sz w:val="22"/>
          <w:szCs w:val="22"/>
          <w:lang w:val="it-IT"/>
        </w:rPr>
        <w:t>Doziranje i način primjene</w:t>
      </w:r>
    </w:p>
    <w:p w14:paraId="439CD608" w14:textId="77777777" w:rsidR="0072020E" w:rsidRPr="006E31B1" w:rsidRDefault="0072020E" w:rsidP="00A25D4F">
      <w:pPr>
        <w:tabs>
          <w:tab w:val="left" w:pos="540"/>
          <w:tab w:val="left" w:pos="569"/>
        </w:tabs>
        <w:jc w:val="both"/>
        <w:rPr>
          <w:bCs/>
          <w:sz w:val="22"/>
          <w:szCs w:val="22"/>
          <w:lang w:val="it-IT"/>
        </w:rPr>
      </w:pPr>
    </w:p>
    <w:p w14:paraId="72CBBD55"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Dijagnozu i terapiju somatropinom trebalo bi da započne i prati kvalifikovani ljekar sa iskustvom u dijagnozi i liječenju pacijenata sa poremećajima rasta.</w:t>
      </w:r>
    </w:p>
    <w:p w14:paraId="0D2B4A36" w14:textId="77777777" w:rsidR="00CF6B2C" w:rsidRPr="006E31B1" w:rsidRDefault="00CF6B2C" w:rsidP="00A25D4F">
      <w:pPr>
        <w:tabs>
          <w:tab w:val="left" w:pos="540"/>
          <w:tab w:val="left" w:pos="569"/>
        </w:tabs>
        <w:jc w:val="both"/>
        <w:rPr>
          <w:bCs/>
          <w:sz w:val="22"/>
          <w:szCs w:val="22"/>
          <w:u w:val="single"/>
          <w:lang w:val="it-IT"/>
        </w:rPr>
      </w:pPr>
    </w:p>
    <w:p w14:paraId="50CAB57C" w14:textId="77777777" w:rsidR="00CF6B2C" w:rsidRPr="006E31B1" w:rsidRDefault="00452E9D" w:rsidP="00A25D4F">
      <w:pPr>
        <w:tabs>
          <w:tab w:val="left" w:pos="540"/>
          <w:tab w:val="left" w:pos="569"/>
        </w:tabs>
        <w:jc w:val="both"/>
        <w:rPr>
          <w:bCs/>
          <w:sz w:val="22"/>
          <w:szCs w:val="22"/>
          <w:u w:val="single"/>
          <w:lang w:val="it-IT"/>
        </w:rPr>
      </w:pPr>
      <w:r w:rsidRPr="006E31B1">
        <w:rPr>
          <w:bCs/>
          <w:sz w:val="22"/>
          <w:szCs w:val="22"/>
          <w:u w:val="single"/>
          <w:lang w:val="it-IT"/>
        </w:rPr>
        <w:t>Doziranje</w:t>
      </w:r>
    </w:p>
    <w:p w14:paraId="0BA134E9" w14:textId="77777777" w:rsidR="00CF6B2C" w:rsidRPr="00C76E49" w:rsidRDefault="00CF6B2C" w:rsidP="00A25D4F">
      <w:pPr>
        <w:pStyle w:val="Header"/>
        <w:tabs>
          <w:tab w:val="left" w:pos="284"/>
        </w:tabs>
        <w:jc w:val="both"/>
        <w:rPr>
          <w:i/>
          <w:sz w:val="22"/>
          <w:szCs w:val="22"/>
          <w:u w:val="single"/>
          <w:lang w:val="sr-Latn-ME"/>
        </w:rPr>
      </w:pPr>
      <w:r w:rsidRPr="00C76E49">
        <w:rPr>
          <w:i/>
          <w:sz w:val="22"/>
          <w:szCs w:val="22"/>
          <w:u w:val="single"/>
          <w:lang w:val="sr-Latn-ME"/>
        </w:rPr>
        <w:t>Pedijatrijska populacija</w:t>
      </w:r>
    </w:p>
    <w:p w14:paraId="42778079"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Doziranje i način primjene lijeka mora biti individualan.</w:t>
      </w:r>
    </w:p>
    <w:p w14:paraId="7D8873C6" w14:textId="77777777" w:rsidR="00CF6B2C" w:rsidRPr="00C76E49" w:rsidRDefault="00CF6B2C" w:rsidP="00A25D4F">
      <w:pPr>
        <w:pStyle w:val="Header"/>
        <w:tabs>
          <w:tab w:val="left" w:pos="284"/>
        </w:tabs>
        <w:jc w:val="both"/>
        <w:rPr>
          <w:sz w:val="22"/>
          <w:szCs w:val="22"/>
          <w:lang w:val="sr-Latn-ME"/>
        </w:rPr>
      </w:pPr>
    </w:p>
    <w:p w14:paraId="76CE809E" w14:textId="77777777"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Poremećaj rasta usljed nedovoljne sekrecije hormona rasta kod pedijatrijskih pacijenata</w:t>
      </w:r>
    </w:p>
    <w:p w14:paraId="6B2919D1"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Generalno, preporučuje se doza od 0.025-0.035 mg/kg/dan ili 0.7-1.0 mg/m²/dan. Primjenjivane su čak i više doze. </w:t>
      </w:r>
    </w:p>
    <w:p w14:paraId="22D060D6" w14:textId="77777777" w:rsidR="00CF6B2C" w:rsidRPr="00C76E49" w:rsidRDefault="00CF6B2C" w:rsidP="00A25D4F">
      <w:pPr>
        <w:pStyle w:val="Header"/>
        <w:tabs>
          <w:tab w:val="left" w:pos="284"/>
        </w:tabs>
        <w:jc w:val="both"/>
        <w:rPr>
          <w:sz w:val="22"/>
          <w:szCs w:val="22"/>
          <w:lang w:val="sr-Latn-ME"/>
        </w:rPr>
      </w:pPr>
    </w:p>
    <w:p w14:paraId="2F1FB99A"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Kada deficijencija hormona rasta nastala u djetinjstvu traje do adolescencije, potrebno je nastaviti sa liječenjem kako bi se postigao potpuni tjelesni razvoj (npr. tjelesna konstitucija, koštana masa). U cilju praćenja, postizanje normalne vršne koštane mase definisane kao T-skor &gt; -1 (tj. standardizovan prema prosječnoj vršnoj koštanoj masi kod odraslih mjerenoj dvoenergetskom apsorpciometrijom X-zraka, uzimajući u obzir pol i etičku pripadnost) jedan je od terapijskih ciljeva u prelaznom razdoblju. Za smjernice o doziranju, vidjeti u daljem tekstu dio koji se odnosi na odrasle.</w:t>
      </w:r>
    </w:p>
    <w:p w14:paraId="6F2003D6" w14:textId="77777777" w:rsidR="00CF6B2C" w:rsidRPr="00C76E49" w:rsidRDefault="00CF6B2C" w:rsidP="00A25D4F">
      <w:pPr>
        <w:pStyle w:val="Header"/>
        <w:tabs>
          <w:tab w:val="left" w:pos="284"/>
        </w:tabs>
        <w:jc w:val="both"/>
        <w:rPr>
          <w:sz w:val="22"/>
          <w:szCs w:val="22"/>
          <w:lang w:val="sr-Latn-ME"/>
        </w:rPr>
      </w:pPr>
    </w:p>
    <w:p w14:paraId="3A40201B" w14:textId="77777777"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Prader-Willi sindrom, za poboljšanje rasta i tjelesne konstitucije kod pedijatrijskih pacijenata</w:t>
      </w:r>
    </w:p>
    <w:p w14:paraId="491C6CEC"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Generalno, preporučuje se doza od 0.035 mg/kg/dan ili 1.0 mg/m²/dan. Ne smije se premašiti dnevna doza od 2.7 mg. Terapiju ne treba primjenjivati kod pedijatrijskih pacijenata čija je brzina rasta manja od 1 cm za godinu dana i ako se kod ovih pacijenata bliži zatvaranje epifiza.</w:t>
      </w:r>
    </w:p>
    <w:p w14:paraId="628B6DA7" w14:textId="77777777" w:rsidR="00CF6B2C" w:rsidRPr="00C76E49" w:rsidRDefault="00CF6B2C" w:rsidP="00A25D4F">
      <w:pPr>
        <w:pStyle w:val="Header"/>
        <w:tabs>
          <w:tab w:val="left" w:pos="284"/>
        </w:tabs>
        <w:jc w:val="both"/>
        <w:rPr>
          <w:i/>
          <w:sz w:val="22"/>
          <w:szCs w:val="22"/>
          <w:lang w:val="sr-Latn-ME"/>
        </w:rPr>
      </w:pPr>
    </w:p>
    <w:p w14:paraId="19FA8A4B" w14:textId="77777777"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Poremećaj rasta kod Tarnerovog sindroma</w:t>
      </w:r>
    </w:p>
    <w:p w14:paraId="3B9824EE"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Preporučuje se doza od  0.045-0.050 mg/kg/dan ili 1.4 mg/m²/dan.</w:t>
      </w:r>
    </w:p>
    <w:p w14:paraId="56CD9574" w14:textId="77777777" w:rsidR="00CF6B2C" w:rsidRPr="00C76E49" w:rsidRDefault="00CF6B2C" w:rsidP="00A25D4F">
      <w:pPr>
        <w:pStyle w:val="Header"/>
        <w:tabs>
          <w:tab w:val="left" w:pos="284"/>
        </w:tabs>
        <w:jc w:val="both"/>
        <w:rPr>
          <w:sz w:val="22"/>
          <w:szCs w:val="22"/>
          <w:lang w:val="sr-Latn-ME"/>
        </w:rPr>
      </w:pPr>
    </w:p>
    <w:p w14:paraId="27EB5890" w14:textId="2E159FF4"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Poremećaj rasta usljed hronične insuficijencije</w:t>
      </w:r>
      <w:r w:rsidR="009F050A">
        <w:rPr>
          <w:i/>
          <w:sz w:val="22"/>
          <w:szCs w:val="22"/>
          <w:lang w:val="sr-Latn-ME"/>
        </w:rPr>
        <w:t xml:space="preserve"> bubrega</w:t>
      </w:r>
    </w:p>
    <w:p w14:paraId="0AB1427D" w14:textId="6B40A5C0"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Preporučuje se doza od 1.4 mg/m²/dan (0.045-0.050 mg/kg/dan). Ako je brzina rasta suviše mala, mogu biti potrebne i veće doze. Nakon 6 mjeseci terapije može biti potrebna korekcija doze (vidjeti </w:t>
      </w:r>
      <w:r w:rsidR="006439E3">
        <w:rPr>
          <w:sz w:val="22"/>
          <w:szCs w:val="22"/>
          <w:lang w:val="sr-Latn-ME"/>
        </w:rPr>
        <w:t xml:space="preserve">dio </w:t>
      </w:r>
      <w:r w:rsidRPr="00C76E49">
        <w:rPr>
          <w:sz w:val="22"/>
          <w:szCs w:val="22"/>
          <w:lang w:val="sr-Latn-ME"/>
        </w:rPr>
        <w:t>4.4).</w:t>
      </w:r>
    </w:p>
    <w:p w14:paraId="4D507566" w14:textId="77777777" w:rsidR="00CF6B2C" w:rsidRPr="00C76E49" w:rsidRDefault="00CF6B2C" w:rsidP="00A25D4F">
      <w:pPr>
        <w:pStyle w:val="Header"/>
        <w:tabs>
          <w:tab w:val="left" w:pos="284"/>
        </w:tabs>
        <w:jc w:val="both"/>
        <w:rPr>
          <w:sz w:val="22"/>
          <w:szCs w:val="22"/>
          <w:lang w:val="sr-Latn-ME"/>
        </w:rPr>
      </w:pPr>
    </w:p>
    <w:p w14:paraId="22B4A88B" w14:textId="77777777"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Poremećaj rasta kod niske djece/adolescenata koja su rođena mala za gestacijsku dob (SGA)</w:t>
      </w:r>
    </w:p>
    <w:p w14:paraId="41F9C3A5" w14:textId="357F64E2" w:rsidR="00CF6B2C" w:rsidRPr="00C76E49" w:rsidRDefault="00CF6B2C" w:rsidP="00A25D4F">
      <w:pPr>
        <w:pStyle w:val="Header"/>
        <w:tabs>
          <w:tab w:val="left" w:pos="284"/>
        </w:tabs>
        <w:jc w:val="both"/>
        <w:rPr>
          <w:b/>
          <w:sz w:val="22"/>
          <w:szCs w:val="22"/>
          <w:lang w:val="sr-Latn-ME"/>
        </w:rPr>
      </w:pPr>
      <w:r w:rsidRPr="00C76E49">
        <w:rPr>
          <w:sz w:val="22"/>
          <w:szCs w:val="22"/>
          <w:lang w:val="sr-Latn-ME"/>
        </w:rPr>
        <w:t xml:space="preserve">Obično se preporučuje doza od 0.035 mg/kg/dan (1.0 mg/m²/dan) do postizanja konačne visine (vidjeti </w:t>
      </w:r>
      <w:r w:rsidR="006439E3">
        <w:rPr>
          <w:sz w:val="22"/>
          <w:szCs w:val="22"/>
          <w:lang w:val="sr-Latn-ME"/>
        </w:rPr>
        <w:t xml:space="preserve">dio </w:t>
      </w:r>
      <w:r w:rsidRPr="00C76E49">
        <w:rPr>
          <w:sz w:val="22"/>
          <w:szCs w:val="22"/>
          <w:lang w:val="sr-Latn-ME"/>
        </w:rPr>
        <w:t>5.1). Terapiju treba prekinuti nakon prve godine terapije ako je brzina rasta SDS&lt; +1. Terapiju treba prekinuti ako je brzina rasta</w:t>
      </w:r>
      <w:r w:rsidR="00F92805" w:rsidRPr="00C76E49">
        <w:rPr>
          <w:sz w:val="22"/>
          <w:szCs w:val="22"/>
          <w:lang w:val="sr-Latn-ME"/>
        </w:rPr>
        <w:t xml:space="preserve"> u visinu</w:t>
      </w:r>
      <w:r w:rsidRPr="00C76E49">
        <w:rPr>
          <w:sz w:val="22"/>
          <w:szCs w:val="22"/>
          <w:lang w:val="sr-Latn-ME"/>
        </w:rPr>
        <w:t xml:space="preserve"> &lt;2 cm/godina i ako je, što je potrebno potvrditi, koštana starost &gt;14 godina (djevojčice) ili &gt;16 godina (dječaci), što odgovara zatvaranju epifiza.</w:t>
      </w:r>
    </w:p>
    <w:p w14:paraId="25D36889" w14:textId="77777777" w:rsidR="00CF6B2C" w:rsidRPr="00C76E49" w:rsidRDefault="00CF6B2C" w:rsidP="00A25D4F">
      <w:pPr>
        <w:pStyle w:val="Header"/>
        <w:tabs>
          <w:tab w:val="left" w:pos="284"/>
        </w:tabs>
        <w:jc w:val="both"/>
        <w:rPr>
          <w:b/>
          <w:sz w:val="22"/>
          <w:szCs w:val="22"/>
          <w:lang w:val="sr-Latn-ME"/>
        </w:rPr>
      </w:pPr>
    </w:p>
    <w:p w14:paraId="3A5E1035" w14:textId="77777777" w:rsidR="00CF6B2C" w:rsidRPr="00C76E49" w:rsidRDefault="00CF6B2C" w:rsidP="00A25D4F">
      <w:pPr>
        <w:pStyle w:val="Header"/>
        <w:tabs>
          <w:tab w:val="left" w:pos="284"/>
        </w:tabs>
        <w:jc w:val="both"/>
        <w:rPr>
          <w:b/>
          <w:sz w:val="22"/>
          <w:szCs w:val="22"/>
          <w:lang w:val="sr-Latn-ME"/>
        </w:rPr>
      </w:pPr>
      <w:r w:rsidRPr="00C76E49">
        <w:rPr>
          <w:b/>
          <w:sz w:val="22"/>
          <w:szCs w:val="22"/>
          <w:lang w:val="sr-Latn-ME"/>
        </w:rPr>
        <w:t>Preporuke za doziranje kod pedijatrijskih pacijenata</w:t>
      </w:r>
    </w:p>
    <w:p w14:paraId="45A0A32F" w14:textId="77777777" w:rsidR="00CF6B2C" w:rsidRPr="00C76E49" w:rsidRDefault="00CF6B2C" w:rsidP="00A25D4F">
      <w:pPr>
        <w:pStyle w:val="Header"/>
        <w:tabs>
          <w:tab w:val="left" w:pos="284"/>
        </w:tabs>
        <w:jc w:val="both"/>
        <w:rPr>
          <w:b/>
          <w:sz w:val="22"/>
          <w:szCs w:val="22"/>
          <w:lang w:val="sr-Latn-M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2126"/>
        <w:gridCol w:w="1577"/>
      </w:tblGrid>
      <w:tr w:rsidR="003365B5" w:rsidRPr="00C76E49" w14:paraId="11B47125" w14:textId="77777777" w:rsidTr="008A5390">
        <w:tc>
          <w:tcPr>
            <w:tcW w:w="5382" w:type="dxa"/>
            <w:shd w:val="clear" w:color="auto" w:fill="auto"/>
          </w:tcPr>
          <w:p w14:paraId="3EA12B6C" w14:textId="77777777" w:rsidR="00CF6B2C" w:rsidRPr="00C76E49" w:rsidRDefault="00CF6B2C" w:rsidP="00A25D4F">
            <w:pPr>
              <w:pStyle w:val="Header"/>
              <w:tabs>
                <w:tab w:val="left" w:pos="284"/>
              </w:tabs>
              <w:jc w:val="both"/>
              <w:rPr>
                <w:b/>
                <w:sz w:val="22"/>
                <w:szCs w:val="22"/>
                <w:lang w:val="sr-Latn-ME"/>
              </w:rPr>
            </w:pPr>
            <w:r w:rsidRPr="00C76E49">
              <w:rPr>
                <w:b/>
                <w:sz w:val="22"/>
                <w:szCs w:val="22"/>
                <w:lang w:val="sr-Latn-ME"/>
              </w:rPr>
              <w:t>Indikacija</w:t>
            </w:r>
          </w:p>
        </w:tc>
        <w:tc>
          <w:tcPr>
            <w:tcW w:w="2126" w:type="dxa"/>
            <w:shd w:val="clear" w:color="auto" w:fill="auto"/>
          </w:tcPr>
          <w:p w14:paraId="480BB6E9" w14:textId="77777777" w:rsidR="00CF6B2C" w:rsidRPr="00C76E49" w:rsidRDefault="00CF6B2C" w:rsidP="00A25D4F">
            <w:pPr>
              <w:pStyle w:val="Header"/>
              <w:tabs>
                <w:tab w:val="left" w:pos="284"/>
              </w:tabs>
              <w:jc w:val="both"/>
              <w:rPr>
                <w:b/>
                <w:sz w:val="22"/>
                <w:szCs w:val="22"/>
                <w:lang w:val="sr-Latn-ME"/>
              </w:rPr>
            </w:pPr>
            <w:r w:rsidRPr="00C76E49">
              <w:rPr>
                <w:b/>
                <w:sz w:val="22"/>
                <w:szCs w:val="22"/>
                <w:lang w:val="sr-Latn-ME"/>
              </w:rPr>
              <w:t>mg/kg/dan</w:t>
            </w:r>
          </w:p>
        </w:tc>
        <w:tc>
          <w:tcPr>
            <w:tcW w:w="1577" w:type="dxa"/>
            <w:shd w:val="clear" w:color="auto" w:fill="auto"/>
          </w:tcPr>
          <w:p w14:paraId="0474D8F9" w14:textId="77777777" w:rsidR="00CF6B2C" w:rsidRPr="00C76E49" w:rsidRDefault="00CF6B2C" w:rsidP="00A25D4F">
            <w:pPr>
              <w:pStyle w:val="Header"/>
              <w:tabs>
                <w:tab w:val="left" w:pos="284"/>
              </w:tabs>
              <w:jc w:val="both"/>
              <w:rPr>
                <w:b/>
                <w:sz w:val="22"/>
                <w:szCs w:val="22"/>
                <w:lang w:val="sr-Latn-ME"/>
              </w:rPr>
            </w:pPr>
            <w:r w:rsidRPr="00C76E49">
              <w:rPr>
                <w:b/>
                <w:sz w:val="22"/>
                <w:szCs w:val="22"/>
                <w:lang w:val="sr-Latn-ME"/>
              </w:rPr>
              <w:t>mg/m²/dan</w:t>
            </w:r>
          </w:p>
        </w:tc>
      </w:tr>
      <w:tr w:rsidR="003365B5" w:rsidRPr="00C76E49" w14:paraId="557180AF" w14:textId="77777777" w:rsidTr="008A5390">
        <w:tc>
          <w:tcPr>
            <w:tcW w:w="5382" w:type="dxa"/>
            <w:shd w:val="clear" w:color="auto" w:fill="auto"/>
          </w:tcPr>
          <w:p w14:paraId="5265641E"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Deficit hormona rasta</w:t>
            </w:r>
          </w:p>
        </w:tc>
        <w:tc>
          <w:tcPr>
            <w:tcW w:w="2126" w:type="dxa"/>
            <w:shd w:val="clear" w:color="auto" w:fill="auto"/>
          </w:tcPr>
          <w:p w14:paraId="16BEBE46"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0.025-0.035</w:t>
            </w:r>
          </w:p>
        </w:tc>
        <w:tc>
          <w:tcPr>
            <w:tcW w:w="1577" w:type="dxa"/>
            <w:shd w:val="clear" w:color="auto" w:fill="auto"/>
          </w:tcPr>
          <w:p w14:paraId="2E964212"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0.7-1.0</w:t>
            </w:r>
          </w:p>
        </w:tc>
      </w:tr>
      <w:tr w:rsidR="003365B5" w:rsidRPr="00C76E49" w14:paraId="2BF6FAB8" w14:textId="77777777" w:rsidTr="008A5390">
        <w:tc>
          <w:tcPr>
            <w:tcW w:w="5382" w:type="dxa"/>
            <w:shd w:val="clear" w:color="auto" w:fill="auto"/>
          </w:tcPr>
          <w:p w14:paraId="7E6292BC"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Prader-Willi sindrom</w:t>
            </w:r>
          </w:p>
        </w:tc>
        <w:tc>
          <w:tcPr>
            <w:tcW w:w="2126" w:type="dxa"/>
            <w:shd w:val="clear" w:color="auto" w:fill="auto"/>
          </w:tcPr>
          <w:p w14:paraId="26A43C58"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0.035</w:t>
            </w:r>
          </w:p>
        </w:tc>
        <w:tc>
          <w:tcPr>
            <w:tcW w:w="1577" w:type="dxa"/>
            <w:shd w:val="clear" w:color="auto" w:fill="auto"/>
          </w:tcPr>
          <w:p w14:paraId="05ABD42A"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1.0</w:t>
            </w:r>
          </w:p>
        </w:tc>
      </w:tr>
      <w:tr w:rsidR="003365B5" w:rsidRPr="00C76E49" w14:paraId="775D29B2" w14:textId="77777777" w:rsidTr="008A5390">
        <w:tc>
          <w:tcPr>
            <w:tcW w:w="5382" w:type="dxa"/>
            <w:shd w:val="clear" w:color="auto" w:fill="auto"/>
          </w:tcPr>
          <w:p w14:paraId="3CFD25CF"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Tarnerov sindrom</w:t>
            </w:r>
          </w:p>
        </w:tc>
        <w:tc>
          <w:tcPr>
            <w:tcW w:w="2126" w:type="dxa"/>
            <w:shd w:val="clear" w:color="auto" w:fill="auto"/>
          </w:tcPr>
          <w:p w14:paraId="56A03C2E"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0.045-0.050</w:t>
            </w:r>
          </w:p>
        </w:tc>
        <w:tc>
          <w:tcPr>
            <w:tcW w:w="1577" w:type="dxa"/>
            <w:shd w:val="clear" w:color="auto" w:fill="auto"/>
          </w:tcPr>
          <w:p w14:paraId="5C31A393"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1.4</w:t>
            </w:r>
          </w:p>
        </w:tc>
      </w:tr>
      <w:tr w:rsidR="003365B5" w:rsidRPr="00C76E49" w14:paraId="75807A54" w14:textId="77777777" w:rsidTr="008A5390">
        <w:tc>
          <w:tcPr>
            <w:tcW w:w="5382" w:type="dxa"/>
            <w:shd w:val="clear" w:color="auto" w:fill="auto"/>
          </w:tcPr>
          <w:p w14:paraId="4C159610" w14:textId="0EA60C5D" w:rsidR="00CF6B2C" w:rsidRPr="00C76E49" w:rsidRDefault="00CF6B2C" w:rsidP="00A25D4F">
            <w:pPr>
              <w:pStyle w:val="Header"/>
              <w:tabs>
                <w:tab w:val="left" w:pos="284"/>
              </w:tabs>
              <w:jc w:val="both"/>
              <w:rPr>
                <w:sz w:val="22"/>
                <w:szCs w:val="22"/>
                <w:lang w:val="sr-Latn-ME"/>
              </w:rPr>
            </w:pPr>
            <w:r w:rsidRPr="00C76E49">
              <w:rPr>
                <w:sz w:val="22"/>
                <w:szCs w:val="22"/>
                <w:lang w:val="sr-Latn-ME"/>
              </w:rPr>
              <w:t>Hronična insuficijencija</w:t>
            </w:r>
            <w:r w:rsidR="009F050A">
              <w:rPr>
                <w:sz w:val="22"/>
                <w:szCs w:val="22"/>
                <w:lang w:val="sr-Latn-ME"/>
              </w:rPr>
              <w:t xml:space="preserve"> bubrega</w:t>
            </w:r>
          </w:p>
        </w:tc>
        <w:tc>
          <w:tcPr>
            <w:tcW w:w="2126" w:type="dxa"/>
            <w:shd w:val="clear" w:color="auto" w:fill="auto"/>
          </w:tcPr>
          <w:p w14:paraId="732ABC26"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0.045-0.050</w:t>
            </w:r>
          </w:p>
        </w:tc>
        <w:tc>
          <w:tcPr>
            <w:tcW w:w="1577" w:type="dxa"/>
            <w:shd w:val="clear" w:color="auto" w:fill="auto"/>
          </w:tcPr>
          <w:p w14:paraId="498103ED"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1.4</w:t>
            </w:r>
          </w:p>
        </w:tc>
      </w:tr>
      <w:tr w:rsidR="00CF6B2C" w:rsidRPr="00C76E49" w14:paraId="0D09BCFD" w14:textId="77777777" w:rsidTr="008A5390">
        <w:tc>
          <w:tcPr>
            <w:tcW w:w="5382" w:type="dxa"/>
            <w:shd w:val="clear" w:color="auto" w:fill="auto"/>
          </w:tcPr>
          <w:p w14:paraId="5CE1E38C" w14:textId="37DB260B" w:rsidR="00CF6B2C" w:rsidRPr="00C76E49" w:rsidRDefault="00CF6B2C" w:rsidP="00E421EE">
            <w:pPr>
              <w:pStyle w:val="Header"/>
              <w:tabs>
                <w:tab w:val="left" w:pos="284"/>
              </w:tabs>
              <w:jc w:val="both"/>
              <w:rPr>
                <w:sz w:val="22"/>
                <w:szCs w:val="22"/>
                <w:lang w:val="sr-Latn-ME"/>
              </w:rPr>
            </w:pPr>
            <w:r w:rsidRPr="00C76E49">
              <w:rPr>
                <w:sz w:val="22"/>
                <w:szCs w:val="22"/>
                <w:lang w:val="sr-Latn-ME"/>
              </w:rPr>
              <w:lastRenderedPageBreak/>
              <w:t>Djeca/</w:t>
            </w:r>
            <w:r w:rsidRPr="00C84600">
              <w:rPr>
                <w:sz w:val="22"/>
                <w:szCs w:val="22"/>
                <w:lang w:val="sr-Latn-ME"/>
              </w:rPr>
              <w:t xml:space="preserve">adolescenti rođeni </w:t>
            </w:r>
            <w:r w:rsidR="009F050A" w:rsidRPr="006E31B1">
              <w:rPr>
                <w:sz w:val="22"/>
                <w:szCs w:val="22"/>
                <w:lang w:val="it-IT"/>
              </w:rPr>
              <w:t xml:space="preserve">sa malom tjelesnom masom u odnosu na </w:t>
            </w:r>
            <w:r w:rsidRPr="00C84600">
              <w:rPr>
                <w:sz w:val="22"/>
                <w:szCs w:val="22"/>
                <w:lang w:val="sr-Latn-ME"/>
              </w:rPr>
              <w:t>gestacijsku</w:t>
            </w:r>
            <w:r w:rsidRPr="00C76E49">
              <w:rPr>
                <w:sz w:val="22"/>
                <w:szCs w:val="22"/>
                <w:lang w:val="sr-Latn-ME"/>
              </w:rPr>
              <w:t xml:space="preserve"> dob (SGA)</w:t>
            </w:r>
          </w:p>
        </w:tc>
        <w:tc>
          <w:tcPr>
            <w:tcW w:w="2126" w:type="dxa"/>
            <w:shd w:val="clear" w:color="auto" w:fill="auto"/>
          </w:tcPr>
          <w:p w14:paraId="60E35596"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0.035</w:t>
            </w:r>
          </w:p>
        </w:tc>
        <w:tc>
          <w:tcPr>
            <w:tcW w:w="1577" w:type="dxa"/>
            <w:shd w:val="clear" w:color="auto" w:fill="auto"/>
          </w:tcPr>
          <w:p w14:paraId="0C5752A2"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1.0</w:t>
            </w:r>
          </w:p>
        </w:tc>
      </w:tr>
    </w:tbl>
    <w:p w14:paraId="57E0361F" w14:textId="77777777" w:rsidR="00E421EE" w:rsidRDefault="00E421EE" w:rsidP="00A25D4F">
      <w:pPr>
        <w:pStyle w:val="Header"/>
        <w:tabs>
          <w:tab w:val="left" w:pos="284"/>
        </w:tabs>
        <w:jc w:val="both"/>
        <w:rPr>
          <w:i/>
          <w:sz w:val="22"/>
          <w:szCs w:val="22"/>
          <w:lang w:val="sr-Latn-ME"/>
        </w:rPr>
      </w:pPr>
    </w:p>
    <w:p w14:paraId="30292D8B" w14:textId="4449A232"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Deficit hormona rasta kod odraslih</w:t>
      </w:r>
    </w:p>
    <w:p w14:paraId="36C4FD5F"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Kod pacijenata koji nastavljaju sa terapijom hormonom rasta nakon djetinjstva u kojem je nastala deficijencija hormona rasta, preporučena doza za ponovni početak liječenja je 0.2- 0.5 mg/dan. Dozu treba postepeno povećavati ili snižavati u zavisnosti od individualnih potreba pacijenta, procijenjenih na osnovu koncentracije IGF-I. </w:t>
      </w:r>
    </w:p>
    <w:p w14:paraId="3E38F11D" w14:textId="77777777" w:rsidR="00CF6B2C" w:rsidRPr="00C76E49" w:rsidRDefault="00CF6B2C" w:rsidP="00A25D4F">
      <w:pPr>
        <w:pStyle w:val="Header"/>
        <w:tabs>
          <w:tab w:val="left" w:pos="284"/>
        </w:tabs>
        <w:jc w:val="both"/>
        <w:rPr>
          <w:sz w:val="22"/>
          <w:szCs w:val="22"/>
          <w:lang w:val="sr-Latn-ME"/>
        </w:rPr>
      </w:pPr>
    </w:p>
    <w:p w14:paraId="2986C9F1"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Kod odraslih sa deficijencijom hormona rasta nastalom u odrasloj dobi, terapiju treba započeti malom dozom, od 0.15- 0.3 mg/dan. Dozu treba postepeno povećavati u zavisnosti od individualnih potreba pacijenta, procijenjenih na osnovu koncentracije IGF-I. </w:t>
      </w:r>
    </w:p>
    <w:p w14:paraId="32FDE550" w14:textId="77777777" w:rsidR="00CF6B2C" w:rsidRPr="00C76E49" w:rsidRDefault="00CF6B2C" w:rsidP="00A25D4F">
      <w:pPr>
        <w:pStyle w:val="Header"/>
        <w:tabs>
          <w:tab w:val="left" w:pos="284"/>
        </w:tabs>
        <w:jc w:val="both"/>
        <w:rPr>
          <w:sz w:val="22"/>
          <w:szCs w:val="22"/>
          <w:lang w:val="sr-Latn-ME"/>
        </w:rPr>
      </w:pPr>
    </w:p>
    <w:p w14:paraId="515301D5"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U oba slučaja, terapijski cilj treba da budu koncentracije IGF-I u okviru 2 SDS korigovane za srednje vrijednosti starosne dobi zdravih dobrovoljaca. Pacijenti sa normalnom koncentracijom IGF-I na početku terapije treba da dobijaju hormon rasta do postizanja vrijednosti IGF-I u okviru gornje granice normalnog opsega, ne prelazeći 2 SDS. Klinički odgovor i neželjeni efekti takođe se mogu koristiti kao vodič za titriranje doze. Utvrđeno je da postoje pacijenti sa deficijencijom hormona rasta kod kojih vrijednosti IGF-I ne postaju normalne uprkos dobrom kliničkom odgovoru pa njima ne treba povećavati dozu. Dnevne doze održavanja rijetko prelaze 1.0 mg/dan. Kod žena mogu biti potrebne više doze nego kod muškaraca, dok muškarci pokazuju povećanje osjetljivosti na IGF-I tokom vremena. Ovo znači da postoji rizik da su žene, posebno one na </w:t>
      </w:r>
      <w:r w:rsidR="00D434CA" w:rsidRPr="00C76E49">
        <w:rPr>
          <w:sz w:val="22"/>
          <w:szCs w:val="22"/>
          <w:lang w:val="sr-Latn-ME"/>
        </w:rPr>
        <w:t xml:space="preserve">supstitucionoj </w:t>
      </w:r>
      <w:r w:rsidRPr="00C76E49">
        <w:rPr>
          <w:sz w:val="22"/>
          <w:szCs w:val="22"/>
          <w:lang w:val="sr-Latn-ME"/>
        </w:rPr>
        <w:t xml:space="preserve">terapiji oralnim estrogenima, izložene manjim dozama GH, dok su muškarci izloženi većim dozama ovog hormona. Zbog toga na svakih 6 mjeseci treba kontrolisati tačnost doze hormona rasta. Kako se normalna fiziološka produkcija hormona rasta smanjuje sa godinama, doze se mogu smanjiti. </w:t>
      </w:r>
    </w:p>
    <w:p w14:paraId="787A2510" w14:textId="77777777" w:rsidR="00CF6B2C" w:rsidRPr="00C76E49" w:rsidRDefault="00CF6B2C" w:rsidP="00A25D4F">
      <w:pPr>
        <w:pStyle w:val="Header"/>
        <w:tabs>
          <w:tab w:val="left" w:pos="284"/>
        </w:tabs>
        <w:jc w:val="both"/>
        <w:rPr>
          <w:sz w:val="22"/>
          <w:szCs w:val="22"/>
          <w:lang w:val="sr-Latn-ME"/>
        </w:rPr>
      </w:pPr>
    </w:p>
    <w:p w14:paraId="00ECCB1B" w14:textId="77777777" w:rsidR="00CF6B2C" w:rsidRPr="00C76E49" w:rsidRDefault="00CF6B2C" w:rsidP="00A25D4F">
      <w:pPr>
        <w:pStyle w:val="Header"/>
        <w:tabs>
          <w:tab w:val="left" w:pos="284"/>
        </w:tabs>
        <w:jc w:val="both"/>
        <w:rPr>
          <w:i/>
          <w:sz w:val="22"/>
          <w:szCs w:val="22"/>
          <w:u w:val="single"/>
          <w:lang w:val="sr-Latn-ME"/>
        </w:rPr>
      </w:pPr>
      <w:r w:rsidRPr="00C76E49">
        <w:rPr>
          <w:i/>
          <w:sz w:val="22"/>
          <w:szCs w:val="22"/>
          <w:u w:val="single"/>
          <w:lang w:val="sr-Latn-ME"/>
        </w:rPr>
        <w:t>Posebne grupe pacijenata</w:t>
      </w:r>
    </w:p>
    <w:p w14:paraId="17387AB1" w14:textId="77777777" w:rsidR="006439E3" w:rsidRDefault="006439E3" w:rsidP="00A25D4F">
      <w:pPr>
        <w:pStyle w:val="Header"/>
        <w:tabs>
          <w:tab w:val="left" w:pos="284"/>
        </w:tabs>
        <w:jc w:val="both"/>
        <w:rPr>
          <w:i/>
          <w:sz w:val="22"/>
          <w:szCs w:val="22"/>
          <w:lang w:val="sr-Latn-ME"/>
        </w:rPr>
      </w:pPr>
    </w:p>
    <w:p w14:paraId="6CC78E66" w14:textId="77777777" w:rsidR="00CF6B2C" w:rsidRPr="00C76E49" w:rsidRDefault="00CF6B2C" w:rsidP="00A25D4F">
      <w:pPr>
        <w:pStyle w:val="Header"/>
        <w:tabs>
          <w:tab w:val="left" w:pos="284"/>
        </w:tabs>
        <w:jc w:val="both"/>
        <w:rPr>
          <w:i/>
          <w:sz w:val="22"/>
          <w:szCs w:val="22"/>
          <w:lang w:val="sr-Latn-ME"/>
        </w:rPr>
      </w:pPr>
      <w:r w:rsidRPr="00C76E49">
        <w:rPr>
          <w:i/>
          <w:sz w:val="22"/>
          <w:szCs w:val="22"/>
          <w:lang w:val="sr-Latn-ME"/>
        </w:rPr>
        <w:t>Stariji pacijenti</w:t>
      </w:r>
    </w:p>
    <w:p w14:paraId="3EAEC9F1" w14:textId="6D4F3D0C" w:rsidR="00CF6B2C" w:rsidRPr="00C76E49" w:rsidRDefault="00CF6B2C" w:rsidP="00A25D4F">
      <w:pPr>
        <w:pStyle w:val="Header"/>
        <w:tabs>
          <w:tab w:val="left" w:pos="284"/>
        </w:tabs>
        <w:jc w:val="both"/>
        <w:rPr>
          <w:sz w:val="22"/>
          <w:szCs w:val="22"/>
          <w:lang w:val="sr-Latn-ME"/>
        </w:rPr>
      </w:pPr>
      <w:r w:rsidRPr="00C76E49">
        <w:rPr>
          <w:sz w:val="22"/>
          <w:szCs w:val="22"/>
          <w:lang w:val="sr-Latn-ME"/>
        </w:rPr>
        <w:t>Kod pacijenata starijih od 60 godina terapiju treba započeti dozom od 0.1-0.2 mg/dan i polako je povećavati u zavisnosti od individualnih potreba pacijenta. Potrebno je koristiti najmanju efektivnu dozu. Doza održavanja kod ovih pacijenata rijetko prelazi 0.5 mg/dan.</w:t>
      </w:r>
    </w:p>
    <w:p w14:paraId="4667D47B" w14:textId="77777777" w:rsidR="00041ED2" w:rsidRPr="006E31B1" w:rsidRDefault="00041ED2" w:rsidP="00A25D4F">
      <w:pPr>
        <w:tabs>
          <w:tab w:val="left" w:pos="540"/>
          <w:tab w:val="left" w:pos="569"/>
        </w:tabs>
        <w:jc w:val="both"/>
        <w:rPr>
          <w:bCs/>
          <w:sz w:val="22"/>
          <w:szCs w:val="22"/>
          <w:u w:val="single"/>
          <w:lang w:val="sr-Latn-ME"/>
        </w:rPr>
      </w:pPr>
    </w:p>
    <w:p w14:paraId="5285ED8E" w14:textId="7063F982" w:rsidR="00452E9D" w:rsidRPr="006E31B1" w:rsidRDefault="00452E9D" w:rsidP="00A25D4F">
      <w:pPr>
        <w:tabs>
          <w:tab w:val="left" w:pos="540"/>
          <w:tab w:val="left" w:pos="569"/>
        </w:tabs>
        <w:jc w:val="both"/>
        <w:rPr>
          <w:bCs/>
          <w:sz w:val="22"/>
          <w:szCs w:val="22"/>
          <w:u w:val="single"/>
          <w:lang w:val="it-IT"/>
        </w:rPr>
      </w:pPr>
      <w:r w:rsidRPr="006E31B1">
        <w:rPr>
          <w:bCs/>
          <w:sz w:val="22"/>
          <w:szCs w:val="22"/>
          <w:u w:val="single"/>
          <w:lang w:val="it-IT"/>
        </w:rPr>
        <w:t>Način primjene</w:t>
      </w:r>
    </w:p>
    <w:p w14:paraId="76F7339A"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Injekciju treba primijeniti subkutano. Mijenjati mjesto primjene lijeka radi sprečavanja lipoatrofije.</w:t>
      </w:r>
    </w:p>
    <w:p w14:paraId="0483A50B" w14:textId="77777777" w:rsidR="00CF6B2C" w:rsidRPr="00C76E49" w:rsidRDefault="00CF6B2C" w:rsidP="00A25D4F">
      <w:pPr>
        <w:pStyle w:val="Header"/>
        <w:tabs>
          <w:tab w:val="left" w:pos="284"/>
        </w:tabs>
        <w:jc w:val="both"/>
        <w:rPr>
          <w:sz w:val="22"/>
          <w:szCs w:val="22"/>
          <w:lang w:val="sr-Latn-ME"/>
        </w:rPr>
      </w:pPr>
    </w:p>
    <w:p w14:paraId="495F417B" w14:textId="734E0C16" w:rsidR="00CF6B2C" w:rsidRPr="00C76E49" w:rsidRDefault="00CF6B2C" w:rsidP="00A25D4F">
      <w:pPr>
        <w:tabs>
          <w:tab w:val="left" w:pos="540"/>
          <w:tab w:val="left" w:pos="569"/>
        </w:tabs>
        <w:jc w:val="both"/>
        <w:rPr>
          <w:sz w:val="22"/>
          <w:szCs w:val="22"/>
          <w:lang w:val="sr-Latn-ME"/>
        </w:rPr>
      </w:pPr>
      <w:r w:rsidRPr="00C76E49">
        <w:rPr>
          <w:sz w:val="22"/>
          <w:szCs w:val="22"/>
          <w:lang w:val="sr-Latn-ME"/>
        </w:rPr>
        <w:t xml:space="preserve">Za uputstvo o upotrebi i rukovanju, vidjeti </w:t>
      </w:r>
      <w:r w:rsidR="006439E3">
        <w:rPr>
          <w:sz w:val="22"/>
          <w:szCs w:val="22"/>
          <w:lang w:val="sr-Latn-ME"/>
        </w:rPr>
        <w:t xml:space="preserve">dio </w:t>
      </w:r>
      <w:r w:rsidRPr="00C76E49">
        <w:rPr>
          <w:sz w:val="22"/>
          <w:szCs w:val="22"/>
          <w:lang w:val="sr-Latn-ME"/>
        </w:rPr>
        <w:t>6.6.</w:t>
      </w:r>
    </w:p>
    <w:p w14:paraId="665FE525" w14:textId="77777777" w:rsidR="00452E9D" w:rsidRPr="006E31B1" w:rsidRDefault="00452E9D" w:rsidP="00A25D4F">
      <w:pPr>
        <w:tabs>
          <w:tab w:val="left" w:pos="540"/>
          <w:tab w:val="left" w:pos="569"/>
        </w:tabs>
        <w:jc w:val="both"/>
        <w:rPr>
          <w:bCs/>
          <w:sz w:val="22"/>
          <w:szCs w:val="22"/>
          <w:lang w:val="it-IT"/>
        </w:rPr>
      </w:pPr>
    </w:p>
    <w:p w14:paraId="07E6B800" w14:textId="77777777" w:rsidR="00411B4B" w:rsidRPr="00C76E49" w:rsidRDefault="00411B4B" w:rsidP="00A25D4F">
      <w:pPr>
        <w:tabs>
          <w:tab w:val="left" w:pos="540"/>
          <w:tab w:val="left" w:pos="569"/>
        </w:tabs>
        <w:jc w:val="both"/>
        <w:rPr>
          <w:b/>
          <w:bCs/>
          <w:sz w:val="22"/>
          <w:szCs w:val="22"/>
        </w:rPr>
      </w:pPr>
      <w:r w:rsidRPr="00C76E49">
        <w:rPr>
          <w:b/>
          <w:bCs/>
          <w:sz w:val="22"/>
          <w:szCs w:val="22"/>
        </w:rPr>
        <w:t xml:space="preserve">4.3. </w:t>
      </w:r>
      <w:r w:rsidR="00480FB1" w:rsidRPr="00C76E49">
        <w:rPr>
          <w:b/>
          <w:bCs/>
          <w:sz w:val="22"/>
          <w:szCs w:val="22"/>
        </w:rPr>
        <w:tab/>
      </w:r>
      <w:proofErr w:type="spellStart"/>
      <w:r w:rsidRPr="00C76E49">
        <w:rPr>
          <w:b/>
          <w:bCs/>
          <w:sz w:val="22"/>
          <w:szCs w:val="22"/>
        </w:rPr>
        <w:t>Kontraindikacije</w:t>
      </w:r>
      <w:proofErr w:type="spellEnd"/>
    </w:p>
    <w:p w14:paraId="392D9FA2" w14:textId="77777777" w:rsidR="00CF6B2C" w:rsidRPr="00C76E49" w:rsidRDefault="00CF6B2C" w:rsidP="00A25D4F">
      <w:pPr>
        <w:tabs>
          <w:tab w:val="left" w:pos="540"/>
          <w:tab w:val="left" w:pos="569"/>
        </w:tabs>
        <w:jc w:val="both"/>
        <w:rPr>
          <w:b/>
          <w:bCs/>
          <w:sz w:val="22"/>
          <w:szCs w:val="22"/>
          <w:lang w:val="sr-Latn-ME"/>
        </w:rPr>
      </w:pPr>
    </w:p>
    <w:p w14:paraId="2651D635" w14:textId="1432ADF8" w:rsidR="00CF6B2C" w:rsidRPr="00C76E49" w:rsidRDefault="00CF6B2C" w:rsidP="00A25D4F">
      <w:pPr>
        <w:pStyle w:val="Header"/>
        <w:numPr>
          <w:ilvl w:val="0"/>
          <w:numId w:val="12"/>
        </w:numPr>
        <w:tabs>
          <w:tab w:val="clear" w:pos="4320"/>
          <w:tab w:val="left" w:pos="142"/>
        </w:tabs>
        <w:ind w:left="142" w:hanging="142"/>
        <w:jc w:val="both"/>
        <w:rPr>
          <w:sz w:val="22"/>
          <w:szCs w:val="22"/>
          <w:lang w:val="sr-Latn-ME"/>
        </w:rPr>
      </w:pPr>
      <w:r w:rsidRPr="00C76E49">
        <w:rPr>
          <w:sz w:val="22"/>
          <w:szCs w:val="22"/>
          <w:lang w:val="sr-Latn-ME"/>
        </w:rPr>
        <w:t>Preosjetljivost na somatropin ili bilo koju od pomoćnih supstanci u lijeku</w:t>
      </w:r>
      <w:r w:rsidR="009C0B52" w:rsidRPr="00C76E49">
        <w:rPr>
          <w:sz w:val="22"/>
          <w:szCs w:val="22"/>
          <w:lang w:val="sr-Latn-ME"/>
        </w:rPr>
        <w:t xml:space="preserve"> navedenih u </w:t>
      </w:r>
      <w:r w:rsidR="006439E3">
        <w:rPr>
          <w:sz w:val="22"/>
          <w:szCs w:val="22"/>
          <w:lang w:val="sr-Latn-ME"/>
        </w:rPr>
        <w:t xml:space="preserve">dijelu </w:t>
      </w:r>
      <w:r w:rsidR="009C0B52" w:rsidRPr="00C76E49">
        <w:rPr>
          <w:sz w:val="22"/>
          <w:szCs w:val="22"/>
          <w:lang w:val="sr-Latn-ME"/>
        </w:rPr>
        <w:t>6.1.</w:t>
      </w:r>
    </w:p>
    <w:p w14:paraId="2C936641" w14:textId="77777777" w:rsidR="00CF6B2C" w:rsidRPr="00C76E49" w:rsidRDefault="00CF6B2C" w:rsidP="00A25D4F">
      <w:pPr>
        <w:pStyle w:val="Header"/>
        <w:numPr>
          <w:ilvl w:val="0"/>
          <w:numId w:val="12"/>
        </w:numPr>
        <w:tabs>
          <w:tab w:val="clear" w:pos="4320"/>
          <w:tab w:val="left" w:pos="142"/>
        </w:tabs>
        <w:ind w:left="142" w:hanging="142"/>
        <w:jc w:val="both"/>
        <w:rPr>
          <w:sz w:val="22"/>
          <w:szCs w:val="22"/>
          <w:lang w:val="sr-Latn-ME"/>
        </w:rPr>
      </w:pPr>
      <w:r w:rsidRPr="00C76E49">
        <w:rPr>
          <w:sz w:val="22"/>
          <w:szCs w:val="22"/>
          <w:lang w:val="sr-Latn-ME"/>
        </w:rPr>
        <w:t>Somatropin se ne smije primjenjivati ako postoji bilo kakav dokaz tumorske aktivnosti. Intrakranijani tumori moraju biti neaktivni, a antitumorska terapija mora biti završena prije započinjanja terapije hormonom rasta. Terapiju treba prekinuti ako postoje dokazi o rastu tumora.</w:t>
      </w:r>
    </w:p>
    <w:p w14:paraId="2DC68B87" w14:textId="77777777" w:rsidR="00CF6B2C" w:rsidRPr="00C76E49" w:rsidRDefault="00CF6B2C" w:rsidP="00A25D4F">
      <w:pPr>
        <w:pStyle w:val="Header"/>
        <w:numPr>
          <w:ilvl w:val="0"/>
          <w:numId w:val="12"/>
        </w:numPr>
        <w:tabs>
          <w:tab w:val="clear" w:pos="4320"/>
          <w:tab w:val="left" w:pos="142"/>
        </w:tabs>
        <w:ind w:left="142" w:hanging="142"/>
        <w:jc w:val="both"/>
        <w:rPr>
          <w:sz w:val="22"/>
          <w:szCs w:val="22"/>
          <w:lang w:val="sr-Latn-ME"/>
        </w:rPr>
      </w:pPr>
      <w:r w:rsidRPr="00C76E49">
        <w:rPr>
          <w:sz w:val="22"/>
          <w:szCs w:val="22"/>
          <w:lang w:val="sr-Latn-ME"/>
        </w:rPr>
        <w:t>Somatropin se ne smije primjenjivati za stimulisanje rasta kod pacijenata kod kojih je došlo do zatvaranja epifiza</w:t>
      </w:r>
      <w:r w:rsidR="009C0B52" w:rsidRPr="00C76E49">
        <w:rPr>
          <w:sz w:val="22"/>
          <w:szCs w:val="22"/>
          <w:lang w:val="sr-Latn-ME"/>
        </w:rPr>
        <w:t>.</w:t>
      </w:r>
    </w:p>
    <w:p w14:paraId="34E3918F" w14:textId="7748ADE0" w:rsidR="00CF6B2C" w:rsidRPr="00C76E49" w:rsidRDefault="00CF6B2C" w:rsidP="00A25D4F">
      <w:pPr>
        <w:pStyle w:val="Header"/>
        <w:numPr>
          <w:ilvl w:val="0"/>
          <w:numId w:val="12"/>
        </w:numPr>
        <w:tabs>
          <w:tab w:val="clear" w:pos="4320"/>
          <w:tab w:val="left" w:pos="142"/>
        </w:tabs>
        <w:ind w:left="142" w:hanging="142"/>
        <w:jc w:val="both"/>
        <w:rPr>
          <w:sz w:val="22"/>
          <w:szCs w:val="22"/>
          <w:lang w:val="sr-Latn-ME"/>
        </w:rPr>
      </w:pPr>
      <w:r w:rsidRPr="00C76E49">
        <w:rPr>
          <w:sz w:val="22"/>
          <w:szCs w:val="22"/>
          <w:lang w:val="sr-Latn-ME"/>
        </w:rPr>
        <w:t xml:space="preserve">Pacijenti sa akutnim kritičnim oboljenjima koji imaju komplikacije nakon operacija na otvorenom srcu, abdominalnih operacija, multiplih akcidentalnih trauma, akutne respiratorne insuficijencije ili sličnih stanja, ne smiju se liječiti somatropinom. Za pacijente koji podliježu supstitucionoj terapiji, vidjeti </w:t>
      </w:r>
      <w:r w:rsidR="006439E3">
        <w:rPr>
          <w:sz w:val="22"/>
          <w:szCs w:val="22"/>
          <w:lang w:val="sr-Latn-ME"/>
        </w:rPr>
        <w:t xml:space="preserve">dio </w:t>
      </w:r>
      <w:r w:rsidRPr="00C76E49">
        <w:rPr>
          <w:sz w:val="22"/>
          <w:szCs w:val="22"/>
          <w:lang w:val="sr-Latn-ME"/>
        </w:rPr>
        <w:t>4.4.</w:t>
      </w:r>
    </w:p>
    <w:p w14:paraId="1953FAC9" w14:textId="77777777" w:rsidR="0072020E" w:rsidRPr="00C76E49" w:rsidRDefault="0072020E" w:rsidP="00A25D4F">
      <w:pPr>
        <w:tabs>
          <w:tab w:val="left" w:pos="540"/>
          <w:tab w:val="left" w:pos="569"/>
        </w:tabs>
        <w:jc w:val="both"/>
        <w:rPr>
          <w:bCs/>
          <w:sz w:val="22"/>
          <w:szCs w:val="22"/>
        </w:rPr>
      </w:pPr>
    </w:p>
    <w:p w14:paraId="45C8B0B5" w14:textId="77777777" w:rsidR="00411B4B" w:rsidRPr="006E31B1" w:rsidRDefault="00411B4B" w:rsidP="00A25D4F">
      <w:pPr>
        <w:tabs>
          <w:tab w:val="left" w:pos="540"/>
          <w:tab w:val="left" w:pos="569"/>
        </w:tabs>
        <w:jc w:val="both"/>
        <w:rPr>
          <w:b/>
          <w:bCs/>
          <w:sz w:val="22"/>
          <w:szCs w:val="22"/>
          <w:lang w:val="it-IT"/>
        </w:rPr>
      </w:pPr>
      <w:r w:rsidRPr="006E31B1">
        <w:rPr>
          <w:b/>
          <w:bCs/>
          <w:sz w:val="22"/>
          <w:szCs w:val="22"/>
          <w:lang w:val="it-IT"/>
        </w:rPr>
        <w:t xml:space="preserve">4.4. </w:t>
      </w:r>
      <w:r w:rsidR="00480FB1" w:rsidRPr="006E31B1">
        <w:rPr>
          <w:b/>
          <w:bCs/>
          <w:sz w:val="22"/>
          <w:szCs w:val="22"/>
          <w:lang w:val="it-IT"/>
        </w:rPr>
        <w:tab/>
      </w:r>
      <w:r w:rsidRPr="006E31B1">
        <w:rPr>
          <w:b/>
          <w:bCs/>
          <w:sz w:val="22"/>
          <w:szCs w:val="22"/>
          <w:lang w:val="it-IT"/>
        </w:rPr>
        <w:t>Posebna upozorenja i mjere opreza pri upotrebi lijeka</w:t>
      </w:r>
    </w:p>
    <w:p w14:paraId="3F2FF8BB" w14:textId="77777777" w:rsidR="00A25D4F" w:rsidRPr="006E31B1" w:rsidRDefault="00A25D4F" w:rsidP="00A25D4F">
      <w:pPr>
        <w:tabs>
          <w:tab w:val="left" w:pos="540"/>
          <w:tab w:val="left" w:pos="569"/>
        </w:tabs>
        <w:jc w:val="both"/>
        <w:rPr>
          <w:b/>
          <w:bCs/>
          <w:sz w:val="22"/>
          <w:szCs w:val="22"/>
          <w:lang w:val="it-IT"/>
        </w:rPr>
      </w:pPr>
    </w:p>
    <w:p w14:paraId="2E65E3C5" w14:textId="2F12D868" w:rsidR="00EC7034" w:rsidRPr="006E31B1" w:rsidRDefault="00EC7034" w:rsidP="00EC7034">
      <w:pPr>
        <w:rPr>
          <w:sz w:val="22"/>
          <w:szCs w:val="22"/>
          <w:lang w:val="it-IT"/>
        </w:rPr>
      </w:pPr>
      <w:r w:rsidRPr="006E31B1">
        <w:rPr>
          <w:sz w:val="22"/>
          <w:szCs w:val="22"/>
          <w:lang w:val="it-IT"/>
        </w:rPr>
        <w:t>Maksimalna preporučena dnevna doza se ne smije prekoračiti (vid</w:t>
      </w:r>
      <w:r w:rsidR="00A21499" w:rsidRPr="006E31B1">
        <w:rPr>
          <w:sz w:val="22"/>
          <w:szCs w:val="22"/>
          <w:lang w:val="it-IT"/>
        </w:rPr>
        <w:t>j</w:t>
      </w:r>
      <w:r w:rsidRPr="006E31B1">
        <w:rPr>
          <w:sz w:val="22"/>
          <w:szCs w:val="22"/>
          <w:lang w:val="it-IT"/>
        </w:rPr>
        <w:t>eti dio 4.2).</w:t>
      </w:r>
    </w:p>
    <w:p w14:paraId="15DFBB22" w14:textId="0501F1A0" w:rsidR="00EC7034" w:rsidRDefault="00EC7034" w:rsidP="00A25D4F">
      <w:pPr>
        <w:tabs>
          <w:tab w:val="left" w:pos="540"/>
          <w:tab w:val="left" w:pos="569"/>
        </w:tabs>
        <w:jc w:val="both"/>
        <w:rPr>
          <w:b/>
          <w:bCs/>
          <w:sz w:val="22"/>
          <w:szCs w:val="22"/>
          <w:lang w:val="it-IT"/>
        </w:rPr>
      </w:pPr>
    </w:p>
    <w:p w14:paraId="369F32BC" w14:textId="3E691922" w:rsidR="00D50357" w:rsidRDefault="00D50357" w:rsidP="00A25D4F">
      <w:pPr>
        <w:tabs>
          <w:tab w:val="left" w:pos="540"/>
          <w:tab w:val="left" w:pos="569"/>
        </w:tabs>
        <w:jc w:val="both"/>
        <w:rPr>
          <w:b/>
          <w:bCs/>
          <w:sz w:val="22"/>
          <w:szCs w:val="22"/>
          <w:lang w:val="it-IT"/>
        </w:rPr>
      </w:pPr>
    </w:p>
    <w:p w14:paraId="60F61593" w14:textId="77777777" w:rsidR="00D50357" w:rsidRPr="006E31B1" w:rsidRDefault="00D50357" w:rsidP="00A25D4F">
      <w:pPr>
        <w:tabs>
          <w:tab w:val="left" w:pos="540"/>
          <w:tab w:val="left" w:pos="569"/>
        </w:tabs>
        <w:jc w:val="both"/>
        <w:rPr>
          <w:b/>
          <w:bCs/>
          <w:sz w:val="22"/>
          <w:szCs w:val="22"/>
          <w:lang w:val="it-IT"/>
        </w:rPr>
      </w:pPr>
    </w:p>
    <w:p w14:paraId="431AD487" w14:textId="77777777" w:rsidR="00A25D4F" w:rsidRPr="00C76E49" w:rsidRDefault="00A25D4F" w:rsidP="00A25D4F">
      <w:pPr>
        <w:autoSpaceDE w:val="0"/>
        <w:autoSpaceDN w:val="0"/>
        <w:adjustRightInd w:val="0"/>
        <w:jc w:val="both"/>
        <w:rPr>
          <w:sz w:val="22"/>
          <w:szCs w:val="22"/>
          <w:u w:val="single"/>
          <w:lang w:val="sr-Latn-ME" w:eastAsia="sr-Latn-ME"/>
        </w:rPr>
      </w:pPr>
      <w:r w:rsidRPr="00C76E49">
        <w:rPr>
          <w:sz w:val="22"/>
          <w:szCs w:val="22"/>
          <w:u w:val="single"/>
          <w:lang w:val="sr-Latn-ME" w:eastAsia="sr-Latn-ME"/>
        </w:rPr>
        <w:lastRenderedPageBreak/>
        <w:t>Sl</w:t>
      </w:r>
      <w:r w:rsidR="006439E3">
        <w:rPr>
          <w:sz w:val="22"/>
          <w:szCs w:val="22"/>
          <w:u w:val="single"/>
          <w:lang w:val="sr-Latn-ME" w:eastAsia="sr-Latn-ME"/>
        </w:rPr>
        <w:t>j</w:t>
      </w:r>
      <w:r w:rsidRPr="00C76E49">
        <w:rPr>
          <w:sz w:val="22"/>
          <w:szCs w:val="22"/>
          <w:u w:val="single"/>
          <w:lang w:val="sr-Latn-ME" w:eastAsia="sr-Latn-ME"/>
        </w:rPr>
        <w:t>edljivost</w:t>
      </w:r>
    </w:p>
    <w:p w14:paraId="77581C53" w14:textId="77777777" w:rsidR="00A25D4F" w:rsidRPr="00C76E49" w:rsidRDefault="00A25D4F" w:rsidP="00A25D4F">
      <w:pPr>
        <w:autoSpaceDE w:val="0"/>
        <w:autoSpaceDN w:val="0"/>
        <w:adjustRightInd w:val="0"/>
        <w:jc w:val="both"/>
        <w:rPr>
          <w:sz w:val="22"/>
          <w:szCs w:val="22"/>
          <w:lang w:val="sr-Latn-ME" w:eastAsia="sr-Latn-ME"/>
        </w:rPr>
      </w:pPr>
      <w:r w:rsidRPr="00C76E49">
        <w:rPr>
          <w:sz w:val="22"/>
          <w:szCs w:val="22"/>
          <w:lang w:val="sr-Latn-ME" w:eastAsia="sr-Latn-ME"/>
        </w:rPr>
        <w:t>Kako bi se poboljšala sledljivost bioloških ljekova, naziv i broj serije primijenjenog lijeka potrebno je</w:t>
      </w:r>
    </w:p>
    <w:p w14:paraId="0A43A1D4" w14:textId="66DBE17F" w:rsidR="00A25D4F" w:rsidRPr="00C76E49" w:rsidRDefault="00A25D4F" w:rsidP="00A25D4F">
      <w:pPr>
        <w:autoSpaceDE w:val="0"/>
        <w:autoSpaceDN w:val="0"/>
        <w:adjustRightInd w:val="0"/>
        <w:jc w:val="both"/>
        <w:rPr>
          <w:sz w:val="22"/>
          <w:szCs w:val="22"/>
          <w:lang w:val="sr-Latn-ME" w:eastAsia="sr-Latn-ME"/>
        </w:rPr>
      </w:pPr>
      <w:r w:rsidRPr="00C76E49">
        <w:rPr>
          <w:sz w:val="22"/>
          <w:szCs w:val="22"/>
          <w:lang w:val="sr-Latn-ME" w:eastAsia="sr-Latn-ME"/>
        </w:rPr>
        <w:t>jasno evidentirati</w:t>
      </w:r>
      <w:r w:rsidR="00ED56D0">
        <w:rPr>
          <w:sz w:val="22"/>
          <w:szCs w:val="22"/>
          <w:lang w:val="sr-Latn-ME" w:eastAsia="sr-Latn-ME"/>
        </w:rPr>
        <w:t>.</w:t>
      </w:r>
    </w:p>
    <w:p w14:paraId="5A2CFBED" w14:textId="77777777" w:rsidR="00A25D4F" w:rsidRPr="00C76E49" w:rsidRDefault="00A25D4F" w:rsidP="00A25D4F">
      <w:pPr>
        <w:autoSpaceDE w:val="0"/>
        <w:autoSpaceDN w:val="0"/>
        <w:adjustRightInd w:val="0"/>
        <w:jc w:val="both"/>
        <w:rPr>
          <w:sz w:val="22"/>
          <w:szCs w:val="22"/>
          <w:lang w:val="sr-Latn-ME" w:eastAsia="sr-Latn-ME"/>
        </w:rPr>
      </w:pPr>
    </w:p>
    <w:p w14:paraId="0AC99D6D" w14:textId="77777777" w:rsidR="009C0B52" w:rsidRPr="00C76E49" w:rsidRDefault="00EC7034" w:rsidP="00A25D4F">
      <w:pPr>
        <w:autoSpaceDE w:val="0"/>
        <w:autoSpaceDN w:val="0"/>
        <w:adjustRightInd w:val="0"/>
        <w:jc w:val="both"/>
        <w:rPr>
          <w:sz w:val="22"/>
          <w:szCs w:val="22"/>
          <w:u w:val="single"/>
          <w:lang w:val="sr-Latn-ME" w:eastAsia="sr-Latn-ME"/>
        </w:rPr>
      </w:pPr>
      <w:r w:rsidRPr="00C76E49">
        <w:rPr>
          <w:sz w:val="22"/>
          <w:szCs w:val="22"/>
          <w:u w:val="single"/>
          <w:lang w:val="sr-Latn-ME" w:eastAsia="sr-Latn-ME"/>
        </w:rPr>
        <w:t>Hipoadrenalizam</w:t>
      </w:r>
    </w:p>
    <w:p w14:paraId="36B46542" w14:textId="77777777" w:rsidR="009C0B52" w:rsidRPr="00C76E49" w:rsidRDefault="009C0B52" w:rsidP="00A25D4F">
      <w:pPr>
        <w:autoSpaceDE w:val="0"/>
        <w:autoSpaceDN w:val="0"/>
        <w:adjustRightInd w:val="0"/>
        <w:jc w:val="both"/>
        <w:rPr>
          <w:sz w:val="22"/>
          <w:szCs w:val="22"/>
          <w:lang w:val="sr-Latn-ME" w:eastAsia="sr-Latn-ME"/>
        </w:rPr>
      </w:pPr>
      <w:r w:rsidRPr="00C76E49">
        <w:rPr>
          <w:sz w:val="22"/>
          <w:szCs w:val="22"/>
          <w:lang w:val="sr-Latn-ME" w:eastAsia="sr-Latn-ME"/>
        </w:rPr>
        <w:t>Uvođenje terapije somatropinom može rezultirati inhibicijom 11βHSD-1 i smanjenim koncentracijama</w:t>
      </w:r>
    </w:p>
    <w:p w14:paraId="419D68F9" w14:textId="13E5F963" w:rsidR="009C0B52" w:rsidRPr="00C76E49" w:rsidRDefault="009C0B52" w:rsidP="00A25D4F">
      <w:pPr>
        <w:autoSpaceDE w:val="0"/>
        <w:autoSpaceDN w:val="0"/>
        <w:adjustRightInd w:val="0"/>
        <w:jc w:val="both"/>
        <w:rPr>
          <w:sz w:val="22"/>
          <w:szCs w:val="22"/>
          <w:lang w:val="sr-Latn-ME" w:eastAsia="sr-Latn-ME"/>
        </w:rPr>
      </w:pPr>
      <w:r w:rsidRPr="00C76E49">
        <w:rPr>
          <w:sz w:val="22"/>
          <w:szCs w:val="22"/>
          <w:lang w:val="sr-Latn-ME" w:eastAsia="sr-Latn-ME"/>
        </w:rPr>
        <w:t xml:space="preserve">kortizola u serumu. Kod bolesnika liječenih somatropinom može se otkriti prethodno nedijagnostikovan centralni (sekundarni) hipoadrenalizam, tako da može biti potrebna </w:t>
      </w:r>
      <w:r w:rsidR="00DA66ED" w:rsidRPr="00C76E49">
        <w:rPr>
          <w:sz w:val="22"/>
          <w:szCs w:val="22"/>
          <w:lang w:val="sr-Latn-ME" w:eastAsia="sr-Latn-ME"/>
        </w:rPr>
        <w:t>supstituciona</w:t>
      </w:r>
      <w:r w:rsidRPr="00C76E49">
        <w:rPr>
          <w:sz w:val="22"/>
          <w:szCs w:val="22"/>
          <w:lang w:val="sr-Latn-ME" w:eastAsia="sr-Latn-ME"/>
        </w:rPr>
        <w:t xml:space="preserve"> terapija</w:t>
      </w:r>
      <w:r w:rsidR="00DA66ED" w:rsidRPr="00C76E49">
        <w:rPr>
          <w:sz w:val="22"/>
          <w:szCs w:val="22"/>
          <w:lang w:val="sr-Latn-ME" w:eastAsia="sr-Latn-ME"/>
        </w:rPr>
        <w:t xml:space="preserve"> </w:t>
      </w:r>
      <w:r w:rsidRPr="00C76E49">
        <w:rPr>
          <w:sz w:val="22"/>
          <w:szCs w:val="22"/>
          <w:lang w:val="sr-Latn-ME" w:eastAsia="sr-Latn-ME"/>
        </w:rPr>
        <w:t xml:space="preserve">glukokortikoidima. Pored toga, bolesnicima koji se liječe </w:t>
      </w:r>
      <w:r w:rsidR="00DA66ED" w:rsidRPr="00C76E49">
        <w:rPr>
          <w:sz w:val="22"/>
          <w:szCs w:val="22"/>
          <w:lang w:val="sr-Latn-ME" w:eastAsia="sr-Latn-ME"/>
        </w:rPr>
        <w:t>supstitucionom</w:t>
      </w:r>
      <w:r w:rsidRPr="00C76E49">
        <w:rPr>
          <w:sz w:val="22"/>
          <w:szCs w:val="22"/>
          <w:lang w:val="sr-Latn-ME" w:eastAsia="sr-Latn-ME"/>
        </w:rPr>
        <w:t xml:space="preserve"> terapijom glukokortikoidima</w:t>
      </w:r>
      <w:r w:rsidR="00DA66ED" w:rsidRPr="00C76E49">
        <w:rPr>
          <w:sz w:val="22"/>
          <w:szCs w:val="22"/>
          <w:lang w:val="sr-Latn-ME" w:eastAsia="sr-Latn-ME"/>
        </w:rPr>
        <w:t xml:space="preserve"> </w:t>
      </w:r>
      <w:r w:rsidRPr="00C76E49">
        <w:rPr>
          <w:sz w:val="22"/>
          <w:szCs w:val="22"/>
          <w:lang w:val="sr-Latn-ME" w:eastAsia="sr-Latn-ME"/>
        </w:rPr>
        <w:t>zbog prethodno dijagnosti</w:t>
      </w:r>
      <w:r w:rsidR="00DA66ED" w:rsidRPr="00C76E49">
        <w:rPr>
          <w:sz w:val="22"/>
          <w:szCs w:val="22"/>
          <w:lang w:val="sr-Latn-ME" w:eastAsia="sr-Latn-ME"/>
        </w:rPr>
        <w:t>kovanog</w:t>
      </w:r>
      <w:r w:rsidRPr="00C76E49">
        <w:rPr>
          <w:sz w:val="22"/>
          <w:szCs w:val="22"/>
          <w:lang w:val="sr-Latn-ME" w:eastAsia="sr-Latn-ME"/>
        </w:rPr>
        <w:t xml:space="preserve"> hipoadrenalizma može biti potrebno povisiti dozu održavanja ili</w:t>
      </w:r>
      <w:r w:rsidR="00DA66ED" w:rsidRPr="00C76E49">
        <w:rPr>
          <w:sz w:val="22"/>
          <w:szCs w:val="22"/>
          <w:lang w:val="sr-Latn-ME" w:eastAsia="sr-Latn-ME"/>
        </w:rPr>
        <w:t xml:space="preserve"> </w:t>
      </w:r>
      <w:r w:rsidRPr="00C76E49">
        <w:rPr>
          <w:sz w:val="22"/>
          <w:szCs w:val="22"/>
          <w:lang w:val="sr-Latn-ME" w:eastAsia="sr-Latn-ME"/>
        </w:rPr>
        <w:t>dozu u stresnim situacijama nakon što započnu liječenje somatropinom (vidjeti dio 4.5).</w:t>
      </w:r>
    </w:p>
    <w:p w14:paraId="4ED0E3AF" w14:textId="77777777" w:rsidR="009C0B52" w:rsidRPr="00C76E49" w:rsidRDefault="009C0B52" w:rsidP="00A25D4F">
      <w:pPr>
        <w:autoSpaceDE w:val="0"/>
        <w:autoSpaceDN w:val="0"/>
        <w:adjustRightInd w:val="0"/>
        <w:jc w:val="both"/>
        <w:rPr>
          <w:sz w:val="22"/>
          <w:szCs w:val="22"/>
          <w:lang w:val="sr-Latn-ME" w:eastAsia="sr-Latn-ME"/>
        </w:rPr>
      </w:pPr>
    </w:p>
    <w:p w14:paraId="3EBB9880" w14:textId="77777777" w:rsidR="009C0B52" w:rsidRPr="00C76E49" w:rsidRDefault="009C0B52" w:rsidP="00A25D4F">
      <w:pPr>
        <w:autoSpaceDE w:val="0"/>
        <w:autoSpaceDN w:val="0"/>
        <w:adjustRightInd w:val="0"/>
        <w:jc w:val="both"/>
        <w:rPr>
          <w:sz w:val="22"/>
          <w:szCs w:val="22"/>
          <w:u w:val="single"/>
          <w:lang w:val="sr-Latn-ME" w:eastAsia="sr-Latn-ME"/>
        </w:rPr>
      </w:pPr>
      <w:r w:rsidRPr="00C76E49">
        <w:rPr>
          <w:sz w:val="22"/>
          <w:szCs w:val="22"/>
          <w:u w:val="single"/>
          <w:lang w:val="sr-Latn-ME" w:eastAsia="sr-Latn-ME"/>
        </w:rPr>
        <w:t>Primjena s peroralnom estrogenskom terapijom</w:t>
      </w:r>
    </w:p>
    <w:p w14:paraId="3DD63DDE" w14:textId="77777777" w:rsidR="009C0B52" w:rsidRPr="00C76E49" w:rsidRDefault="009C0B52" w:rsidP="00A25D4F">
      <w:pPr>
        <w:autoSpaceDE w:val="0"/>
        <w:autoSpaceDN w:val="0"/>
        <w:adjustRightInd w:val="0"/>
        <w:jc w:val="both"/>
        <w:rPr>
          <w:sz w:val="22"/>
          <w:szCs w:val="22"/>
          <w:lang w:val="sr-Latn-ME" w:eastAsia="sr-Latn-ME"/>
        </w:rPr>
      </w:pPr>
      <w:r w:rsidRPr="00C76E49">
        <w:rPr>
          <w:sz w:val="22"/>
          <w:szCs w:val="22"/>
          <w:lang w:val="sr-Latn-ME" w:eastAsia="sr-Latn-ME"/>
        </w:rPr>
        <w:t>Ako žena koja uzima somatropin započne peroralnu estrogensku terapiju, možda će biti potrebno</w:t>
      </w:r>
    </w:p>
    <w:p w14:paraId="5F103F8B" w14:textId="7755A4B8" w:rsidR="00CF6B2C" w:rsidRPr="00C76E49" w:rsidRDefault="009C0B52" w:rsidP="00A25D4F">
      <w:pPr>
        <w:autoSpaceDE w:val="0"/>
        <w:autoSpaceDN w:val="0"/>
        <w:adjustRightInd w:val="0"/>
        <w:jc w:val="both"/>
        <w:rPr>
          <w:sz w:val="22"/>
          <w:szCs w:val="22"/>
          <w:lang w:val="sr-Latn-ME" w:eastAsia="sr-Latn-ME"/>
        </w:rPr>
      </w:pPr>
      <w:r w:rsidRPr="00C76E49">
        <w:rPr>
          <w:sz w:val="22"/>
          <w:szCs w:val="22"/>
          <w:lang w:val="sr-Latn-ME" w:eastAsia="sr-Latn-ME"/>
        </w:rPr>
        <w:t xml:space="preserve">povećati dozu lijeka somatropinom kako bi se </w:t>
      </w:r>
      <w:r w:rsidR="00DA66ED" w:rsidRPr="00C76E49">
        <w:rPr>
          <w:sz w:val="22"/>
          <w:szCs w:val="22"/>
          <w:lang w:val="sr-Latn-ME" w:eastAsia="sr-Latn-ME"/>
        </w:rPr>
        <w:t>koncentracije</w:t>
      </w:r>
      <w:r w:rsidRPr="00C76E49">
        <w:rPr>
          <w:sz w:val="22"/>
          <w:szCs w:val="22"/>
          <w:lang w:val="sr-Latn-ME" w:eastAsia="sr-Latn-ME"/>
        </w:rPr>
        <w:t xml:space="preserve"> IGF-1 u serumu održale </w:t>
      </w:r>
      <w:r w:rsidR="00DA66ED" w:rsidRPr="00C76E49">
        <w:rPr>
          <w:sz w:val="22"/>
          <w:szCs w:val="22"/>
          <w:lang w:val="sr-Latn-ME" w:eastAsia="sr-Latn-ME"/>
        </w:rPr>
        <w:t>u okviru</w:t>
      </w:r>
      <w:r w:rsidRPr="00C76E49">
        <w:rPr>
          <w:sz w:val="22"/>
          <w:szCs w:val="22"/>
          <w:lang w:val="sr-Latn-ME" w:eastAsia="sr-Latn-ME"/>
        </w:rPr>
        <w:t xml:space="preserve"> normaln</w:t>
      </w:r>
      <w:r w:rsidR="00DA66ED" w:rsidRPr="00C76E49">
        <w:rPr>
          <w:sz w:val="22"/>
          <w:szCs w:val="22"/>
          <w:lang w:val="sr-Latn-ME" w:eastAsia="sr-Latn-ME"/>
        </w:rPr>
        <w:t>e granice</w:t>
      </w:r>
      <w:r w:rsidRPr="00C76E49">
        <w:rPr>
          <w:sz w:val="22"/>
          <w:szCs w:val="22"/>
          <w:lang w:val="sr-Latn-ME" w:eastAsia="sr-Latn-ME"/>
        </w:rPr>
        <w:t xml:space="preserve"> za </w:t>
      </w:r>
      <w:r w:rsidR="00DA66ED" w:rsidRPr="00C76E49">
        <w:rPr>
          <w:sz w:val="22"/>
          <w:szCs w:val="22"/>
          <w:lang w:val="sr-Latn-ME" w:eastAsia="sr-Latn-ME"/>
        </w:rPr>
        <w:t>starosnu dob</w:t>
      </w:r>
      <w:r w:rsidR="00A21499">
        <w:rPr>
          <w:sz w:val="22"/>
          <w:szCs w:val="22"/>
          <w:lang w:val="sr-Latn-ME" w:eastAsia="sr-Latn-ME"/>
        </w:rPr>
        <w:t>. I</w:t>
      </w:r>
      <w:r w:rsidRPr="00C76E49">
        <w:rPr>
          <w:sz w:val="22"/>
          <w:szCs w:val="22"/>
          <w:lang w:val="sr-Latn-ME" w:eastAsia="sr-Latn-ME"/>
        </w:rPr>
        <w:t xml:space="preserve"> obrnuto, ako žena koja uzima somatropin prekine peroralnu estrogensku terapiju,</w:t>
      </w:r>
      <w:r w:rsidR="00DA66ED" w:rsidRPr="00C76E49">
        <w:rPr>
          <w:sz w:val="22"/>
          <w:szCs w:val="22"/>
          <w:lang w:val="sr-Latn-ME" w:eastAsia="sr-Latn-ME"/>
        </w:rPr>
        <w:t xml:space="preserve"> </w:t>
      </w:r>
      <w:r w:rsidRPr="00C76E49">
        <w:rPr>
          <w:sz w:val="22"/>
          <w:szCs w:val="22"/>
          <w:lang w:val="sr-Latn-ME" w:eastAsia="sr-Latn-ME"/>
        </w:rPr>
        <w:t>dozu lijeka somatropinom možda će biti potrebno sniziti kako bi se izbjegao višak hormona rasta i/ili</w:t>
      </w:r>
      <w:r w:rsidR="00DA66ED" w:rsidRPr="00C76E49">
        <w:rPr>
          <w:sz w:val="22"/>
          <w:szCs w:val="22"/>
          <w:lang w:val="sr-Latn-ME" w:eastAsia="sr-Latn-ME"/>
        </w:rPr>
        <w:t xml:space="preserve"> pojavu neželjenih dejstava </w:t>
      </w:r>
      <w:r w:rsidRPr="00C76E49">
        <w:rPr>
          <w:sz w:val="22"/>
          <w:szCs w:val="22"/>
          <w:lang w:val="sr-Latn-ME" w:eastAsia="sr-Latn-ME"/>
        </w:rPr>
        <w:t>(vidjeti dio 4.5).</w:t>
      </w:r>
    </w:p>
    <w:p w14:paraId="0D62A5CB" w14:textId="77777777" w:rsidR="009C0B52" w:rsidRPr="00C76E49" w:rsidRDefault="009C0B52" w:rsidP="00A25D4F">
      <w:pPr>
        <w:pStyle w:val="Header"/>
        <w:tabs>
          <w:tab w:val="left" w:pos="284"/>
        </w:tabs>
        <w:jc w:val="both"/>
        <w:rPr>
          <w:sz w:val="22"/>
          <w:szCs w:val="22"/>
          <w:u w:val="single"/>
          <w:lang w:val="sr-Latn-ME"/>
        </w:rPr>
      </w:pPr>
    </w:p>
    <w:p w14:paraId="1C7F1E9C"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Osjetljivost na insulin</w:t>
      </w:r>
    </w:p>
    <w:p w14:paraId="53C6138C"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Somatropin može indukovati stanje insulinske rezistencije. Kod pacijenata sa dijabetes melitusom može biti potrebno prilagođavanje doze insulina nakon uvođenja terapije somatropinom. Pacijente sa dijabetesom, intolerancijom glukoze ili dodatnim faktorima rizika za dijabetes je potrebno pratiti tokom terapije somatropinom.</w:t>
      </w:r>
    </w:p>
    <w:p w14:paraId="70E8C9A2" w14:textId="77777777" w:rsidR="00CF6B2C" w:rsidRPr="00C76E49" w:rsidRDefault="00CF6B2C" w:rsidP="00A25D4F">
      <w:pPr>
        <w:pStyle w:val="Header"/>
        <w:tabs>
          <w:tab w:val="left" w:pos="284"/>
        </w:tabs>
        <w:jc w:val="both"/>
        <w:rPr>
          <w:sz w:val="22"/>
          <w:szCs w:val="22"/>
          <w:lang w:val="sr-Latn-ME"/>
        </w:rPr>
      </w:pPr>
    </w:p>
    <w:p w14:paraId="2D8C3BA5"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Funkcija štitaste žlijezde</w:t>
      </w:r>
    </w:p>
    <w:p w14:paraId="77D90314"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Hormon rasta pojačava ekstratireoidno pretvaranje T4 u T3, što može dovesti do smanjenja koncentracije T4 i povećanja koncentracije T3 u serumu. Dok su kod zdravih ispitanika vrijednosti perifernih tireoidnih hormona ostale su u referentnom opsegu, kod pacijenata sa subkliničkim hipotireoidizmom teoretski se može razviti hipotireoidizam. Zbog toga je potrebno pratiti funkciju </w:t>
      </w:r>
      <w:r w:rsidR="00EE22B4" w:rsidRPr="00C76E49">
        <w:rPr>
          <w:sz w:val="22"/>
          <w:szCs w:val="22"/>
          <w:lang w:val="sr-Latn-ME"/>
        </w:rPr>
        <w:t xml:space="preserve">štitne </w:t>
      </w:r>
      <w:r w:rsidRPr="00C76E49">
        <w:rPr>
          <w:sz w:val="22"/>
          <w:szCs w:val="22"/>
          <w:lang w:val="sr-Latn-ME"/>
        </w:rPr>
        <w:t xml:space="preserve">žlijezde kod svih pacijenata. Kod pacijenata sa hipopituitarizmom koji uzimaju standardnu supstitucionu terapiju, mogući efekat liječenja hormonom rasta na funkciju </w:t>
      </w:r>
      <w:r w:rsidR="00EE22B4" w:rsidRPr="00C76E49">
        <w:rPr>
          <w:sz w:val="22"/>
          <w:szCs w:val="22"/>
          <w:lang w:val="sr-Latn-ME"/>
        </w:rPr>
        <w:t xml:space="preserve">štitne </w:t>
      </w:r>
      <w:r w:rsidRPr="00C76E49">
        <w:rPr>
          <w:sz w:val="22"/>
          <w:szCs w:val="22"/>
          <w:lang w:val="sr-Latn-ME"/>
        </w:rPr>
        <w:t>žlijezde mora se posebno pažljivo pratiti.</w:t>
      </w:r>
    </w:p>
    <w:p w14:paraId="5B5803CF" w14:textId="77777777" w:rsidR="00CF6B2C" w:rsidRPr="00C76E49" w:rsidRDefault="00CF6B2C" w:rsidP="00A25D4F">
      <w:pPr>
        <w:pStyle w:val="Header"/>
        <w:tabs>
          <w:tab w:val="left" w:pos="284"/>
        </w:tabs>
        <w:jc w:val="both"/>
        <w:rPr>
          <w:sz w:val="22"/>
          <w:szCs w:val="22"/>
          <w:lang w:val="sr-Latn-ME"/>
        </w:rPr>
      </w:pPr>
    </w:p>
    <w:p w14:paraId="5A970B9E" w14:textId="77777777" w:rsidR="00EE22B4" w:rsidRPr="008A5390" w:rsidRDefault="00EC7034" w:rsidP="00A25D4F">
      <w:pPr>
        <w:pStyle w:val="Header"/>
        <w:tabs>
          <w:tab w:val="left" w:pos="284"/>
        </w:tabs>
        <w:jc w:val="both"/>
        <w:rPr>
          <w:sz w:val="22"/>
          <w:szCs w:val="22"/>
          <w:u w:val="single"/>
          <w:lang w:val="sr-Latn-ME"/>
        </w:rPr>
      </w:pPr>
      <w:r w:rsidRPr="008A5390">
        <w:rPr>
          <w:sz w:val="22"/>
          <w:szCs w:val="22"/>
          <w:u w:val="single"/>
          <w:lang w:val="sr-Latn-ME"/>
        </w:rPr>
        <w:t>Neoplazma</w:t>
      </w:r>
    </w:p>
    <w:p w14:paraId="3CAE3D3D" w14:textId="77777777" w:rsidR="00EE22B4" w:rsidRPr="00C76E49" w:rsidRDefault="00CF6B2C" w:rsidP="00A25D4F">
      <w:pPr>
        <w:pStyle w:val="Header"/>
        <w:tabs>
          <w:tab w:val="left" w:pos="284"/>
        </w:tabs>
        <w:jc w:val="both"/>
        <w:rPr>
          <w:sz w:val="22"/>
          <w:szCs w:val="22"/>
          <w:lang w:val="sr-Latn-ME"/>
        </w:rPr>
      </w:pPr>
      <w:r w:rsidRPr="00C76E49">
        <w:rPr>
          <w:sz w:val="22"/>
          <w:szCs w:val="22"/>
          <w:lang w:val="sr-Latn-ME"/>
        </w:rPr>
        <w:t>Kod deficita hormona rasta, sekundarno usljed terapije malignih oboljenja, preporučuje se da se obrati pažnja na znake recidiva maligniteta.</w:t>
      </w:r>
      <w:r w:rsidR="00EE22B4" w:rsidRPr="006E31B1">
        <w:rPr>
          <w:sz w:val="22"/>
          <w:szCs w:val="22"/>
          <w:lang w:val="it-IT"/>
        </w:rPr>
        <w:t xml:space="preserve"> </w:t>
      </w:r>
      <w:r w:rsidR="00EE22B4" w:rsidRPr="00C76E49">
        <w:rPr>
          <w:sz w:val="22"/>
          <w:szCs w:val="22"/>
          <w:lang w:val="sr-Latn-ME"/>
        </w:rPr>
        <w:t>Kod osoba koje su preboljele karcinom u djetinjstvu zabilježen je</w:t>
      </w:r>
    </w:p>
    <w:p w14:paraId="03701445" w14:textId="77777777" w:rsidR="00EE22B4" w:rsidRPr="00C76E49" w:rsidRDefault="00EE22B4" w:rsidP="00A25D4F">
      <w:pPr>
        <w:pStyle w:val="Header"/>
        <w:tabs>
          <w:tab w:val="left" w:pos="284"/>
        </w:tabs>
        <w:jc w:val="both"/>
        <w:rPr>
          <w:sz w:val="22"/>
          <w:szCs w:val="22"/>
          <w:lang w:val="sr-Latn-ME"/>
        </w:rPr>
      </w:pPr>
      <w:r w:rsidRPr="00C76E49">
        <w:rPr>
          <w:sz w:val="22"/>
          <w:szCs w:val="22"/>
          <w:lang w:val="sr-Latn-ME"/>
        </w:rPr>
        <w:t>povećani rizik od drugog karcinoma kod pacijenata liječenih somatotropinom nakon prvog karcinoma.</w:t>
      </w:r>
    </w:p>
    <w:p w14:paraId="7DC65D00" w14:textId="77777777" w:rsidR="00CF6B2C" w:rsidRPr="00C76E49" w:rsidRDefault="00EE22B4" w:rsidP="00A25D4F">
      <w:pPr>
        <w:pStyle w:val="Header"/>
        <w:tabs>
          <w:tab w:val="left" w:pos="284"/>
        </w:tabs>
        <w:jc w:val="both"/>
        <w:rPr>
          <w:sz w:val="22"/>
          <w:szCs w:val="22"/>
          <w:lang w:val="sr-Latn-ME"/>
        </w:rPr>
      </w:pPr>
      <w:r w:rsidRPr="00C76E49">
        <w:rPr>
          <w:sz w:val="22"/>
          <w:szCs w:val="22"/>
          <w:lang w:val="sr-Latn-ME"/>
        </w:rPr>
        <w:t>Najčešći među tim drugim karcinomima bili su intrakranijalni tumori, posebno meningeomi, kod pacijenata liječenih zračenjem glave zbog prvog karcinoma.</w:t>
      </w:r>
    </w:p>
    <w:p w14:paraId="3DEAC335" w14:textId="77777777" w:rsidR="00EE22B4" w:rsidRPr="00C76E49" w:rsidRDefault="00EE22B4" w:rsidP="00A25D4F">
      <w:pPr>
        <w:pStyle w:val="Header"/>
        <w:tabs>
          <w:tab w:val="left" w:pos="284"/>
        </w:tabs>
        <w:jc w:val="both"/>
        <w:rPr>
          <w:sz w:val="22"/>
          <w:szCs w:val="22"/>
          <w:lang w:val="sr-Latn-ME"/>
        </w:rPr>
      </w:pPr>
    </w:p>
    <w:p w14:paraId="724FABFB" w14:textId="77777777" w:rsidR="00EE22B4" w:rsidRPr="007B1358" w:rsidRDefault="00EC7034" w:rsidP="00A25D4F">
      <w:pPr>
        <w:pStyle w:val="Header"/>
        <w:tabs>
          <w:tab w:val="left" w:pos="284"/>
        </w:tabs>
        <w:jc w:val="both"/>
        <w:rPr>
          <w:sz w:val="22"/>
          <w:szCs w:val="22"/>
          <w:u w:val="single"/>
          <w:lang w:val="sr-Latn-ME"/>
        </w:rPr>
      </w:pPr>
      <w:r w:rsidRPr="007B1358">
        <w:rPr>
          <w:sz w:val="22"/>
          <w:szCs w:val="22"/>
          <w:u w:val="single"/>
          <w:lang w:val="sr-Latn-ME"/>
        </w:rPr>
        <w:t>Epifizioliza glave butne kosti</w:t>
      </w:r>
    </w:p>
    <w:p w14:paraId="253D2370"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pacijenata sa endokrinim poremećajima, uključujući deficit GH, češća je pojava epifiziolize u području kuka nego u opštoj populaciji. Potrebno je kliničko ispitivanje kod pacijenata koji tokom terapije somatropinom hramlju.</w:t>
      </w:r>
    </w:p>
    <w:p w14:paraId="358540A7" w14:textId="77777777" w:rsidR="00CF6B2C" w:rsidRPr="00C76E49" w:rsidRDefault="00CF6B2C" w:rsidP="00A25D4F">
      <w:pPr>
        <w:pStyle w:val="Header"/>
        <w:tabs>
          <w:tab w:val="left" w:pos="284"/>
        </w:tabs>
        <w:jc w:val="both"/>
        <w:rPr>
          <w:sz w:val="22"/>
          <w:szCs w:val="22"/>
          <w:lang w:val="sr-Latn-ME"/>
        </w:rPr>
      </w:pPr>
    </w:p>
    <w:p w14:paraId="540E0CA6"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Benigna intrakranijana hipertenzija</w:t>
      </w:r>
    </w:p>
    <w:p w14:paraId="3A082F2C"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U slučaju teških ili ponavljanih glavobolja,</w:t>
      </w:r>
      <w:r w:rsidR="00EE22B4" w:rsidRPr="00C76E49">
        <w:rPr>
          <w:sz w:val="22"/>
          <w:szCs w:val="22"/>
          <w:lang w:val="sr-Latn-ME"/>
        </w:rPr>
        <w:t xml:space="preserve"> </w:t>
      </w:r>
      <w:r w:rsidRPr="00C76E49">
        <w:rPr>
          <w:sz w:val="22"/>
          <w:szCs w:val="22"/>
          <w:lang w:val="sr-Latn-ME"/>
        </w:rPr>
        <w:t>problema</w:t>
      </w:r>
      <w:r w:rsidR="00EE22B4" w:rsidRPr="00C76E49">
        <w:rPr>
          <w:sz w:val="22"/>
          <w:szCs w:val="22"/>
          <w:lang w:val="sr-Latn-ME"/>
        </w:rPr>
        <w:t xml:space="preserve"> s vidom</w:t>
      </w:r>
      <w:r w:rsidRPr="00C76E49">
        <w:rPr>
          <w:sz w:val="22"/>
          <w:szCs w:val="22"/>
          <w:lang w:val="sr-Latn-ME"/>
        </w:rPr>
        <w:t>, mučnine i/ili povraćanja, preporučuje se fundoskopija zbog mogućeg edema papile. Ako se potvrdi edem papile, treba razmotriti dijagnozu benigne intrakranijalne hipertenzije i, ako je potrebno, prekinuti terapiju hormonom rasta. Do danas nema dovoljno dokaza kako bi se dali specifični savjeti o nastavku terapije hormonom rasta kod pacijenata sa izliječenom intrakranijalnom hipertenzijom. Ako se ponovno započne terapija hormonom rasta, potrebno je pažljivo praćenje pojave simptoma intrakranijalne hipertenzije.</w:t>
      </w:r>
    </w:p>
    <w:p w14:paraId="67066FEB" w14:textId="07CF727B" w:rsidR="00CF6B2C" w:rsidRDefault="00CF6B2C" w:rsidP="00A25D4F">
      <w:pPr>
        <w:pStyle w:val="Header"/>
        <w:tabs>
          <w:tab w:val="left" w:pos="284"/>
        </w:tabs>
        <w:jc w:val="both"/>
        <w:rPr>
          <w:sz w:val="22"/>
          <w:szCs w:val="22"/>
          <w:lang w:val="sr-Latn-ME"/>
        </w:rPr>
      </w:pPr>
    </w:p>
    <w:p w14:paraId="3C67978D" w14:textId="7BF991CB" w:rsidR="00D50357" w:rsidRDefault="00D50357" w:rsidP="00A25D4F">
      <w:pPr>
        <w:pStyle w:val="Header"/>
        <w:tabs>
          <w:tab w:val="left" w:pos="284"/>
        </w:tabs>
        <w:jc w:val="both"/>
        <w:rPr>
          <w:sz w:val="22"/>
          <w:szCs w:val="22"/>
          <w:lang w:val="sr-Latn-ME"/>
        </w:rPr>
      </w:pPr>
    </w:p>
    <w:p w14:paraId="305B247D" w14:textId="66225D38" w:rsidR="00D50357" w:rsidRDefault="00D50357" w:rsidP="00A25D4F">
      <w:pPr>
        <w:pStyle w:val="Header"/>
        <w:tabs>
          <w:tab w:val="left" w:pos="284"/>
        </w:tabs>
        <w:jc w:val="both"/>
        <w:rPr>
          <w:sz w:val="22"/>
          <w:szCs w:val="22"/>
          <w:lang w:val="sr-Latn-ME"/>
        </w:rPr>
      </w:pPr>
    </w:p>
    <w:p w14:paraId="4F5F2D65" w14:textId="77777777" w:rsidR="00D50357" w:rsidRPr="00C76E49" w:rsidRDefault="00D50357" w:rsidP="00A25D4F">
      <w:pPr>
        <w:pStyle w:val="Header"/>
        <w:tabs>
          <w:tab w:val="left" w:pos="284"/>
        </w:tabs>
        <w:jc w:val="both"/>
        <w:rPr>
          <w:sz w:val="22"/>
          <w:szCs w:val="22"/>
          <w:lang w:val="sr-Latn-ME"/>
        </w:rPr>
      </w:pPr>
    </w:p>
    <w:p w14:paraId="7D006867"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lastRenderedPageBreak/>
        <w:t>Leukemija</w:t>
      </w:r>
    </w:p>
    <w:p w14:paraId="13B2360D"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Leukemija je zablilježena kod  malog broja pacijenata sa deficijencijom hormona rasta, od kojih su neki bili liječeni somatropinom. Međutim, nema dokaza da je incidenca leukemije povećana kod osoba koje primaju hromone rasta kod kojih nijesu prisutni predisponirajući faktori.</w:t>
      </w:r>
    </w:p>
    <w:p w14:paraId="36D0434D" w14:textId="77777777" w:rsidR="00CF6B2C" w:rsidRPr="00C76E49" w:rsidRDefault="00CF6B2C" w:rsidP="00A25D4F">
      <w:pPr>
        <w:pStyle w:val="Header"/>
        <w:tabs>
          <w:tab w:val="left" w:pos="284"/>
        </w:tabs>
        <w:jc w:val="both"/>
        <w:rPr>
          <w:sz w:val="22"/>
          <w:szCs w:val="22"/>
          <w:lang w:val="sr-Latn-ME"/>
        </w:rPr>
      </w:pPr>
    </w:p>
    <w:p w14:paraId="6EB2ABC0"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Antitijela</w:t>
      </w:r>
    </w:p>
    <w:p w14:paraId="5773C93A" w14:textId="77777777" w:rsidR="008E626B" w:rsidRPr="00C76E49" w:rsidRDefault="00CF6B2C" w:rsidP="00A25D4F">
      <w:pPr>
        <w:pStyle w:val="Header"/>
        <w:tabs>
          <w:tab w:val="left" w:pos="284"/>
        </w:tabs>
        <w:jc w:val="both"/>
        <w:rPr>
          <w:sz w:val="22"/>
          <w:szCs w:val="22"/>
          <w:lang w:val="sr-Latn-ME"/>
        </w:rPr>
      </w:pPr>
      <w:r w:rsidRPr="00C76E49">
        <w:rPr>
          <w:sz w:val="22"/>
          <w:szCs w:val="22"/>
          <w:lang w:val="sr-Latn-ME"/>
        </w:rPr>
        <w:t>Mali procenat pacijenata može razviti antitijela na Omnitrope. Omnitrope je izazvao stvaranje antitijela kod približno 1% pacijenata. Ova antitijela imaju malu sposobnost vezivanja, pa nemaju efekat na brzinu rasta. Testiranje na antitijela na somatropin treba sprovesti kod svakog pacijenta sa inače neobjašnjivim izostankom odgovora.</w:t>
      </w:r>
    </w:p>
    <w:p w14:paraId="64763EE1" w14:textId="77777777" w:rsidR="00A25D4F" w:rsidRPr="00C76E49" w:rsidRDefault="00A25D4F" w:rsidP="00A25D4F">
      <w:pPr>
        <w:pStyle w:val="Header"/>
        <w:tabs>
          <w:tab w:val="left" w:pos="284"/>
        </w:tabs>
        <w:jc w:val="both"/>
        <w:rPr>
          <w:i/>
          <w:sz w:val="22"/>
          <w:szCs w:val="22"/>
          <w:lang w:val="sr-Latn-ME"/>
        </w:rPr>
      </w:pPr>
    </w:p>
    <w:p w14:paraId="27572DD5" w14:textId="77777777" w:rsidR="00A25D4F" w:rsidRPr="007B1358" w:rsidRDefault="00A25D4F" w:rsidP="00A25D4F">
      <w:pPr>
        <w:pStyle w:val="Header"/>
        <w:tabs>
          <w:tab w:val="left" w:pos="284"/>
        </w:tabs>
        <w:jc w:val="both"/>
        <w:rPr>
          <w:iCs/>
          <w:sz w:val="22"/>
          <w:szCs w:val="22"/>
          <w:u w:val="single"/>
          <w:lang w:val="sr-Latn-ME"/>
        </w:rPr>
      </w:pPr>
      <w:r w:rsidRPr="007B1358">
        <w:rPr>
          <w:iCs/>
          <w:sz w:val="22"/>
          <w:szCs w:val="22"/>
          <w:u w:val="single"/>
          <w:lang w:val="sr-Latn-ME"/>
        </w:rPr>
        <w:t>Pankreatitis</w:t>
      </w:r>
    </w:p>
    <w:p w14:paraId="70BB2D9A" w14:textId="77777777" w:rsidR="008E626B" w:rsidRPr="00C76E49" w:rsidRDefault="00A25D4F" w:rsidP="00A25D4F">
      <w:pPr>
        <w:pStyle w:val="Header"/>
        <w:tabs>
          <w:tab w:val="left" w:pos="284"/>
        </w:tabs>
        <w:jc w:val="both"/>
        <w:rPr>
          <w:iCs/>
          <w:sz w:val="22"/>
          <w:szCs w:val="22"/>
          <w:lang w:val="sr-Latn-ME"/>
        </w:rPr>
      </w:pPr>
      <w:r w:rsidRPr="00C76E49">
        <w:rPr>
          <w:iCs/>
          <w:sz w:val="22"/>
          <w:szCs w:val="22"/>
          <w:lang w:val="sr-Latn-ME"/>
        </w:rPr>
        <w:t>Iako je rijedak, pankreatitis treba uzeti u obzir kod djece liječene somatropinom kod kojih se ispolji abdominalni bol.</w:t>
      </w:r>
    </w:p>
    <w:p w14:paraId="57D15DB6" w14:textId="77777777" w:rsidR="00A25D4F" w:rsidRPr="00C76E49" w:rsidRDefault="00A25D4F" w:rsidP="00A25D4F">
      <w:pPr>
        <w:pStyle w:val="Header"/>
        <w:tabs>
          <w:tab w:val="left" w:pos="284"/>
        </w:tabs>
        <w:jc w:val="both"/>
        <w:rPr>
          <w:i/>
          <w:sz w:val="22"/>
          <w:szCs w:val="22"/>
          <w:lang w:val="sr-Latn-ME"/>
        </w:rPr>
      </w:pPr>
    </w:p>
    <w:p w14:paraId="1604F732" w14:textId="77777777" w:rsidR="00EC7034" w:rsidRPr="006E31B1" w:rsidRDefault="00EC7034" w:rsidP="00EC7034">
      <w:pPr>
        <w:tabs>
          <w:tab w:val="left" w:pos="540"/>
          <w:tab w:val="left" w:pos="569"/>
        </w:tabs>
        <w:jc w:val="both"/>
        <w:rPr>
          <w:bCs/>
          <w:sz w:val="22"/>
          <w:szCs w:val="22"/>
          <w:u w:val="single"/>
          <w:lang w:val="sr-Latn-ME"/>
        </w:rPr>
      </w:pPr>
      <w:proofErr w:type="spellStart"/>
      <w:r w:rsidRPr="007B1358">
        <w:rPr>
          <w:bCs/>
          <w:sz w:val="22"/>
          <w:szCs w:val="22"/>
          <w:u w:val="single"/>
        </w:rPr>
        <w:t>Skolioza</w:t>
      </w:r>
      <w:proofErr w:type="spellEnd"/>
    </w:p>
    <w:p w14:paraId="2FB9ED77" w14:textId="77777777" w:rsidR="00EC7034" w:rsidRPr="006E31B1" w:rsidRDefault="00EC7034" w:rsidP="00EC7034">
      <w:pPr>
        <w:tabs>
          <w:tab w:val="left" w:pos="540"/>
          <w:tab w:val="left" w:pos="569"/>
        </w:tabs>
        <w:jc w:val="both"/>
        <w:rPr>
          <w:bCs/>
          <w:sz w:val="22"/>
          <w:szCs w:val="22"/>
          <w:lang w:val="sr-Latn-ME"/>
        </w:rPr>
      </w:pPr>
      <w:proofErr w:type="spellStart"/>
      <w:r w:rsidRPr="00C76E49">
        <w:rPr>
          <w:bCs/>
          <w:sz w:val="22"/>
          <w:szCs w:val="22"/>
        </w:rPr>
        <w:t>Poznato</w:t>
      </w:r>
      <w:proofErr w:type="spellEnd"/>
      <w:r w:rsidRPr="006E31B1">
        <w:rPr>
          <w:bCs/>
          <w:sz w:val="22"/>
          <w:szCs w:val="22"/>
          <w:lang w:val="sr-Latn-ME"/>
        </w:rPr>
        <w:t xml:space="preserve"> </w:t>
      </w:r>
      <w:r w:rsidRPr="00C76E49">
        <w:rPr>
          <w:bCs/>
          <w:sz w:val="22"/>
          <w:szCs w:val="22"/>
        </w:rPr>
        <w:t>je</w:t>
      </w:r>
      <w:r w:rsidRPr="006E31B1">
        <w:rPr>
          <w:bCs/>
          <w:sz w:val="22"/>
          <w:szCs w:val="22"/>
          <w:lang w:val="sr-Latn-ME"/>
        </w:rPr>
        <w:t xml:space="preserve"> </w:t>
      </w:r>
      <w:r w:rsidRPr="00C76E49">
        <w:rPr>
          <w:bCs/>
          <w:sz w:val="22"/>
          <w:szCs w:val="22"/>
        </w:rPr>
        <w:t>da</w:t>
      </w:r>
      <w:r w:rsidRPr="006E31B1">
        <w:rPr>
          <w:bCs/>
          <w:sz w:val="22"/>
          <w:szCs w:val="22"/>
          <w:lang w:val="sr-Latn-ME"/>
        </w:rPr>
        <w:t xml:space="preserve"> </w:t>
      </w:r>
      <w:r w:rsidRPr="00C76E49">
        <w:rPr>
          <w:bCs/>
          <w:sz w:val="22"/>
          <w:szCs w:val="22"/>
        </w:rPr>
        <w:t>je</w:t>
      </w:r>
      <w:r w:rsidRPr="006E31B1">
        <w:rPr>
          <w:bCs/>
          <w:sz w:val="22"/>
          <w:szCs w:val="22"/>
          <w:lang w:val="sr-Latn-ME"/>
        </w:rPr>
        <w:t xml:space="preserve"> </w:t>
      </w:r>
      <w:proofErr w:type="spellStart"/>
      <w:r w:rsidRPr="00C76E49">
        <w:rPr>
          <w:bCs/>
          <w:sz w:val="22"/>
          <w:szCs w:val="22"/>
        </w:rPr>
        <w:t>skolioza</w:t>
      </w:r>
      <w:proofErr w:type="spellEnd"/>
      <w:r w:rsidRPr="006E31B1">
        <w:rPr>
          <w:bCs/>
          <w:sz w:val="22"/>
          <w:szCs w:val="22"/>
          <w:lang w:val="sr-Latn-ME"/>
        </w:rPr>
        <w:t xml:space="preserve"> č</w:t>
      </w:r>
      <w:r w:rsidRPr="00C76E49">
        <w:rPr>
          <w:bCs/>
          <w:sz w:val="22"/>
          <w:szCs w:val="22"/>
        </w:rPr>
        <w:t>e</w:t>
      </w:r>
      <w:r w:rsidRPr="006E31B1">
        <w:rPr>
          <w:bCs/>
          <w:sz w:val="22"/>
          <w:szCs w:val="22"/>
          <w:lang w:val="sr-Latn-ME"/>
        </w:rPr>
        <w:t>š</w:t>
      </w:r>
      <w:r w:rsidRPr="00C76E49">
        <w:rPr>
          <w:bCs/>
          <w:sz w:val="22"/>
          <w:szCs w:val="22"/>
        </w:rPr>
        <w:t>c</w:t>
      </w:r>
      <w:r w:rsidRPr="006E31B1">
        <w:rPr>
          <w:bCs/>
          <w:sz w:val="22"/>
          <w:szCs w:val="22"/>
          <w:lang w:val="sr-Latn-ME"/>
        </w:rPr>
        <w:t>́</w:t>
      </w:r>
      <w:r w:rsidRPr="00C76E49">
        <w:rPr>
          <w:bCs/>
          <w:sz w:val="22"/>
          <w:szCs w:val="22"/>
        </w:rPr>
        <w:t>a</w:t>
      </w:r>
      <w:r w:rsidRPr="006E31B1">
        <w:rPr>
          <w:bCs/>
          <w:sz w:val="22"/>
          <w:szCs w:val="22"/>
          <w:lang w:val="sr-Latn-ME"/>
        </w:rPr>
        <w:t xml:space="preserve"> </w:t>
      </w:r>
      <w:proofErr w:type="spellStart"/>
      <w:r w:rsidRPr="00C76E49">
        <w:rPr>
          <w:bCs/>
          <w:sz w:val="22"/>
          <w:szCs w:val="22"/>
        </w:rPr>
        <w:t>kod</w:t>
      </w:r>
      <w:proofErr w:type="spellEnd"/>
      <w:r w:rsidRPr="006E31B1">
        <w:rPr>
          <w:bCs/>
          <w:sz w:val="22"/>
          <w:szCs w:val="22"/>
          <w:lang w:val="sr-Latn-ME"/>
        </w:rPr>
        <w:t xml:space="preserve"> </w:t>
      </w:r>
      <w:proofErr w:type="spellStart"/>
      <w:r w:rsidRPr="00C76E49">
        <w:rPr>
          <w:bCs/>
          <w:sz w:val="22"/>
          <w:szCs w:val="22"/>
        </w:rPr>
        <w:t>nekih</w:t>
      </w:r>
      <w:proofErr w:type="spellEnd"/>
      <w:r w:rsidRPr="006E31B1">
        <w:rPr>
          <w:bCs/>
          <w:sz w:val="22"/>
          <w:szCs w:val="22"/>
          <w:lang w:val="sr-Latn-ME"/>
        </w:rPr>
        <w:t xml:space="preserve"> </w:t>
      </w:r>
      <w:proofErr w:type="spellStart"/>
      <w:r w:rsidRPr="00C76E49">
        <w:rPr>
          <w:bCs/>
          <w:sz w:val="22"/>
          <w:szCs w:val="22"/>
        </w:rPr>
        <w:t>grupa</w:t>
      </w:r>
      <w:proofErr w:type="spellEnd"/>
      <w:r w:rsidRPr="006E31B1">
        <w:rPr>
          <w:bCs/>
          <w:sz w:val="22"/>
          <w:szCs w:val="22"/>
          <w:lang w:val="sr-Latn-ME"/>
        </w:rPr>
        <w:t xml:space="preserve"> </w:t>
      </w:r>
      <w:proofErr w:type="spellStart"/>
      <w:r w:rsidRPr="00C76E49">
        <w:rPr>
          <w:bCs/>
          <w:sz w:val="22"/>
          <w:szCs w:val="22"/>
        </w:rPr>
        <w:t>pacijenata</w:t>
      </w:r>
      <w:proofErr w:type="spellEnd"/>
      <w:r w:rsidRPr="006E31B1">
        <w:rPr>
          <w:bCs/>
          <w:sz w:val="22"/>
          <w:szCs w:val="22"/>
          <w:lang w:val="sr-Latn-ME"/>
        </w:rPr>
        <w:t xml:space="preserve"> </w:t>
      </w:r>
      <w:proofErr w:type="spellStart"/>
      <w:r w:rsidRPr="00C76E49">
        <w:rPr>
          <w:bCs/>
          <w:sz w:val="22"/>
          <w:szCs w:val="22"/>
        </w:rPr>
        <w:t>lije</w:t>
      </w:r>
      <w:proofErr w:type="spellEnd"/>
      <w:r w:rsidRPr="006E31B1">
        <w:rPr>
          <w:bCs/>
          <w:sz w:val="22"/>
          <w:szCs w:val="22"/>
          <w:lang w:val="sr-Latn-ME"/>
        </w:rPr>
        <w:t>č</w:t>
      </w:r>
      <w:proofErr w:type="spellStart"/>
      <w:r w:rsidRPr="00C76E49">
        <w:rPr>
          <w:bCs/>
          <w:sz w:val="22"/>
          <w:szCs w:val="22"/>
        </w:rPr>
        <w:t>enih</w:t>
      </w:r>
      <w:proofErr w:type="spellEnd"/>
      <w:r w:rsidRPr="006E31B1">
        <w:rPr>
          <w:bCs/>
          <w:sz w:val="22"/>
          <w:szCs w:val="22"/>
          <w:lang w:val="sr-Latn-ME"/>
        </w:rPr>
        <w:t xml:space="preserve"> </w:t>
      </w:r>
      <w:proofErr w:type="spellStart"/>
      <w:r w:rsidRPr="00C76E49">
        <w:rPr>
          <w:bCs/>
          <w:sz w:val="22"/>
          <w:szCs w:val="22"/>
        </w:rPr>
        <w:t>somatropinom</w:t>
      </w:r>
      <w:proofErr w:type="spellEnd"/>
      <w:r w:rsidRPr="006E31B1">
        <w:rPr>
          <w:bCs/>
          <w:sz w:val="22"/>
          <w:szCs w:val="22"/>
          <w:lang w:val="sr-Latn-ME"/>
        </w:rPr>
        <w:t xml:space="preserve">. </w:t>
      </w:r>
      <w:r w:rsidRPr="00C76E49">
        <w:rPr>
          <w:bCs/>
          <w:sz w:val="22"/>
          <w:szCs w:val="22"/>
        </w:rPr>
        <w:t>Pored</w:t>
      </w:r>
      <w:r w:rsidRPr="006E31B1">
        <w:rPr>
          <w:bCs/>
          <w:sz w:val="22"/>
          <w:szCs w:val="22"/>
          <w:lang w:val="sr-Latn-ME"/>
        </w:rPr>
        <w:t xml:space="preserve"> </w:t>
      </w:r>
      <w:r w:rsidRPr="00C76E49">
        <w:rPr>
          <w:bCs/>
          <w:sz w:val="22"/>
          <w:szCs w:val="22"/>
        </w:rPr>
        <w:t>toga</w:t>
      </w:r>
      <w:r w:rsidRPr="006E31B1">
        <w:rPr>
          <w:bCs/>
          <w:sz w:val="22"/>
          <w:szCs w:val="22"/>
          <w:lang w:val="sr-Latn-ME"/>
        </w:rPr>
        <w:t xml:space="preserve">, </w:t>
      </w:r>
      <w:proofErr w:type="spellStart"/>
      <w:r w:rsidRPr="00C76E49">
        <w:rPr>
          <w:bCs/>
          <w:sz w:val="22"/>
          <w:szCs w:val="22"/>
        </w:rPr>
        <w:t>brz</w:t>
      </w:r>
      <w:proofErr w:type="spellEnd"/>
      <w:r w:rsidRPr="006E31B1">
        <w:rPr>
          <w:bCs/>
          <w:sz w:val="22"/>
          <w:szCs w:val="22"/>
          <w:lang w:val="sr-Latn-ME"/>
        </w:rPr>
        <w:t xml:space="preserve"> </w:t>
      </w:r>
      <w:proofErr w:type="spellStart"/>
      <w:r w:rsidRPr="00C76E49">
        <w:rPr>
          <w:bCs/>
          <w:sz w:val="22"/>
          <w:szCs w:val="22"/>
        </w:rPr>
        <w:t>rast</w:t>
      </w:r>
      <w:proofErr w:type="spellEnd"/>
      <w:r w:rsidRPr="006E31B1">
        <w:rPr>
          <w:bCs/>
          <w:sz w:val="22"/>
          <w:szCs w:val="22"/>
          <w:lang w:val="sr-Latn-ME"/>
        </w:rPr>
        <w:t xml:space="preserve"> </w:t>
      </w:r>
      <w:proofErr w:type="spellStart"/>
      <w:r w:rsidRPr="00C76E49">
        <w:rPr>
          <w:bCs/>
          <w:sz w:val="22"/>
          <w:szCs w:val="22"/>
        </w:rPr>
        <w:t>kod</w:t>
      </w:r>
      <w:proofErr w:type="spellEnd"/>
      <w:r w:rsidRPr="006E31B1">
        <w:rPr>
          <w:bCs/>
          <w:sz w:val="22"/>
          <w:szCs w:val="22"/>
          <w:lang w:val="sr-Latn-ME"/>
        </w:rPr>
        <w:t xml:space="preserve"> </w:t>
      </w:r>
      <w:proofErr w:type="spellStart"/>
      <w:r w:rsidRPr="00C76E49">
        <w:rPr>
          <w:bCs/>
          <w:sz w:val="22"/>
          <w:szCs w:val="22"/>
        </w:rPr>
        <w:t>svakog</w:t>
      </w:r>
      <w:proofErr w:type="spellEnd"/>
      <w:r w:rsidRPr="006E31B1">
        <w:rPr>
          <w:bCs/>
          <w:sz w:val="22"/>
          <w:szCs w:val="22"/>
          <w:lang w:val="sr-Latn-ME"/>
        </w:rPr>
        <w:t xml:space="preserve"> </w:t>
      </w:r>
      <w:proofErr w:type="spellStart"/>
      <w:r w:rsidRPr="00C76E49">
        <w:rPr>
          <w:bCs/>
          <w:sz w:val="22"/>
          <w:szCs w:val="22"/>
        </w:rPr>
        <w:t>djeteta</w:t>
      </w:r>
      <w:proofErr w:type="spellEnd"/>
      <w:r w:rsidRPr="006E31B1">
        <w:rPr>
          <w:bCs/>
          <w:sz w:val="22"/>
          <w:szCs w:val="22"/>
          <w:lang w:val="sr-Latn-ME"/>
        </w:rPr>
        <w:t xml:space="preserve"> </w:t>
      </w:r>
      <w:proofErr w:type="spellStart"/>
      <w:r w:rsidRPr="00C76E49">
        <w:rPr>
          <w:bCs/>
          <w:sz w:val="22"/>
          <w:szCs w:val="22"/>
        </w:rPr>
        <w:t>mo</w:t>
      </w:r>
      <w:proofErr w:type="spellEnd"/>
      <w:r w:rsidRPr="006E31B1">
        <w:rPr>
          <w:bCs/>
          <w:sz w:val="22"/>
          <w:szCs w:val="22"/>
          <w:lang w:val="sr-Latn-ME"/>
        </w:rPr>
        <w:t>ž</w:t>
      </w:r>
      <w:r w:rsidRPr="00C76E49">
        <w:rPr>
          <w:bCs/>
          <w:sz w:val="22"/>
          <w:szCs w:val="22"/>
        </w:rPr>
        <w:t>e</w:t>
      </w:r>
      <w:r w:rsidRPr="006E31B1">
        <w:rPr>
          <w:bCs/>
          <w:sz w:val="22"/>
          <w:szCs w:val="22"/>
          <w:lang w:val="sr-Latn-ME"/>
        </w:rPr>
        <w:t xml:space="preserve"> </w:t>
      </w:r>
      <w:proofErr w:type="spellStart"/>
      <w:r w:rsidRPr="00C76E49">
        <w:rPr>
          <w:bCs/>
          <w:sz w:val="22"/>
          <w:szCs w:val="22"/>
        </w:rPr>
        <w:t>izazvati</w:t>
      </w:r>
      <w:proofErr w:type="spellEnd"/>
      <w:r w:rsidRPr="006E31B1">
        <w:rPr>
          <w:bCs/>
          <w:sz w:val="22"/>
          <w:szCs w:val="22"/>
          <w:lang w:val="sr-Latn-ME"/>
        </w:rPr>
        <w:t xml:space="preserve"> </w:t>
      </w:r>
      <w:proofErr w:type="spellStart"/>
      <w:r w:rsidRPr="00C76E49">
        <w:rPr>
          <w:bCs/>
          <w:sz w:val="22"/>
          <w:szCs w:val="22"/>
        </w:rPr>
        <w:t>progresiju</w:t>
      </w:r>
      <w:proofErr w:type="spellEnd"/>
      <w:r w:rsidRPr="006E31B1">
        <w:rPr>
          <w:bCs/>
          <w:sz w:val="22"/>
          <w:szCs w:val="22"/>
          <w:lang w:val="sr-Latn-ME"/>
        </w:rPr>
        <w:t xml:space="preserve"> </w:t>
      </w:r>
      <w:proofErr w:type="spellStart"/>
      <w:r w:rsidRPr="00C76E49">
        <w:rPr>
          <w:bCs/>
          <w:sz w:val="22"/>
          <w:szCs w:val="22"/>
        </w:rPr>
        <w:t>skolioze</w:t>
      </w:r>
      <w:proofErr w:type="spellEnd"/>
      <w:r w:rsidRPr="006E31B1">
        <w:rPr>
          <w:bCs/>
          <w:sz w:val="22"/>
          <w:szCs w:val="22"/>
          <w:lang w:val="sr-Latn-ME"/>
        </w:rPr>
        <w:t xml:space="preserve">. </w:t>
      </w:r>
      <w:proofErr w:type="spellStart"/>
      <w:r w:rsidRPr="00C76E49">
        <w:rPr>
          <w:bCs/>
          <w:sz w:val="22"/>
          <w:szCs w:val="22"/>
        </w:rPr>
        <w:t>Nije</w:t>
      </w:r>
      <w:proofErr w:type="spellEnd"/>
      <w:r w:rsidRPr="006E31B1">
        <w:rPr>
          <w:bCs/>
          <w:sz w:val="22"/>
          <w:szCs w:val="22"/>
          <w:lang w:val="sr-Latn-ME"/>
        </w:rPr>
        <w:t xml:space="preserve"> </w:t>
      </w:r>
      <w:proofErr w:type="spellStart"/>
      <w:r w:rsidRPr="00C76E49">
        <w:rPr>
          <w:bCs/>
          <w:sz w:val="22"/>
          <w:szCs w:val="22"/>
        </w:rPr>
        <w:t>dokazano</w:t>
      </w:r>
      <w:proofErr w:type="spellEnd"/>
      <w:r w:rsidRPr="006E31B1">
        <w:rPr>
          <w:bCs/>
          <w:sz w:val="22"/>
          <w:szCs w:val="22"/>
          <w:lang w:val="sr-Latn-ME"/>
        </w:rPr>
        <w:t xml:space="preserve"> </w:t>
      </w:r>
      <w:r w:rsidRPr="00C76E49">
        <w:rPr>
          <w:bCs/>
          <w:sz w:val="22"/>
          <w:szCs w:val="22"/>
        </w:rPr>
        <w:t>da</w:t>
      </w:r>
      <w:r w:rsidRPr="006E31B1">
        <w:rPr>
          <w:bCs/>
          <w:sz w:val="22"/>
          <w:szCs w:val="22"/>
          <w:lang w:val="sr-Latn-ME"/>
        </w:rPr>
        <w:t xml:space="preserve"> </w:t>
      </w:r>
      <w:proofErr w:type="spellStart"/>
      <w:r w:rsidRPr="00C76E49">
        <w:rPr>
          <w:bCs/>
          <w:sz w:val="22"/>
          <w:szCs w:val="22"/>
        </w:rPr>
        <w:t>somatropin</w:t>
      </w:r>
      <w:proofErr w:type="spellEnd"/>
      <w:r w:rsidRPr="006E31B1">
        <w:rPr>
          <w:bCs/>
          <w:sz w:val="22"/>
          <w:szCs w:val="22"/>
          <w:lang w:val="sr-Latn-ME"/>
        </w:rPr>
        <w:t xml:space="preserve"> </w:t>
      </w:r>
      <w:proofErr w:type="spellStart"/>
      <w:r w:rsidRPr="00C76E49">
        <w:rPr>
          <w:bCs/>
          <w:sz w:val="22"/>
          <w:szCs w:val="22"/>
        </w:rPr>
        <w:t>povec</w:t>
      </w:r>
      <w:proofErr w:type="spellEnd"/>
      <w:r w:rsidRPr="006E31B1">
        <w:rPr>
          <w:bCs/>
          <w:sz w:val="22"/>
          <w:szCs w:val="22"/>
          <w:lang w:val="sr-Latn-ME"/>
        </w:rPr>
        <w:t>́</w:t>
      </w:r>
      <w:r w:rsidRPr="00C76E49">
        <w:rPr>
          <w:bCs/>
          <w:sz w:val="22"/>
          <w:szCs w:val="22"/>
        </w:rPr>
        <w:t>ava</w:t>
      </w:r>
      <w:r w:rsidRPr="006E31B1">
        <w:rPr>
          <w:bCs/>
          <w:sz w:val="22"/>
          <w:szCs w:val="22"/>
          <w:lang w:val="sr-Latn-ME"/>
        </w:rPr>
        <w:t xml:space="preserve"> </w:t>
      </w:r>
      <w:r w:rsidRPr="00C76E49">
        <w:rPr>
          <w:bCs/>
          <w:sz w:val="22"/>
          <w:szCs w:val="22"/>
        </w:rPr>
        <w:t>u</w:t>
      </w:r>
      <w:r w:rsidRPr="006E31B1">
        <w:rPr>
          <w:bCs/>
          <w:sz w:val="22"/>
          <w:szCs w:val="22"/>
          <w:lang w:val="sr-Latn-ME"/>
        </w:rPr>
        <w:t>č</w:t>
      </w:r>
      <w:proofErr w:type="spellStart"/>
      <w:r w:rsidRPr="00C76E49">
        <w:rPr>
          <w:bCs/>
          <w:sz w:val="22"/>
          <w:szCs w:val="22"/>
        </w:rPr>
        <w:t>estalost</w:t>
      </w:r>
      <w:proofErr w:type="spellEnd"/>
      <w:r w:rsidRPr="006E31B1">
        <w:rPr>
          <w:bCs/>
          <w:sz w:val="22"/>
          <w:szCs w:val="22"/>
          <w:lang w:val="sr-Latn-ME"/>
        </w:rPr>
        <w:t xml:space="preserve"> </w:t>
      </w:r>
      <w:proofErr w:type="spellStart"/>
      <w:r w:rsidRPr="00C76E49">
        <w:rPr>
          <w:bCs/>
          <w:sz w:val="22"/>
          <w:szCs w:val="22"/>
        </w:rPr>
        <w:t>ili</w:t>
      </w:r>
      <w:proofErr w:type="spellEnd"/>
      <w:r w:rsidRPr="006E31B1">
        <w:rPr>
          <w:bCs/>
          <w:sz w:val="22"/>
          <w:szCs w:val="22"/>
          <w:lang w:val="sr-Latn-ME"/>
        </w:rPr>
        <w:t xml:space="preserve"> </w:t>
      </w:r>
      <w:proofErr w:type="spellStart"/>
      <w:r w:rsidRPr="00C76E49">
        <w:rPr>
          <w:bCs/>
          <w:sz w:val="22"/>
          <w:szCs w:val="22"/>
        </w:rPr>
        <w:t>te</w:t>
      </w:r>
      <w:proofErr w:type="spellEnd"/>
      <w:r w:rsidRPr="006E31B1">
        <w:rPr>
          <w:bCs/>
          <w:sz w:val="22"/>
          <w:szCs w:val="22"/>
          <w:lang w:val="sr-Latn-ME"/>
        </w:rPr>
        <w:t>ž</w:t>
      </w:r>
      <w:proofErr w:type="spellStart"/>
      <w:r w:rsidRPr="00C76E49">
        <w:rPr>
          <w:bCs/>
          <w:sz w:val="22"/>
          <w:szCs w:val="22"/>
        </w:rPr>
        <w:t>inu</w:t>
      </w:r>
      <w:proofErr w:type="spellEnd"/>
      <w:r w:rsidRPr="006E31B1">
        <w:rPr>
          <w:bCs/>
          <w:sz w:val="22"/>
          <w:szCs w:val="22"/>
          <w:lang w:val="sr-Latn-ME"/>
        </w:rPr>
        <w:t xml:space="preserve"> </w:t>
      </w:r>
      <w:proofErr w:type="spellStart"/>
      <w:r w:rsidRPr="00C76E49">
        <w:rPr>
          <w:bCs/>
          <w:sz w:val="22"/>
          <w:szCs w:val="22"/>
        </w:rPr>
        <w:t>skolioze</w:t>
      </w:r>
      <w:proofErr w:type="spellEnd"/>
      <w:r w:rsidRPr="006E31B1">
        <w:rPr>
          <w:bCs/>
          <w:sz w:val="22"/>
          <w:szCs w:val="22"/>
          <w:lang w:val="sr-Latn-ME"/>
        </w:rPr>
        <w:t xml:space="preserve">. </w:t>
      </w:r>
      <w:proofErr w:type="spellStart"/>
      <w:r w:rsidRPr="00C76E49">
        <w:rPr>
          <w:bCs/>
          <w:sz w:val="22"/>
          <w:szCs w:val="22"/>
        </w:rPr>
        <w:t>Tokom</w:t>
      </w:r>
      <w:proofErr w:type="spellEnd"/>
      <w:r w:rsidRPr="006E31B1">
        <w:rPr>
          <w:bCs/>
          <w:sz w:val="22"/>
          <w:szCs w:val="22"/>
          <w:lang w:val="sr-Latn-ME"/>
        </w:rPr>
        <w:t xml:space="preserve"> </w:t>
      </w:r>
      <w:proofErr w:type="spellStart"/>
      <w:r w:rsidRPr="00C76E49">
        <w:rPr>
          <w:bCs/>
          <w:sz w:val="22"/>
          <w:szCs w:val="22"/>
        </w:rPr>
        <w:t>lije</w:t>
      </w:r>
      <w:proofErr w:type="spellEnd"/>
      <w:r w:rsidRPr="006E31B1">
        <w:rPr>
          <w:bCs/>
          <w:sz w:val="22"/>
          <w:szCs w:val="22"/>
          <w:lang w:val="sr-Latn-ME"/>
        </w:rPr>
        <w:t>č</w:t>
      </w:r>
      <w:proofErr w:type="spellStart"/>
      <w:r w:rsidRPr="00C76E49">
        <w:rPr>
          <w:bCs/>
          <w:sz w:val="22"/>
          <w:szCs w:val="22"/>
        </w:rPr>
        <w:t>enja</w:t>
      </w:r>
      <w:proofErr w:type="spellEnd"/>
      <w:r w:rsidRPr="006E31B1">
        <w:rPr>
          <w:bCs/>
          <w:sz w:val="22"/>
          <w:szCs w:val="22"/>
          <w:lang w:val="sr-Latn-ME"/>
        </w:rPr>
        <w:t xml:space="preserve"> </w:t>
      </w:r>
      <w:proofErr w:type="spellStart"/>
      <w:r w:rsidRPr="00C76E49">
        <w:rPr>
          <w:bCs/>
          <w:sz w:val="22"/>
          <w:szCs w:val="22"/>
        </w:rPr>
        <w:t>treba</w:t>
      </w:r>
      <w:proofErr w:type="spellEnd"/>
      <w:r w:rsidRPr="006E31B1">
        <w:rPr>
          <w:bCs/>
          <w:sz w:val="22"/>
          <w:szCs w:val="22"/>
          <w:lang w:val="sr-Latn-ME"/>
        </w:rPr>
        <w:t xml:space="preserve"> </w:t>
      </w:r>
      <w:proofErr w:type="spellStart"/>
      <w:r w:rsidRPr="00C76E49">
        <w:rPr>
          <w:bCs/>
          <w:sz w:val="22"/>
          <w:szCs w:val="22"/>
        </w:rPr>
        <w:t>pratiti</w:t>
      </w:r>
      <w:proofErr w:type="spellEnd"/>
      <w:r w:rsidRPr="006E31B1">
        <w:rPr>
          <w:bCs/>
          <w:sz w:val="22"/>
          <w:szCs w:val="22"/>
          <w:lang w:val="sr-Latn-ME"/>
        </w:rPr>
        <w:t xml:space="preserve"> </w:t>
      </w:r>
      <w:proofErr w:type="spellStart"/>
      <w:r w:rsidRPr="00C76E49">
        <w:rPr>
          <w:bCs/>
          <w:sz w:val="22"/>
          <w:szCs w:val="22"/>
        </w:rPr>
        <w:t>znakove</w:t>
      </w:r>
      <w:proofErr w:type="spellEnd"/>
      <w:r w:rsidRPr="006E31B1">
        <w:rPr>
          <w:bCs/>
          <w:sz w:val="22"/>
          <w:szCs w:val="22"/>
          <w:lang w:val="sr-Latn-ME"/>
        </w:rPr>
        <w:t xml:space="preserve"> </w:t>
      </w:r>
      <w:proofErr w:type="spellStart"/>
      <w:r w:rsidRPr="00C76E49">
        <w:rPr>
          <w:bCs/>
          <w:sz w:val="22"/>
          <w:szCs w:val="22"/>
        </w:rPr>
        <w:t>skolioze</w:t>
      </w:r>
      <w:proofErr w:type="spellEnd"/>
      <w:r w:rsidRPr="006E31B1">
        <w:rPr>
          <w:bCs/>
          <w:sz w:val="22"/>
          <w:szCs w:val="22"/>
          <w:lang w:val="sr-Latn-ME"/>
        </w:rPr>
        <w:t>.</w:t>
      </w:r>
    </w:p>
    <w:p w14:paraId="0AD7B6EA" w14:textId="77777777" w:rsidR="00EC7034" w:rsidRPr="006E31B1" w:rsidRDefault="00EC7034" w:rsidP="00EC7034">
      <w:pPr>
        <w:spacing w:after="2"/>
        <w:ind w:left="-5" w:right="324"/>
        <w:rPr>
          <w:i/>
          <w:iCs/>
          <w:color w:val="999999"/>
          <w:sz w:val="22"/>
          <w:szCs w:val="22"/>
          <w:lang w:val="sr-Latn-ME"/>
        </w:rPr>
      </w:pPr>
    </w:p>
    <w:p w14:paraId="1090E9D4" w14:textId="77777777" w:rsidR="00EC7034" w:rsidRPr="006E31B1" w:rsidRDefault="00EC7034" w:rsidP="00EC7034">
      <w:pPr>
        <w:spacing w:after="2"/>
        <w:ind w:left="-5" w:right="324"/>
        <w:rPr>
          <w:sz w:val="22"/>
          <w:szCs w:val="22"/>
          <w:u w:val="single"/>
          <w:lang w:val="sr-Latn-ME"/>
        </w:rPr>
      </w:pPr>
      <w:proofErr w:type="spellStart"/>
      <w:r w:rsidRPr="00C76E49">
        <w:rPr>
          <w:sz w:val="22"/>
          <w:szCs w:val="22"/>
          <w:u w:val="single"/>
        </w:rPr>
        <w:t>Akutna</w:t>
      </w:r>
      <w:proofErr w:type="spellEnd"/>
      <w:r w:rsidRPr="006E31B1">
        <w:rPr>
          <w:sz w:val="22"/>
          <w:szCs w:val="22"/>
          <w:u w:val="single"/>
          <w:lang w:val="sr-Latn-ME"/>
        </w:rPr>
        <w:t xml:space="preserve"> </w:t>
      </w:r>
      <w:proofErr w:type="spellStart"/>
      <w:r w:rsidR="00E6186C" w:rsidRPr="00C76E49">
        <w:rPr>
          <w:sz w:val="22"/>
          <w:szCs w:val="22"/>
          <w:u w:val="single"/>
        </w:rPr>
        <w:t>kriti</w:t>
      </w:r>
      <w:proofErr w:type="spellEnd"/>
      <w:r w:rsidR="00E6186C" w:rsidRPr="006E31B1">
        <w:rPr>
          <w:sz w:val="22"/>
          <w:szCs w:val="22"/>
          <w:u w:val="single"/>
          <w:lang w:val="sr-Latn-ME"/>
        </w:rPr>
        <w:t>č</w:t>
      </w:r>
      <w:proofErr w:type="spellStart"/>
      <w:r w:rsidR="00E6186C" w:rsidRPr="00C76E49">
        <w:rPr>
          <w:sz w:val="22"/>
          <w:szCs w:val="22"/>
          <w:u w:val="single"/>
        </w:rPr>
        <w:t>na</w:t>
      </w:r>
      <w:proofErr w:type="spellEnd"/>
      <w:r w:rsidRPr="006E31B1">
        <w:rPr>
          <w:sz w:val="22"/>
          <w:szCs w:val="22"/>
          <w:u w:val="single"/>
          <w:lang w:val="sr-Latn-ME"/>
        </w:rPr>
        <w:t xml:space="preserve"> </w:t>
      </w:r>
      <w:proofErr w:type="spellStart"/>
      <w:r w:rsidRPr="00C76E49">
        <w:rPr>
          <w:sz w:val="22"/>
          <w:szCs w:val="22"/>
          <w:u w:val="single"/>
        </w:rPr>
        <w:t>bolest</w:t>
      </w:r>
      <w:proofErr w:type="spellEnd"/>
    </w:p>
    <w:p w14:paraId="2267340C" w14:textId="77777777" w:rsidR="00EC7034" w:rsidRPr="006E31B1" w:rsidRDefault="00EC7034" w:rsidP="00ED56D0">
      <w:pPr>
        <w:spacing w:after="2"/>
        <w:ind w:left="-5" w:right="-17"/>
        <w:jc w:val="both"/>
        <w:rPr>
          <w:sz w:val="22"/>
          <w:szCs w:val="22"/>
          <w:lang w:val="it-IT"/>
        </w:rPr>
      </w:pPr>
      <w:proofErr w:type="spellStart"/>
      <w:r w:rsidRPr="00C76E49">
        <w:rPr>
          <w:sz w:val="22"/>
          <w:szCs w:val="22"/>
        </w:rPr>
        <w:t>Dejstvo</w:t>
      </w:r>
      <w:proofErr w:type="spellEnd"/>
      <w:r w:rsidRPr="006E31B1">
        <w:rPr>
          <w:sz w:val="22"/>
          <w:szCs w:val="22"/>
          <w:lang w:val="sr-Latn-ME"/>
        </w:rPr>
        <w:t xml:space="preserve"> </w:t>
      </w:r>
      <w:proofErr w:type="spellStart"/>
      <w:r w:rsidRPr="00C76E49">
        <w:rPr>
          <w:sz w:val="22"/>
          <w:szCs w:val="22"/>
        </w:rPr>
        <w:t>somatropina</w:t>
      </w:r>
      <w:proofErr w:type="spellEnd"/>
      <w:r w:rsidRPr="006E31B1">
        <w:rPr>
          <w:sz w:val="22"/>
          <w:szCs w:val="22"/>
          <w:lang w:val="sr-Latn-ME"/>
        </w:rPr>
        <w:t xml:space="preserve"> </w:t>
      </w:r>
      <w:proofErr w:type="spellStart"/>
      <w:r w:rsidRPr="00C76E49">
        <w:rPr>
          <w:sz w:val="22"/>
          <w:szCs w:val="22"/>
        </w:rPr>
        <w:t>na</w:t>
      </w:r>
      <w:proofErr w:type="spellEnd"/>
      <w:r w:rsidRPr="006E31B1">
        <w:rPr>
          <w:sz w:val="22"/>
          <w:szCs w:val="22"/>
          <w:lang w:val="sr-Latn-ME"/>
        </w:rPr>
        <w:t xml:space="preserve"> </w:t>
      </w:r>
      <w:proofErr w:type="spellStart"/>
      <w:r w:rsidRPr="00C76E49">
        <w:rPr>
          <w:sz w:val="22"/>
          <w:szCs w:val="22"/>
        </w:rPr>
        <w:t>oporavak</w:t>
      </w:r>
      <w:proofErr w:type="spellEnd"/>
      <w:r w:rsidRPr="006E31B1">
        <w:rPr>
          <w:sz w:val="22"/>
          <w:szCs w:val="22"/>
          <w:lang w:val="sr-Latn-ME"/>
        </w:rPr>
        <w:t xml:space="preserve"> </w:t>
      </w:r>
      <w:proofErr w:type="spellStart"/>
      <w:r w:rsidRPr="00C76E49">
        <w:rPr>
          <w:sz w:val="22"/>
          <w:szCs w:val="22"/>
        </w:rPr>
        <w:t>ispitivano</w:t>
      </w:r>
      <w:proofErr w:type="spellEnd"/>
      <w:r w:rsidRPr="006E31B1">
        <w:rPr>
          <w:sz w:val="22"/>
          <w:szCs w:val="22"/>
          <w:lang w:val="sr-Latn-ME"/>
        </w:rPr>
        <w:t xml:space="preserve"> </w:t>
      </w:r>
      <w:r w:rsidRPr="00C76E49">
        <w:rPr>
          <w:sz w:val="22"/>
          <w:szCs w:val="22"/>
        </w:rPr>
        <w:t>je</w:t>
      </w:r>
      <w:r w:rsidRPr="006E31B1">
        <w:rPr>
          <w:sz w:val="22"/>
          <w:szCs w:val="22"/>
          <w:lang w:val="sr-Latn-ME"/>
        </w:rPr>
        <w:t xml:space="preserve"> </w:t>
      </w:r>
      <w:r w:rsidRPr="00C76E49">
        <w:rPr>
          <w:sz w:val="22"/>
          <w:szCs w:val="22"/>
        </w:rPr>
        <w:t>u</w:t>
      </w:r>
      <w:r w:rsidRPr="006E31B1">
        <w:rPr>
          <w:sz w:val="22"/>
          <w:szCs w:val="22"/>
          <w:lang w:val="sr-Latn-ME"/>
        </w:rPr>
        <w:t xml:space="preserve"> </w:t>
      </w:r>
      <w:proofErr w:type="spellStart"/>
      <w:r w:rsidRPr="00C76E49">
        <w:rPr>
          <w:sz w:val="22"/>
          <w:szCs w:val="22"/>
        </w:rPr>
        <w:t>dv</w:t>
      </w:r>
      <w:r w:rsidR="00E6186C" w:rsidRPr="00C76E49">
        <w:rPr>
          <w:sz w:val="22"/>
          <w:szCs w:val="22"/>
        </w:rPr>
        <w:t>ij</w:t>
      </w:r>
      <w:r w:rsidRPr="00C76E49">
        <w:rPr>
          <w:sz w:val="22"/>
          <w:szCs w:val="22"/>
        </w:rPr>
        <w:t>e</w:t>
      </w:r>
      <w:proofErr w:type="spellEnd"/>
      <w:r w:rsidRPr="006E31B1">
        <w:rPr>
          <w:sz w:val="22"/>
          <w:szCs w:val="22"/>
          <w:lang w:val="sr-Latn-ME"/>
        </w:rPr>
        <w:t xml:space="preserve"> </w:t>
      </w:r>
      <w:r w:rsidRPr="00C76E49">
        <w:rPr>
          <w:sz w:val="22"/>
          <w:szCs w:val="22"/>
        </w:rPr>
        <w:t>placebo</w:t>
      </w:r>
      <w:r w:rsidRPr="006E31B1">
        <w:rPr>
          <w:sz w:val="22"/>
          <w:szCs w:val="22"/>
          <w:lang w:val="sr-Latn-ME"/>
        </w:rPr>
        <w:t>-</w:t>
      </w:r>
      <w:proofErr w:type="spellStart"/>
      <w:r w:rsidRPr="00C76E49">
        <w:rPr>
          <w:sz w:val="22"/>
          <w:szCs w:val="22"/>
        </w:rPr>
        <w:t>kontrolisane</w:t>
      </w:r>
      <w:proofErr w:type="spellEnd"/>
      <w:r w:rsidRPr="006E31B1">
        <w:rPr>
          <w:sz w:val="22"/>
          <w:szCs w:val="22"/>
          <w:lang w:val="sr-Latn-ME"/>
        </w:rPr>
        <w:t xml:space="preserve"> </w:t>
      </w:r>
      <w:proofErr w:type="spellStart"/>
      <w:r w:rsidRPr="00C76E49">
        <w:rPr>
          <w:sz w:val="22"/>
          <w:szCs w:val="22"/>
        </w:rPr>
        <w:t>studije</w:t>
      </w:r>
      <w:proofErr w:type="spellEnd"/>
      <w:r w:rsidRPr="006E31B1">
        <w:rPr>
          <w:sz w:val="22"/>
          <w:szCs w:val="22"/>
          <w:lang w:val="sr-Latn-ME"/>
        </w:rPr>
        <w:t xml:space="preserve"> </w:t>
      </w:r>
      <w:proofErr w:type="spellStart"/>
      <w:r w:rsidRPr="00C76E49">
        <w:rPr>
          <w:sz w:val="22"/>
          <w:szCs w:val="22"/>
        </w:rPr>
        <w:t>koje</w:t>
      </w:r>
      <w:proofErr w:type="spellEnd"/>
      <w:r w:rsidRPr="006E31B1">
        <w:rPr>
          <w:sz w:val="22"/>
          <w:szCs w:val="22"/>
          <w:lang w:val="sr-Latn-ME"/>
        </w:rPr>
        <w:t xml:space="preserve"> </w:t>
      </w:r>
      <w:proofErr w:type="spellStart"/>
      <w:r w:rsidRPr="00C76E49">
        <w:rPr>
          <w:sz w:val="22"/>
          <w:szCs w:val="22"/>
        </w:rPr>
        <w:t>su</w:t>
      </w:r>
      <w:proofErr w:type="spellEnd"/>
      <w:r w:rsidRPr="006E31B1">
        <w:rPr>
          <w:sz w:val="22"/>
          <w:szCs w:val="22"/>
          <w:lang w:val="sr-Latn-ME"/>
        </w:rPr>
        <w:t xml:space="preserve"> </w:t>
      </w:r>
      <w:proofErr w:type="spellStart"/>
      <w:r w:rsidRPr="00C76E49">
        <w:rPr>
          <w:sz w:val="22"/>
          <w:szCs w:val="22"/>
        </w:rPr>
        <w:t>uklju</w:t>
      </w:r>
      <w:proofErr w:type="spellEnd"/>
      <w:r w:rsidRPr="006E31B1">
        <w:rPr>
          <w:sz w:val="22"/>
          <w:szCs w:val="22"/>
          <w:lang w:val="sr-Latn-ME"/>
        </w:rPr>
        <w:t>č</w:t>
      </w:r>
      <w:proofErr w:type="spellStart"/>
      <w:r w:rsidRPr="00C76E49">
        <w:rPr>
          <w:sz w:val="22"/>
          <w:szCs w:val="22"/>
        </w:rPr>
        <w:t>ivale</w:t>
      </w:r>
      <w:proofErr w:type="spellEnd"/>
      <w:r w:rsidRPr="006E31B1">
        <w:rPr>
          <w:sz w:val="22"/>
          <w:szCs w:val="22"/>
          <w:lang w:val="sr-Latn-ME"/>
        </w:rPr>
        <w:t xml:space="preserve"> 522 </w:t>
      </w:r>
      <w:proofErr w:type="spellStart"/>
      <w:r w:rsidRPr="00C76E49">
        <w:rPr>
          <w:sz w:val="22"/>
          <w:szCs w:val="22"/>
        </w:rPr>
        <w:t>kriti</w:t>
      </w:r>
      <w:proofErr w:type="spellEnd"/>
      <w:r w:rsidRPr="006E31B1">
        <w:rPr>
          <w:sz w:val="22"/>
          <w:szCs w:val="22"/>
          <w:lang w:val="sr-Latn-ME"/>
        </w:rPr>
        <w:t>č</w:t>
      </w:r>
      <w:r w:rsidRPr="00C76E49">
        <w:rPr>
          <w:sz w:val="22"/>
          <w:szCs w:val="22"/>
        </w:rPr>
        <w:t>no</w:t>
      </w:r>
      <w:r w:rsidRPr="006E31B1">
        <w:rPr>
          <w:sz w:val="22"/>
          <w:szCs w:val="22"/>
          <w:lang w:val="sr-Latn-ME"/>
        </w:rPr>
        <w:t xml:space="preserve"> </w:t>
      </w:r>
      <w:proofErr w:type="spellStart"/>
      <w:r w:rsidRPr="00C76E49">
        <w:rPr>
          <w:sz w:val="22"/>
          <w:szCs w:val="22"/>
        </w:rPr>
        <w:t>bolesna</w:t>
      </w:r>
      <w:proofErr w:type="spellEnd"/>
      <w:r w:rsidRPr="006E31B1">
        <w:rPr>
          <w:sz w:val="22"/>
          <w:szCs w:val="22"/>
          <w:lang w:val="sr-Latn-ME"/>
        </w:rPr>
        <w:t xml:space="preserve"> </w:t>
      </w:r>
      <w:proofErr w:type="spellStart"/>
      <w:r w:rsidRPr="00C76E49">
        <w:rPr>
          <w:sz w:val="22"/>
          <w:szCs w:val="22"/>
        </w:rPr>
        <w:t>odrasla</w:t>
      </w:r>
      <w:proofErr w:type="spellEnd"/>
      <w:r w:rsidRPr="006E31B1">
        <w:rPr>
          <w:sz w:val="22"/>
          <w:szCs w:val="22"/>
          <w:lang w:val="sr-Latn-ME"/>
        </w:rPr>
        <w:t xml:space="preserve"> </w:t>
      </w:r>
      <w:proofErr w:type="spellStart"/>
      <w:r w:rsidRPr="00C76E49">
        <w:rPr>
          <w:sz w:val="22"/>
          <w:szCs w:val="22"/>
        </w:rPr>
        <w:t>pacijenta</w:t>
      </w:r>
      <w:proofErr w:type="spellEnd"/>
      <w:r w:rsidRPr="006E31B1">
        <w:rPr>
          <w:sz w:val="22"/>
          <w:szCs w:val="22"/>
          <w:lang w:val="sr-Latn-ME"/>
        </w:rPr>
        <w:t xml:space="preserve"> </w:t>
      </w:r>
      <w:proofErr w:type="spellStart"/>
      <w:r w:rsidRPr="00C76E49">
        <w:rPr>
          <w:sz w:val="22"/>
          <w:szCs w:val="22"/>
        </w:rPr>
        <w:t>sa</w:t>
      </w:r>
      <w:proofErr w:type="spellEnd"/>
      <w:r w:rsidRPr="006E31B1">
        <w:rPr>
          <w:sz w:val="22"/>
          <w:szCs w:val="22"/>
          <w:lang w:val="sr-Latn-ME"/>
        </w:rPr>
        <w:t xml:space="preserve"> </w:t>
      </w:r>
      <w:proofErr w:type="spellStart"/>
      <w:r w:rsidRPr="00C76E49">
        <w:rPr>
          <w:sz w:val="22"/>
          <w:szCs w:val="22"/>
        </w:rPr>
        <w:t>komplikacijama</w:t>
      </w:r>
      <w:proofErr w:type="spellEnd"/>
      <w:r w:rsidRPr="006E31B1">
        <w:rPr>
          <w:sz w:val="22"/>
          <w:szCs w:val="22"/>
          <w:lang w:val="sr-Latn-ME"/>
        </w:rPr>
        <w:t xml:space="preserve"> </w:t>
      </w:r>
      <w:proofErr w:type="spellStart"/>
      <w:r w:rsidRPr="00C76E49">
        <w:rPr>
          <w:sz w:val="22"/>
          <w:szCs w:val="22"/>
        </w:rPr>
        <w:t>nakon</w:t>
      </w:r>
      <w:proofErr w:type="spellEnd"/>
      <w:r w:rsidRPr="006E31B1">
        <w:rPr>
          <w:sz w:val="22"/>
          <w:szCs w:val="22"/>
          <w:lang w:val="sr-Latn-ME"/>
        </w:rPr>
        <w:t xml:space="preserve"> </w:t>
      </w:r>
      <w:proofErr w:type="spellStart"/>
      <w:r w:rsidRPr="00C76E49">
        <w:rPr>
          <w:sz w:val="22"/>
          <w:szCs w:val="22"/>
        </w:rPr>
        <w:t>operacije</w:t>
      </w:r>
      <w:proofErr w:type="spellEnd"/>
      <w:r w:rsidRPr="006E31B1">
        <w:rPr>
          <w:sz w:val="22"/>
          <w:szCs w:val="22"/>
          <w:lang w:val="sr-Latn-ME"/>
        </w:rPr>
        <w:t xml:space="preserve"> </w:t>
      </w:r>
      <w:proofErr w:type="spellStart"/>
      <w:r w:rsidRPr="00C76E49">
        <w:rPr>
          <w:sz w:val="22"/>
          <w:szCs w:val="22"/>
        </w:rPr>
        <w:t>na</w:t>
      </w:r>
      <w:proofErr w:type="spellEnd"/>
      <w:r w:rsidRPr="006E31B1">
        <w:rPr>
          <w:sz w:val="22"/>
          <w:szCs w:val="22"/>
          <w:lang w:val="sr-Latn-ME"/>
        </w:rPr>
        <w:t xml:space="preserve"> </w:t>
      </w:r>
      <w:proofErr w:type="spellStart"/>
      <w:r w:rsidRPr="00C76E49">
        <w:rPr>
          <w:sz w:val="22"/>
          <w:szCs w:val="22"/>
        </w:rPr>
        <w:t>otvorenom</w:t>
      </w:r>
      <w:proofErr w:type="spellEnd"/>
      <w:r w:rsidRPr="006E31B1">
        <w:rPr>
          <w:sz w:val="22"/>
          <w:szCs w:val="22"/>
          <w:lang w:val="sr-Latn-ME"/>
        </w:rPr>
        <w:t xml:space="preserve"> </w:t>
      </w:r>
      <w:proofErr w:type="spellStart"/>
      <w:r w:rsidRPr="00C76E49">
        <w:rPr>
          <w:sz w:val="22"/>
          <w:szCs w:val="22"/>
        </w:rPr>
        <w:t>srcu</w:t>
      </w:r>
      <w:proofErr w:type="spellEnd"/>
      <w:r w:rsidRPr="006E31B1">
        <w:rPr>
          <w:sz w:val="22"/>
          <w:szCs w:val="22"/>
          <w:lang w:val="sr-Latn-ME"/>
        </w:rPr>
        <w:t xml:space="preserve">, </w:t>
      </w:r>
      <w:proofErr w:type="spellStart"/>
      <w:r w:rsidRPr="00C76E49">
        <w:rPr>
          <w:sz w:val="22"/>
          <w:szCs w:val="22"/>
        </w:rPr>
        <w:t>abdominalne</w:t>
      </w:r>
      <w:proofErr w:type="spellEnd"/>
      <w:r w:rsidRPr="006E31B1">
        <w:rPr>
          <w:sz w:val="22"/>
          <w:szCs w:val="22"/>
          <w:lang w:val="sr-Latn-ME"/>
        </w:rPr>
        <w:t xml:space="preserve"> </w:t>
      </w:r>
      <w:proofErr w:type="spellStart"/>
      <w:r w:rsidRPr="00C76E49">
        <w:rPr>
          <w:sz w:val="22"/>
          <w:szCs w:val="22"/>
        </w:rPr>
        <w:t>operacije</w:t>
      </w:r>
      <w:proofErr w:type="spellEnd"/>
      <w:r w:rsidRPr="006E31B1">
        <w:rPr>
          <w:sz w:val="22"/>
          <w:szCs w:val="22"/>
          <w:lang w:val="sr-Latn-ME"/>
        </w:rPr>
        <w:t xml:space="preserve">, </w:t>
      </w:r>
      <w:r w:rsidRPr="00C76E49">
        <w:rPr>
          <w:sz w:val="22"/>
          <w:szCs w:val="22"/>
        </w:rPr>
        <w:t>vi</w:t>
      </w:r>
      <w:r w:rsidRPr="006E31B1">
        <w:rPr>
          <w:sz w:val="22"/>
          <w:szCs w:val="22"/>
          <w:lang w:val="sr-Latn-ME"/>
        </w:rPr>
        <w:t>š</w:t>
      </w:r>
      <w:proofErr w:type="spellStart"/>
      <w:r w:rsidRPr="00C76E49">
        <w:rPr>
          <w:sz w:val="22"/>
          <w:szCs w:val="22"/>
        </w:rPr>
        <w:t>estruke</w:t>
      </w:r>
      <w:proofErr w:type="spellEnd"/>
      <w:r w:rsidRPr="006E31B1">
        <w:rPr>
          <w:sz w:val="22"/>
          <w:szCs w:val="22"/>
          <w:lang w:val="sr-Latn-ME"/>
        </w:rPr>
        <w:t xml:space="preserve"> </w:t>
      </w:r>
      <w:proofErr w:type="spellStart"/>
      <w:r w:rsidRPr="00C76E49">
        <w:rPr>
          <w:sz w:val="22"/>
          <w:szCs w:val="22"/>
        </w:rPr>
        <w:t>traume</w:t>
      </w:r>
      <w:proofErr w:type="spellEnd"/>
      <w:r w:rsidRPr="006E31B1">
        <w:rPr>
          <w:sz w:val="22"/>
          <w:szCs w:val="22"/>
          <w:lang w:val="sr-Latn-ME"/>
        </w:rPr>
        <w:t xml:space="preserve"> </w:t>
      </w:r>
      <w:proofErr w:type="spellStart"/>
      <w:r w:rsidRPr="00C76E49">
        <w:rPr>
          <w:sz w:val="22"/>
          <w:szCs w:val="22"/>
        </w:rPr>
        <w:t>ili</w:t>
      </w:r>
      <w:proofErr w:type="spellEnd"/>
      <w:r w:rsidRPr="006E31B1">
        <w:rPr>
          <w:sz w:val="22"/>
          <w:szCs w:val="22"/>
          <w:lang w:val="sr-Latn-ME"/>
        </w:rPr>
        <w:t xml:space="preserve"> </w:t>
      </w:r>
      <w:proofErr w:type="spellStart"/>
      <w:r w:rsidRPr="00C76E49">
        <w:rPr>
          <w:sz w:val="22"/>
          <w:szCs w:val="22"/>
        </w:rPr>
        <w:t>akutne</w:t>
      </w:r>
      <w:proofErr w:type="spellEnd"/>
      <w:r w:rsidRPr="006E31B1">
        <w:rPr>
          <w:sz w:val="22"/>
          <w:szCs w:val="22"/>
          <w:lang w:val="sr-Latn-ME"/>
        </w:rPr>
        <w:t xml:space="preserve"> </w:t>
      </w:r>
      <w:proofErr w:type="spellStart"/>
      <w:r w:rsidRPr="00C76E49">
        <w:rPr>
          <w:sz w:val="22"/>
          <w:szCs w:val="22"/>
        </w:rPr>
        <w:t>respiratorne</w:t>
      </w:r>
      <w:proofErr w:type="spellEnd"/>
      <w:r w:rsidRPr="006E31B1">
        <w:rPr>
          <w:sz w:val="22"/>
          <w:szCs w:val="22"/>
          <w:lang w:val="sr-Latn-ME"/>
        </w:rPr>
        <w:t xml:space="preserve"> </w:t>
      </w:r>
      <w:proofErr w:type="spellStart"/>
      <w:r w:rsidRPr="00C76E49">
        <w:rPr>
          <w:sz w:val="22"/>
          <w:szCs w:val="22"/>
        </w:rPr>
        <w:t>insuficijencije</w:t>
      </w:r>
      <w:proofErr w:type="spellEnd"/>
      <w:r w:rsidRPr="006E31B1">
        <w:rPr>
          <w:sz w:val="22"/>
          <w:szCs w:val="22"/>
          <w:lang w:val="sr-Latn-ME"/>
        </w:rPr>
        <w:t xml:space="preserve">. </w:t>
      </w:r>
      <w:proofErr w:type="spellStart"/>
      <w:r w:rsidRPr="00C76E49">
        <w:rPr>
          <w:sz w:val="22"/>
          <w:szCs w:val="22"/>
        </w:rPr>
        <w:t>Smrtnost</w:t>
      </w:r>
      <w:proofErr w:type="spellEnd"/>
      <w:r w:rsidRPr="006E31B1">
        <w:rPr>
          <w:sz w:val="22"/>
          <w:szCs w:val="22"/>
          <w:lang w:val="sr-Latn-ME"/>
        </w:rPr>
        <w:t xml:space="preserve"> </w:t>
      </w:r>
      <w:r w:rsidRPr="00C76E49">
        <w:rPr>
          <w:sz w:val="22"/>
          <w:szCs w:val="22"/>
        </w:rPr>
        <w:t>je</w:t>
      </w:r>
      <w:r w:rsidRPr="006E31B1">
        <w:rPr>
          <w:sz w:val="22"/>
          <w:szCs w:val="22"/>
          <w:lang w:val="sr-Latn-ME"/>
        </w:rPr>
        <w:t xml:space="preserve"> </w:t>
      </w:r>
      <w:proofErr w:type="spellStart"/>
      <w:r w:rsidRPr="00C76E49">
        <w:rPr>
          <w:sz w:val="22"/>
          <w:szCs w:val="22"/>
        </w:rPr>
        <w:t>bila</w:t>
      </w:r>
      <w:proofErr w:type="spellEnd"/>
      <w:r w:rsidRPr="006E31B1">
        <w:rPr>
          <w:sz w:val="22"/>
          <w:szCs w:val="22"/>
          <w:lang w:val="sr-Latn-ME"/>
        </w:rPr>
        <w:t xml:space="preserve"> </w:t>
      </w:r>
      <w:proofErr w:type="spellStart"/>
      <w:r w:rsidRPr="00C76E49">
        <w:rPr>
          <w:sz w:val="22"/>
          <w:szCs w:val="22"/>
        </w:rPr>
        <w:t>ve</w:t>
      </w:r>
      <w:proofErr w:type="spellEnd"/>
      <w:r w:rsidRPr="006E31B1">
        <w:rPr>
          <w:sz w:val="22"/>
          <w:szCs w:val="22"/>
          <w:lang w:val="sr-Latn-ME"/>
        </w:rPr>
        <w:t>ć</w:t>
      </w:r>
      <w:r w:rsidRPr="00C76E49">
        <w:rPr>
          <w:sz w:val="22"/>
          <w:szCs w:val="22"/>
        </w:rPr>
        <w:t>a</w:t>
      </w:r>
      <w:r w:rsidRPr="006E31B1">
        <w:rPr>
          <w:sz w:val="22"/>
          <w:szCs w:val="22"/>
          <w:lang w:val="sr-Latn-ME"/>
        </w:rPr>
        <w:t xml:space="preserve"> </w:t>
      </w:r>
      <w:proofErr w:type="spellStart"/>
      <w:r w:rsidRPr="00C76E49">
        <w:rPr>
          <w:sz w:val="22"/>
          <w:szCs w:val="22"/>
        </w:rPr>
        <w:t>kod</w:t>
      </w:r>
      <w:proofErr w:type="spellEnd"/>
      <w:r w:rsidRPr="006E31B1">
        <w:rPr>
          <w:sz w:val="22"/>
          <w:szCs w:val="22"/>
          <w:lang w:val="sr-Latn-ME"/>
        </w:rPr>
        <w:t xml:space="preserve"> </w:t>
      </w:r>
      <w:proofErr w:type="spellStart"/>
      <w:r w:rsidRPr="00C76E49">
        <w:rPr>
          <w:sz w:val="22"/>
          <w:szCs w:val="22"/>
        </w:rPr>
        <w:t>pacijenata</w:t>
      </w:r>
      <w:proofErr w:type="spellEnd"/>
      <w:r w:rsidRPr="006E31B1">
        <w:rPr>
          <w:sz w:val="22"/>
          <w:szCs w:val="22"/>
          <w:lang w:val="sr-Latn-ME"/>
        </w:rPr>
        <w:t xml:space="preserve"> </w:t>
      </w:r>
      <w:proofErr w:type="spellStart"/>
      <w:r w:rsidRPr="00C76E49">
        <w:rPr>
          <w:sz w:val="22"/>
          <w:szCs w:val="22"/>
        </w:rPr>
        <w:t>l</w:t>
      </w:r>
      <w:r w:rsidR="00E6186C" w:rsidRPr="00C76E49">
        <w:rPr>
          <w:sz w:val="22"/>
          <w:szCs w:val="22"/>
        </w:rPr>
        <w:t>ij</w:t>
      </w:r>
      <w:r w:rsidRPr="00C76E49">
        <w:rPr>
          <w:sz w:val="22"/>
          <w:szCs w:val="22"/>
        </w:rPr>
        <w:t>e</w:t>
      </w:r>
      <w:proofErr w:type="spellEnd"/>
      <w:r w:rsidRPr="006E31B1">
        <w:rPr>
          <w:sz w:val="22"/>
          <w:szCs w:val="22"/>
          <w:lang w:val="sr-Latn-ME"/>
        </w:rPr>
        <w:t>č</w:t>
      </w:r>
      <w:proofErr w:type="spellStart"/>
      <w:r w:rsidRPr="00C76E49">
        <w:rPr>
          <w:sz w:val="22"/>
          <w:szCs w:val="22"/>
        </w:rPr>
        <w:t>enih</w:t>
      </w:r>
      <w:proofErr w:type="spellEnd"/>
      <w:r w:rsidRPr="006E31B1">
        <w:rPr>
          <w:sz w:val="22"/>
          <w:szCs w:val="22"/>
          <w:lang w:val="sr-Latn-ME"/>
        </w:rPr>
        <w:t xml:space="preserve"> </w:t>
      </w:r>
      <w:proofErr w:type="spellStart"/>
      <w:r w:rsidRPr="00C76E49">
        <w:rPr>
          <w:sz w:val="22"/>
          <w:szCs w:val="22"/>
        </w:rPr>
        <w:t>sa</w:t>
      </w:r>
      <w:proofErr w:type="spellEnd"/>
      <w:r w:rsidRPr="006E31B1">
        <w:rPr>
          <w:sz w:val="22"/>
          <w:szCs w:val="22"/>
          <w:lang w:val="sr-Latn-ME"/>
        </w:rPr>
        <w:t xml:space="preserve"> 5,3 </w:t>
      </w:r>
      <w:proofErr w:type="spellStart"/>
      <w:r w:rsidRPr="00C76E49">
        <w:rPr>
          <w:sz w:val="22"/>
          <w:szCs w:val="22"/>
        </w:rPr>
        <w:t>ili</w:t>
      </w:r>
      <w:proofErr w:type="spellEnd"/>
      <w:r w:rsidRPr="006E31B1">
        <w:rPr>
          <w:sz w:val="22"/>
          <w:szCs w:val="22"/>
          <w:lang w:val="sr-Latn-ME"/>
        </w:rPr>
        <w:t xml:space="preserve"> 8 </w:t>
      </w:r>
      <w:r w:rsidRPr="00C76E49">
        <w:rPr>
          <w:sz w:val="22"/>
          <w:szCs w:val="22"/>
        </w:rPr>
        <w:t>mg</w:t>
      </w:r>
      <w:r w:rsidRPr="006E31B1">
        <w:rPr>
          <w:sz w:val="22"/>
          <w:szCs w:val="22"/>
          <w:lang w:val="sr-Latn-ME"/>
        </w:rPr>
        <w:t xml:space="preserve"> </w:t>
      </w:r>
      <w:proofErr w:type="spellStart"/>
      <w:r w:rsidRPr="00C76E49">
        <w:rPr>
          <w:sz w:val="22"/>
          <w:szCs w:val="22"/>
        </w:rPr>
        <w:t>somatropina</w:t>
      </w:r>
      <w:proofErr w:type="spellEnd"/>
      <w:r w:rsidRPr="006E31B1">
        <w:rPr>
          <w:sz w:val="22"/>
          <w:szCs w:val="22"/>
          <w:lang w:val="sr-Latn-ME"/>
        </w:rPr>
        <w:t xml:space="preserve"> </w:t>
      </w:r>
      <w:proofErr w:type="spellStart"/>
      <w:r w:rsidRPr="00C76E49">
        <w:rPr>
          <w:sz w:val="22"/>
          <w:szCs w:val="22"/>
        </w:rPr>
        <w:t>dnevno</w:t>
      </w:r>
      <w:proofErr w:type="spellEnd"/>
      <w:r w:rsidRPr="006E31B1">
        <w:rPr>
          <w:sz w:val="22"/>
          <w:szCs w:val="22"/>
          <w:lang w:val="sr-Latn-ME"/>
        </w:rPr>
        <w:t xml:space="preserve">, </w:t>
      </w:r>
      <w:proofErr w:type="spellStart"/>
      <w:r w:rsidRPr="00C76E49">
        <w:rPr>
          <w:sz w:val="22"/>
          <w:szCs w:val="22"/>
        </w:rPr>
        <w:t>nego</w:t>
      </w:r>
      <w:proofErr w:type="spellEnd"/>
      <w:r w:rsidRPr="006E31B1">
        <w:rPr>
          <w:sz w:val="22"/>
          <w:szCs w:val="22"/>
          <w:lang w:val="sr-Latn-ME"/>
        </w:rPr>
        <w:t xml:space="preserve"> </w:t>
      </w:r>
      <w:proofErr w:type="spellStart"/>
      <w:r w:rsidRPr="00C76E49">
        <w:rPr>
          <w:sz w:val="22"/>
          <w:szCs w:val="22"/>
        </w:rPr>
        <w:t>kod</w:t>
      </w:r>
      <w:proofErr w:type="spellEnd"/>
      <w:r w:rsidRPr="006E31B1">
        <w:rPr>
          <w:sz w:val="22"/>
          <w:szCs w:val="22"/>
          <w:lang w:val="sr-Latn-ME"/>
        </w:rPr>
        <w:t xml:space="preserve"> </w:t>
      </w:r>
      <w:proofErr w:type="spellStart"/>
      <w:r w:rsidRPr="00C76E49">
        <w:rPr>
          <w:sz w:val="22"/>
          <w:szCs w:val="22"/>
        </w:rPr>
        <w:t>pacijenata</w:t>
      </w:r>
      <w:proofErr w:type="spellEnd"/>
      <w:r w:rsidRPr="006E31B1">
        <w:rPr>
          <w:sz w:val="22"/>
          <w:szCs w:val="22"/>
          <w:lang w:val="sr-Latn-ME"/>
        </w:rPr>
        <w:t xml:space="preserve"> </w:t>
      </w:r>
      <w:proofErr w:type="spellStart"/>
      <w:r w:rsidRPr="00C76E49">
        <w:rPr>
          <w:sz w:val="22"/>
          <w:szCs w:val="22"/>
        </w:rPr>
        <w:t>koji</w:t>
      </w:r>
      <w:proofErr w:type="spellEnd"/>
      <w:r w:rsidRPr="006E31B1">
        <w:rPr>
          <w:sz w:val="22"/>
          <w:szCs w:val="22"/>
          <w:lang w:val="sr-Latn-ME"/>
        </w:rPr>
        <w:t xml:space="preserve"> </w:t>
      </w:r>
      <w:proofErr w:type="spellStart"/>
      <w:r w:rsidRPr="00C76E49">
        <w:rPr>
          <w:sz w:val="22"/>
          <w:szCs w:val="22"/>
        </w:rPr>
        <w:t>su</w:t>
      </w:r>
      <w:proofErr w:type="spellEnd"/>
      <w:r w:rsidRPr="006E31B1">
        <w:rPr>
          <w:sz w:val="22"/>
          <w:szCs w:val="22"/>
          <w:lang w:val="sr-Latn-ME"/>
        </w:rPr>
        <w:t xml:space="preserve"> </w:t>
      </w:r>
      <w:proofErr w:type="spellStart"/>
      <w:r w:rsidRPr="00C76E49">
        <w:rPr>
          <w:sz w:val="22"/>
          <w:szCs w:val="22"/>
        </w:rPr>
        <w:t>primali</w:t>
      </w:r>
      <w:proofErr w:type="spellEnd"/>
      <w:r w:rsidRPr="006E31B1">
        <w:rPr>
          <w:sz w:val="22"/>
          <w:szCs w:val="22"/>
          <w:lang w:val="sr-Latn-ME"/>
        </w:rPr>
        <w:t xml:space="preserve"> </w:t>
      </w:r>
      <w:r w:rsidRPr="00C76E49">
        <w:rPr>
          <w:sz w:val="22"/>
          <w:szCs w:val="22"/>
        </w:rPr>
        <w:t>placebo</w:t>
      </w:r>
      <w:r w:rsidRPr="006E31B1">
        <w:rPr>
          <w:sz w:val="22"/>
          <w:szCs w:val="22"/>
          <w:lang w:val="sr-Latn-ME"/>
        </w:rPr>
        <w:t xml:space="preserve">, 42% </w:t>
      </w:r>
      <w:proofErr w:type="spellStart"/>
      <w:r w:rsidRPr="00C76E49">
        <w:rPr>
          <w:sz w:val="22"/>
          <w:szCs w:val="22"/>
        </w:rPr>
        <w:t>naspram</w:t>
      </w:r>
      <w:proofErr w:type="spellEnd"/>
      <w:r w:rsidRPr="006E31B1">
        <w:rPr>
          <w:sz w:val="22"/>
          <w:szCs w:val="22"/>
          <w:lang w:val="sr-Latn-ME"/>
        </w:rPr>
        <w:t xml:space="preserve"> 19%. </w:t>
      </w:r>
      <w:r w:rsidRPr="006E31B1">
        <w:rPr>
          <w:sz w:val="22"/>
          <w:szCs w:val="22"/>
          <w:lang w:val="it-IT"/>
        </w:rPr>
        <w:t>Na osnovu ovih informacija, ovakvi pacijenti ne sm</w:t>
      </w:r>
      <w:r w:rsidR="00E6186C" w:rsidRPr="006E31B1">
        <w:rPr>
          <w:sz w:val="22"/>
          <w:szCs w:val="22"/>
          <w:lang w:val="it-IT"/>
        </w:rPr>
        <w:t>i</w:t>
      </w:r>
      <w:r w:rsidRPr="006E31B1">
        <w:rPr>
          <w:sz w:val="22"/>
          <w:szCs w:val="22"/>
          <w:lang w:val="it-IT"/>
        </w:rPr>
        <w:t>ju se l</w:t>
      </w:r>
      <w:r w:rsidR="00E6186C" w:rsidRPr="006E31B1">
        <w:rPr>
          <w:sz w:val="22"/>
          <w:szCs w:val="22"/>
          <w:lang w:val="it-IT"/>
        </w:rPr>
        <w:t>ij</w:t>
      </w:r>
      <w:r w:rsidRPr="006E31B1">
        <w:rPr>
          <w:sz w:val="22"/>
          <w:szCs w:val="22"/>
          <w:lang w:val="it-IT"/>
        </w:rPr>
        <w:t>ečiti somatropinom. Pošto nema dostupnih informacija o bezb</w:t>
      </w:r>
      <w:r w:rsidR="00E6186C" w:rsidRPr="006E31B1">
        <w:rPr>
          <w:sz w:val="22"/>
          <w:szCs w:val="22"/>
          <w:lang w:val="it-IT"/>
        </w:rPr>
        <w:t>j</w:t>
      </w:r>
      <w:r w:rsidRPr="006E31B1">
        <w:rPr>
          <w:sz w:val="22"/>
          <w:szCs w:val="22"/>
          <w:lang w:val="it-IT"/>
        </w:rPr>
        <w:t>ednosti supstitucione terapije hormonom rasta kod pacijenata u akutnom kritičnom stanju, potrebno je proceniti koristi od produženja ove terapije u takvoj situaciji, u odnosu na moguće rizike koje to produženje uključuje.</w:t>
      </w:r>
    </w:p>
    <w:p w14:paraId="47889171" w14:textId="38B67CD9" w:rsidR="00ED56D0" w:rsidRPr="008A5390" w:rsidRDefault="00EC7034" w:rsidP="008A5390">
      <w:pPr>
        <w:tabs>
          <w:tab w:val="left" w:pos="540"/>
          <w:tab w:val="left" w:pos="569"/>
        </w:tabs>
        <w:jc w:val="both"/>
        <w:rPr>
          <w:bCs/>
          <w:sz w:val="22"/>
          <w:szCs w:val="22"/>
          <w:lang w:val="it-IT"/>
        </w:rPr>
      </w:pPr>
      <w:r w:rsidRPr="006E31B1">
        <w:rPr>
          <w:sz w:val="22"/>
          <w:szCs w:val="22"/>
          <w:lang w:val="it-IT"/>
        </w:rPr>
        <w:t>Kod svih pacijenata kod kojih se razvije druga ili slična akutna kritična bolest, mora se proc</w:t>
      </w:r>
      <w:r w:rsidR="00E6186C" w:rsidRPr="006E31B1">
        <w:rPr>
          <w:sz w:val="22"/>
          <w:szCs w:val="22"/>
          <w:lang w:val="it-IT"/>
        </w:rPr>
        <w:t>ij</w:t>
      </w:r>
      <w:r w:rsidR="00A21499" w:rsidRPr="006E31B1">
        <w:rPr>
          <w:sz w:val="22"/>
          <w:szCs w:val="22"/>
          <w:lang w:val="it-IT"/>
        </w:rPr>
        <w:t>eniti m</w:t>
      </w:r>
      <w:r w:rsidRPr="006E31B1">
        <w:rPr>
          <w:sz w:val="22"/>
          <w:szCs w:val="22"/>
          <w:lang w:val="it-IT"/>
        </w:rPr>
        <w:t>oguća korist od daljeg l</w:t>
      </w:r>
      <w:r w:rsidR="00E6186C" w:rsidRPr="006E31B1">
        <w:rPr>
          <w:sz w:val="22"/>
          <w:szCs w:val="22"/>
          <w:lang w:val="it-IT"/>
        </w:rPr>
        <w:t>ij</w:t>
      </w:r>
      <w:r w:rsidRPr="006E31B1">
        <w:rPr>
          <w:sz w:val="22"/>
          <w:szCs w:val="22"/>
          <w:lang w:val="it-IT"/>
        </w:rPr>
        <w:t xml:space="preserve">ečenja somatropinom u odnosu na moguće rizike koje to produženje </w:t>
      </w:r>
      <w:r w:rsidRPr="008A5390">
        <w:rPr>
          <w:bCs/>
          <w:sz w:val="22"/>
          <w:szCs w:val="22"/>
          <w:lang w:val="it-IT"/>
        </w:rPr>
        <w:t xml:space="preserve">uključuje. </w:t>
      </w:r>
    </w:p>
    <w:p w14:paraId="4BE06F04" w14:textId="77777777" w:rsidR="00ED56D0" w:rsidRPr="008A5390" w:rsidRDefault="00ED56D0" w:rsidP="008A5390">
      <w:pPr>
        <w:tabs>
          <w:tab w:val="left" w:pos="540"/>
          <w:tab w:val="left" w:pos="569"/>
        </w:tabs>
        <w:jc w:val="both"/>
        <w:rPr>
          <w:bCs/>
          <w:sz w:val="22"/>
          <w:szCs w:val="22"/>
          <w:lang w:val="it-IT"/>
        </w:rPr>
      </w:pPr>
    </w:p>
    <w:p w14:paraId="28CF8C3F" w14:textId="77777777" w:rsidR="00E6186C" w:rsidRPr="008A5390" w:rsidRDefault="00E6186C" w:rsidP="00E6186C">
      <w:pPr>
        <w:tabs>
          <w:tab w:val="left" w:pos="540"/>
          <w:tab w:val="left" w:pos="569"/>
        </w:tabs>
        <w:jc w:val="both"/>
        <w:rPr>
          <w:sz w:val="22"/>
          <w:szCs w:val="22"/>
          <w:u w:val="single"/>
          <w:lang w:val="it-IT"/>
        </w:rPr>
      </w:pPr>
      <w:r w:rsidRPr="008A5390">
        <w:rPr>
          <w:sz w:val="22"/>
          <w:szCs w:val="22"/>
          <w:u w:val="single"/>
          <w:lang w:val="it-IT"/>
        </w:rPr>
        <w:t xml:space="preserve">Stariji pacijenti </w:t>
      </w:r>
    </w:p>
    <w:p w14:paraId="3D440E60" w14:textId="77777777" w:rsidR="00E6186C" w:rsidRPr="008A5390" w:rsidRDefault="00E6186C" w:rsidP="00E6186C">
      <w:pPr>
        <w:tabs>
          <w:tab w:val="left" w:pos="540"/>
          <w:tab w:val="left" w:pos="569"/>
        </w:tabs>
        <w:jc w:val="both"/>
        <w:rPr>
          <w:sz w:val="22"/>
          <w:szCs w:val="22"/>
          <w:lang w:val="it-IT"/>
        </w:rPr>
      </w:pPr>
      <w:r w:rsidRPr="008A5390">
        <w:rPr>
          <w:sz w:val="22"/>
          <w:szCs w:val="22"/>
          <w:lang w:val="it-IT"/>
        </w:rPr>
        <w:t>Iskustvo kod pacijenata starijih od 80 godina je ograničeno. Stariji pacijenti mogu biti osjetljiviji na djelovanje Omnitrope-a i stoga mogu biti skloniji razvoju neželjenih reakcija.</w:t>
      </w:r>
    </w:p>
    <w:p w14:paraId="76E84945" w14:textId="77777777" w:rsidR="00EC7034" w:rsidRPr="006E31B1" w:rsidRDefault="00EC7034" w:rsidP="00A25D4F">
      <w:pPr>
        <w:tabs>
          <w:tab w:val="left" w:pos="540"/>
          <w:tab w:val="left" w:pos="569"/>
        </w:tabs>
        <w:jc w:val="both"/>
        <w:rPr>
          <w:sz w:val="22"/>
          <w:szCs w:val="22"/>
          <w:u w:val="single"/>
          <w:lang w:val="it-IT"/>
        </w:rPr>
      </w:pPr>
    </w:p>
    <w:p w14:paraId="484FD872"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Prader-Willi sindrom (PWS)</w:t>
      </w:r>
    </w:p>
    <w:p w14:paraId="3A2F7B56"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pacijenata sa PWS, terapiju treba uvek kombinovati sa restriktivnom kalorijskom dijetom.</w:t>
      </w:r>
    </w:p>
    <w:p w14:paraId="4A9B57A0" w14:textId="77777777" w:rsidR="00CF6B2C" w:rsidRPr="00C76E49" w:rsidRDefault="00CF6B2C" w:rsidP="00A25D4F">
      <w:pPr>
        <w:pStyle w:val="Header"/>
        <w:tabs>
          <w:tab w:val="left" w:pos="284"/>
        </w:tabs>
        <w:jc w:val="both"/>
        <w:rPr>
          <w:sz w:val="22"/>
          <w:szCs w:val="22"/>
          <w:lang w:val="sr-Latn-ME"/>
        </w:rPr>
      </w:pPr>
    </w:p>
    <w:p w14:paraId="447D769B"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Postoje izvještaji o fatalnom ishodu koji se dovodi u vezu sa primjenom GH kod pedijatrijskih pacijenata sa PWS koji su imali jedan ili više navedenih faktora rizika: izražena gojaznost (pacijenti sa odnosom tjelesne mase/visine koji prelazi 200%), ranija oslabljena respiratorna funkcija ili apneja u snu ili neodređena respiratorna infekcija. Pacijenti sa PWS</w:t>
      </w:r>
      <w:r w:rsidR="000023B1" w:rsidRPr="00C76E49">
        <w:rPr>
          <w:sz w:val="22"/>
          <w:szCs w:val="22"/>
          <w:lang w:val="sr-Latn-ME"/>
        </w:rPr>
        <w:t xml:space="preserve"> </w:t>
      </w:r>
      <w:r w:rsidRPr="00C76E49">
        <w:rPr>
          <w:sz w:val="22"/>
          <w:szCs w:val="22"/>
          <w:lang w:val="sr-Latn-ME"/>
        </w:rPr>
        <w:t>i jednim ili više ovih faktora rizika mogu biti pod povećanim rizikom.</w:t>
      </w:r>
    </w:p>
    <w:p w14:paraId="1C3BFE37" w14:textId="77777777" w:rsidR="00CF6B2C" w:rsidRPr="00C76E49" w:rsidRDefault="00CF6B2C" w:rsidP="00A25D4F">
      <w:pPr>
        <w:pStyle w:val="Header"/>
        <w:tabs>
          <w:tab w:val="left" w:pos="284"/>
        </w:tabs>
        <w:jc w:val="both"/>
        <w:rPr>
          <w:sz w:val="22"/>
          <w:szCs w:val="22"/>
          <w:lang w:val="sr-Latn-ME"/>
        </w:rPr>
      </w:pPr>
    </w:p>
    <w:p w14:paraId="449438A8"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pacijenta sa PWS, prije započinjanja terapije somatropinom, treba utvrditi da li postoji opstrukcija gornjih respiratornih puteva, apneja u snu ili respiratorna infekcija.</w:t>
      </w:r>
    </w:p>
    <w:p w14:paraId="054E531C" w14:textId="77777777" w:rsidR="00CF6B2C" w:rsidRPr="00C76E49" w:rsidRDefault="00CF6B2C" w:rsidP="00A25D4F">
      <w:pPr>
        <w:pStyle w:val="Header"/>
        <w:tabs>
          <w:tab w:val="left" w:pos="284"/>
        </w:tabs>
        <w:jc w:val="both"/>
        <w:rPr>
          <w:sz w:val="22"/>
          <w:szCs w:val="22"/>
          <w:lang w:val="sr-Latn-ME"/>
        </w:rPr>
      </w:pPr>
    </w:p>
    <w:p w14:paraId="28D716FD"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Ako se tokom provjere postoji li opstrukcija gornjih disajnih puteva pronađu patološki nalazi, dijete treba uputiti specijalisti otorinolaringologu zbog liječenja i r</w:t>
      </w:r>
      <w:r w:rsidR="00310CAF" w:rsidRPr="00C76E49">
        <w:rPr>
          <w:sz w:val="22"/>
          <w:szCs w:val="22"/>
          <w:lang w:val="sr-Latn-ME"/>
        </w:rPr>
        <w:t>j</w:t>
      </w:r>
      <w:r w:rsidRPr="00C76E49">
        <w:rPr>
          <w:sz w:val="22"/>
          <w:szCs w:val="22"/>
          <w:lang w:val="sr-Latn-ME"/>
        </w:rPr>
        <w:t>ešavanja respiratornog poremećaja prije započinjanja liječenja hormonom rasta.</w:t>
      </w:r>
    </w:p>
    <w:p w14:paraId="5E99BC21" w14:textId="77777777" w:rsidR="00CF6B2C" w:rsidRPr="00C76E49" w:rsidRDefault="00CF6B2C" w:rsidP="00A25D4F">
      <w:pPr>
        <w:pStyle w:val="Header"/>
        <w:tabs>
          <w:tab w:val="left" w:pos="284"/>
        </w:tabs>
        <w:jc w:val="both"/>
        <w:rPr>
          <w:sz w:val="22"/>
          <w:szCs w:val="22"/>
          <w:lang w:val="sr-Latn-ME"/>
        </w:rPr>
      </w:pPr>
    </w:p>
    <w:p w14:paraId="4AD31E1F"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Prije započinjanja liječenja hormonom rasta treba provejriti da li postoji apneja u snu priznatim metodama kao što su polisomnografija ili noćna oksimetrija. U slučaju sumnje na apneju u snu, pacijent se mora nadzirati. </w:t>
      </w:r>
    </w:p>
    <w:p w14:paraId="203766D4" w14:textId="77777777" w:rsidR="00CF6B2C" w:rsidRPr="00C76E49" w:rsidRDefault="00CF6B2C" w:rsidP="00A25D4F">
      <w:pPr>
        <w:pStyle w:val="Header"/>
        <w:tabs>
          <w:tab w:val="left" w:pos="284"/>
        </w:tabs>
        <w:jc w:val="both"/>
        <w:rPr>
          <w:sz w:val="22"/>
          <w:szCs w:val="22"/>
          <w:lang w:val="sr-Latn-ME"/>
        </w:rPr>
      </w:pPr>
    </w:p>
    <w:p w14:paraId="08708525"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lastRenderedPageBreak/>
        <w:t>Ako se tokom terapije somatropinom kod pacijenata jave znaci opstrukcije gornjih disajnih puteva (uključujući pojavu ili pojačanje hrkanja), terapiju treba prekinuti i sprovesti novo otorinolaringološko ispitivanje.</w:t>
      </w:r>
    </w:p>
    <w:p w14:paraId="5FB0A3C6" w14:textId="77777777" w:rsidR="00CF6B2C" w:rsidRPr="00C76E49" w:rsidRDefault="00CF6B2C" w:rsidP="00A25D4F">
      <w:pPr>
        <w:pStyle w:val="Header"/>
        <w:tabs>
          <w:tab w:val="left" w:pos="284"/>
        </w:tabs>
        <w:jc w:val="both"/>
        <w:rPr>
          <w:sz w:val="22"/>
          <w:szCs w:val="22"/>
          <w:lang w:val="sr-Latn-ME"/>
        </w:rPr>
      </w:pPr>
    </w:p>
    <w:p w14:paraId="1687B9C6"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svih pacijenata sa PWS mora se ispitati postojanje apneje u snu i ako se sumnja na ovo stanje potrebno je pratiti pacijenta. Kod svih pacijenata sa PWS moraju se pratiti znaci respiratorne infekcije koja se mora što prije dijagnostikovati a zatim i primjeniti agresivna terapija.</w:t>
      </w:r>
    </w:p>
    <w:p w14:paraId="6FEEA869" w14:textId="77777777" w:rsidR="00CF6B2C" w:rsidRPr="00C76E49" w:rsidRDefault="00CF6B2C" w:rsidP="00A25D4F">
      <w:pPr>
        <w:pStyle w:val="Header"/>
        <w:tabs>
          <w:tab w:val="left" w:pos="284"/>
        </w:tabs>
        <w:jc w:val="both"/>
        <w:rPr>
          <w:sz w:val="22"/>
          <w:szCs w:val="22"/>
          <w:lang w:val="sr-Latn-ME"/>
        </w:rPr>
      </w:pPr>
    </w:p>
    <w:p w14:paraId="31BFA8ED"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svih pacijenata sa PWS mora se sprovoditi efikasna kontrola tjelesne mase prije i tokom terapije somatropinom.</w:t>
      </w:r>
    </w:p>
    <w:p w14:paraId="5C99EE7F" w14:textId="77777777" w:rsidR="00ED56D0" w:rsidRDefault="00ED56D0" w:rsidP="00A25D4F">
      <w:pPr>
        <w:pStyle w:val="Header"/>
        <w:tabs>
          <w:tab w:val="left" w:pos="284"/>
        </w:tabs>
        <w:jc w:val="both"/>
        <w:rPr>
          <w:sz w:val="22"/>
          <w:szCs w:val="22"/>
          <w:lang w:val="sr-Latn-ME"/>
        </w:rPr>
      </w:pPr>
    </w:p>
    <w:p w14:paraId="58D85904"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Iskustvo kod dugotrajne terapije kod odraslih i pacijenata sa PWS je ograničeno.</w:t>
      </w:r>
    </w:p>
    <w:p w14:paraId="7EDBD181" w14:textId="77777777" w:rsidR="00CF6B2C" w:rsidRPr="00C76E49" w:rsidRDefault="00CF6B2C" w:rsidP="00A25D4F">
      <w:pPr>
        <w:pStyle w:val="Header"/>
        <w:tabs>
          <w:tab w:val="left" w:pos="284"/>
        </w:tabs>
        <w:jc w:val="both"/>
        <w:rPr>
          <w:sz w:val="22"/>
          <w:szCs w:val="22"/>
          <w:lang w:val="sr-Latn-ME"/>
        </w:rPr>
      </w:pPr>
    </w:p>
    <w:p w14:paraId="52014703" w14:textId="77777777" w:rsidR="00CF6B2C" w:rsidRPr="00C76E49" w:rsidRDefault="00CF6B2C" w:rsidP="00A25D4F">
      <w:pPr>
        <w:pStyle w:val="Header"/>
        <w:tabs>
          <w:tab w:val="left" w:pos="284"/>
        </w:tabs>
        <w:jc w:val="both"/>
        <w:rPr>
          <w:sz w:val="22"/>
          <w:szCs w:val="22"/>
          <w:u w:val="single"/>
          <w:lang w:val="sr-Latn-ME"/>
        </w:rPr>
      </w:pPr>
      <w:r w:rsidRPr="00C76E49">
        <w:rPr>
          <w:sz w:val="22"/>
          <w:szCs w:val="22"/>
          <w:u w:val="single"/>
          <w:lang w:val="sr-Latn-ME"/>
        </w:rPr>
        <w:t>Djeca koja su rođena mala za gestacijsku dob</w:t>
      </w:r>
    </w:p>
    <w:p w14:paraId="160E0F64"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Kod niske djece/adolescenata koji su rođeni niski za gestacijsku dob, prije započinjanja terapije potrebno je isključiti ostale medicinske razloge ili terapije koje bi mogle da objasne poremećaj rasta.</w:t>
      </w:r>
    </w:p>
    <w:p w14:paraId="347125E1" w14:textId="77777777" w:rsidR="00CF6B2C" w:rsidRPr="00C76E49" w:rsidRDefault="00CF6B2C" w:rsidP="00A25D4F">
      <w:pPr>
        <w:pStyle w:val="Header"/>
        <w:tabs>
          <w:tab w:val="left" w:pos="284"/>
        </w:tabs>
        <w:jc w:val="both"/>
        <w:rPr>
          <w:sz w:val="22"/>
          <w:szCs w:val="22"/>
          <w:lang w:val="sr-Latn-ME"/>
        </w:rPr>
      </w:pPr>
    </w:p>
    <w:p w14:paraId="73C6E534"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Kod SGA djece/adolescenata preporučuje se mjerenje insulina i glukoze u krvi natašte, prije započinjanja terapije, a zatim i jednom godišnje. Kod pacijenata sa povećanim rizikom od dijabetes melitusa (npr. porodična anamneza o dijabetesu, gojaznost, teška insulinska rezistencija, akantoza-acanthosis nigricans) potrebno je uraditi oralni glukoza tolerans test (OGTT). Ako se pojave očigledni znaci dijabetesa, ne </w:t>
      </w:r>
      <w:r w:rsidR="00310CAF" w:rsidRPr="00C76E49">
        <w:rPr>
          <w:sz w:val="22"/>
          <w:szCs w:val="22"/>
          <w:lang w:val="sr-Latn-ME"/>
        </w:rPr>
        <w:t xml:space="preserve">smije se </w:t>
      </w:r>
      <w:r w:rsidRPr="00C76E49">
        <w:rPr>
          <w:sz w:val="22"/>
          <w:szCs w:val="22"/>
          <w:lang w:val="sr-Latn-ME"/>
        </w:rPr>
        <w:t>primjenjivati hormon rasta.</w:t>
      </w:r>
    </w:p>
    <w:p w14:paraId="3053EC22" w14:textId="77777777" w:rsidR="00CF6B2C" w:rsidRPr="00C76E49" w:rsidRDefault="00CF6B2C" w:rsidP="00A25D4F">
      <w:pPr>
        <w:pStyle w:val="Header"/>
        <w:tabs>
          <w:tab w:val="left" w:pos="284"/>
        </w:tabs>
        <w:jc w:val="both"/>
        <w:rPr>
          <w:sz w:val="22"/>
          <w:szCs w:val="22"/>
          <w:lang w:val="sr-Latn-ME"/>
        </w:rPr>
      </w:pPr>
    </w:p>
    <w:p w14:paraId="1E96B217"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Kod SGA djece/adolescenata preporučuje se mjerenje vrijednosti IGF-I prije započinjanja terapije, a zatim i dva puta godišnje. Ako na ponovljenim mjerenjima vrijednosti IGF-I premaše +2SD u poređenju sa referencama za starosnu dob i pubertetski status, može se uzeti u obzir odnos IGF-I/IGFBP-3 radi prilagođavanja doze. </w:t>
      </w:r>
    </w:p>
    <w:p w14:paraId="163AD8C0" w14:textId="77777777" w:rsidR="00CF6B2C" w:rsidRPr="00C76E49" w:rsidRDefault="00CF6B2C" w:rsidP="00A25D4F">
      <w:pPr>
        <w:pStyle w:val="Header"/>
        <w:tabs>
          <w:tab w:val="left" w:pos="284"/>
        </w:tabs>
        <w:jc w:val="both"/>
        <w:rPr>
          <w:sz w:val="22"/>
          <w:szCs w:val="22"/>
          <w:lang w:val="sr-Latn-ME"/>
        </w:rPr>
      </w:pPr>
    </w:p>
    <w:p w14:paraId="6A9A00A9"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Iskustvo u započinjanju terapije kod SGA pacijenata neposredno prije početka puberteta je ograničeno. Zbog toga se ne preporučuje započinjanje terapije neposredno prije početka puberteta. Iskustvo kod pacijenata sa </w:t>
      </w:r>
      <w:r w:rsidRPr="006E31B1">
        <w:rPr>
          <w:i/>
          <w:iCs/>
          <w:sz w:val="22"/>
          <w:szCs w:val="22"/>
          <w:lang w:val="sr-Latn-ME"/>
        </w:rPr>
        <w:t>Silver-Russell</w:t>
      </w:r>
      <w:r w:rsidRPr="00C76E49">
        <w:rPr>
          <w:sz w:val="22"/>
          <w:szCs w:val="22"/>
          <w:lang w:val="sr-Latn-ME"/>
        </w:rPr>
        <w:t xml:space="preserve"> sindromom je ograničeno.</w:t>
      </w:r>
    </w:p>
    <w:p w14:paraId="3118351A" w14:textId="77777777" w:rsidR="00CF6B2C" w:rsidRPr="00C76E49" w:rsidRDefault="00CF6B2C" w:rsidP="00A25D4F">
      <w:pPr>
        <w:pStyle w:val="Header"/>
        <w:tabs>
          <w:tab w:val="left" w:pos="284"/>
        </w:tabs>
        <w:jc w:val="both"/>
        <w:rPr>
          <w:sz w:val="22"/>
          <w:szCs w:val="22"/>
          <w:lang w:val="sr-Latn-ME"/>
        </w:rPr>
      </w:pPr>
    </w:p>
    <w:p w14:paraId="08B9FAE5"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Ukoliko se prekine sa terapijom hormona rasta kod djece/adolescenata SGA prije dostizanja konačne visine, može se izgubiti nešto od dobitka na visini</w:t>
      </w:r>
      <w:r w:rsidR="00310CAF" w:rsidRPr="00C76E49">
        <w:rPr>
          <w:sz w:val="22"/>
          <w:szCs w:val="22"/>
          <w:lang w:val="sr-Latn-ME"/>
        </w:rPr>
        <w:t xml:space="preserve"> postignut liječenjem</w:t>
      </w:r>
      <w:r w:rsidRPr="00C76E49">
        <w:rPr>
          <w:sz w:val="22"/>
          <w:szCs w:val="22"/>
          <w:lang w:val="sr-Latn-ME"/>
        </w:rPr>
        <w:t>.</w:t>
      </w:r>
    </w:p>
    <w:p w14:paraId="61DACB80" w14:textId="77777777" w:rsidR="00310CAF" w:rsidRPr="00C76E49" w:rsidRDefault="00310CAF" w:rsidP="00A25D4F">
      <w:pPr>
        <w:pStyle w:val="Header"/>
        <w:tabs>
          <w:tab w:val="left" w:pos="284"/>
        </w:tabs>
        <w:jc w:val="both"/>
        <w:rPr>
          <w:sz w:val="22"/>
          <w:szCs w:val="22"/>
          <w:lang w:val="sr-Latn-ME"/>
        </w:rPr>
      </w:pPr>
    </w:p>
    <w:p w14:paraId="21BDE311" w14:textId="77777777" w:rsidR="00310CAF" w:rsidRPr="00C76E49" w:rsidRDefault="009E7DE8" w:rsidP="00A25D4F">
      <w:pPr>
        <w:pStyle w:val="Header"/>
        <w:tabs>
          <w:tab w:val="left" w:pos="284"/>
        </w:tabs>
        <w:jc w:val="both"/>
        <w:rPr>
          <w:iCs/>
          <w:sz w:val="22"/>
          <w:szCs w:val="22"/>
          <w:u w:val="single"/>
          <w:lang w:val="sr-Latn-ME"/>
        </w:rPr>
      </w:pPr>
      <w:r w:rsidRPr="00C76E49">
        <w:rPr>
          <w:iCs/>
          <w:sz w:val="22"/>
          <w:szCs w:val="22"/>
          <w:u w:val="single"/>
          <w:lang w:val="sr-Latn-ME"/>
        </w:rPr>
        <w:t>Hronična bubrežna insuficijencija</w:t>
      </w:r>
    </w:p>
    <w:p w14:paraId="0CBCB66E" w14:textId="77777777" w:rsidR="00310CAF" w:rsidRDefault="00310CAF" w:rsidP="00A25D4F">
      <w:pPr>
        <w:pStyle w:val="Header"/>
        <w:tabs>
          <w:tab w:val="left" w:pos="284"/>
        </w:tabs>
        <w:jc w:val="both"/>
        <w:rPr>
          <w:sz w:val="22"/>
          <w:szCs w:val="22"/>
          <w:lang w:val="sr-Latn-ME"/>
        </w:rPr>
      </w:pPr>
      <w:r w:rsidRPr="00C76E49">
        <w:rPr>
          <w:sz w:val="22"/>
          <w:szCs w:val="22"/>
          <w:lang w:val="sr-Latn-ME"/>
        </w:rPr>
        <w:t>Kod hronične bubrežne insuficijencije, prije započinjanja terapije funkcija bubrega treba da bude ispod 50% od normalne. Da bi se potvrdio poremećaj rasta, potrebno je pratiti rast tokom godinu dana prije  uvođenja terapije. Tokom ovog perioda, potrebno je započeti konzervativno liječenje bubrežne insuficijencije (koja uključuje kontrolu acidoze, hiperparatireoidizma i nutritivni status) i održavati ga tokom terapije.</w:t>
      </w:r>
    </w:p>
    <w:p w14:paraId="62B96A74" w14:textId="77777777" w:rsidR="0030017F" w:rsidRPr="00C76E49" w:rsidRDefault="0030017F" w:rsidP="00A25D4F">
      <w:pPr>
        <w:pStyle w:val="Header"/>
        <w:tabs>
          <w:tab w:val="left" w:pos="284"/>
        </w:tabs>
        <w:jc w:val="both"/>
        <w:rPr>
          <w:sz w:val="22"/>
          <w:szCs w:val="22"/>
          <w:lang w:val="sr-Latn-ME"/>
        </w:rPr>
      </w:pPr>
    </w:p>
    <w:p w14:paraId="679F0352" w14:textId="77777777" w:rsidR="00310CAF" w:rsidRPr="00C76E49" w:rsidRDefault="00310CAF" w:rsidP="00A25D4F">
      <w:pPr>
        <w:pStyle w:val="Header"/>
        <w:tabs>
          <w:tab w:val="left" w:pos="284"/>
        </w:tabs>
        <w:jc w:val="both"/>
        <w:rPr>
          <w:sz w:val="22"/>
          <w:szCs w:val="22"/>
          <w:lang w:val="sr-Latn-ME"/>
        </w:rPr>
      </w:pPr>
      <w:r w:rsidRPr="00C76E49">
        <w:rPr>
          <w:sz w:val="22"/>
          <w:szCs w:val="22"/>
          <w:lang w:val="sr-Latn-ME"/>
        </w:rPr>
        <w:t>Kod transplantacije bubrega terapiju treba prekinuti.</w:t>
      </w:r>
    </w:p>
    <w:p w14:paraId="5A4F5441" w14:textId="77777777" w:rsidR="00310CAF" w:rsidRPr="00C76E49" w:rsidRDefault="00310CAF" w:rsidP="00A25D4F">
      <w:pPr>
        <w:pStyle w:val="Header"/>
        <w:tabs>
          <w:tab w:val="left" w:pos="284"/>
        </w:tabs>
        <w:jc w:val="both"/>
        <w:rPr>
          <w:sz w:val="22"/>
          <w:szCs w:val="22"/>
          <w:lang w:val="sr-Latn-ME"/>
        </w:rPr>
      </w:pPr>
    </w:p>
    <w:p w14:paraId="306017EF" w14:textId="77777777" w:rsidR="00310CAF" w:rsidRPr="00C76E49" w:rsidRDefault="00310CAF" w:rsidP="00A25D4F">
      <w:pPr>
        <w:pStyle w:val="Header"/>
        <w:tabs>
          <w:tab w:val="left" w:pos="284"/>
        </w:tabs>
        <w:jc w:val="both"/>
        <w:rPr>
          <w:sz w:val="22"/>
          <w:szCs w:val="22"/>
          <w:lang w:val="sr-Latn-ME"/>
        </w:rPr>
      </w:pPr>
      <w:r w:rsidRPr="00C76E49">
        <w:rPr>
          <w:sz w:val="22"/>
          <w:szCs w:val="22"/>
          <w:lang w:val="sr-Latn-ME"/>
        </w:rPr>
        <w:t>Do danas, nijesu dostupni podaci o konačnoj visini kod pacijenata sa hroničnom bubrežnom insuficijencijom koji su liječeni ovim lijekom.</w:t>
      </w:r>
    </w:p>
    <w:p w14:paraId="691D1A92" w14:textId="77777777" w:rsidR="00057E35" w:rsidRPr="006E31B1" w:rsidRDefault="00057E35" w:rsidP="00A25D4F">
      <w:pPr>
        <w:tabs>
          <w:tab w:val="left" w:pos="540"/>
          <w:tab w:val="left" w:pos="569"/>
        </w:tabs>
        <w:jc w:val="both"/>
        <w:rPr>
          <w:bCs/>
          <w:sz w:val="22"/>
          <w:szCs w:val="22"/>
          <w:lang w:val="sr-Latn-ME"/>
        </w:rPr>
      </w:pPr>
    </w:p>
    <w:p w14:paraId="1C914FB9" w14:textId="77777777" w:rsidR="00E6186C" w:rsidRPr="008A5390" w:rsidRDefault="00E6186C" w:rsidP="00E6186C">
      <w:pPr>
        <w:tabs>
          <w:tab w:val="left" w:pos="540"/>
          <w:tab w:val="left" w:pos="569"/>
        </w:tabs>
        <w:jc w:val="both"/>
        <w:rPr>
          <w:bCs/>
          <w:sz w:val="22"/>
          <w:szCs w:val="22"/>
          <w:u w:val="single"/>
        </w:rPr>
      </w:pPr>
      <w:r w:rsidRPr="008A5390">
        <w:rPr>
          <w:bCs/>
          <w:sz w:val="22"/>
          <w:szCs w:val="22"/>
          <w:u w:val="single"/>
        </w:rPr>
        <w:t>Sadr</w:t>
      </w:r>
      <w:r w:rsidRPr="008A5390">
        <w:rPr>
          <w:bCs/>
          <w:sz w:val="22"/>
          <w:szCs w:val="22"/>
          <w:u w:val="single"/>
          <w:lang w:val="sr-Latn-ME"/>
        </w:rPr>
        <w:t>ž</w:t>
      </w:r>
      <w:proofErr w:type="spellStart"/>
      <w:r w:rsidRPr="008A5390">
        <w:rPr>
          <w:bCs/>
          <w:sz w:val="22"/>
          <w:szCs w:val="22"/>
          <w:u w:val="single"/>
        </w:rPr>
        <w:t>aj</w:t>
      </w:r>
      <w:proofErr w:type="spellEnd"/>
      <w:r w:rsidRPr="008A5390">
        <w:rPr>
          <w:bCs/>
          <w:sz w:val="22"/>
          <w:szCs w:val="22"/>
          <w:u w:val="single"/>
          <w:lang w:val="sr-Latn-ME"/>
        </w:rPr>
        <w:t xml:space="preserve"> </w:t>
      </w:r>
      <w:proofErr w:type="spellStart"/>
      <w:r w:rsidRPr="008A5390">
        <w:rPr>
          <w:bCs/>
          <w:sz w:val="22"/>
          <w:szCs w:val="22"/>
          <w:u w:val="single"/>
        </w:rPr>
        <w:t>natrijuma</w:t>
      </w:r>
      <w:proofErr w:type="spellEnd"/>
    </w:p>
    <w:p w14:paraId="0DAC2947" w14:textId="77777777" w:rsidR="00E6186C" w:rsidRPr="006E31B1" w:rsidRDefault="00E6186C" w:rsidP="00E6186C">
      <w:pPr>
        <w:tabs>
          <w:tab w:val="left" w:pos="540"/>
          <w:tab w:val="left" w:pos="569"/>
        </w:tabs>
        <w:jc w:val="both"/>
        <w:rPr>
          <w:bCs/>
          <w:sz w:val="22"/>
          <w:szCs w:val="22"/>
          <w:lang w:val="sr-Latn-ME"/>
        </w:rPr>
      </w:pPr>
      <w:proofErr w:type="spellStart"/>
      <w:r w:rsidRPr="00C76E49">
        <w:rPr>
          <w:bCs/>
          <w:sz w:val="22"/>
          <w:szCs w:val="22"/>
        </w:rPr>
        <w:t>Ovaj</w:t>
      </w:r>
      <w:proofErr w:type="spellEnd"/>
      <w:r w:rsidRPr="006E31B1">
        <w:rPr>
          <w:bCs/>
          <w:sz w:val="22"/>
          <w:szCs w:val="22"/>
          <w:lang w:val="sr-Latn-ME"/>
        </w:rPr>
        <w:t xml:space="preserve"> </w:t>
      </w:r>
      <w:proofErr w:type="spellStart"/>
      <w:r w:rsidRPr="00C76E49">
        <w:rPr>
          <w:bCs/>
          <w:sz w:val="22"/>
          <w:szCs w:val="22"/>
        </w:rPr>
        <w:t>lijek</w:t>
      </w:r>
      <w:proofErr w:type="spellEnd"/>
      <w:r w:rsidRPr="006E31B1">
        <w:rPr>
          <w:bCs/>
          <w:sz w:val="22"/>
          <w:szCs w:val="22"/>
          <w:lang w:val="sr-Latn-ME"/>
        </w:rPr>
        <w:t xml:space="preserve"> </w:t>
      </w:r>
      <w:proofErr w:type="spellStart"/>
      <w:r w:rsidRPr="00C76E49">
        <w:rPr>
          <w:bCs/>
          <w:sz w:val="22"/>
          <w:szCs w:val="22"/>
        </w:rPr>
        <w:t>sadr</w:t>
      </w:r>
      <w:proofErr w:type="spellEnd"/>
      <w:r w:rsidRPr="006E31B1">
        <w:rPr>
          <w:bCs/>
          <w:sz w:val="22"/>
          <w:szCs w:val="22"/>
          <w:lang w:val="sr-Latn-ME"/>
        </w:rPr>
        <w:t>ž</w:t>
      </w:r>
      <w:proofErr w:type="spellStart"/>
      <w:r w:rsidRPr="00C76E49">
        <w:rPr>
          <w:bCs/>
          <w:sz w:val="22"/>
          <w:szCs w:val="22"/>
        </w:rPr>
        <w:t>i</w:t>
      </w:r>
      <w:proofErr w:type="spellEnd"/>
      <w:r w:rsidRPr="006E31B1">
        <w:rPr>
          <w:bCs/>
          <w:sz w:val="22"/>
          <w:szCs w:val="22"/>
          <w:lang w:val="sr-Latn-ME"/>
        </w:rPr>
        <w:t xml:space="preserve"> </w:t>
      </w:r>
      <w:proofErr w:type="spellStart"/>
      <w:r w:rsidRPr="00C76E49">
        <w:rPr>
          <w:bCs/>
          <w:sz w:val="22"/>
          <w:szCs w:val="22"/>
        </w:rPr>
        <w:t>manje</w:t>
      </w:r>
      <w:proofErr w:type="spellEnd"/>
      <w:r w:rsidRPr="006E31B1">
        <w:rPr>
          <w:bCs/>
          <w:sz w:val="22"/>
          <w:szCs w:val="22"/>
          <w:lang w:val="sr-Latn-ME"/>
        </w:rPr>
        <w:t xml:space="preserve"> </w:t>
      </w:r>
      <w:proofErr w:type="gramStart"/>
      <w:r w:rsidRPr="00D50357">
        <w:rPr>
          <w:bCs/>
          <w:sz w:val="22"/>
          <w:szCs w:val="22"/>
          <w:lang w:val="sr-Latn-ME"/>
        </w:rPr>
        <w:t>od</w:t>
      </w:r>
      <w:proofErr w:type="gramEnd"/>
      <w:r w:rsidRPr="006E31B1">
        <w:rPr>
          <w:bCs/>
          <w:sz w:val="22"/>
          <w:szCs w:val="22"/>
          <w:lang w:val="sr-Latn-ME"/>
        </w:rPr>
        <w:t xml:space="preserve"> 1 </w:t>
      </w:r>
      <w:proofErr w:type="spellStart"/>
      <w:r w:rsidRPr="00C76E49">
        <w:rPr>
          <w:bCs/>
          <w:sz w:val="22"/>
          <w:szCs w:val="22"/>
        </w:rPr>
        <w:t>mmol</w:t>
      </w:r>
      <w:proofErr w:type="spellEnd"/>
      <w:r w:rsidRPr="006E31B1">
        <w:rPr>
          <w:bCs/>
          <w:sz w:val="22"/>
          <w:szCs w:val="22"/>
          <w:lang w:val="sr-Latn-ME"/>
        </w:rPr>
        <w:t xml:space="preserve"> </w:t>
      </w:r>
      <w:proofErr w:type="spellStart"/>
      <w:r w:rsidRPr="00C76E49">
        <w:rPr>
          <w:bCs/>
          <w:sz w:val="22"/>
          <w:szCs w:val="22"/>
        </w:rPr>
        <w:t>natrijuma</w:t>
      </w:r>
      <w:proofErr w:type="spellEnd"/>
      <w:r w:rsidRPr="006E31B1">
        <w:rPr>
          <w:bCs/>
          <w:sz w:val="22"/>
          <w:szCs w:val="22"/>
          <w:lang w:val="sr-Latn-ME"/>
        </w:rPr>
        <w:t xml:space="preserve"> (23 </w:t>
      </w:r>
      <w:r w:rsidRPr="00C76E49">
        <w:rPr>
          <w:bCs/>
          <w:sz w:val="22"/>
          <w:szCs w:val="22"/>
        </w:rPr>
        <w:t>mg</w:t>
      </w:r>
      <w:r w:rsidRPr="006E31B1">
        <w:rPr>
          <w:bCs/>
          <w:sz w:val="22"/>
          <w:szCs w:val="22"/>
          <w:lang w:val="sr-Latn-ME"/>
        </w:rPr>
        <w:t xml:space="preserve">) </w:t>
      </w:r>
      <w:proofErr w:type="spellStart"/>
      <w:r w:rsidRPr="00C76E49">
        <w:rPr>
          <w:bCs/>
          <w:sz w:val="22"/>
          <w:szCs w:val="22"/>
        </w:rPr>
        <w:t>po</w:t>
      </w:r>
      <w:proofErr w:type="spellEnd"/>
      <w:r w:rsidRPr="006E31B1">
        <w:rPr>
          <w:bCs/>
          <w:sz w:val="22"/>
          <w:szCs w:val="22"/>
          <w:lang w:val="sr-Latn-ME"/>
        </w:rPr>
        <w:t xml:space="preserve"> </w:t>
      </w:r>
      <w:r w:rsidRPr="00C76E49">
        <w:rPr>
          <w:bCs/>
          <w:sz w:val="22"/>
          <w:szCs w:val="22"/>
        </w:rPr>
        <w:t>ml</w:t>
      </w:r>
      <w:r w:rsidRPr="006E31B1">
        <w:rPr>
          <w:bCs/>
          <w:sz w:val="22"/>
          <w:szCs w:val="22"/>
          <w:lang w:val="sr-Latn-ME"/>
        </w:rPr>
        <w:t>, š</w:t>
      </w:r>
      <w:r w:rsidRPr="00C76E49">
        <w:rPr>
          <w:bCs/>
          <w:sz w:val="22"/>
          <w:szCs w:val="22"/>
        </w:rPr>
        <w:t>to</w:t>
      </w:r>
      <w:r w:rsidRPr="006E31B1">
        <w:rPr>
          <w:bCs/>
          <w:sz w:val="22"/>
          <w:szCs w:val="22"/>
          <w:lang w:val="sr-Latn-ME"/>
        </w:rPr>
        <w:t xml:space="preserve"> </w:t>
      </w:r>
      <w:r w:rsidRPr="00C76E49">
        <w:rPr>
          <w:bCs/>
          <w:sz w:val="22"/>
          <w:szCs w:val="22"/>
        </w:rPr>
        <w:t>je</w:t>
      </w:r>
      <w:r w:rsidRPr="006E31B1">
        <w:rPr>
          <w:bCs/>
          <w:sz w:val="22"/>
          <w:szCs w:val="22"/>
          <w:lang w:val="sr-Latn-ME"/>
        </w:rPr>
        <w:t xml:space="preserve"> </w:t>
      </w:r>
      <w:proofErr w:type="spellStart"/>
      <w:r w:rsidRPr="00C76E49">
        <w:rPr>
          <w:bCs/>
          <w:sz w:val="22"/>
          <w:szCs w:val="22"/>
        </w:rPr>
        <w:t>su</w:t>
      </w:r>
      <w:proofErr w:type="spellEnd"/>
      <w:r w:rsidRPr="006E31B1">
        <w:rPr>
          <w:bCs/>
          <w:sz w:val="22"/>
          <w:szCs w:val="22"/>
          <w:lang w:val="sr-Latn-ME"/>
        </w:rPr>
        <w:t>š</w:t>
      </w:r>
      <w:proofErr w:type="spellStart"/>
      <w:r w:rsidRPr="00C76E49">
        <w:rPr>
          <w:bCs/>
          <w:sz w:val="22"/>
          <w:szCs w:val="22"/>
        </w:rPr>
        <w:t>tinski</w:t>
      </w:r>
      <w:proofErr w:type="spellEnd"/>
      <w:r w:rsidRPr="006E31B1">
        <w:rPr>
          <w:bCs/>
          <w:sz w:val="22"/>
          <w:szCs w:val="22"/>
          <w:lang w:val="sr-Latn-ME"/>
        </w:rPr>
        <w:t xml:space="preserve"> „</w:t>
      </w:r>
      <w:r w:rsidRPr="00C76E49">
        <w:rPr>
          <w:bCs/>
          <w:sz w:val="22"/>
          <w:szCs w:val="22"/>
        </w:rPr>
        <w:t>bez</w:t>
      </w:r>
      <w:r w:rsidRPr="006E31B1">
        <w:rPr>
          <w:bCs/>
          <w:sz w:val="22"/>
          <w:szCs w:val="22"/>
          <w:lang w:val="sr-Latn-ME"/>
        </w:rPr>
        <w:t xml:space="preserve"> </w:t>
      </w:r>
      <w:proofErr w:type="spellStart"/>
      <w:r w:rsidRPr="00C76E49">
        <w:rPr>
          <w:bCs/>
          <w:sz w:val="22"/>
          <w:szCs w:val="22"/>
        </w:rPr>
        <w:t>natrijuma</w:t>
      </w:r>
      <w:proofErr w:type="spellEnd"/>
      <w:r w:rsidRPr="006E31B1">
        <w:rPr>
          <w:bCs/>
          <w:sz w:val="22"/>
          <w:szCs w:val="22"/>
          <w:lang w:val="sr-Latn-ME"/>
        </w:rPr>
        <w:t>“</w:t>
      </w:r>
    </w:p>
    <w:p w14:paraId="20B83DB2" w14:textId="77777777" w:rsidR="00E6186C" w:rsidRPr="006E31B1" w:rsidRDefault="00E6186C" w:rsidP="00E6186C">
      <w:pPr>
        <w:tabs>
          <w:tab w:val="left" w:pos="540"/>
          <w:tab w:val="left" w:pos="569"/>
        </w:tabs>
        <w:jc w:val="both"/>
        <w:rPr>
          <w:bCs/>
          <w:sz w:val="22"/>
          <w:szCs w:val="22"/>
          <w:lang w:val="sr-Latn-ME"/>
        </w:rPr>
      </w:pPr>
    </w:p>
    <w:p w14:paraId="57239248" w14:textId="77777777" w:rsidR="00411B4B" w:rsidRPr="006E31B1" w:rsidRDefault="00411B4B" w:rsidP="00A25D4F">
      <w:pPr>
        <w:tabs>
          <w:tab w:val="left" w:pos="540"/>
          <w:tab w:val="left" w:pos="569"/>
        </w:tabs>
        <w:jc w:val="both"/>
        <w:rPr>
          <w:b/>
          <w:bCs/>
          <w:sz w:val="22"/>
          <w:szCs w:val="22"/>
          <w:lang w:val="it-IT"/>
        </w:rPr>
      </w:pPr>
      <w:r w:rsidRPr="006E31B1">
        <w:rPr>
          <w:b/>
          <w:bCs/>
          <w:sz w:val="22"/>
          <w:szCs w:val="22"/>
          <w:lang w:val="it-IT"/>
        </w:rPr>
        <w:t>4.5.</w:t>
      </w:r>
      <w:r w:rsidR="000D60CC" w:rsidRPr="006E31B1">
        <w:rPr>
          <w:b/>
          <w:bCs/>
          <w:sz w:val="22"/>
          <w:szCs w:val="22"/>
          <w:lang w:val="it-IT"/>
        </w:rPr>
        <w:tab/>
      </w:r>
      <w:r w:rsidRPr="006E31B1">
        <w:rPr>
          <w:b/>
          <w:bCs/>
          <w:sz w:val="22"/>
          <w:szCs w:val="22"/>
          <w:lang w:val="it-IT"/>
        </w:rPr>
        <w:t>Interakcije sa drugim ljekovima i druge vrste interakcija</w:t>
      </w:r>
    </w:p>
    <w:p w14:paraId="0AAFABFA" w14:textId="77777777" w:rsidR="00CF6B2C" w:rsidRPr="00C76E49" w:rsidRDefault="00CF6B2C" w:rsidP="00A25D4F">
      <w:pPr>
        <w:tabs>
          <w:tab w:val="left" w:pos="540"/>
          <w:tab w:val="left" w:pos="569"/>
        </w:tabs>
        <w:jc w:val="both"/>
        <w:rPr>
          <w:b/>
          <w:bCs/>
          <w:sz w:val="22"/>
          <w:szCs w:val="22"/>
          <w:lang w:val="sr-Latn-ME"/>
        </w:rPr>
      </w:pPr>
    </w:p>
    <w:p w14:paraId="106544CE" w14:textId="0411C425" w:rsidR="00B44167" w:rsidRPr="00C76E49" w:rsidRDefault="00CF6B2C" w:rsidP="00A25D4F">
      <w:pPr>
        <w:autoSpaceDE w:val="0"/>
        <w:autoSpaceDN w:val="0"/>
        <w:adjustRightInd w:val="0"/>
        <w:jc w:val="both"/>
        <w:rPr>
          <w:sz w:val="22"/>
          <w:szCs w:val="22"/>
          <w:lang w:val="sr-Latn-ME" w:eastAsia="sr-Latn-ME"/>
        </w:rPr>
      </w:pPr>
      <w:r w:rsidRPr="00C76E49">
        <w:rPr>
          <w:sz w:val="22"/>
          <w:szCs w:val="22"/>
          <w:lang w:val="sr-Latn-ME"/>
        </w:rPr>
        <w:t xml:space="preserve">Istovremeno liječenje glukokortikoidima inhibira efekte </w:t>
      </w:r>
      <w:r w:rsidR="00B44167" w:rsidRPr="00C76E49">
        <w:rPr>
          <w:sz w:val="22"/>
          <w:szCs w:val="22"/>
          <w:lang w:val="sr-Latn-ME"/>
        </w:rPr>
        <w:t xml:space="preserve">lijeka Omnitrope </w:t>
      </w:r>
      <w:r w:rsidRPr="00C76E49">
        <w:rPr>
          <w:sz w:val="22"/>
          <w:szCs w:val="22"/>
          <w:lang w:val="sr-Latn-ME"/>
        </w:rPr>
        <w:t xml:space="preserve">na stimulisanje rasta. </w:t>
      </w:r>
      <w:r w:rsidR="00B44167" w:rsidRPr="00C76E49">
        <w:rPr>
          <w:sz w:val="22"/>
          <w:szCs w:val="22"/>
          <w:lang w:val="sr-Latn-ME" w:eastAsia="sr-Latn-ME"/>
        </w:rPr>
        <w:t>Pacijentima s nedostatkom ACTH-a treba pažljivo prilagoditi supstitucionu terapiju glukokortikoidima</w:t>
      </w:r>
    </w:p>
    <w:p w14:paraId="180D420B" w14:textId="77777777" w:rsidR="00B44167" w:rsidRPr="00C76E49" w:rsidRDefault="00B44167" w:rsidP="00A25D4F">
      <w:pPr>
        <w:autoSpaceDE w:val="0"/>
        <w:autoSpaceDN w:val="0"/>
        <w:adjustRightInd w:val="0"/>
        <w:jc w:val="both"/>
        <w:rPr>
          <w:sz w:val="22"/>
          <w:szCs w:val="22"/>
          <w:lang w:val="sr-Latn-ME" w:eastAsia="sr-Latn-ME"/>
        </w:rPr>
      </w:pPr>
      <w:r w:rsidRPr="00C76E49">
        <w:rPr>
          <w:sz w:val="22"/>
          <w:szCs w:val="22"/>
          <w:lang w:val="sr-Latn-ME" w:eastAsia="sr-Latn-ME"/>
        </w:rPr>
        <w:t>kako bi se izbjegao inhibitorni efekat na rast.</w:t>
      </w:r>
    </w:p>
    <w:p w14:paraId="4FAB641B" w14:textId="77777777" w:rsidR="00B44167" w:rsidRPr="00C76E49" w:rsidRDefault="00B44167" w:rsidP="00A25D4F">
      <w:pPr>
        <w:autoSpaceDE w:val="0"/>
        <w:autoSpaceDN w:val="0"/>
        <w:adjustRightInd w:val="0"/>
        <w:jc w:val="both"/>
        <w:rPr>
          <w:sz w:val="22"/>
          <w:szCs w:val="22"/>
          <w:lang w:val="sr-Latn-ME" w:eastAsia="sr-Latn-ME"/>
        </w:rPr>
      </w:pPr>
    </w:p>
    <w:p w14:paraId="12A4F20E" w14:textId="2C931566" w:rsidR="00B44167" w:rsidRPr="00C76E49" w:rsidRDefault="00B44167" w:rsidP="00A21499">
      <w:pPr>
        <w:autoSpaceDE w:val="0"/>
        <w:autoSpaceDN w:val="0"/>
        <w:adjustRightInd w:val="0"/>
        <w:jc w:val="both"/>
        <w:rPr>
          <w:sz w:val="22"/>
          <w:szCs w:val="22"/>
          <w:lang w:val="sr-Latn-ME" w:eastAsia="sr-Latn-ME"/>
        </w:rPr>
      </w:pPr>
      <w:r w:rsidRPr="00C76E49">
        <w:rPr>
          <w:sz w:val="22"/>
          <w:szCs w:val="22"/>
          <w:lang w:val="sr-Latn-ME" w:eastAsia="sr-Latn-ME"/>
        </w:rPr>
        <w:lastRenderedPageBreak/>
        <w:t>Hormon rasta smanjuje konverziju kortizona u kortizol i može otkriti prethodno neotkriveni centralni</w:t>
      </w:r>
      <w:r w:rsidR="00A21499">
        <w:rPr>
          <w:sz w:val="22"/>
          <w:szCs w:val="22"/>
          <w:lang w:val="sr-Latn-ME" w:eastAsia="sr-Latn-ME"/>
        </w:rPr>
        <w:t xml:space="preserve"> </w:t>
      </w:r>
      <w:r w:rsidRPr="00C76E49">
        <w:rPr>
          <w:sz w:val="22"/>
          <w:szCs w:val="22"/>
          <w:lang w:val="sr-Latn-ME" w:eastAsia="sr-Latn-ME"/>
        </w:rPr>
        <w:t>hipoadrenalizam ili dovesti do neefikasnosti niskih doza supstitucione terapije glukokortikoidima</w:t>
      </w:r>
      <w:r w:rsidR="00A21499">
        <w:rPr>
          <w:sz w:val="22"/>
          <w:szCs w:val="22"/>
          <w:lang w:val="sr-Latn-ME" w:eastAsia="sr-Latn-ME"/>
        </w:rPr>
        <w:t xml:space="preserve"> (</w:t>
      </w:r>
      <w:r w:rsidRPr="00C76E49">
        <w:rPr>
          <w:sz w:val="22"/>
          <w:szCs w:val="22"/>
          <w:lang w:val="sr-Latn-ME" w:eastAsia="sr-Latn-ME"/>
        </w:rPr>
        <w:t xml:space="preserve">vidjeti </w:t>
      </w:r>
      <w:r w:rsidR="00FF2B3B">
        <w:rPr>
          <w:sz w:val="22"/>
          <w:szCs w:val="22"/>
          <w:lang w:val="sr-Latn-ME" w:eastAsia="sr-Latn-ME"/>
        </w:rPr>
        <w:t xml:space="preserve">dio </w:t>
      </w:r>
      <w:r w:rsidRPr="00C76E49">
        <w:rPr>
          <w:sz w:val="22"/>
          <w:szCs w:val="22"/>
          <w:lang w:val="sr-Latn-ME" w:eastAsia="sr-Latn-ME"/>
        </w:rPr>
        <w:t>4.4).</w:t>
      </w:r>
    </w:p>
    <w:p w14:paraId="5CE6C745" w14:textId="77777777" w:rsidR="00B44167" w:rsidRPr="00C76E49" w:rsidRDefault="00B44167" w:rsidP="00A25D4F">
      <w:pPr>
        <w:autoSpaceDE w:val="0"/>
        <w:autoSpaceDN w:val="0"/>
        <w:adjustRightInd w:val="0"/>
        <w:jc w:val="both"/>
        <w:rPr>
          <w:sz w:val="22"/>
          <w:szCs w:val="22"/>
          <w:lang w:val="sr-Latn-ME" w:eastAsia="sr-Latn-ME"/>
        </w:rPr>
      </w:pPr>
    </w:p>
    <w:p w14:paraId="1C778726" w14:textId="77777777" w:rsidR="00B44167" w:rsidRPr="00C76E49" w:rsidRDefault="00B44167" w:rsidP="00A25D4F">
      <w:pPr>
        <w:autoSpaceDE w:val="0"/>
        <w:autoSpaceDN w:val="0"/>
        <w:adjustRightInd w:val="0"/>
        <w:jc w:val="both"/>
        <w:rPr>
          <w:sz w:val="22"/>
          <w:szCs w:val="22"/>
          <w:lang w:val="sr-Latn-ME" w:eastAsia="sr-Latn-ME"/>
        </w:rPr>
      </w:pPr>
      <w:r w:rsidRPr="00C76E49">
        <w:rPr>
          <w:sz w:val="22"/>
          <w:szCs w:val="22"/>
          <w:lang w:val="sr-Latn-ME" w:eastAsia="sr-Latn-ME"/>
        </w:rPr>
        <w:t>Kod žena na supstitucionoj peroralnoj estrogenskoj terapiji možda će biti potrebna viša doza hormona</w:t>
      </w:r>
    </w:p>
    <w:p w14:paraId="3088718E" w14:textId="4D0244AC" w:rsidR="00B44167" w:rsidRPr="00C76E49" w:rsidRDefault="00B44167" w:rsidP="00A25D4F">
      <w:pPr>
        <w:pStyle w:val="Header"/>
        <w:tabs>
          <w:tab w:val="left" w:pos="284"/>
        </w:tabs>
        <w:jc w:val="both"/>
        <w:rPr>
          <w:sz w:val="22"/>
          <w:szCs w:val="22"/>
          <w:lang w:val="sr-Latn-ME"/>
        </w:rPr>
      </w:pPr>
      <w:r w:rsidRPr="00C76E49">
        <w:rPr>
          <w:sz w:val="22"/>
          <w:szCs w:val="22"/>
          <w:lang w:val="sr-Latn-ME" w:eastAsia="sr-Latn-ME"/>
        </w:rPr>
        <w:t xml:space="preserve">rasta kako bi se postigao cilj liječenja (vidjeti </w:t>
      </w:r>
      <w:r w:rsidR="00FF2B3B">
        <w:rPr>
          <w:sz w:val="22"/>
          <w:szCs w:val="22"/>
          <w:lang w:val="sr-Latn-ME" w:eastAsia="sr-Latn-ME"/>
        </w:rPr>
        <w:t xml:space="preserve">dio </w:t>
      </w:r>
      <w:r w:rsidRPr="00C76E49">
        <w:rPr>
          <w:sz w:val="22"/>
          <w:szCs w:val="22"/>
          <w:lang w:val="sr-Latn-ME" w:eastAsia="sr-Latn-ME"/>
        </w:rPr>
        <w:t>4.4).</w:t>
      </w:r>
    </w:p>
    <w:p w14:paraId="7D7929A0" w14:textId="77777777" w:rsidR="00CF6B2C" w:rsidRPr="00C76E49" w:rsidRDefault="00CF6B2C" w:rsidP="00A25D4F">
      <w:pPr>
        <w:pStyle w:val="Header"/>
        <w:tabs>
          <w:tab w:val="left" w:pos="284"/>
        </w:tabs>
        <w:jc w:val="both"/>
        <w:rPr>
          <w:sz w:val="22"/>
          <w:szCs w:val="22"/>
          <w:lang w:val="sr-Latn-ME"/>
        </w:rPr>
      </w:pPr>
    </w:p>
    <w:p w14:paraId="2C3EE58C" w14:textId="0698E4D3" w:rsidR="00B44167" w:rsidRPr="00C76E49" w:rsidRDefault="00CF6B2C" w:rsidP="00A25D4F">
      <w:pPr>
        <w:pStyle w:val="Header"/>
        <w:tabs>
          <w:tab w:val="left" w:pos="284"/>
        </w:tabs>
        <w:jc w:val="both"/>
        <w:rPr>
          <w:sz w:val="22"/>
          <w:szCs w:val="22"/>
          <w:lang w:val="sr-Latn-ME"/>
        </w:rPr>
      </w:pPr>
      <w:r w:rsidRPr="00C76E49">
        <w:rPr>
          <w:sz w:val="22"/>
          <w:szCs w:val="22"/>
          <w:lang w:val="sr-Latn-ME"/>
        </w:rPr>
        <w:t>Podaci iz studija interakcija koje su sprovedene kod odraslih osoba sa deficitom hormona rasta ukazuju da primjena somatropina može povećati klirens ljekova za koje se zna da se metabolišu putem izoenzima citohroma P450. Može doći do znatnog porasta klirensa ljekova koje se metabolišu putem citohroma P450</w:t>
      </w:r>
      <w:r w:rsidR="00ED56D0">
        <w:rPr>
          <w:sz w:val="22"/>
          <w:szCs w:val="22"/>
          <w:lang w:val="sr-Latn-ME"/>
        </w:rPr>
        <w:t xml:space="preserve"> </w:t>
      </w:r>
      <w:r w:rsidRPr="00C76E49">
        <w:rPr>
          <w:sz w:val="22"/>
          <w:szCs w:val="22"/>
          <w:lang w:val="sr-Latn-ME"/>
        </w:rPr>
        <w:t xml:space="preserve">3A4 (npr. </w:t>
      </w:r>
      <w:r w:rsidR="00AC44CD" w:rsidRPr="00C76E49">
        <w:rPr>
          <w:sz w:val="22"/>
          <w:szCs w:val="22"/>
          <w:lang w:val="sr-Latn-ME"/>
        </w:rPr>
        <w:t>P</w:t>
      </w:r>
      <w:r w:rsidRPr="00C76E49">
        <w:rPr>
          <w:sz w:val="22"/>
          <w:szCs w:val="22"/>
          <w:lang w:val="sr-Latn-ME"/>
        </w:rPr>
        <w:t xml:space="preserve">olni steroidi, kortikosteroidi, antikonvulzivi i ciklosporin) što dovodi do smanjenja koncentracija ovih ljekova u plazmi. Klinički značaj ovih nalaza nije poznat. </w:t>
      </w:r>
    </w:p>
    <w:p w14:paraId="03F9009B" w14:textId="77777777" w:rsidR="00B44167" w:rsidRPr="00C76E49" w:rsidRDefault="00B44167" w:rsidP="00A25D4F">
      <w:pPr>
        <w:pStyle w:val="Header"/>
        <w:tabs>
          <w:tab w:val="left" w:pos="284"/>
        </w:tabs>
        <w:jc w:val="both"/>
        <w:rPr>
          <w:sz w:val="22"/>
          <w:szCs w:val="22"/>
          <w:lang w:val="sr-Latn-ME"/>
        </w:rPr>
      </w:pPr>
    </w:p>
    <w:p w14:paraId="0298FE7F" w14:textId="133E816E"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Takođe, vidjeti </w:t>
      </w:r>
      <w:r w:rsidR="00FF2B3B">
        <w:rPr>
          <w:sz w:val="22"/>
          <w:szCs w:val="22"/>
          <w:lang w:val="sr-Latn-ME"/>
        </w:rPr>
        <w:t xml:space="preserve">dio </w:t>
      </w:r>
      <w:r w:rsidRPr="00C76E49">
        <w:rPr>
          <w:sz w:val="22"/>
          <w:szCs w:val="22"/>
          <w:lang w:val="sr-Latn-ME"/>
        </w:rPr>
        <w:t xml:space="preserve">4.4, dio koji se odnosi na dijabetes melitus i bolesti tiroidne žlijezde i </w:t>
      </w:r>
      <w:r w:rsidR="00FF2B3B">
        <w:rPr>
          <w:sz w:val="22"/>
          <w:szCs w:val="22"/>
          <w:lang w:val="sr-Latn-ME"/>
        </w:rPr>
        <w:t xml:space="preserve">dio </w:t>
      </w:r>
      <w:r w:rsidRPr="00C76E49">
        <w:rPr>
          <w:sz w:val="22"/>
          <w:szCs w:val="22"/>
          <w:lang w:val="sr-Latn-ME"/>
        </w:rPr>
        <w:t>4.2, dio koji se odnosi na terapiju oralnim estrogenima.</w:t>
      </w:r>
    </w:p>
    <w:p w14:paraId="42680CDA" w14:textId="77777777" w:rsidR="00CF6B2C" w:rsidRPr="006E31B1" w:rsidRDefault="00CF6B2C" w:rsidP="00A25D4F">
      <w:pPr>
        <w:tabs>
          <w:tab w:val="left" w:pos="540"/>
          <w:tab w:val="left" w:pos="569"/>
        </w:tabs>
        <w:jc w:val="both"/>
        <w:rPr>
          <w:bCs/>
          <w:sz w:val="22"/>
          <w:szCs w:val="22"/>
          <w:lang w:val="sr-Latn-ME"/>
        </w:rPr>
      </w:pPr>
    </w:p>
    <w:p w14:paraId="2CC1E250" w14:textId="77777777" w:rsidR="0072020E" w:rsidRPr="00C76E49" w:rsidRDefault="0072020E" w:rsidP="00A25D4F">
      <w:pPr>
        <w:tabs>
          <w:tab w:val="left" w:pos="540"/>
          <w:tab w:val="left" w:pos="569"/>
        </w:tabs>
        <w:jc w:val="both"/>
        <w:rPr>
          <w:b/>
          <w:sz w:val="22"/>
          <w:szCs w:val="22"/>
          <w:lang w:val="sr-Latn-CS"/>
        </w:rPr>
      </w:pPr>
      <w:r w:rsidRPr="006E31B1">
        <w:rPr>
          <w:b/>
          <w:bCs/>
          <w:sz w:val="22"/>
          <w:szCs w:val="22"/>
          <w:lang w:val="sr-Latn-ME"/>
        </w:rPr>
        <w:t xml:space="preserve">4.6. </w:t>
      </w:r>
      <w:r w:rsidR="00480FB1" w:rsidRPr="006E31B1">
        <w:rPr>
          <w:b/>
          <w:bCs/>
          <w:sz w:val="22"/>
          <w:szCs w:val="22"/>
          <w:lang w:val="sr-Latn-ME"/>
        </w:rPr>
        <w:tab/>
      </w:r>
      <w:r w:rsidR="006D20A5" w:rsidRPr="00C76E49">
        <w:rPr>
          <w:b/>
          <w:sz w:val="22"/>
          <w:szCs w:val="22"/>
          <w:lang w:val="sr-Latn-CS"/>
        </w:rPr>
        <w:t>Plodnost, trudnoća i dojenje</w:t>
      </w:r>
    </w:p>
    <w:p w14:paraId="2513DCBF" w14:textId="77777777" w:rsidR="002031B3" w:rsidRPr="006E31B1" w:rsidRDefault="002031B3" w:rsidP="00A25D4F">
      <w:pPr>
        <w:tabs>
          <w:tab w:val="left" w:pos="540"/>
          <w:tab w:val="left" w:pos="569"/>
        </w:tabs>
        <w:jc w:val="both"/>
        <w:rPr>
          <w:sz w:val="22"/>
          <w:szCs w:val="22"/>
          <w:u w:val="single"/>
          <w:lang w:val="sr-Latn-ME"/>
        </w:rPr>
      </w:pPr>
    </w:p>
    <w:p w14:paraId="06086262" w14:textId="77777777" w:rsidR="002031B3" w:rsidRPr="006E31B1" w:rsidRDefault="002031B3" w:rsidP="00A25D4F">
      <w:pPr>
        <w:tabs>
          <w:tab w:val="left" w:pos="540"/>
          <w:tab w:val="left" w:pos="569"/>
        </w:tabs>
        <w:jc w:val="both"/>
        <w:rPr>
          <w:sz w:val="22"/>
          <w:szCs w:val="22"/>
          <w:u w:val="single"/>
          <w:lang w:val="sr-Latn-ME"/>
        </w:rPr>
      </w:pPr>
      <w:proofErr w:type="spellStart"/>
      <w:r w:rsidRPr="00C76E49">
        <w:rPr>
          <w:sz w:val="22"/>
          <w:szCs w:val="22"/>
          <w:u w:val="single"/>
        </w:rPr>
        <w:t>Plodnost</w:t>
      </w:r>
      <w:proofErr w:type="spellEnd"/>
    </w:p>
    <w:p w14:paraId="0AB2F8A9"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Nijesu sprovedene studije uticaja lijeka Omnitrope na plodnost.</w:t>
      </w:r>
    </w:p>
    <w:p w14:paraId="0EFA2192" w14:textId="77777777" w:rsidR="002031B3" w:rsidRPr="006E31B1" w:rsidRDefault="002031B3" w:rsidP="00A25D4F">
      <w:pPr>
        <w:tabs>
          <w:tab w:val="left" w:pos="540"/>
          <w:tab w:val="left" w:pos="569"/>
        </w:tabs>
        <w:jc w:val="both"/>
        <w:rPr>
          <w:sz w:val="22"/>
          <w:szCs w:val="22"/>
          <w:u w:val="single"/>
          <w:lang w:val="sr-Latn-ME"/>
        </w:rPr>
      </w:pPr>
    </w:p>
    <w:p w14:paraId="2CE69E08" w14:textId="77777777" w:rsidR="007A3ECB" w:rsidRPr="006E31B1" w:rsidRDefault="007A3ECB" w:rsidP="00A21499">
      <w:pPr>
        <w:tabs>
          <w:tab w:val="left" w:pos="540"/>
          <w:tab w:val="left" w:pos="569"/>
        </w:tabs>
        <w:rPr>
          <w:sz w:val="22"/>
          <w:szCs w:val="22"/>
          <w:u w:val="single"/>
          <w:lang w:val="it-IT"/>
        </w:rPr>
      </w:pPr>
      <w:r w:rsidRPr="006E31B1">
        <w:rPr>
          <w:sz w:val="22"/>
          <w:szCs w:val="22"/>
          <w:u w:val="single"/>
          <w:lang w:val="it-IT"/>
        </w:rPr>
        <w:t>Trudnoća</w:t>
      </w:r>
    </w:p>
    <w:p w14:paraId="65B65541" w14:textId="0A9692A4" w:rsidR="00CF6B2C" w:rsidRPr="00C76E49" w:rsidRDefault="00AC44CD" w:rsidP="00A21499">
      <w:pPr>
        <w:pStyle w:val="Header"/>
        <w:tabs>
          <w:tab w:val="left" w:pos="284"/>
        </w:tabs>
        <w:jc w:val="both"/>
        <w:rPr>
          <w:sz w:val="22"/>
          <w:szCs w:val="22"/>
          <w:lang w:val="sr-Latn-ME"/>
        </w:rPr>
      </w:pPr>
      <w:r w:rsidRPr="00C76E49">
        <w:rPr>
          <w:sz w:val="22"/>
          <w:szCs w:val="22"/>
          <w:lang w:val="sr-Latn-ME"/>
        </w:rPr>
        <w:t>Nema podataka ili su podaci o primjeni somatropina u trudnica ograničeni. Ispitivanja na životinjama</w:t>
      </w:r>
      <w:r w:rsidR="00A21499">
        <w:rPr>
          <w:sz w:val="22"/>
          <w:szCs w:val="22"/>
          <w:lang w:val="sr-Latn-ME"/>
        </w:rPr>
        <w:t xml:space="preserve"> </w:t>
      </w:r>
      <w:r w:rsidRPr="00C76E49">
        <w:rPr>
          <w:sz w:val="22"/>
          <w:szCs w:val="22"/>
          <w:lang w:val="sr-Latn-ME"/>
        </w:rPr>
        <w:t>su nedovoljna za konačan zaključak o reproduktivnoj toksičnosti (vidjeti dio 5.3).</w:t>
      </w:r>
      <w:r w:rsidR="00CF6B2C" w:rsidRPr="00C76E49">
        <w:rPr>
          <w:sz w:val="22"/>
          <w:szCs w:val="22"/>
          <w:lang w:val="sr-Latn-ME"/>
        </w:rPr>
        <w:t xml:space="preserve"> Ne preporučuje se primjena somatropina tokom trudnoće niti kod žena u reproduktivnoj dobi koje ne koriste kontracepciju.</w:t>
      </w:r>
    </w:p>
    <w:p w14:paraId="1EF1850B" w14:textId="77777777" w:rsidR="002031B3" w:rsidRPr="006E31B1" w:rsidRDefault="002031B3" w:rsidP="00A25D4F">
      <w:pPr>
        <w:tabs>
          <w:tab w:val="left" w:pos="540"/>
          <w:tab w:val="left" w:pos="569"/>
        </w:tabs>
        <w:jc w:val="both"/>
        <w:rPr>
          <w:sz w:val="22"/>
          <w:szCs w:val="22"/>
          <w:u w:val="single"/>
          <w:lang w:val="sr-Latn-ME"/>
        </w:rPr>
      </w:pPr>
    </w:p>
    <w:p w14:paraId="3289B616" w14:textId="77777777" w:rsidR="0072020E" w:rsidRPr="006E31B1" w:rsidRDefault="007A3ECB" w:rsidP="00A25D4F">
      <w:pPr>
        <w:tabs>
          <w:tab w:val="left" w:pos="540"/>
          <w:tab w:val="left" w:pos="569"/>
        </w:tabs>
        <w:jc w:val="both"/>
        <w:rPr>
          <w:sz w:val="22"/>
          <w:szCs w:val="22"/>
          <w:u w:val="single"/>
          <w:lang w:val="sr-Latn-ME"/>
        </w:rPr>
      </w:pPr>
      <w:proofErr w:type="spellStart"/>
      <w:r w:rsidRPr="00C76E49">
        <w:rPr>
          <w:sz w:val="22"/>
          <w:szCs w:val="22"/>
          <w:u w:val="single"/>
        </w:rPr>
        <w:t>Dojenje</w:t>
      </w:r>
      <w:proofErr w:type="spellEnd"/>
      <w:r w:rsidRPr="006E31B1">
        <w:rPr>
          <w:sz w:val="22"/>
          <w:szCs w:val="22"/>
          <w:u w:val="single"/>
          <w:lang w:val="sr-Latn-ME"/>
        </w:rPr>
        <w:t xml:space="preserve"> </w:t>
      </w:r>
    </w:p>
    <w:p w14:paraId="681B4195"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 xml:space="preserve">Nijesu sprovedene kliničke studije ljekova koji sadrže somatropin kod dojilja. Nije poznato da li se </w:t>
      </w:r>
      <w:r w:rsidR="00AC44CD" w:rsidRPr="00C76E49">
        <w:rPr>
          <w:sz w:val="22"/>
          <w:szCs w:val="22"/>
          <w:lang w:val="sr-Latn-ME"/>
        </w:rPr>
        <w:t xml:space="preserve">somatotropin </w:t>
      </w:r>
      <w:r w:rsidRPr="00C76E49">
        <w:rPr>
          <w:sz w:val="22"/>
          <w:szCs w:val="22"/>
          <w:lang w:val="sr-Latn-ME"/>
        </w:rPr>
        <w:t>izlučuje u mlijeko, ali je izrazito mala vjerovatnoća resorpcije neizmijenjenog proteina iz gastrointestinalnog trakta odojčeta. Zbog toga je potreban oprez kada se lijek Omnitrope primjenjuje kod dojilja.</w:t>
      </w:r>
    </w:p>
    <w:p w14:paraId="78AFD7ED" w14:textId="77777777" w:rsidR="00227BDB" w:rsidRPr="006E31B1" w:rsidRDefault="00227BDB" w:rsidP="00A25D4F">
      <w:pPr>
        <w:tabs>
          <w:tab w:val="left" w:pos="540"/>
          <w:tab w:val="left" w:pos="569"/>
        </w:tabs>
        <w:jc w:val="both"/>
        <w:rPr>
          <w:b/>
          <w:bCs/>
          <w:sz w:val="22"/>
          <w:szCs w:val="22"/>
          <w:lang w:val="sr-Latn-ME"/>
        </w:rPr>
      </w:pPr>
    </w:p>
    <w:p w14:paraId="0CFBA765" w14:textId="77777777" w:rsidR="0072020E" w:rsidRPr="006E31B1" w:rsidRDefault="0072020E" w:rsidP="00A25D4F">
      <w:pPr>
        <w:tabs>
          <w:tab w:val="left" w:pos="540"/>
          <w:tab w:val="left" w:pos="569"/>
        </w:tabs>
        <w:ind w:left="540" w:hanging="540"/>
        <w:jc w:val="both"/>
        <w:rPr>
          <w:b/>
          <w:bCs/>
          <w:sz w:val="22"/>
          <w:szCs w:val="22"/>
          <w:lang w:val="sr-Latn-ME"/>
        </w:rPr>
      </w:pPr>
      <w:r w:rsidRPr="006E31B1">
        <w:rPr>
          <w:b/>
          <w:bCs/>
          <w:sz w:val="22"/>
          <w:szCs w:val="22"/>
          <w:lang w:val="sr-Latn-ME"/>
        </w:rPr>
        <w:t xml:space="preserve">4.7. </w:t>
      </w:r>
      <w:r w:rsidR="00480FB1" w:rsidRPr="006E31B1">
        <w:rPr>
          <w:b/>
          <w:bCs/>
          <w:sz w:val="22"/>
          <w:szCs w:val="22"/>
          <w:lang w:val="sr-Latn-ME"/>
        </w:rPr>
        <w:tab/>
      </w:r>
      <w:proofErr w:type="spellStart"/>
      <w:r w:rsidRPr="00C76E49">
        <w:rPr>
          <w:b/>
          <w:bCs/>
          <w:sz w:val="22"/>
          <w:szCs w:val="22"/>
        </w:rPr>
        <w:t>Uticaj</w:t>
      </w:r>
      <w:proofErr w:type="spellEnd"/>
      <w:r w:rsidRPr="006E31B1">
        <w:rPr>
          <w:b/>
          <w:bCs/>
          <w:sz w:val="22"/>
          <w:szCs w:val="22"/>
          <w:lang w:val="sr-Latn-ME"/>
        </w:rPr>
        <w:t xml:space="preserve"> </w:t>
      </w:r>
      <w:proofErr w:type="spellStart"/>
      <w:r w:rsidRPr="00C76E49">
        <w:rPr>
          <w:b/>
          <w:bCs/>
          <w:sz w:val="22"/>
          <w:szCs w:val="22"/>
        </w:rPr>
        <w:t>na</w:t>
      </w:r>
      <w:proofErr w:type="spellEnd"/>
      <w:r w:rsidRPr="006E31B1">
        <w:rPr>
          <w:b/>
          <w:bCs/>
          <w:sz w:val="22"/>
          <w:szCs w:val="22"/>
          <w:lang w:val="sr-Latn-ME"/>
        </w:rPr>
        <w:t xml:space="preserve"> </w:t>
      </w:r>
      <w:proofErr w:type="spellStart"/>
      <w:r w:rsidR="002031B3" w:rsidRPr="00C76E49">
        <w:rPr>
          <w:b/>
          <w:bCs/>
          <w:sz w:val="22"/>
          <w:szCs w:val="22"/>
        </w:rPr>
        <w:t>sposobnost</w:t>
      </w:r>
      <w:proofErr w:type="spellEnd"/>
      <w:r w:rsidR="002031B3" w:rsidRPr="006E31B1">
        <w:rPr>
          <w:b/>
          <w:bCs/>
          <w:sz w:val="22"/>
          <w:szCs w:val="22"/>
          <w:lang w:val="sr-Latn-ME"/>
        </w:rPr>
        <w:t xml:space="preserve"> </w:t>
      </w:r>
      <w:proofErr w:type="spellStart"/>
      <w:r w:rsidR="00F34554" w:rsidRPr="00C76E49">
        <w:rPr>
          <w:b/>
          <w:bCs/>
          <w:sz w:val="22"/>
          <w:szCs w:val="22"/>
        </w:rPr>
        <w:t>upravljanja</w:t>
      </w:r>
      <w:proofErr w:type="spellEnd"/>
      <w:r w:rsidR="00F34554" w:rsidRPr="006E31B1">
        <w:rPr>
          <w:b/>
          <w:bCs/>
          <w:sz w:val="22"/>
          <w:szCs w:val="22"/>
          <w:lang w:val="sr-Latn-ME"/>
        </w:rPr>
        <w:t xml:space="preserve"> </w:t>
      </w:r>
      <w:proofErr w:type="spellStart"/>
      <w:r w:rsidR="00F34554" w:rsidRPr="00C76E49">
        <w:rPr>
          <w:b/>
          <w:bCs/>
          <w:sz w:val="22"/>
          <w:szCs w:val="22"/>
        </w:rPr>
        <w:t>vozili</w:t>
      </w:r>
      <w:r w:rsidRPr="00C76E49">
        <w:rPr>
          <w:b/>
          <w:bCs/>
          <w:sz w:val="22"/>
          <w:szCs w:val="22"/>
        </w:rPr>
        <w:t>m</w:t>
      </w:r>
      <w:r w:rsidR="00F34554" w:rsidRPr="00C76E49">
        <w:rPr>
          <w:b/>
          <w:bCs/>
          <w:sz w:val="22"/>
          <w:szCs w:val="22"/>
        </w:rPr>
        <w:t>a</w:t>
      </w:r>
      <w:proofErr w:type="spellEnd"/>
      <w:r w:rsidRPr="006E31B1">
        <w:rPr>
          <w:b/>
          <w:bCs/>
          <w:sz w:val="22"/>
          <w:szCs w:val="22"/>
          <w:lang w:val="sr-Latn-ME"/>
        </w:rPr>
        <w:t xml:space="preserve"> </w:t>
      </w:r>
      <w:proofErr w:type="spellStart"/>
      <w:r w:rsidRPr="00C76E49">
        <w:rPr>
          <w:b/>
          <w:bCs/>
          <w:sz w:val="22"/>
          <w:szCs w:val="22"/>
        </w:rPr>
        <w:t>i</w:t>
      </w:r>
      <w:proofErr w:type="spellEnd"/>
      <w:r w:rsidRPr="006E31B1">
        <w:rPr>
          <w:b/>
          <w:bCs/>
          <w:sz w:val="22"/>
          <w:szCs w:val="22"/>
          <w:lang w:val="sr-Latn-ME"/>
        </w:rPr>
        <w:t xml:space="preserve"> </w:t>
      </w:r>
      <w:proofErr w:type="spellStart"/>
      <w:r w:rsidR="000D3449" w:rsidRPr="00C76E49">
        <w:rPr>
          <w:b/>
          <w:bCs/>
          <w:sz w:val="22"/>
          <w:szCs w:val="22"/>
        </w:rPr>
        <w:t>rukovanje</w:t>
      </w:r>
      <w:proofErr w:type="spellEnd"/>
      <w:r w:rsidR="000D3449" w:rsidRPr="006E31B1">
        <w:rPr>
          <w:b/>
          <w:bCs/>
          <w:sz w:val="22"/>
          <w:szCs w:val="22"/>
          <w:lang w:val="sr-Latn-ME"/>
        </w:rPr>
        <w:t xml:space="preserve"> </w:t>
      </w:r>
      <w:r w:rsidRPr="00C76E49">
        <w:rPr>
          <w:b/>
          <w:bCs/>
          <w:sz w:val="22"/>
          <w:szCs w:val="22"/>
        </w:rPr>
        <w:t>ma</w:t>
      </w:r>
      <w:r w:rsidRPr="006E31B1">
        <w:rPr>
          <w:b/>
          <w:bCs/>
          <w:sz w:val="22"/>
          <w:szCs w:val="22"/>
          <w:lang w:val="sr-Latn-ME"/>
        </w:rPr>
        <w:t>š</w:t>
      </w:r>
      <w:proofErr w:type="spellStart"/>
      <w:r w:rsidRPr="00C76E49">
        <w:rPr>
          <w:b/>
          <w:bCs/>
          <w:sz w:val="22"/>
          <w:szCs w:val="22"/>
        </w:rPr>
        <w:t>inama</w:t>
      </w:r>
      <w:proofErr w:type="spellEnd"/>
    </w:p>
    <w:p w14:paraId="2D5190C1" w14:textId="77777777" w:rsidR="00CF6B2C" w:rsidRPr="00C76E49" w:rsidRDefault="00CF6B2C" w:rsidP="00A25D4F">
      <w:pPr>
        <w:tabs>
          <w:tab w:val="left" w:pos="540"/>
          <w:tab w:val="left" w:pos="569"/>
        </w:tabs>
        <w:jc w:val="both"/>
        <w:rPr>
          <w:bCs/>
          <w:sz w:val="22"/>
          <w:szCs w:val="22"/>
          <w:lang w:val="sr-Latn-ME"/>
        </w:rPr>
      </w:pPr>
    </w:p>
    <w:p w14:paraId="2D2B0565" w14:textId="77777777" w:rsidR="00CF6B2C" w:rsidRPr="00C76E49" w:rsidRDefault="00CF6B2C" w:rsidP="00A25D4F">
      <w:pPr>
        <w:tabs>
          <w:tab w:val="left" w:pos="540"/>
          <w:tab w:val="left" w:pos="569"/>
        </w:tabs>
        <w:jc w:val="both"/>
        <w:rPr>
          <w:bCs/>
          <w:sz w:val="22"/>
          <w:szCs w:val="22"/>
          <w:lang w:val="sr-Latn-ME"/>
        </w:rPr>
      </w:pPr>
      <w:r w:rsidRPr="00C76E49">
        <w:rPr>
          <w:bCs/>
          <w:sz w:val="22"/>
          <w:szCs w:val="22"/>
          <w:lang w:val="sr-Latn-ME"/>
        </w:rPr>
        <w:t>Omnitrope ne utiče ili zanemarljivo utiče na sposobnost upravljanja vozilima i rukovanja mašinama.</w:t>
      </w:r>
    </w:p>
    <w:p w14:paraId="667ABFE4" w14:textId="06F5566D" w:rsidR="0072020E" w:rsidRPr="006E31B1" w:rsidRDefault="0072020E" w:rsidP="00A25D4F">
      <w:pPr>
        <w:tabs>
          <w:tab w:val="left" w:pos="540"/>
          <w:tab w:val="left" w:pos="569"/>
        </w:tabs>
        <w:jc w:val="both"/>
        <w:rPr>
          <w:b/>
          <w:bCs/>
          <w:sz w:val="22"/>
          <w:szCs w:val="22"/>
          <w:lang w:val="sr-Latn-ME"/>
        </w:rPr>
      </w:pPr>
    </w:p>
    <w:p w14:paraId="0E20839E"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4.8. </w:t>
      </w:r>
      <w:r w:rsidR="00480FB1" w:rsidRPr="006E31B1">
        <w:rPr>
          <w:b/>
          <w:bCs/>
          <w:sz w:val="22"/>
          <w:szCs w:val="22"/>
          <w:lang w:val="sr-Latn-ME"/>
        </w:rPr>
        <w:tab/>
      </w:r>
      <w:r w:rsidRPr="00C76E49">
        <w:rPr>
          <w:b/>
          <w:bCs/>
          <w:sz w:val="22"/>
          <w:szCs w:val="22"/>
        </w:rPr>
        <w:t>Ne</w:t>
      </w:r>
      <w:r w:rsidRPr="006E31B1">
        <w:rPr>
          <w:b/>
          <w:bCs/>
          <w:sz w:val="22"/>
          <w:szCs w:val="22"/>
          <w:lang w:val="sr-Latn-ME"/>
        </w:rPr>
        <w:t>ž</w:t>
      </w:r>
      <w:proofErr w:type="spellStart"/>
      <w:r w:rsidRPr="00C76E49">
        <w:rPr>
          <w:b/>
          <w:bCs/>
          <w:sz w:val="22"/>
          <w:szCs w:val="22"/>
        </w:rPr>
        <w:t>eljena</w:t>
      </w:r>
      <w:proofErr w:type="spellEnd"/>
      <w:r w:rsidRPr="006E31B1">
        <w:rPr>
          <w:b/>
          <w:bCs/>
          <w:sz w:val="22"/>
          <w:szCs w:val="22"/>
          <w:lang w:val="sr-Latn-ME"/>
        </w:rPr>
        <w:t xml:space="preserve"> </w:t>
      </w:r>
      <w:proofErr w:type="spellStart"/>
      <w:r w:rsidRPr="00C76E49">
        <w:rPr>
          <w:b/>
          <w:bCs/>
          <w:sz w:val="22"/>
          <w:szCs w:val="22"/>
        </w:rPr>
        <w:t>dejstva</w:t>
      </w:r>
      <w:proofErr w:type="spellEnd"/>
    </w:p>
    <w:p w14:paraId="10660C8F" w14:textId="77777777" w:rsidR="00CF6B2C" w:rsidRPr="00C76E49" w:rsidRDefault="00CF6B2C" w:rsidP="00A25D4F">
      <w:pPr>
        <w:jc w:val="both"/>
        <w:rPr>
          <w:sz w:val="22"/>
          <w:szCs w:val="22"/>
          <w:u w:val="single"/>
          <w:lang w:val="sr-Latn-ME"/>
        </w:rPr>
      </w:pPr>
    </w:p>
    <w:p w14:paraId="35FC7A5B" w14:textId="224ACD90" w:rsidR="000F3972" w:rsidRPr="006E31B1" w:rsidRDefault="000F3972" w:rsidP="002C2A95">
      <w:pPr>
        <w:pStyle w:val="BodyText"/>
        <w:ind w:left="0"/>
        <w:jc w:val="both"/>
        <w:rPr>
          <w:lang w:val="sr-Latn-ME"/>
        </w:rPr>
      </w:pPr>
      <w:r w:rsidRPr="00C76E49">
        <w:rPr>
          <w:u w:val="single"/>
        </w:rPr>
        <w:t>Sa</w:t>
      </w:r>
      <w:r w:rsidRPr="006E31B1">
        <w:rPr>
          <w:u w:val="single"/>
          <w:lang w:val="sr-Latn-ME"/>
        </w:rPr>
        <w:t>ž</w:t>
      </w:r>
      <w:proofErr w:type="spellStart"/>
      <w:r w:rsidRPr="00C76E49">
        <w:rPr>
          <w:u w:val="single"/>
        </w:rPr>
        <w:t>etak</w:t>
      </w:r>
      <w:proofErr w:type="spellEnd"/>
      <w:r w:rsidRPr="006E31B1">
        <w:rPr>
          <w:u w:val="single"/>
          <w:lang w:val="sr-Latn-ME"/>
        </w:rPr>
        <w:t xml:space="preserve"> </w:t>
      </w:r>
      <w:proofErr w:type="spellStart"/>
      <w:r w:rsidRPr="00C76E49">
        <w:rPr>
          <w:u w:val="single"/>
        </w:rPr>
        <w:t>bezb</w:t>
      </w:r>
      <w:r w:rsidR="00AA6531">
        <w:rPr>
          <w:u w:val="single"/>
        </w:rPr>
        <w:t>j</w:t>
      </w:r>
      <w:r w:rsidRPr="00C76E49">
        <w:rPr>
          <w:u w:val="single"/>
        </w:rPr>
        <w:t>ednosnog</w:t>
      </w:r>
      <w:proofErr w:type="spellEnd"/>
      <w:r w:rsidRPr="006E31B1">
        <w:rPr>
          <w:u w:val="single"/>
          <w:lang w:val="sr-Latn-ME"/>
        </w:rPr>
        <w:t xml:space="preserve"> </w:t>
      </w:r>
      <w:proofErr w:type="spellStart"/>
      <w:r w:rsidRPr="00C76E49">
        <w:rPr>
          <w:u w:val="single"/>
        </w:rPr>
        <w:t>profila</w:t>
      </w:r>
      <w:proofErr w:type="spellEnd"/>
    </w:p>
    <w:p w14:paraId="5FD7F904" w14:textId="77777777" w:rsidR="0030017F" w:rsidRDefault="000F3972" w:rsidP="002C2A95">
      <w:pPr>
        <w:pStyle w:val="BodyText"/>
        <w:spacing w:before="1"/>
        <w:ind w:left="0"/>
        <w:jc w:val="both"/>
        <w:rPr>
          <w:lang w:val="it-IT"/>
        </w:rPr>
      </w:pPr>
      <w:r w:rsidRPr="006E31B1">
        <w:rPr>
          <w:lang w:val="it-IT"/>
        </w:rPr>
        <w:t>Kod</w:t>
      </w:r>
      <w:r w:rsidRPr="006E31B1">
        <w:rPr>
          <w:lang w:val="sr-Latn-ME"/>
        </w:rPr>
        <w:t xml:space="preserve"> </w:t>
      </w:r>
      <w:r w:rsidRPr="006E31B1">
        <w:rPr>
          <w:lang w:val="it-IT"/>
        </w:rPr>
        <w:t>pacijenata</w:t>
      </w:r>
      <w:r w:rsidRPr="006E31B1">
        <w:rPr>
          <w:lang w:val="sr-Latn-ME"/>
        </w:rPr>
        <w:t xml:space="preserve"> </w:t>
      </w:r>
      <w:r w:rsidRPr="006E31B1">
        <w:rPr>
          <w:lang w:val="it-IT"/>
        </w:rPr>
        <w:t>sa</w:t>
      </w:r>
      <w:r w:rsidRPr="006E31B1">
        <w:rPr>
          <w:lang w:val="sr-Latn-ME"/>
        </w:rPr>
        <w:t xml:space="preserve"> </w:t>
      </w:r>
      <w:r w:rsidRPr="006E31B1">
        <w:rPr>
          <w:lang w:val="it-IT"/>
        </w:rPr>
        <w:t>nedostatkom</w:t>
      </w:r>
      <w:r w:rsidRPr="006E31B1">
        <w:rPr>
          <w:lang w:val="sr-Latn-ME"/>
        </w:rPr>
        <w:t xml:space="preserve"> </w:t>
      </w:r>
      <w:r w:rsidRPr="006E31B1">
        <w:rPr>
          <w:lang w:val="it-IT"/>
        </w:rPr>
        <w:t>hormona</w:t>
      </w:r>
      <w:r w:rsidRPr="006E31B1">
        <w:rPr>
          <w:lang w:val="sr-Latn-ME"/>
        </w:rPr>
        <w:t xml:space="preserve"> </w:t>
      </w:r>
      <w:r w:rsidRPr="006E31B1">
        <w:rPr>
          <w:lang w:val="it-IT"/>
        </w:rPr>
        <w:t>rasta</w:t>
      </w:r>
      <w:r w:rsidRPr="006E31B1">
        <w:rPr>
          <w:lang w:val="sr-Latn-ME"/>
        </w:rPr>
        <w:t xml:space="preserve"> </w:t>
      </w:r>
      <w:r w:rsidRPr="006E31B1">
        <w:rPr>
          <w:lang w:val="it-IT"/>
        </w:rPr>
        <w:t>prisutna</w:t>
      </w:r>
      <w:r w:rsidRPr="006E31B1">
        <w:rPr>
          <w:lang w:val="sr-Latn-ME"/>
        </w:rPr>
        <w:t xml:space="preserve"> </w:t>
      </w:r>
      <w:r w:rsidRPr="006E31B1">
        <w:rPr>
          <w:lang w:val="it-IT"/>
        </w:rPr>
        <w:t>je</w:t>
      </w:r>
      <w:r w:rsidRPr="006E31B1">
        <w:rPr>
          <w:lang w:val="sr-Latn-ME"/>
        </w:rPr>
        <w:t xml:space="preserve"> </w:t>
      </w:r>
      <w:r w:rsidRPr="006E31B1">
        <w:rPr>
          <w:lang w:val="it-IT"/>
        </w:rPr>
        <w:t>deficijencija</w:t>
      </w:r>
      <w:r w:rsidRPr="006E31B1">
        <w:rPr>
          <w:lang w:val="sr-Latn-ME"/>
        </w:rPr>
        <w:t xml:space="preserve"> </w:t>
      </w:r>
      <w:r w:rsidRPr="006E31B1">
        <w:rPr>
          <w:lang w:val="it-IT"/>
        </w:rPr>
        <w:t>ekstracelularnog</w:t>
      </w:r>
      <w:r w:rsidRPr="006E31B1">
        <w:rPr>
          <w:lang w:val="sr-Latn-ME"/>
        </w:rPr>
        <w:t xml:space="preserve"> </w:t>
      </w:r>
      <w:r w:rsidRPr="006E31B1">
        <w:rPr>
          <w:lang w:val="it-IT"/>
        </w:rPr>
        <w:t>volumena</w:t>
      </w:r>
      <w:r w:rsidRPr="006E31B1">
        <w:rPr>
          <w:lang w:val="sr-Latn-ME"/>
        </w:rPr>
        <w:t xml:space="preserve">. </w:t>
      </w:r>
      <w:r w:rsidRPr="006E31B1">
        <w:rPr>
          <w:lang w:val="it-IT"/>
        </w:rPr>
        <w:t>Ova deficijencija se veoma brzo koriguje, nakon početka terapije somatropinom. Kod odraslih pacijenata česte su neželjene reakcije povezane sa zadržavanjem tečnosti, kao što su periferni edem,</w:t>
      </w:r>
      <w:r w:rsidR="00A25D4F" w:rsidRPr="006E31B1">
        <w:rPr>
          <w:lang w:val="it-IT"/>
        </w:rPr>
        <w:t xml:space="preserve"> edem lica</w:t>
      </w:r>
      <w:r w:rsidRPr="006E31B1">
        <w:rPr>
          <w:lang w:val="it-IT"/>
        </w:rPr>
        <w:t xml:space="preserve"> mišićno-koštana ukočenost, artralgija, mialgija i parestezije. </w:t>
      </w:r>
    </w:p>
    <w:p w14:paraId="6D9B98F3" w14:textId="77777777" w:rsidR="0030017F" w:rsidRDefault="0030017F" w:rsidP="002C2A95">
      <w:pPr>
        <w:pStyle w:val="BodyText"/>
        <w:spacing w:before="1"/>
        <w:ind w:left="0"/>
        <w:jc w:val="both"/>
        <w:rPr>
          <w:lang w:val="it-IT"/>
        </w:rPr>
      </w:pPr>
    </w:p>
    <w:p w14:paraId="31EEB593" w14:textId="774D5AA6" w:rsidR="000F3972" w:rsidRPr="006E31B1" w:rsidRDefault="000F3972" w:rsidP="002C2A95">
      <w:pPr>
        <w:pStyle w:val="BodyText"/>
        <w:spacing w:before="1"/>
        <w:ind w:left="0"/>
        <w:jc w:val="both"/>
        <w:rPr>
          <w:lang w:val="it-IT"/>
        </w:rPr>
      </w:pPr>
      <w:r w:rsidRPr="006E31B1">
        <w:rPr>
          <w:lang w:val="it-IT"/>
        </w:rPr>
        <w:t>Ove neželjene reakcije su blage do umjerene, javljaju se tokom prvih nekoliko mjeseci terapije i povlače se spontano ili nakon smanjenja doze.</w:t>
      </w:r>
    </w:p>
    <w:p w14:paraId="59CF8E7E" w14:textId="7A05F7D1" w:rsidR="00034AB5" w:rsidRPr="006E31B1" w:rsidRDefault="00034AB5" w:rsidP="002C2A95">
      <w:pPr>
        <w:pStyle w:val="BodyText"/>
        <w:spacing w:before="1"/>
        <w:ind w:left="0"/>
        <w:jc w:val="both"/>
        <w:rPr>
          <w:lang w:val="it-IT"/>
        </w:rPr>
      </w:pPr>
    </w:p>
    <w:p w14:paraId="5200F8F9" w14:textId="50DCB293" w:rsidR="00034AB5" w:rsidRPr="006E31B1" w:rsidRDefault="00034AB5" w:rsidP="002C2A95">
      <w:pPr>
        <w:pStyle w:val="BodyText"/>
        <w:spacing w:before="1"/>
        <w:ind w:left="0"/>
        <w:jc w:val="both"/>
        <w:rPr>
          <w:lang w:val="it-IT"/>
        </w:rPr>
      </w:pPr>
      <w:r w:rsidRPr="006E31B1">
        <w:rPr>
          <w:lang w:val="it-IT"/>
        </w:rPr>
        <w:t>Incidencija ovih neželjenih reakcija povezana je sa primjenjenom dozom, starošću pacijenta i vjerovatno je obrnuto proporcionalna uzrastu pacijenata u vrijeme pojave nedostatka hormona  rasta. Kod djece, ovakve neželjene reakcije javljaju se povremeno.</w:t>
      </w:r>
    </w:p>
    <w:p w14:paraId="564B118E" w14:textId="777F6F3A" w:rsidR="000F3972" w:rsidRPr="006E31B1" w:rsidRDefault="000F3972" w:rsidP="002C2A95">
      <w:pPr>
        <w:pStyle w:val="BodyText"/>
        <w:spacing w:before="8"/>
        <w:ind w:left="0"/>
        <w:jc w:val="both"/>
        <w:rPr>
          <w:lang w:val="it-IT"/>
        </w:rPr>
      </w:pPr>
    </w:p>
    <w:p w14:paraId="18ED67C1" w14:textId="48E3905E" w:rsidR="000F3972" w:rsidRPr="006E31B1" w:rsidRDefault="000F3972" w:rsidP="002C2A95">
      <w:pPr>
        <w:pStyle w:val="BodyText"/>
        <w:spacing w:before="1"/>
        <w:ind w:left="0" w:right="-17"/>
        <w:jc w:val="both"/>
        <w:rPr>
          <w:lang w:val="it-IT"/>
        </w:rPr>
      </w:pPr>
      <w:r w:rsidRPr="006E31B1">
        <w:rPr>
          <w:lang w:val="it-IT"/>
        </w:rPr>
        <w:t xml:space="preserve">Lijek Omnitrope dovodi do stvaranja antitijela kod približno 1% pacijenata. Sposobnost vezivanja ovih antitijela bila je mala i njihovo stvaranje nije bilo povezano sa bilo kakvim kliničkim promjenama kod pacijenata (videti </w:t>
      </w:r>
      <w:r w:rsidR="00A21499" w:rsidRPr="006E31B1">
        <w:rPr>
          <w:lang w:val="it-IT"/>
        </w:rPr>
        <w:t>dio</w:t>
      </w:r>
      <w:r w:rsidRPr="006E31B1">
        <w:rPr>
          <w:lang w:val="it-IT"/>
        </w:rPr>
        <w:t xml:space="preserve"> 4.4).</w:t>
      </w:r>
    </w:p>
    <w:p w14:paraId="66B2118E" w14:textId="77777777" w:rsidR="000F3972" w:rsidRPr="006E31B1" w:rsidRDefault="000F3972" w:rsidP="002C2A95">
      <w:pPr>
        <w:pStyle w:val="BodyText"/>
        <w:spacing w:before="2"/>
        <w:ind w:left="0" w:right="-17"/>
        <w:jc w:val="both"/>
        <w:rPr>
          <w:lang w:val="it-IT"/>
        </w:rPr>
      </w:pPr>
    </w:p>
    <w:p w14:paraId="58586880" w14:textId="77777777" w:rsidR="000F3972" w:rsidRPr="006E31B1" w:rsidRDefault="000F3972" w:rsidP="002C2A95">
      <w:pPr>
        <w:pStyle w:val="BodyText"/>
        <w:spacing w:before="1"/>
        <w:ind w:left="0" w:right="-17"/>
        <w:jc w:val="both"/>
        <w:rPr>
          <w:lang w:val="it-IT"/>
        </w:rPr>
      </w:pPr>
      <w:r w:rsidRPr="006E31B1">
        <w:rPr>
          <w:u w:val="single"/>
          <w:lang w:val="it-IT"/>
        </w:rPr>
        <w:t>Tabelarni prikaz neželjenih reakcija</w:t>
      </w:r>
    </w:p>
    <w:p w14:paraId="52ADD043" w14:textId="77777777" w:rsidR="000F3972" w:rsidRPr="006E31B1" w:rsidRDefault="000F3972" w:rsidP="002C2A95">
      <w:pPr>
        <w:pStyle w:val="BodyText"/>
        <w:spacing w:before="1"/>
        <w:ind w:left="0" w:right="-17"/>
        <w:jc w:val="both"/>
        <w:rPr>
          <w:lang w:val="it-IT"/>
        </w:rPr>
      </w:pPr>
      <w:r w:rsidRPr="006E31B1">
        <w:rPr>
          <w:lang w:val="it-IT"/>
        </w:rPr>
        <w:t xml:space="preserve">Tabele 1-6 prikazuju neželjene reakcije koje su razvrstane na osnovu klasifikacije prema sistemima </w:t>
      </w:r>
      <w:r w:rsidRPr="006E31B1">
        <w:rPr>
          <w:lang w:val="it-IT"/>
        </w:rPr>
        <w:lastRenderedPageBreak/>
        <w:t>organa i učestalosti prema sledećoj konvenciji: veoma često (&gt;1/10), često (&gt;1/100 do &lt;1/10) , povremeno (&gt;1/1000 do &lt; 1/100) , rijetko (&gt;1/10000 do &lt;1/1000), veoma rijetko (&lt;1/10000), nepoznate učestalosti (ne može se procijeniti na osnovu dostupnih podataka)</w:t>
      </w:r>
    </w:p>
    <w:p w14:paraId="4F90A37A" w14:textId="77777777" w:rsidR="00AA6531" w:rsidRPr="006E31B1" w:rsidRDefault="00AA6531" w:rsidP="00A25D4F">
      <w:pPr>
        <w:pStyle w:val="BodyText"/>
        <w:spacing w:before="1"/>
        <w:ind w:right="220"/>
        <w:jc w:val="both"/>
        <w:rPr>
          <w:lang w:val="it-IT"/>
        </w:rPr>
      </w:pPr>
    </w:p>
    <w:p w14:paraId="1256142B" w14:textId="77777777" w:rsidR="00AA6531" w:rsidRPr="0016702C" w:rsidRDefault="00AA6531" w:rsidP="00AA6531">
      <w:pPr>
        <w:rPr>
          <w:b/>
          <w:sz w:val="22"/>
          <w:szCs w:val="22"/>
        </w:rPr>
      </w:pPr>
      <w:proofErr w:type="spellStart"/>
      <w:r w:rsidRPr="008A5390">
        <w:rPr>
          <w:b/>
          <w:sz w:val="22"/>
          <w:szCs w:val="22"/>
        </w:rPr>
        <w:t>Tabela</w:t>
      </w:r>
      <w:proofErr w:type="spellEnd"/>
      <w:r w:rsidRPr="008A5390">
        <w:rPr>
          <w:b/>
          <w:sz w:val="22"/>
          <w:szCs w:val="22"/>
        </w:rPr>
        <w:t xml:space="preserve"> 1.</w:t>
      </w:r>
    </w:p>
    <w:tbl>
      <w:tblPr>
        <w:tblStyle w:val="TableGrid0"/>
        <w:tblW w:w="7335" w:type="dxa"/>
        <w:tblInd w:w="-5" w:type="dxa"/>
        <w:tblCellMar>
          <w:top w:w="45" w:type="dxa"/>
          <w:left w:w="106" w:type="dxa"/>
          <w:right w:w="89" w:type="dxa"/>
        </w:tblCellMar>
        <w:tblLook w:val="04A0" w:firstRow="1" w:lastRow="0" w:firstColumn="1" w:lastColumn="0" w:noHBand="0" w:noVBand="1"/>
      </w:tblPr>
      <w:tblGrid>
        <w:gridCol w:w="1770"/>
        <w:gridCol w:w="5565"/>
      </w:tblGrid>
      <w:tr w:rsidR="00AA6531" w:rsidRPr="0016702C" w14:paraId="5AE7788F" w14:textId="77777777" w:rsidTr="008A5390">
        <w:trPr>
          <w:trHeight w:val="1531"/>
        </w:trPr>
        <w:tc>
          <w:tcPr>
            <w:tcW w:w="1770" w:type="dxa"/>
            <w:tcBorders>
              <w:top w:val="single" w:sz="4" w:space="0" w:color="000000"/>
              <w:left w:val="single" w:sz="4" w:space="0" w:color="000000"/>
              <w:bottom w:val="single" w:sz="4" w:space="0" w:color="000000"/>
              <w:right w:val="single" w:sz="4" w:space="0" w:color="000000"/>
            </w:tcBorders>
            <w:hideMark/>
          </w:tcPr>
          <w:p w14:paraId="0B506235" w14:textId="77777777" w:rsidR="00AA6531" w:rsidRPr="008A5390" w:rsidRDefault="00AA6531">
            <w:pPr>
              <w:rPr>
                <w:rFonts w:ascii="Times New Roman" w:hAnsi="Times New Roman" w:cs="Times New Roman"/>
                <w:b/>
                <w:sz w:val="22"/>
                <w:szCs w:val="22"/>
              </w:rPr>
            </w:pPr>
            <w:proofErr w:type="spellStart"/>
            <w:r w:rsidRPr="008A5390">
              <w:rPr>
                <w:b/>
                <w:sz w:val="22"/>
                <w:szCs w:val="22"/>
              </w:rPr>
              <w:t>Klasa</w:t>
            </w:r>
            <w:proofErr w:type="spellEnd"/>
            <w:r w:rsidRPr="008A5390">
              <w:rPr>
                <w:b/>
                <w:sz w:val="22"/>
                <w:szCs w:val="22"/>
              </w:rPr>
              <w:t xml:space="preserve"> </w:t>
            </w:r>
            <w:proofErr w:type="spellStart"/>
            <w:r w:rsidRPr="008A5390">
              <w:rPr>
                <w:b/>
                <w:sz w:val="22"/>
                <w:szCs w:val="22"/>
              </w:rPr>
              <w:t>sistema</w:t>
            </w:r>
            <w:proofErr w:type="spellEnd"/>
            <w:r w:rsidRPr="008A5390">
              <w:rPr>
                <w:b/>
                <w:sz w:val="22"/>
                <w:szCs w:val="22"/>
              </w:rPr>
              <w:t xml:space="preserve"> </w:t>
            </w:r>
            <w:proofErr w:type="spellStart"/>
            <w:r w:rsidRPr="008A5390">
              <w:rPr>
                <w:b/>
                <w:sz w:val="22"/>
                <w:szCs w:val="22"/>
              </w:rPr>
              <w:t>organa</w:t>
            </w:r>
            <w:proofErr w:type="spellEnd"/>
          </w:p>
        </w:tc>
        <w:tc>
          <w:tcPr>
            <w:tcW w:w="5565" w:type="dxa"/>
            <w:tcBorders>
              <w:top w:val="single" w:sz="4" w:space="0" w:color="000000"/>
              <w:left w:val="single" w:sz="4" w:space="0" w:color="000000"/>
              <w:bottom w:val="single" w:sz="4" w:space="0" w:color="000000"/>
              <w:right w:val="single" w:sz="4" w:space="0" w:color="000000"/>
            </w:tcBorders>
            <w:hideMark/>
          </w:tcPr>
          <w:p w14:paraId="25D441A7" w14:textId="77777777" w:rsidR="00AA6531" w:rsidRPr="008A5390" w:rsidRDefault="00AA6531">
            <w:pPr>
              <w:rPr>
                <w:rFonts w:ascii="Times New Roman" w:hAnsi="Times New Roman" w:cs="Times New Roman"/>
                <w:b/>
                <w:sz w:val="22"/>
                <w:szCs w:val="22"/>
              </w:rPr>
            </w:pPr>
            <w:proofErr w:type="spellStart"/>
            <w:r w:rsidRPr="008A5390">
              <w:rPr>
                <w:b/>
                <w:sz w:val="22"/>
                <w:szCs w:val="22"/>
              </w:rPr>
              <w:t>Učestalost</w:t>
            </w:r>
            <w:proofErr w:type="spellEnd"/>
          </w:p>
        </w:tc>
      </w:tr>
      <w:tr w:rsidR="00AA6531" w:rsidRPr="0016702C" w14:paraId="669C6D58" w14:textId="77777777" w:rsidTr="008A5390">
        <w:trPr>
          <w:trHeight w:val="1526"/>
        </w:trPr>
        <w:tc>
          <w:tcPr>
            <w:tcW w:w="1770" w:type="dxa"/>
            <w:tcBorders>
              <w:top w:val="single" w:sz="4" w:space="0" w:color="000000"/>
              <w:left w:val="single" w:sz="4" w:space="0" w:color="000000"/>
              <w:bottom w:val="single" w:sz="4" w:space="0" w:color="000000"/>
              <w:right w:val="single" w:sz="4" w:space="0" w:color="000000"/>
            </w:tcBorders>
            <w:hideMark/>
          </w:tcPr>
          <w:p w14:paraId="7D08FE6E" w14:textId="77777777" w:rsidR="00AA6531" w:rsidRPr="008A5390" w:rsidRDefault="00AA6531">
            <w:pPr>
              <w:rPr>
                <w:rFonts w:ascii="Times New Roman" w:hAnsi="Times New Roman" w:cs="Times New Roman"/>
                <w:b/>
                <w:sz w:val="22"/>
                <w:szCs w:val="22"/>
                <w:lang w:val="it-IT"/>
              </w:rPr>
            </w:pPr>
            <w:r w:rsidRPr="008A5390">
              <w:rPr>
                <w:b/>
                <w:sz w:val="22"/>
                <w:szCs w:val="22"/>
                <w:lang w:val="it-IT"/>
              </w:rPr>
              <w:t>Neoplazme- – benigne, maligne i neodređene, (uključujući ciste i polipe)</w:t>
            </w:r>
          </w:p>
        </w:tc>
        <w:tc>
          <w:tcPr>
            <w:tcW w:w="5565" w:type="dxa"/>
            <w:tcBorders>
              <w:top w:val="single" w:sz="4" w:space="0" w:color="000000"/>
              <w:left w:val="single" w:sz="4" w:space="0" w:color="000000"/>
              <w:bottom w:val="single" w:sz="4" w:space="0" w:color="000000"/>
              <w:right w:val="single" w:sz="4" w:space="0" w:color="000000"/>
            </w:tcBorders>
            <w:hideMark/>
          </w:tcPr>
          <w:p w14:paraId="5D15C529" w14:textId="77777777" w:rsidR="00AA6531" w:rsidRPr="008A5390" w:rsidRDefault="00AA6531">
            <w:pPr>
              <w:rPr>
                <w:rFonts w:ascii="Times New Roman" w:hAnsi="Times New Roman" w:cs="Times New Roman"/>
                <w:bCs/>
                <w:sz w:val="22"/>
                <w:szCs w:val="22"/>
                <w:vertAlign w:val="superscript"/>
              </w:rPr>
            </w:pPr>
            <w:proofErr w:type="spellStart"/>
            <w:r w:rsidRPr="008A5390">
              <w:rPr>
                <w:bCs/>
                <w:sz w:val="22"/>
                <w:szCs w:val="22"/>
              </w:rPr>
              <w:t>Povremeno</w:t>
            </w:r>
            <w:proofErr w:type="spellEnd"/>
            <w:r w:rsidRPr="008A5390">
              <w:rPr>
                <w:bCs/>
                <w:sz w:val="22"/>
                <w:szCs w:val="22"/>
              </w:rPr>
              <w:t>: Leukemija</w:t>
            </w:r>
            <w:r w:rsidRPr="008A5390">
              <w:rPr>
                <w:bCs/>
                <w:sz w:val="22"/>
                <w:szCs w:val="22"/>
                <w:vertAlign w:val="superscript"/>
              </w:rPr>
              <w:t>†1</w:t>
            </w:r>
          </w:p>
          <w:p w14:paraId="273991D5" w14:textId="77777777" w:rsidR="00AA6531" w:rsidRPr="008A5390" w:rsidRDefault="00AA6531">
            <w:pPr>
              <w:rPr>
                <w:rFonts w:ascii="Times New Roman" w:hAnsi="Times New Roman" w:cs="Times New Roman"/>
                <w:b/>
                <w:sz w:val="22"/>
                <w:szCs w:val="22"/>
                <w:vertAlign w:val="superscript"/>
              </w:rPr>
            </w:pPr>
            <w:proofErr w:type="spellStart"/>
            <w:r w:rsidRPr="008A5390">
              <w:rPr>
                <w:bCs/>
                <w:sz w:val="22"/>
                <w:szCs w:val="22"/>
              </w:rPr>
              <w:t>Nepoznato</w:t>
            </w:r>
            <w:proofErr w:type="spellEnd"/>
            <w:r w:rsidRPr="008A5390">
              <w:rPr>
                <w:bCs/>
                <w:sz w:val="22"/>
                <w:szCs w:val="22"/>
              </w:rPr>
              <w:t xml:space="preserve">: </w:t>
            </w:r>
            <w:proofErr w:type="spellStart"/>
            <w:r w:rsidRPr="008A5390">
              <w:rPr>
                <w:bCs/>
                <w:sz w:val="22"/>
                <w:szCs w:val="22"/>
              </w:rPr>
              <w:t>Leukemija</w:t>
            </w:r>
            <w:proofErr w:type="spellEnd"/>
            <w:r w:rsidRPr="008A5390">
              <w:rPr>
                <w:bCs/>
                <w:sz w:val="22"/>
                <w:szCs w:val="22"/>
              </w:rPr>
              <w:t xml:space="preserve"> </w:t>
            </w:r>
            <w:r w:rsidRPr="008A5390">
              <w:rPr>
                <w:bCs/>
                <w:sz w:val="22"/>
                <w:szCs w:val="22"/>
                <w:vertAlign w:val="superscript"/>
              </w:rPr>
              <w:t>†2,3,4,5</w:t>
            </w:r>
          </w:p>
        </w:tc>
      </w:tr>
      <w:tr w:rsidR="00AA6531" w:rsidRPr="0016702C" w14:paraId="7E3ED983" w14:textId="77777777" w:rsidTr="008A5390">
        <w:trPr>
          <w:trHeight w:val="768"/>
        </w:trPr>
        <w:tc>
          <w:tcPr>
            <w:tcW w:w="1770" w:type="dxa"/>
            <w:tcBorders>
              <w:top w:val="single" w:sz="4" w:space="0" w:color="000000"/>
              <w:left w:val="single" w:sz="4" w:space="0" w:color="000000"/>
              <w:bottom w:val="single" w:sz="4" w:space="0" w:color="000000"/>
              <w:right w:val="single" w:sz="4" w:space="0" w:color="000000"/>
            </w:tcBorders>
            <w:hideMark/>
          </w:tcPr>
          <w:p w14:paraId="1A1BC86D" w14:textId="77777777" w:rsidR="00AA6531" w:rsidRPr="008A5390" w:rsidRDefault="00AA6531">
            <w:pPr>
              <w:rPr>
                <w:rFonts w:ascii="Times New Roman" w:hAnsi="Times New Roman" w:cs="Times New Roman"/>
                <w:b/>
                <w:sz w:val="22"/>
                <w:szCs w:val="22"/>
              </w:rPr>
            </w:pPr>
            <w:proofErr w:type="spellStart"/>
            <w:r w:rsidRPr="008A5390">
              <w:rPr>
                <w:b/>
                <w:sz w:val="22"/>
                <w:szCs w:val="22"/>
              </w:rPr>
              <w:t>Endokrini</w:t>
            </w:r>
            <w:proofErr w:type="spellEnd"/>
            <w:r w:rsidRPr="008A5390">
              <w:rPr>
                <w:b/>
                <w:sz w:val="22"/>
                <w:szCs w:val="22"/>
              </w:rPr>
              <w:t xml:space="preserve"> </w:t>
            </w:r>
            <w:proofErr w:type="spellStart"/>
            <w:r w:rsidRPr="008A5390">
              <w:rPr>
                <w:b/>
                <w:sz w:val="22"/>
                <w:szCs w:val="22"/>
              </w:rPr>
              <w:t>poremećaji</w:t>
            </w:r>
            <w:proofErr w:type="spellEnd"/>
            <w:r w:rsidRPr="008A5390">
              <w:rPr>
                <w:b/>
                <w:sz w:val="22"/>
                <w:szCs w:val="22"/>
              </w:rPr>
              <w:t xml:space="preserve"> </w:t>
            </w:r>
          </w:p>
        </w:tc>
        <w:tc>
          <w:tcPr>
            <w:tcW w:w="5565" w:type="dxa"/>
            <w:tcBorders>
              <w:top w:val="single" w:sz="4" w:space="0" w:color="000000"/>
              <w:left w:val="single" w:sz="4" w:space="0" w:color="000000"/>
              <w:bottom w:val="single" w:sz="4" w:space="0" w:color="000000"/>
              <w:right w:val="single" w:sz="4" w:space="0" w:color="000000"/>
            </w:tcBorders>
            <w:hideMark/>
          </w:tcPr>
          <w:p w14:paraId="36E4AFF3" w14:textId="77777777" w:rsidR="00AA6531" w:rsidRPr="008A5390" w:rsidRDefault="00AA6531">
            <w:pPr>
              <w:rPr>
                <w:rFonts w:ascii="Times New Roman" w:hAnsi="Times New Roman" w:cs="Times New Roman"/>
                <w:bCs/>
                <w:sz w:val="22"/>
                <w:szCs w:val="22"/>
              </w:rPr>
            </w:pPr>
            <w:proofErr w:type="spellStart"/>
            <w:r w:rsidRPr="008A5390">
              <w:rPr>
                <w:bCs/>
                <w:sz w:val="22"/>
                <w:szCs w:val="22"/>
              </w:rPr>
              <w:t>Nepoznato</w:t>
            </w:r>
            <w:proofErr w:type="spellEnd"/>
            <w:r w:rsidRPr="008A5390">
              <w:rPr>
                <w:bCs/>
                <w:sz w:val="22"/>
                <w:szCs w:val="22"/>
              </w:rPr>
              <w:t xml:space="preserve">: </w:t>
            </w:r>
            <w:proofErr w:type="spellStart"/>
            <w:r w:rsidRPr="008A5390">
              <w:rPr>
                <w:bCs/>
                <w:sz w:val="22"/>
                <w:szCs w:val="22"/>
              </w:rPr>
              <w:t>Hipotireoza</w:t>
            </w:r>
            <w:proofErr w:type="spellEnd"/>
            <w:r w:rsidRPr="008A5390">
              <w:rPr>
                <w:bCs/>
                <w:sz w:val="22"/>
                <w:szCs w:val="22"/>
              </w:rPr>
              <w:t xml:space="preserve"> **</w:t>
            </w:r>
          </w:p>
        </w:tc>
      </w:tr>
      <w:tr w:rsidR="00AA6531" w:rsidRPr="0016702C" w14:paraId="04C0A56B" w14:textId="77777777" w:rsidTr="008A5390">
        <w:trPr>
          <w:trHeight w:val="768"/>
        </w:trPr>
        <w:tc>
          <w:tcPr>
            <w:tcW w:w="1770" w:type="dxa"/>
            <w:tcBorders>
              <w:top w:val="single" w:sz="4" w:space="0" w:color="000000"/>
              <w:left w:val="single" w:sz="4" w:space="0" w:color="000000"/>
              <w:bottom w:val="single" w:sz="4" w:space="0" w:color="000000"/>
              <w:right w:val="single" w:sz="4" w:space="0" w:color="000000"/>
            </w:tcBorders>
            <w:hideMark/>
          </w:tcPr>
          <w:p w14:paraId="4C2B676E" w14:textId="77777777" w:rsidR="00AA6531" w:rsidRPr="008A5390" w:rsidRDefault="00AA6531">
            <w:pPr>
              <w:rPr>
                <w:rFonts w:ascii="Times New Roman" w:hAnsi="Times New Roman" w:cs="Times New Roman"/>
                <w:b/>
                <w:sz w:val="22"/>
                <w:szCs w:val="22"/>
              </w:rPr>
            </w:pPr>
            <w:proofErr w:type="spellStart"/>
            <w:r w:rsidRPr="008A5390">
              <w:rPr>
                <w:b/>
                <w:sz w:val="22"/>
                <w:szCs w:val="22"/>
              </w:rPr>
              <w:t>Poremećaji</w:t>
            </w:r>
            <w:proofErr w:type="spellEnd"/>
            <w:r w:rsidRPr="008A5390">
              <w:rPr>
                <w:b/>
                <w:sz w:val="22"/>
                <w:szCs w:val="22"/>
              </w:rPr>
              <w:t xml:space="preserve"> </w:t>
            </w:r>
            <w:proofErr w:type="spellStart"/>
            <w:r w:rsidRPr="008A5390">
              <w:rPr>
                <w:b/>
                <w:sz w:val="22"/>
                <w:szCs w:val="22"/>
              </w:rPr>
              <w:t>metabolima</w:t>
            </w:r>
            <w:proofErr w:type="spellEnd"/>
            <w:r w:rsidRPr="008A5390">
              <w:rPr>
                <w:b/>
                <w:sz w:val="22"/>
                <w:szCs w:val="22"/>
              </w:rPr>
              <w:t xml:space="preserve"> </w:t>
            </w:r>
            <w:proofErr w:type="spellStart"/>
            <w:r w:rsidRPr="008A5390">
              <w:rPr>
                <w:b/>
                <w:sz w:val="22"/>
                <w:szCs w:val="22"/>
              </w:rPr>
              <w:t>i</w:t>
            </w:r>
            <w:proofErr w:type="spellEnd"/>
            <w:r w:rsidRPr="008A5390">
              <w:rPr>
                <w:b/>
                <w:sz w:val="22"/>
                <w:szCs w:val="22"/>
              </w:rPr>
              <w:t xml:space="preserve"> </w:t>
            </w:r>
            <w:proofErr w:type="spellStart"/>
            <w:r w:rsidRPr="008A5390">
              <w:rPr>
                <w:b/>
                <w:sz w:val="22"/>
                <w:szCs w:val="22"/>
              </w:rPr>
              <w:t>ishrane</w:t>
            </w:r>
            <w:proofErr w:type="spellEnd"/>
          </w:p>
        </w:tc>
        <w:tc>
          <w:tcPr>
            <w:tcW w:w="5565" w:type="dxa"/>
            <w:tcBorders>
              <w:top w:val="single" w:sz="4" w:space="0" w:color="000000"/>
              <w:left w:val="single" w:sz="4" w:space="0" w:color="000000"/>
              <w:bottom w:val="single" w:sz="4" w:space="0" w:color="000000"/>
              <w:right w:val="single" w:sz="4" w:space="0" w:color="000000"/>
            </w:tcBorders>
            <w:hideMark/>
          </w:tcPr>
          <w:p w14:paraId="382BD615" w14:textId="77777777" w:rsidR="00AA6531" w:rsidRPr="008A5390" w:rsidRDefault="00AA6531">
            <w:pPr>
              <w:rPr>
                <w:rFonts w:ascii="Times New Roman" w:hAnsi="Times New Roman" w:cs="Times New Roman"/>
                <w:bCs/>
                <w:sz w:val="22"/>
                <w:szCs w:val="22"/>
              </w:rPr>
            </w:pPr>
            <w:proofErr w:type="spellStart"/>
            <w:r w:rsidRPr="008A5390">
              <w:rPr>
                <w:bCs/>
                <w:sz w:val="22"/>
                <w:szCs w:val="22"/>
              </w:rPr>
              <w:t>Nepoznato</w:t>
            </w:r>
            <w:proofErr w:type="spellEnd"/>
            <w:r w:rsidRPr="008A5390">
              <w:rPr>
                <w:bCs/>
                <w:sz w:val="22"/>
                <w:szCs w:val="22"/>
              </w:rPr>
              <w:t xml:space="preserve">: </w:t>
            </w:r>
            <w:proofErr w:type="spellStart"/>
            <w:r w:rsidRPr="008A5390">
              <w:rPr>
                <w:bCs/>
                <w:sz w:val="22"/>
                <w:szCs w:val="22"/>
              </w:rPr>
              <w:t>Dijabetes</w:t>
            </w:r>
            <w:proofErr w:type="spellEnd"/>
            <w:r w:rsidRPr="008A5390">
              <w:rPr>
                <w:bCs/>
                <w:sz w:val="22"/>
                <w:szCs w:val="22"/>
              </w:rPr>
              <w:t xml:space="preserve"> </w:t>
            </w:r>
            <w:proofErr w:type="spellStart"/>
            <w:r w:rsidRPr="008A5390">
              <w:rPr>
                <w:bCs/>
                <w:sz w:val="22"/>
                <w:szCs w:val="22"/>
              </w:rPr>
              <w:t>melitus</w:t>
            </w:r>
            <w:proofErr w:type="spellEnd"/>
            <w:r w:rsidRPr="008A5390">
              <w:rPr>
                <w:bCs/>
                <w:sz w:val="22"/>
                <w:szCs w:val="22"/>
              </w:rPr>
              <w:t xml:space="preserve"> tip 2</w:t>
            </w:r>
          </w:p>
        </w:tc>
      </w:tr>
      <w:tr w:rsidR="00AA6531" w:rsidRPr="008A5390" w14:paraId="46459821" w14:textId="77777777" w:rsidTr="008A5390">
        <w:trPr>
          <w:trHeight w:val="1022"/>
        </w:trPr>
        <w:tc>
          <w:tcPr>
            <w:tcW w:w="1770" w:type="dxa"/>
            <w:tcBorders>
              <w:top w:val="single" w:sz="4" w:space="0" w:color="000000"/>
              <w:left w:val="single" w:sz="4" w:space="0" w:color="000000"/>
              <w:bottom w:val="single" w:sz="4" w:space="0" w:color="000000"/>
              <w:right w:val="single" w:sz="4" w:space="0" w:color="000000"/>
            </w:tcBorders>
            <w:hideMark/>
          </w:tcPr>
          <w:p w14:paraId="6D96BFC7" w14:textId="77777777" w:rsidR="00AA6531" w:rsidRPr="008A5390" w:rsidRDefault="00AA6531">
            <w:pPr>
              <w:rPr>
                <w:rFonts w:ascii="Times New Roman" w:hAnsi="Times New Roman" w:cs="Times New Roman"/>
                <w:b/>
                <w:sz w:val="22"/>
                <w:szCs w:val="22"/>
              </w:rPr>
            </w:pPr>
            <w:proofErr w:type="spellStart"/>
            <w:r w:rsidRPr="008A5390">
              <w:rPr>
                <w:b/>
                <w:sz w:val="22"/>
                <w:szCs w:val="22"/>
              </w:rPr>
              <w:t>Poremećaji</w:t>
            </w:r>
            <w:proofErr w:type="spellEnd"/>
            <w:r w:rsidRPr="008A5390">
              <w:rPr>
                <w:b/>
                <w:sz w:val="22"/>
                <w:szCs w:val="22"/>
              </w:rPr>
              <w:t xml:space="preserve"> </w:t>
            </w:r>
            <w:proofErr w:type="spellStart"/>
            <w:r w:rsidRPr="008A5390">
              <w:rPr>
                <w:b/>
                <w:sz w:val="22"/>
                <w:szCs w:val="22"/>
              </w:rPr>
              <w:t>nervnog</w:t>
            </w:r>
            <w:proofErr w:type="spellEnd"/>
            <w:r w:rsidRPr="008A5390">
              <w:rPr>
                <w:b/>
                <w:sz w:val="22"/>
                <w:szCs w:val="22"/>
              </w:rPr>
              <w:t xml:space="preserve"> </w:t>
            </w:r>
            <w:proofErr w:type="spellStart"/>
            <w:r w:rsidRPr="008A5390">
              <w:rPr>
                <w:b/>
                <w:sz w:val="22"/>
                <w:szCs w:val="22"/>
              </w:rPr>
              <w:t>sistema</w:t>
            </w:r>
            <w:proofErr w:type="spellEnd"/>
          </w:p>
        </w:tc>
        <w:tc>
          <w:tcPr>
            <w:tcW w:w="5565" w:type="dxa"/>
            <w:tcBorders>
              <w:top w:val="single" w:sz="4" w:space="0" w:color="000000"/>
              <w:left w:val="single" w:sz="4" w:space="0" w:color="000000"/>
              <w:bottom w:val="single" w:sz="4" w:space="0" w:color="000000"/>
              <w:right w:val="single" w:sz="4" w:space="0" w:color="000000"/>
            </w:tcBorders>
            <w:hideMark/>
          </w:tcPr>
          <w:p w14:paraId="4B482130" w14:textId="77777777" w:rsidR="00AA6531" w:rsidRPr="008A5390" w:rsidRDefault="00AA6531">
            <w:pPr>
              <w:spacing w:line="256" w:lineRule="auto"/>
              <w:ind w:left="5"/>
              <w:rPr>
                <w:rFonts w:ascii="Times New Roman" w:hAnsi="Times New Roman" w:cs="Times New Roman"/>
                <w:sz w:val="22"/>
                <w:szCs w:val="22"/>
                <w:vertAlign w:val="superscript"/>
                <w:lang w:val="it-IT"/>
              </w:rPr>
            </w:pPr>
            <w:r w:rsidRPr="008A5390">
              <w:rPr>
                <w:sz w:val="22"/>
                <w:szCs w:val="22"/>
                <w:lang w:val="it-IT"/>
              </w:rPr>
              <w:t>Često: Parestezija* Benigna intrakranijalna hipertenzija</w:t>
            </w:r>
            <w:r w:rsidRPr="008A5390">
              <w:rPr>
                <w:sz w:val="22"/>
                <w:szCs w:val="22"/>
                <w:vertAlign w:val="superscript"/>
                <w:lang w:val="it-IT"/>
              </w:rPr>
              <w:t>5</w:t>
            </w:r>
            <w:r w:rsidRPr="008A5390">
              <w:rPr>
                <w:sz w:val="22"/>
                <w:szCs w:val="22"/>
                <w:lang w:val="it-IT"/>
              </w:rPr>
              <w:t>, Sindrom karpalnog tunela</w:t>
            </w:r>
            <w:r w:rsidRPr="008A5390">
              <w:rPr>
                <w:sz w:val="22"/>
                <w:szCs w:val="22"/>
                <w:vertAlign w:val="superscript"/>
                <w:lang w:val="it-IT"/>
              </w:rPr>
              <w:t>6</w:t>
            </w:r>
          </w:p>
          <w:p w14:paraId="292E1DDC" w14:textId="77777777" w:rsidR="00AA6531" w:rsidRPr="008A5390" w:rsidRDefault="00AA6531">
            <w:pPr>
              <w:spacing w:line="256" w:lineRule="auto"/>
              <w:ind w:left="5"/>
              <w:rPr>
                <w:rFonts w:ascii="Times New Roman" w:hAnsi="Times New Roman" w:cs="Times New Roman"/>
                <w:sz w:val="22"/>
                <w:szCs w:val="22"/>
                <w:vertAlign w:val="superscript"/>
                <w:lang w:val="it-IT"/>
              </w:rPr>
            </w:pPr>
            <w:r w:rsidRPr="008A5390">
              <w:rPr>
                <w:sz w:val="22"/>
                <w:szCs w:val="22"/>
                <w:lang w:val="it-IT"/>
              </w:rPr>
              <w:t>Nepoznato: Benigna intrakranijalna hipertenzija</w:t>
            </w:r>
            <w:r w:rsidRPr="008A5390">
              <w:rPr>
                <w:sz w:val="22"/>
                <w:szCs w:val="22"/>
                <w:vertAlign w:val="superscript"/>
                <w:lang w:val="it-IT"/>
              </w:rPr>
              <w:t>1,2,3,4,6</w:t>
            </w:r>
          </w:p>
          <w:p w14:paraId="693C3837" w14:textId="77777777" w:rsidR="00AA6531" w:rsidRPr="008A5390" w:rsidRDefault="00AA6531">
            <w:pPr>
              <w:rPr>
                <w:rFonts w:ascii="Times New Roman" w:hAnsi="Times New Roman" w:cs="Times New Roman"/>
                <w:b/>
                <w:sz w:val="22"/>
                <w:szCs w:val="22"/>
                <w:lang w:val="it-IT"/>
              </w:rPr>
            </w:pPr>
            <w:r w:rsidRPr="008A5390">
              <w:rPr>
                <w:sz w:val="22"/>
                <w:szCs w:val="22"/>
                <w:lang w:val="it-IT"/>
              </w:rPr>
              <w:t>Nepoznato: glavobolja**</w:t>
            </w:r>
          </w:p>
        </w:tc>
      </w:tr>
      <w:tr w:rsidR="00AA6531" w:rsidRPr="008A5390" w14:paraId="51ADB7F9" w14:textId="77777777" w:rsidTr="008A5390">
        <w:trPr>
          <w:trHeight w:val="1022"/>
        </w:trPr>
        <w:tc>
          <w:tcPr>
            <w:tcW w:w="1770" w:type="dxa"/>
            <w:tcBorders>
              <w:top w:val="single" w:sz="4" w:space="0" w:color="000000"/>
              <w:left w:val="single" w:sz="4" w:space="0" w:color="000000"/>
              <w:bottom w:val="single" w:sz="4" w:space="0" w:color="000000"/>
              <w:right w:val="single" w:sz="4" w:space="0" w:color="000000"/>
            </w:tcBorders>
            <w:hideMark/>
          </w:tcPr>
          <w:p w14:paraId="76EA1761" w14:textId="77777777" w:rsidR="00AA6531" w:rsidRPr="008A5390" w:rsidRDefault="00AA6531">
            <w:pPr>
              <w:spacing w:line="244" w:lineRule="auto"/>
              <w:ind w:left="11" w:hanging="11"/>
              <w:rPr>
                <w:rFonts w:ascii="Times New Roman" w:hAnsi="Times New Roman" w:cs="Times New Roman"/>
                <w:b/>
                <w:sz w:val="22"/>
                <w:szCs w:val="22"/>
                <w:lang w:val="it-IT"/>
              </w:rPr>
            </w:pPr>
            <w:r w:rsidRPr="008A5390">
              <w:rPr>
                <w:b/>
                <w:sz w:val="22"/>
                <w:szCs w:val="22"/>
                <w:lang w:val="it-IT"/>
              </w:rPr>
              <w:t>Poremećaji kože i</w:t>
            </w:r>
          </w:p>
          <w:p w14:paraId="0D8FEBF0" w14:textId="77777777" w:rsidR="00AA6531" w:rsidRPr="008A5390" w:rsidRDefault="00AA6531">
            <w:pPr>
              <w:spacing w:line="244" w:lineRule="auto"/>
              <w:ind w:left="11" w:hanging="11"/>
              <w:rPr>
                <w:rFonts w:ascii="Times New Roman" w:hAnsi="Times New Roman" w:cs="Times New Roman"/>
                <w:b/>
                <w:sz w:val="22"/>
                <w:szCs w:val="22"/>
                <w:lang w:val="it-IT"/>
              </w:rPr>
            </w:pPr>
            <w:r w:rsidRPr="008A5390">
              <w:rPr>
                <w:b/>
                <w:sz w:val="22"/>
                <w:szCs w:val="22"/>
                <w:lang w:val="it-IT"/>
              </w:rPr>
              <w:t>potkožnog tkiva</w:t>
            </w:r>
          </w:p>
        </w:tc>
        <w:tc>
          <w:tcPr>
            <w:tcW w:w="5565" w:type="dxa"/>
            <w:tcBorders>
              <w:top w:val="single" w:sz="4" w:space="0" w:color="000000"/>
              <w:left w:val="single" w:sz="4" w:space="0" w:color="000000"/>
              <w:bottom w:val="single" w:sz="4" w:space="0" w:color="000000"/>
              <w:right w:val="single" w:sz="4" w:space="0" w:color="000000"/>
            </w:tcBorders>
            <w:hideMark/>
          </w:tcPr>
          <w:p w14:paraId="655B07DD" w14:textId="77777777" w:rsidR="00AA6531" w:rsidRPr="008A5390" w:rsidRDefault="00AA6531">
            <w:pPr>
              <w:rPr>
                <w:rFonts w:ascii="Times New Roman" w:hAnsi="Times New Roman" w:cs="Times New Roman"/>
                <w:bCs/>
                <w:sz w:val="22"/>
                <w:szCs w:val="22"/>
                <w:lang w:val="it-IT"/>
              </w:rPr>
            </w:pPr>
            <w:r w:rsidRPr="008A5390">
              <w:rPr>
                <w:bCs/>
                <w:sz w:val="22"/>
                <w:szCs w:val="22"/>
                <w:lang w:val="it-IT"/>
              </w:rPr>
              <w:t>Često: Osip**, Urtikarija**</w:t>
            </w:r>
          </w:p>
          <w:p w14:paraId="70499388" w14:textId="77777777" w:rsidR="00AA6531" w:rsidRPr="008A5390" w:rsidRDefault="00AA6531">
            <w:pPr>
              <w:rPr>
                <w:rFonts w:ascii="Times New Roman" w:hAnsi="Times New Roman" w:cs="Times New Roman"/>
                <w:b/>
                <w:sz w:val="22"/>
                <w:szCs w:val="22"/>
                <w:lang w:val="it-IT"/>
              </w:rPr>
            </w:pPr>
            <w:r w:rsidRPr="008A5390">
              <w:rPr>
                <w:bCs/>
                <w:sz w:val="22"/>
                <w:szCs w:val="22"/>
                <w:lang w:val="it-IT"/>
              </w:rPr>
              <w:t>Povremeno: Pruritus**</w:t>
            </w:r>
          </w:p>
        </w:tc>
      </w:tr>
      <w:tr w:rsidR="00AA6531" w:rsidRPr="008A5390" w14:paraId="003D6659" w14:textId="77777777" w:rsidTr="008A5390">
        <w:trPr>
          <w:trHeight w:val="1022"/>
        </w:trPr>
        <w:tc>
          <w:tcPr>
            <w:tcW w:w="1770" w:type="dxa"/>
            <w:tcBorders>
              <w:top w:val="single" w:sz="4" w:space="0" w:color="000000"/>
              <w:left w:val="single" w:sz="4" w:space="0" w:color="000000"/>
              <w:bottom w:val="single" w:sz="4" w:space="0" w:color="000000"/>
              <w:right w:val="single" w:sz="4" w:space="0" w:color="000000"/>
            </w:tcBorders>
            <w:hideMark/>
          </w:tcPr>
          <w:p w14:paraId="1077B722" w14:textId="77777777" w:rsidR="00AA6531" w:rsidRPr="008A5390" w:rsidRDefault="00AA6531">
            <w:pPr>
              <w:rPr>
                <w:rFonts w:ascii="Times New Roman" w:hAnsi="Times New Roman" w:cs="Times New Roman"/>
                <w:b/>
                <w:sz w:val="22"/>
                <w:szCs w:val="22"/>
                <w:lang w:val="it-IT"/>
              </w:rPr>
            </w:pPr>
            <w:r w:rsidRPr="008A5390">
              <w:rPr>
                <w:b/>
                <w:sz w:val="22"/>
                <w:szCs w:val="22"/>
                <w:lang w:val="it-IT"/>
              </w:rPr>
              <w:t>Poremećaji mišićno-koštanog sistema i vezivnog tkiva</w:t>
            </w:r>
          </w:p>
        </w:tc>
        <w:tc>
          <w:tcPr>
            <w:tcW w:w="5565" w:type="dxa"/>
            <w:tcBorders>
              <w:top w:val="single" w:sz="4" w:space="0" w:color="000000"/>
              <w:left w:val="single" w:sz="4" w:space="0" w:color="000000"/>
              <w:bottom w:val="single" w:sz="4" w:space="0" w:color="000000"/>
              <w:right w:val="single" w:sz="4" w:space="0" w:color="000000"/>
            </w:tcBorders>
            <w:hideMark/>
          </w:tcPr>
          <w:p w14:paraId="5BB94780" w14:textId="77777777" w:rsidR="00AA6531" w:rsidRPr="008A5390" w:rsidRDefault="00AA6531">
            <w:pPr>
              <w:rPr>
                <w:rFonts w:ascii="Times New Roman" w:hAnsi="Times New Roman" w:cs="Times New Roman"/>
                <w:bCs/>
                <w:sz w:val="22"/>
                <w:szCs w:val="22"/>
                <w:lang w:val="it-IT"/>
              </w:rPr>
            </w:pPr>
            <w:r w:rsidRPr="008A5390">
              <w:rPr>
                <w:bCs/>
                <w:sz w:val="22"/>
                <w:szCs w:val="22"/>
                <w:lang w:val="it-IT"/>
              </w:rPr>
              <w:t>Veoma često: Artralgija*</w:t>
            </w:r>
          </w:p>
          <w:p w14:paraId="6DF8E385" w14:textId="77777777" w:rsidR="00AA6531" w:rsidRPr="008A5390" w:rsidRDefault="00AA6531">
            <w:pPr>
              <w:rPr>
                <w:rFonts w:ascii="Times New Roman" w:hAnsi="Times New Roman" w:cs="Times New Roman"/>
                <w:b/>
                <w:sz w:val="22"/>
                <w:szCs w:val="22"/>
                <w:lang w:val="it-IT"/>
              </w:rPr>
            </w:pPr>
            <w:r w:rsidRPr="008A5390">
              <w:rPr>
                <w:bCs/>
                <w:sz w:val="22"/>
                <w:szCs w:val="22"/>
                <w:lang w:val="it-IT"/>
              </w:rPr>
              <w:t>Često: Mijalgija*, Mišićno-koštana ukočenost*</w:t>
            </w:r>
          </w:p>
        </w:tc>
      </w:tr>
      <w:tr w:rsidR="00AA6531" w:rsidRPr="0016702C" w14:paraId="38237399" w14:textId="77777777" w:rsidTr="008A5390">
        <w:trPr>
          <w:trHeight w:val="1526"/>
        </w:trPr>
        <w:tc>
          <w:tcPr>
            <w:tcW w:w="1770" w:type="dxa"/>
            <w:tcBorders>
              <w:top w:val="single" w:sz="4" w:space="0" w:color="000000"/>
              <w:left w:val="single" w:sz="4" w:space="0" w:color="000000"/>
              <w:bottom w:val="single" w:sz="4" w:space="0" w:color="000000"/>
              <w:right w:val="single" w:sz="4" w:space="0" w:color="000000"/>
            </w:tcBorders>
            <w:hideMark/>
          </w:tcPr>
          <w:p w14:paraId="4E8C0FB7" w14:textId="77777777" w:rsidR="00AA6531" w:rsidRPr="008A5390" w:rsidRDefault="00AA6531">
            <w:pPr>
              <w:rPr>
                <w:rFonts w:ascii="Times New Roman" w:hAnsi="Times New Roman" w:cs="Times New Roman"/>
                <w:b/>
                <w:sz w:val="22"/>
                <w:szCs w:val="22"/>
              </w:rPr>
            </w:pPr>
            <w:proofErr w:type="spellStart"/>
            <w:r w:rsidRPr="008A5390">
              <w:rPr>
                <w:b/>
                <w:sz w:val="22"/>
                <w:szCs w:val="22"/>
              </w:rPr>
              <w:t>Poremećaji</w:t>
            </w:r>
            <w:proofErr w:type="spellEnd"/>
            <w:r w:rsidRPr="008A5390">
              <w:rPr>
                <w:b/>
                <w:sz w:val="22"/>
                <w:szCs w:val="22"/>
              </w:rPr>
              <w:t xml:space="preserve"> </w:t>
            </w:r>
            <w:proofErr w:type="spellStart"/>
            <w:r w:rsidRPr="008A5390">
              <w:rPr>
                <w:b/>
                <w:sz w:val="22"/>
                <w:szCs w:val="22"/>
              </w:rPr>
              <w:t>reproduktivnog</w:t>
            </w:r>
            <w:proofErr w:type="spellEnd"/>
            <w:r w:rsidRPr="008A5390">
              <w:rPr>
                <w:b/>
                <w:sz w:val="22"/>
                <w:szCs w:val="22"/>
              </w:rPr>
              <w:t xml:space="preserve"> </w:t>
            </w:r>
            <w:proofErr w:type="spellStart"/>
            <w:r w:rsidRPr="008A5390">
              <w:rPr>
                <w:b/>
                <w:sz w:val="22"/>
                <w:szCs w:val="22"/>
              </w:rPr>
              <w:t>sistema</w:t>
            </w:r>
            <w:proofErr w:type="spellEnd"/>
            <w:r w:rsidRPr="008A5390">
              <w:rPr>
                <w:b/>
                <w:sz w:val="22"/>
                <w:szCs w:val="22"/>
              </w:rPr>
              <w:t xml:space="preserve"> </w:t>
            </w:r>
            <w:proofErr w:type="spellStart"/>
            <w:r w:rsidRPr="008A5390">
              <w:rPr>
                <w:b/>
                <w:sz w:val="22"/>
                <w:szCs w:val="22"/>
              </w:rPr>
              <w:t>i</w:t>
            </w:r>
            <w:proofErr w:type="spellEnd"/>
            <w:r w:rsidRPr="008A5390">
              <w:rPr>
                <w:b/>
                <w:sz w:val="22"/>
                <w:szCs w:val="22"/>
              </w:rPr>
              <w:t xml:space="preserve"> </w:t>
            </w:r>
            <w:proofErr w:type="spellStart"/>
            <w:r w:rsidRPr="008A5390">
              <w:rPr>
                <w:b/>
                <w:sz w:val="22"/>
                <w:szCs w:val="22"/>
              </w:rPr>
              <w:t>dojki</w:t>
            </w:r>
            <w:proofErr w:type="spellEnd"/>
          </w:p>
        </w:tc>
        <w:tc>
          <w:tcPr>
            <w:tcW w:w="5565" w:type="dxa"/>
            <w:tcBorders>
              <w:top w:val="single" w:sz="4" w:space="0" w:color="000000"/>
              <w:left w:val="single" w:sz="4" w:space="0" w:color="000000"/>
              <w:bottom w:val="single" w:sz="4" w:space="0" w:color="000000"/>
              <w:right w:val="single" w:sz="4" w:space="0" w:color="000000"/>
            </w:tcBorders>
            <w:hideMark/>
          </w:tcPr>
          <w:p w14:paraId="6E43BFD6" w14:textId="77777777" w:rsidR="00AA6531" w:rsidRPr="008A5390" w:rsidRDefault="00AA6531">
            <w:pPr>
              <w:rPr>
                <w:rFonts w:ascii="Times New Roman" w:hAnsi="Times New Roman" w:cs="Times New Roman"/>
                <w:bCs/>
                <w:sz w:val="22"/>
                <w:szCs w:val="22"/>
              </w:rPr>
            </w:pPr>
            <w:proofErr w:type="spellStart"/>
            <w:r w:rsidRPr="008A5390">
              <w:rPr>
                <w:bCs/>
                <w:sz w:val="22"/>
                <w:szCs w:val="22"/>
              </w:rPr>
              <w:t>Povremeno</w:t>
            </w:r>
            <w:proofErr w:type="spellEnd"/>
            <w:r w:rsidRPr="008A5390">
              <w:rPr>
                <w:bCs/>
                <w:sz w:val="22"/>
                <w:szCs w:val="22"/>
              </w:rPr>
              <w:t xml:space="preserve">: </w:t>
            </w:r>
            <w:proofErr w:type="spellStart"/>
            <w:r w:rsidRPr="008A5390">
              <w:rPr>
                <w:bCs/>
                <w:sz w:val="22"/>
                <w:szCs w:val="22"/>
              </w:rPr>
              <w:t>Ginekomastija</w:t>
            </w:r>
            <w:proofErr w:type="spellEnd"/>
            <w:r w:rsidRPr="008A5390">
              <w:rPr>
                <w:bCs/>
                <w:sz w:val="22"/>
                <w:szCs w:val="22"/>
              </w:rPr>
              <w:t>**</w:t>
            </w:r>
          </w:p>
        </w:tc>
      </w:tr>
      <w:tr w:rsidR="00AA6531" w:rsidRPr="0016702C" w14:paraId="0C9151D5" w14:textId="77777777" w:rsidTr="008A5390">
        <w:trPr>
          <w:trHeight w:val="1526"/>
        </w:trPr>
        <w:tc>
          <w:tcPr>
            <w:tcW w:w="1770" w:type="dxa"/>
            <w:tcBorders>
              <w:top w:val="single" w:sz="4" w:space="0" w:color="000000"/>
              <w:left w:val="single" w:sz="4" w:space="0" w:color="000000"/>
              <w:bottom w:val="single" w:sz="4" w:space="0" w:color="000000"/>
              <w:right w:val="single" w:sz="4" w:space="0" w:color="000000"/>
            </w:tcBorders>
            <w:hideMark/>
          </w:tcPr>
          <w:p w14:paraId="43167BFD" w14:textId="6AB8CE20" w:rsidR="00AA6531" w:rsidRPr="008A5390" w:rsidRDefault="00AA6531">
            <w:pPr>
              <w:rPr>
                <w:rFonts w:ascii="Times New Roman" w:hAnsi="Times New Roman" w:cs="Times New Roman"/>
                <w:b/>
                <w:sz w:val="22"/>
                <w:szCs w:val="22"/>
                <w:lang w:val="it-IT"/>
              </w:rPr>
            </w:pPr>
            <w:r w:rsidRPr="008A5390">
              <w:rPr>
                <w:b/>
                <w:sz w:val="22"/>
                <w:szCs w:val="22"/>
                <w:lang w:val="it-IT"/>
              </w:rPr>
              <w:t>Opšti poremećaji i reakcije na mjestu primjene</w:t>
            </w:r>
          </w:p>
        </w:tc>
        <w:tc>
          <w:tcPr>
            <w:tcW w:w="5565" w:type="dxa"/>
            <w:tcBorders>
              <w:top w:val="single" w:sz="4" w:space="0" w:color="000000"/>
              <w:left w:val="single" w:sz="4" w:space="0" w:color="000000"/>
              <w:bottom w:val="single" w:sz="4" w:space="0" w:color="000000"/>
              <w:right w:val="single" w:sz="4" w:space="0" w:color="000000"/>
            </w:tcBorders>
            <w:hideMark/>
          </w:tcPr>
          <w:p w14:paraId="509F76B8" w14:textId="17F57627" w:rsidR="00AA6531" w:rsidRPr="008A5390" w:rsidRDefault="00AA6531">
            <w:pPr>
              <w:rPr>
                <w:rFonts w:ascii="Times New Roman" w:hAnsi="Times New Roman" w:cs="Times New Roman"/>
                <w:sz w:val="22"/>
                <w:szCs w:val="22"/>
                <w:lang w:val="it-IT"/>
              </w:rPr>
            </w:pPr>
            <w:r w:rsidRPr="008A5390">
              <w:rPr>
                <w:sz w:val="22"/>
                <w:szCs w:val="22"/>
                <w:lang w:val="it-IT"/>
              </w:rPr>
              <w:t>Veoma često: Reakcije na mjestu primjene injekcije</w:t>
            </w:r>
            <w:r w:rsidRPr="008A5390">
              <w:rPr>
                <w:sz w:val="22"/>
                <w:szCs w:val="22"/>
                <w:vertAlign w:val="superscript"/>
                <w:lang w:val="it-IT"/>
              </w:rPr>
              <w:t>$</w:t>
            </w:r>
            <w:r w:rsidRPr="008A5390">
              <w:rPr>
                <w:sz w:val="22"/>
                <w:szCs w:val="22"/>
                <w:lang w:val="it-IT"/>
              </w:rPr>
              <w:t>, Periferni edem*,</w:t>
            </w:r>
          </w:p>
          <w:p w14:paraId="109A5A92" w14:textId="77777777" w:rsidR="00AA6531" w:rsidRPr="008A5390" w:rsidRDefault="00AA6531">
            <w:pPr>
              <w:rPr>
                <w:rFonts w:ascii="Times New Roman" w:hAnsi="Times New Roman" w:cs="Times New Roman"/>
                <w:b/>
                <w:sz w:val="22"/>
                <w:szCs w:val="22"/>
              </w:rPr>
            </w:pPr>
            <w:proofErr w:type="spellStart"/>
            <w:r w:rsidRPr="008A5390">
              <w:rPr>
                <w:sz w:val="22"/>
                <w:szCs w:val="22"/>
              </w:rPr>
              <w:t>Nepoznato</w:t>
            </w:r>
            <w:proofErr w:type="spellEnd"/>
            <w:r w:rsidRPr="008A5390">
              <w:rPr>
                <w:sz w:val="22"/>
                <w:szCs w:val="22"/>
              </w:rPr>
              <w:t xml:space="preserve">: </w:t>
            </w:r>
            <w:proofErr w:type="spellStart"/>
            <w:r w:rsidRPr="008A5390">
              <w:rPr>
                <w:sz w:val="22"/>
                <w:szCs w:val="22"/>
              </w:rPr>
              <w:t>Edem</w:t>
            </w:r>
            <w:proofErr w:type="spellEnd"/>
            <w:r w:rsidRPr="008A5390">
              <w:rPr>
                <w:sz w:val="22"/>
                <w:szCs w:val="22"/>
              </w:rPr>
              <w:t xml:space="preserve"> </w:t>
            </w:r>
            <w:proofErr w:type="spellStart"/>
            <w:r w:rsidRPr="008A5390">
              <w:rPr>
                <w:sz w:val="22"/>
                <w:szCs w:val="22"/>
              </w:rPr>
              <w:t>lica</w:t>
            </w:r>
            <w:proofErr w:type="spellEnd"/>
            <w:r w:rsidRPr="008A5390">
              <w:rPr>
                <w:sz w:val="22"/>
                <w:szCs w:val="22"/>
              </w:rPr>
              <w:t>*</w:t>
            </w:r>
          </w:p>
        </w:tc>
      </w:tr>
      <w:tr w:rsidR="00AA6531" w:rsidRPr="0016702C" w14:paraId="54EA0ACC" w14:textId="77777777" w:rsidTr="008A5390">
        <w:trPr>
          <w:trHeight w:val="1277"/>
        </w:trPr>
        <w:tc>
          <w:tcPr>
            <w:tcW w:w="1770" w:type="dxa"/>
            <w:tcBorders>
              <w:top w:val="single" w:sz="4" w:space="0" w:color="000000"/>
              <w:left w:val="single" w:sz="4" w:space="0" w:color="000000"/>
              <w:bottom w:val="single" w:sz="4" w:space="0" w:color="000000"/>
              <w:right w:val="single" w:sz="4" w:space="0" w:color="000000"/>
            </w:tcBorders>
            <w:hideMark/>
          </w:tcPr>
          <w:p w14:paraId="3DFD1419" w14:textId="77777777" w:rsidR="00AA6531" w:rsidRPr="008A5390" w:rsidRDefault="00AA6531">
            <w:pPr>
              <w:rPr>
                <w:rFonts w:ascii="Times New Roman" w:hAnsi="Times New Roman" w:cs="Times New Roman"/>
                <w:b/>
                <w:sz w:val="22"/>
                <w:szCs w:val="22"/>
              </w:rPr>
            </w:pPr>
            <w:proofErr w:type="spellStart"/>
            <w:r w:rsidRPr="008A5390">
              <w:rPr>
                <w:b/>
                <w:sz w:val="22"/>
                <w:szCs w:val="22"/>
              </w:rPr>
              <w:t>Ispitivanja</w:t>
            </w:r>
            <w:proofErr w:type="spellEnd"/>
          </w:p>
        </w:tc>
        <w:tc>
          <w:tcPr>
            <w:tcW w:w="5565" w:type="dxa"/>
            <w:tcBorders>
              <w:top w:val="single" w:sz="4" w:space="0" w:color="000000"/>
              <w:left w:val="single" w:sz="4" w:space="0" w:color="000000"/>
              <w:bottom w:val="single" w:sz="4" w:space="0" w:color="000000"/>
              <w:right w:val="single" w:sz="4" w:space="0" w:color="000000"/>
            </w:tcBorders>
            <w:hideMark/>
          </w:tcPr>
          <w:p w14:paraId="30F8D401" w14:textId="77777777" w:rsidR="00AA6531" w:rsidRPr="008A5390" w:rsidRDefault="00AA6531">
            <w:pPr>
              <w:rPr>
                <w:rFonts w:ascii="Times New Roman" w:hAnsi="Times New Roman" w:cs="Times New Roman"/>
                <w:b/>
                <w:sz w:val="22"/>
                <w:szCs w:val="22"/>
              </w:rPr>
            </w:pPr>
            <w:proofErr w:type="spellStart"/>
            <w:r w:rsidRPr="008A5390">
              <w:rPr>
                <w:sz w:val="22"/>
                <w:szCs w:val="22"/>
              </w:rPr>
              <w:t>Nepoznato</w:t>
            </w:r>
            <w:proofErr w:type="spellEnd"/>
            <w:r w:rsidRPr="008A5390">
              <w:rPr>
                <w:sz w:val="22"/>
                <w:szCs w:val="22"/>
              </w:rPr>
              <w:t xml:space="preserve">: </w:t>
            </w:r>
            <w:proofErr w:type="spellStart"/>
            <w:r w:rsidRPr="008A5390">
              <w:rPr>
                <w:sz w:val="22"/>
                <w:szCs w:val="22"/>
              </w:rPr>
              <w:t>Smanjena</w:t>
            </w:r>
            <w:proofErr w:type="spellEnd"/>
            <w:r w:rsidRPr="008A5390">
              <w:rPr>
                <w:sz w:val="22"/>
                <w:szCs w:val="22"/>
              </w:rPr>
              <w:t xml:space="preserve"> </w:t>
            </w:r>
            <w:proofErr w:type="spellStart"/>
            <w:r w:rsidRPr="008A5390">
              <w:rPr>
                <w:sz w:val="22"/>
                <w:szCs w:val="22"/>
              </w:rPr>
              <w:t>koncentracija</w:t>
            </w:r>
            <w:proofErr w:type="spellEnd"/>
            <w:r w:rsidRPr="008A5390">
              <w:rPr>
                <w:sz w:val="22"/>
                <w:szCs w:val="22"/>
              </w:rPr>
              <w:t xml:space="preserve"> </w:t>
            </w:r>
            <w:proofErr w:type="spellStart"/>
            <w:r w:rsidRPr="008A5390">
              <w:rPr>
                <w:sz w:val="22"/>
                <w:szCs w:val="22"/>
              </w:rPr>
              <w:t>kortizola</w:t>
            </w:r>
            <w:proofErr w:type="spellEnd"/>
            <w:r w:rsidRPr="008A5390">
              <w:rPr>
                <w:sz w:val="22"/>
                <w:szCs w:val="22"/>
              </w:rPr>
              <w:t xml:space="preserve"> u </w:t>
            </w:r>
            <w:proofErr w:type="spellStart"/>
            <w:r w:rsidRPr="008A5390">
              <w:rPr>
                <w:sz w:val="22"/>
                <w:szCs w:val="22"/>
              </w:rPr>
              <w:t>krvi</w:t>
            </w:r>
            <w:proofErr w:type="spellEnd"/>
            <w:r w:rsidRPr="008A5390">
              <w:rPr>
                <w:sz w:val="22"/>
                <w:szCs w:val="22"/>
                <w:vertAlign w:val="superscript"/>
              </w:rPr>
              <w:t>‡</w:t>
            </w:r>
          </w:p>
        </w:tc>
      </w:tr>
    </w:tbl>
    <w:p w14:paraId="31AD052F" w14:textId="1DC35179" w:rsidR="00AA6531" w:rsidRPr="002C2A95" w:rsidRDefault="00AA6531" w:rsidP="008A5390">
      <w:pPr>
        <w:jc w:val="both"/>
        <w:rPr>
          <w:bCs/>
          <w:color w:val="000000"/>
          <w:sz w:val="22"/>
          <w:szCs w:val="22"/>
          <w:lang w:val="it-IT"/>
        </w:rPr>
      </w:pPr>
      <w:r w:rsidRPr="008A5390">
        <w:rPr>
          <w:bCs/>
          <w:sz w:val="22"/>
          <w:szCs w:val="22"/>
          <w:vertAlign w:val="superscript"/>
          <w:lang w:val="it-IT"/>
        </w:rPr>
        <w:t>1</w:t>
      </w:r>
      <w:r w:rsidRPr="008A5390">
        <w:rPr>
          <w:bCs/>
          <w:sz w:val="22"/>
          <w:szCs w:val="22"/>
          <w:lang w:val="it-IT"/>
        </w:rPr>
        <w:t>Klinička ispitivanja kod djece sa GHD</w:t>
      </w:r>
    </w:p>
    <w:p w14:paraId="55ACA414" w14:textId="71C0EB60" w:rsidR="00AA6531" w:rsidRPr="008A5390" w:rsidRDefault="00AA6531" w:rsidP="008A5390">
      <w:pPr>
        <w:jc w:val="both"/>
        <w:rPr>
          <w:bCs/>
          <w:sz w:val="22"/>
          <w:szCs w:val="22"/>
          <w:lang w:val="it-IT"/>
        </w:rPr>
      </w:pPr>
      <w:r w:rsidRPr="008A5390">
        <w:rPr>
          <w:bCs/>
          <w:sz w:val="22"/>
          <w:szCs w:val="22"/>
          <w:vertAlign w:val="superscript"/>
          <w:lang w:val="it-IT"/>
        </w:rPr>
        <w:lastRenderedPageBreak/>
        <w:t>2</w:t>
      </w:r>
      <w:r w:rsidRPr="008A5390">
        <w:rPr>
          <w:bCs/>
          <w:sz w:val="22"/>
          <w:szCs w:val="22"/>
          <w:lang w:val="it-IT"/>
        </w:rPr>
        <w:t>Klinička ispitivanja kod djece sa Tarnerovim sindromom</w:t>
      </w:r>
    </w:p>
    <w:p w14:paraId="5B1F8275" w14:textId="420853A3" w:rsidR="00AA6531" w:rsidRPr="008A5390" w:rsidRDefault="00AA6531" w:rsidP="008A5390">
      <w:pPr>
        <w:jc w:val="both"/>
        <w:rPr>
          <w:bCs/>
          <w:sz w:val="22"/>
          <w:szCs w:val="22"/>
          <w:lang w:val="it-IT"/>
        </w:rPr>
      </w:pPr>
      <w:r w:rsidRPr="008A5390">
        <w:rPr>
          <w:bCs/>
          <w:sz w:val="22"/>
          <w:szCs w:val="22"/>
          <w:vertAlign w:val="superscript"/>
          <w:lang w:val="it-IT"/>
        </w:rPr>
        <w:t xml:space="preserve">3 </w:t>
      </w:r>
      <w:r w:rsidRPr="008A5390">
        <w:rPr>
          <w:bCs/>
          <w:sz w:val="22"/>
          <w:szCs w:val="22"/>
          <w:lang w:val="it-IT"/>
        </w:rPr>
        <w:t>Klinička ispitivanja kod djece sa hroničnom insuficijencijom bubrega</w:t>
      </w:r>
    </w:p>
    <w:p w14:paraId="62DCB19F" w14:textId="454F856F" w:rsidR="00AA6531" w:rsidRPr="008A5390" w:rsidRDefault="00AA6531" w:rsidP="008A5390">
      <w:pPr>
        <w:jc w:val="both"/>
        <w:rPr>
          <w:bCs/>
          <w:sz w:val="22"/>
          <w:szCs w:val="22"/>
          <w:lang w:val="it-IT"/>
        </w:rPr>
      </w:pPr>
      <w:r w:rsidRPr="008A5390">
        <w:rPr>
          <w:bCs/>
          <w:sz w:val="22"/>
          <w:szCs w:val="22"/>
          <w:vertAlign w:val="superscript"/>
          <w:lang w:val="it-IT"/>
        </w:rPr>
        <w:t>4</w:t>
      </w:r>
      <w:r w:rsidRPr="008A5390">
        <w:rPr>
          <w:bCs/>
          <w:sz w:val="22"/>
          <w:szCs w:val="22"/>
          <w:lang w:val="it-IT"/>
        </w:rPr>
        <w:t xml:space="preserve"> Klinička ispitivanja kod djece sa SGA</w:t>
      </w:r>
    </w:p>
    <w:p w14:paraId="479708E9" w14:textId="77777777" w:rsidR="00AA6531" w:rsidRPr="008A5390" w:rsidRDefault="00AA6531" w:rsidP="008A5390">
      <w:pPr>
        <w:jc w:val="both"/>
        <w:rPr>
          <w:bCs/>
          <w:sz w:val="22"/>
          <w:szCs w:val="22"/>
          <w:lang w:val="it-IT"/>
        </w:rPr>
      </w:pPr>
      <w:r w:rsidRPr="008A5390">
        <w:rPr>
          <w:bCs/>
          <w:sz w:val="22"/>
          <w:szCs w:val="22"/>
          <w:vertAlign w:val="superscript"/>
          <w:lang w:val="it-IT"/>
        </w:rPr>
        <w:t>5</w:t>
      </w:r>
      <w:r w:rsidRPr="008A5390">
        <w:rPr>
          <w:bCs/>
          <w:sz w:val="22"/>
          <w:szCs w:val="22"/>
          <w:lang w:val="it-IT"/>
        </w:rPr>
        <w:t xml:space="preserve"> Klinička ispitivanja u PVS</w:t>
      </w:r>
    </w:p>
    <w:p w14:paraId="083DBEEB" w14:textId="77777777" w:rsidR="00AA6531" w:rsidRPr="008A5390" w:rsidRDefault="00AA6531" w:rsidP="00AA6531">
      <w:pPr>
        <w:rPr>
          <w:bCs/>
          <w:sz w:val="22"/>
          <w:szCs w:val="22"/>
          <w:lang w:val="it-IT"/>
        </w:rPr>
      </w:pPr>
      <w:r w:rsidRPr="008A5390">
        <w:rPr>
          <w:bCs/>
          <w:sz w:val="22"/>
          <w:szCs w:val="22"/>
          <w:vertAlign w:val="superscript"/>
          <w:lang w:val="it-IT"/>
        </w:rPr>
        <w:t xml:space="preserve">6 </w:t>
      </w:r>
      <w:r w:rsidRPr="008A5390">
        <w:rPr>
          <w:bCs/>
          <w:sz w:val="22"/>
          <w:szCs w:val="22"/>
          <w:lang w:val="it-IT"/>
        </w:rPr>
        <w:t>Klinička ispitivanja kod odraslih sa GHD</w:t>
      </w:r>
    </w:p>
    <w:p w14:paraId="43D202E8" w14:textId="37DAA475" w:rsidR="00AA6531" w:rsidRPr="008A5390" w:rsidRDefault="00AA6531" w:rsidP="008A5390">
      <w:pPr>
        <w:jc w:val="both"/>
        <w:rPr>
          <w:bCs/>
          <w:sz w:val="22"/>
          <w:szCs w:val="22"/>
          <w:lang w:val="it-IT"/>
        </w:rPr>
      </w:pPr>
      <w:r w:rsidRPr="008A5390">
        <w:rPr>
          <w:bCs/>
          <w:sz w:val="22"/>
          <w:szCs w:val="22"/>
          <w:lang w:val="it-IT"/>
        </w:rPr>
        <w:t>*Uopšteno govoreći, ova neželjena dejstva su blaga do umjerena, javljaju se tokom prvog mjeseca liječenja i nestaju spontano ili nakon smanjenja doze. Učestalost ovih neželjenih dejstava je povezana sa prim</w:t>
      </w:r>
      <w:r w:rsidR="006E6226" w:rsidRPr="008A5390">
        <w:rPr>
          <w:bCs/>
          <w:sz w:val="22"/>
          <w:szCs w:val="22"/>
          <w:lang w:val="it-IT"/>
        </w:rPr>
        <w:t>i</w:t>
      </w:r>
      <w:r w:rsidRPr="008A5390">
        <w:rPr>
          <w:bCs/>
          <w:sz w:val="22"/>
          <w:szCs w:val="22"/>
          <w:lang w:val="it-IT"/>
        </w:rPr>
        <w:t>jenjenom dozom, uzrastom pacijenata, a možda i obrnuto povezana sa uzrastom pacijenata na početku nedostatka hormona rasta.</w:t>
      </w:r>
    </w:p>
    <w:p w14:paraId="6AC64756" w14:textId="0E2C033C" w:rsidR="00AA6531" w:rsidRPr="008A5390" w:rsidRDefault="00AA6531" w:rsidP="008A5390">
      <w:pPr>
        <w:jc w:val="both"/>
        <w:rPr>
          <w:bCs/>
          <w:sz w:val="22"/>
          <w:szCs w:val="22"/>
        </w:rPr>
      </w:pPr>
      <w:r w:rsidRPr="008A5390">
        <w:rPr>
          <w:bCs/>
          <w:sz w:val="22"/>
          <w:szCs w:val="22"/>
          <w:lang w:val="it-IT"/>
        </w:rPr>
        <w:t xml:space="preserve">**Neželjena reakcija na lijek (engl. </w:t>
      </w:r>
      <w:r w:rsidRPr="008A5390">
        <w:rPr>
          <w:bCs/>
          <w:i/>
          <w:iCs/>
          <w:sz w:val="22"/>
          <w:szCs w:val="22"/>
        </w:rPr>
        <w:t>Adverse drug reaction,</w:t>
      </w:r>
      <w:r w:rsidRPr="008A5390">
        <w:rPr>
          <w:bCs/>
          <w:sz w:val="22"/>
          <w:szCs w:val="22"/>
        </w:rPr>
        <w:t xml:space="preserve"> ADR) </w:t>
      </w:r>
      <w:proofErr w:type="spellStart"/>
      <w:r w:rsidRPr="008A5390">
        <w:rPr>
          <w:bCs/>
          <w:sz w:val="22"/>
          <w:szCs w:val="22"/>
        </w:rPr>
        <w:t>utvrđene</w:t>
      </w:r>
      <w:proofErr w:type="spellEnd"/>
      <w:r w:rsidRPr="008A5390">
        <w:rPr>
          <w:bCs/>
          <w:sz w:val="22"/>
          <w:szCs w:val="22"/>
        </w:rPr>
        <w:t xml:space="preserve"> </w:t>
      </w:r>
      <w:proofErr w:type="spellStart"/>
      <w:r w:rsidRPr="008A5390">
        <w:rPr>
          <w:bCs/>
          <w:sz w:val="22"/>
          <w:szCs w:val="22"/>
        </w:rPr>
        <w:t>nakon</w:t>
      </w:r>
      <w:proofErr w:type="spellEnd"/>
      <w:r w:rsidRPr="008A5390">
        <w:rPr>
          <w:bCs/>
          <w:sz w:val="22"/>
          <w:szCs w:val="22"/>
        </w:rPr>
        <w:t xml:space="preserve"> </w:t>
      </w:r>
      <w:proofErr w:type="spellStart"/>
      <w:r w:rsidRPr="008A5390">
        <w:rPr>
          <w:bCs/>
          <w:sz w:val="22"/>
          <w:szCs w:val="22"/>
        </w:rPr>
        <w:t>stavljanja</w:t>
      </w:r>
      <w:proofErr w:type="spellEnd"/>
      <w:r w:rsidRPr="008A5390">
        <w:rPr>
          <w:bCs/>
          <w:sz w:val="22"/>
          <w:szCs w:val="22"/>
        </w:rPr>
        <w:t xml:space="preserve"> </w:t>
      </w:r>
      <w:proofErr w:type="spellStart"/>
      <w:r w:rsidRPr="008A5390">
        <w:rPr>
          <w:bCs/>
          <w:sz w:val="22"/>
          <w:szCs w:val="22"/>
        </w:rPr>
        <w:t>lijeka</w:t>
      </w:r>
      <w:proofErr w:type="spellEnd"/>
      <w:r w:rsidRPr="008A5390">
        <w:rPr>
          <w:bCs/>
          <w:sz w:val="22"/>
          <w:szCs w:val="22"/>
        </w:rPr>
        <w:t xml:space="preserve"> u </w:t>
      </w:r>
      <w:proofErr w:type="spellStart"/>
      <w:r w:rsidRPr="008A5390">
        <w:rPr>
          <w:bCs/>
          <w:sz w:val="22"/>
          <w:szCs w:val="22"/>
        </w:rPr>
        <w:t>promet</w:t>
      </w:r>
      <w:proofErr w:type="spellEnd"/>
      <w:r w:rsidRPr="008A5390">
        <w:rPr>
          <w:bCs/>
          <w:sz w:val="22"/>
          <w:szCs w:val="22"/>
        </w:rPr>
        <w:t>.</w:t>
      </w:r>
    </w:p>
    <w:p w14:paraId="53AB8BE7" w14:textId="3CDA87C6" w:rsidR="00AA6531" w:rsidRPr="008A5390" w:rsidRDefault="00AA6531" w:rsidP="008A5390">
      <w:pPr>
        <w:jc w:val="both"/>
        <w:rPr>
          <w:bCs/>
          <w:sz w:val="22"/>
          <w:szCs w:val="22"/>
        </w:rPr>
      </w:pPr>
      <w:r w:rsidRPr="008A5390">
        <w:rPr>
          <w:bCs/>
          <w:sz w:val="22"/>
          <w:szCs w:val="22"/>
        </w:rPr>
        <w:t xml:space="preserve">$ </w:t>
      </w:r>
      <w:proofErr w:type="spellStart"/>
      <w:r w:rsidRPr="008A5390">
        <w:rPr>
          <w:bCs/>
          <w:sz w:val="22"/>
          <w:szCs w:val="22"/>
        </w:rPr>
        <w:t>Prijavljene</w:t>
      </w:r>
      <w:proofErr w:type="spellEnd"/>
      <w:r w:rsidRPr="008A5390">
        <w:rPr>
          <w:bCs/>
          <w:sz w:val="22"/>
          <w:szCs w:val="22"/>
        </w:rPr>
        <w:t xml:space="preserve"> </w:t>
      </w:r>
      <w:proofErr w:type="spellStart"/>
      <w:r w:rsidRPr="008A5390">
        <w:rPr>
          <w:bCs/>
          <w:sz w:val="22"/>
          <w:szCs w:val="22"/>
        </w:rPr>
        <w:t>su</w:t>
      </w:r>
      <w:proofErr w:type="spellEnd"/>
      <w:r w:rsidRPr="008A5390">
        <w:rPr>
          <w:bCs/>
          <w:sz w:val="22"/>
          <w:szCs w:val="22"/>
        </w:rPr>
        <w:t xml:space="preserve"> </w:t>
      </w:r>
      <w:proofErr w:type="spellStart"/>
      <w:r w:rsidRPr="008A5390">
        <w:rPr>
          <w:bCs/>
          <w:sz w:val="22"/>
          <w:szCs w:val="22"/>
        </w:rPr>
        <w:t>prolazne</w:t>
      </w:r>
      <w:proofErr w:type="spellEnd"/>
      <w:r w:rsidRPr="008A5390">
        <w:rPr>
          <w:bCs/>
          <w:sz w:val="22"/>
          <w:szCs w:val="22"/>
        </w:rPr>
        <w:t xml:space="preserve"> </w:t>
      </w:r>
      <w:proofErr w:type="spellStart"/>
      <w:r w:rsidRPr="008A5390">
        <w:rPr>
          <w:bCs/>
          <w:sz w:val="22"/>
          <w:szCs w:val="22"/>
        </w:rPr>
        <w:t>reakcije</w:t>
      </w:r>
      <w:proofErr w:type="spellEnd"/>
      <w:r w:rsidRPr="008A5390">
        <w:rPr>
          <w:bCs/>
          <w:sz w:val="22"/>
          <w:szCs w:val="22"/>
        </w:rPr>
        <w:t xml:space="preserve"> </w:t>
      </w:r>
      <w:proofErr w:type="spellStart"/>
      <w:r w:rsidRPr="008A5390">
        <w:rPr>
          <w:bCs/>
          <w:sz w:val="22"/>
          <w:szCs w:val="22"/>
        </w:rPr>
        <w:t>na</w:t>
      </w:r>
      <w:proofErr w:type="spellEnd"/>
      <w:r w:rsidRPr="008A5390">
        <w:rPr>
          <w:bCs/>
          <w:sz w:val="22"/>
          <w:szCs w:val="22"/>
        </w:rPr>
        <w:t xml:space="preserve"> </w:t>
      </w:r>
      <w:proofErr w:type="spellStart"/>
      <w:r w:rsidRPr="008A5390">
        <w:rPr>
          <w:bCs/>
          <w:sz w:val="22"/>
          <w:szCs w:val="22"/>
        </w:rPr>
        <w:t>m</w:t>
      </w:r>
      <w:r w:rsidR="006E6226" w:rsidRPr="008A5390">
        <w:rPr>
          <w:bCs/>
          <w:sz w:val="22"/>
          <w:szCs w:val="22"/>
        </w:rPr>
        <w:t>j</w:t>
      </w:r>
      <w:r w:rsidRPr="008A5390">
        <w:rPr>
          <w:bCs/>
          <w:sz w:val="22"/>
          <w:szCs w:val="22"/>
        </w:rPr>
        <w:t>estu</w:t>
      </w:r>
      <w:proofErr w:type="spellEnd"/>
      <w:r w:rsidRPr="008A5390">
        <w:rPr>
          <w:bCs/>
          <w:sz w:val="22"/>
          <w:szCs w:val="22"/>
        </w:rPr>
        <w:t xml:space="preserve"> </w:t>
      </w:r>
      <w:proofErr w:type="spellStart"/>
      <w:r w:rsidRPr="008A5390">
        <w:rPr>
          <w:bCs/>
          <w:sz w:val="22"/>
          <w:szCs w:val="22"/>
        </w:rPr>
        <w:t>injekcije</w:t>
      </w:r>
      <w:proofErr w:type="spellEnd"/>
      <w:r w:rsidRPr="008A5390">
        <w:rPr>
          <w:bCs/>
          <w:sz w:val="22"/>
          <w:szCs w:val="22"/>
        </w:rPr>
        <w:t xml:space="preserve"> </w:t>
      </w:r>
      <w:proofErr w:type="spellStart"/>
      <w:r w:rsidRPr="008A5390">
        <w:rPr>
          <w:bCs/>
          <w:sz w:val="22"/>
          <w:szCs w:val="22"/>
        </w:rPr>
        <w:t>kod</w:t>
      </w:r>
      <w:proofErr w:type="spellEnd"/>
      <w:r w:rsidRPr="008A5390">
        <w:rPr>
          <w:bCs/>
          <w:sz w:val="22"/>
          <w:szCs w:val="22"/>
        </w:rPr>
        <w:t xml:space="preserve"> </w:t>
      </w:r>
      <w:proofErr w:type="spellStart"/>
      <w:r w:rsidRPr="008A5390">
        <w:rPr>
          <w:bCs/>
          <w:sz w:val="22"/>
          <w:szCs w:val="22"/>
        </w:rPr>
        <w:t>djece</w:t>
      </w:r>
      <w:proofErr w:type="spellEnd"/>
      <w:r w:rsidRPr="008A5390">
        <w:rPr>
          <w:bCs/>
          <w:sz w:val="22"/>
          <w:szCs w:val="22"/>
        </w:rPr>
        <w:t>.</w:t>
      </w:r>
    </w:p>
    <w:p w14:paraId="7722F8DA" w14:textId="77777777" w:rsidR="00AA6531" w:rsidRPr="008A5390" w:rsidRDefault="00AA6531" w:rsidP="008A5390">
      <w:pPr>
        <w:jc w:val="both"/>
        <w:rPr>
          <w:bCs/>
          <w:sz w:val="22"/>
          <w:szCs w:val="22"/>
        </w:rPr>
      </w:pPr>
      <w:r w:rsidRPr="008A5390">
        <w:rPr>
          <w:bCs/>
          <w:sz w:val="22"/>
          <w:szCs w:val="22"/>
        </w:rPr>
        <w:t xml:space="preserve">‡ </w:t>
      </w:r>
      <w:proofErr w:type="spellStart"/>
      <w:r w:rsidRPr="008A5390">
        <w:rPr>
          <w:bCs/>
          <w:sz w:val="22"/>
          <w:szCs w:val="22"/>
        </w:rPr>
        <w:t>Klinički</w:t>
      </w:r>
      <w:proofErr w:type="spellEnd"/>
      <w:r w:rsidRPr="008A5390">
        <w:rPr>
          <w:bCs/>
          <w:sz w:val="22"/>
          <w:szCs w:val="22"/>
        </w:rPr>
        <w:t xml:space="preserve"> </w:t>
      </w:r>
      <w:proofErr w:type="spellStart"/>
      <w:r w:rsidRPr="008A5390">
        <w:rPr>
          <w:bCs/>
          <w:sz w:val="22"/>
          <w:szCs w:val="22"/>
        </w:rPr>
        <w:t>značaj</w:t>
      </w:r>
      <w:proofErr w:type="spellEnd"/>
      <w:r w:rsidRPr="008A5390">
        <w:rPr>
          <w:bCs/>
          <w:sz w:val="22"/>
          <w:szCs w:val="22"/>
        </w:rPr>
        <w:t xml:space="preserve"> </w:t>
      </w:r>
      <w:proofErr w:type="spellStart"/>
      <w:r w:rsidRPr="008A5390">
        <w:rPr>
          <w:bCs/>
          <w:sz w:val="22"/>
          <w:szCs w:val="22"/>
        </w:rPr>
        <w:t>nije</w:t>
      </w:r>
      <w:proofErr w:type="spellEnd"/>
      <w:r w:rsidRPr="008A5390">
        <w:rPr>
          <w:bCs/>
          <w:sz w:val="22"/>
          <w:szCs w:val="22"/>
        </w:rPr>
        <w:t xml:space="preserve"> </w:t>
      </w:r>
      <w:proofErr w:type="spellStart"/>
      <w:r w:rsidRPr="008A5390">
        <w:rPr>
          <w:bCs/>
          <w:sz w:val="22"/>
          <w:szCs w:val="22"/>
        </w:rPr>
        <w:t>poznat</w:t>
      </w:r>
      <w:proofErr w:type="spellEnd"/>
      <w:r w:rsidRPr="008A5390">
        <w:rPr>
          <w:bCs/>
          <w:sz w:val="22"/>
          <w:szCs w:val="22"/>
        </w:rPr>
        <w:t>.</w:t>
      </w:r>
    </w:p>
    <w:p w14:paraId="13B1BE88" w14:textId="3620EF71" w:rsidR="00AA6531" w:rsidRPr="008A5390" w:rsidRDefault="00AA6531" w:rsidP="008A5390">
      <w:pPr>
        <w:jc w:val="both"/>
        <w:rPr>
          <w:bCs/>
          <w:sz w:val="22"/>
          <w:szCs w:val="22"/>
        </w:rPr>
      </w:pPr>
      <w:r w:rsidRPr="008A5390">
        <w:rPr>
          <w:bCs/>
          <w:sz w:val="22"/>
          <w:szCs w:val="22"/>
        </w:rPr>
        <w:t xml:space="preserve">† </w:t>
      </w:r>
      <w:proofErr w:type="spellStart"/>
      <w:r w:rsidRPr="008A5390">
        <w:rPr>
          <w:bCs/>
          <w:sz w:val="22"/>
          <w:szCs w:val="22"/>
        </w:rPr>
        <w:t>Prijavljen</w:t>
      </w:r>
      <w:proofErr w:type="spellEnd"/>
      <w:r w:rsidRPr="008A5390">
        <w:rPr>
          <w:bCs/>
          <w:sz w:val="22"/>
          <w:szCs w:val="22"/>
        </w:rPr>
        <w:t xml:space="preserve"> </w:t>
      </w:r>
      <w:proofErr w:type="spellStart"/>
      <w:r w:rsidRPr="008A5390">
        <w:rPr>
          <w:bCs/>
          <w:sz w:val="22"/>
          <w:szCs w:val="22"/>
        </w:rPr>
        <w:t>kod</w:t>
      </w:r>
      <w:proofErr w:type="spellEnd"/>
      <w:r w:rsidRPr="008A5390">
        <w:rPr>
          <w:bCs/>
          <w:sz w:val="22"/>
          <w:szCs w:val="22"/>
        </w:rPr>
        <w:t xml:space="preserve"> </w:t>
      </w:r>
      <w:proofErr w:type="spellStart"/>
      <w:r w:rsidRPr="008A5390">
        <w:rPr>
          <w:bCs/>
          <w:sz w:val="22"/>
          <w:szCs w:val="22"/>
        </w:rPr>
        <w:t>d</w:t>
      </w:r>
      <w:r w:rsidR="006E6226" w:rsidRPr="008A5390">
        <w:rPr>
          <w:bCs/>
          <w:sz w:val="22"/>
          <w:szCs w:val="22"/>
        </w:rPr>
        <w:t>j</w:t>
      </w:r>
      <w:r w:rsidRPr="008A5390">
        <w:rPr>
          <w:bCs/>
          <w:sz w:val="22"/>
          <w:szCs w:val="22"/>
        </w:rPr>
        <w:t>ece</w:t>
      </w:r>
      <w:proofErr w:type="spellEnd"/>
      <w:r w:rsidRPr="008A5390">
        <w:rPr>
          <w:bCs/>
          <w:sz w:val="22"/>
          <w:szCs w:val="22"/>
        </w:rPr>
        <w:t xml:space="preserve"> </w:t>
      </w:r>
      <w:proofErr w:type="spellStart"/>
      <w:r w:rsidRPr="008A5390">
        <w:rPr>
          <w:bCs/>
          <w:sz w:val="22"/>
          <w:szCs w:val="22"/>
        </w:rPr>
        <w:t>sa</w:t>
      </w:r>
      <w:proofErr w:type="spellEnd"/>
      <w:r w:rsidRPr="008A5390">
        <w:rPr>
          <w:bCs/>
          <w:sz w:val="22"/>
          <w:szCs w:val="22"/>
        </w:rPr>
        <w:t xml:space="preserve"> </w:t>
      </w:r>
      <w:proofErr w:type="spellStart"/>
      <w:r w:rsidRPr="008A5390">
        <w:rPr>
          <w:bCs/>
          <w:sz w:val="22"/>
          <w:szCs w:val="22"/>
        </w:rPr>
        <w:t>nedostatkom</w:t>
      </w:r>
      <w:proofErr w:type="spellEnd"/>
      <w:r w:rsidRPr="008A5390">
        <w:rPr>
          <w:bCs/>
          <w:sz w:val="22"/>
          <w:szCs w:val="22"/>
        </w:rPr>
        <w:t xml:space="preserve"> </w:t>
      </w:r>
      <w:proofErr w:type="spellStart"/>
      <w:r w:rsidRPr="008A5390">
        <w:rPr>
          <w:bCs/>
          <w:sz w:val="22"/>
          <w:szCs w:val="22"/>
        </w:rPr>
        <w:t>hormona</w:t>
      </w:r>
      <w:proofErr w:type="spellEnd"/>
      <w:r w:rsidRPr="008A5390">
        <w:rPr>
          <w:bCs/>
          <w:sz w:val="22"/>
          <w:szCs w:val="22"/>
        </w:rPr>
        <w:t xml:space="preserve"> </w:t>
      </w:r>
      <w:proofErr w:type="spellStart"/>
      <w:r w:rsidRPr="008A5390">
        <w:rPr>
          <w:bCs/>
          <w:sz w:val="22"/>
          <w:szCs w:val="22"/>
        </w:rPr>
        <w:t>rasta</w:t>
      </w:r>
      <w:proofErr w:type="spellEnd"/>
      <w:r w:rsidRPr="008A5390">
        <w:rPr>
          <w:bCs/>
          <w:sz w:val="22"/>
          <w:szCs w:val="22"/>
        </w:rPr>
        <w:t xml:space="preserve"> </w:t>
      </w:r>
      <w:proofErr w:type="spellStart"/>
      <w:r w:rsidRPr="008A5390">
        <w:rPr>
          <w:bCs/>
          <w:sz w:val="22"/>
          <w:szCs w:val="22"/>
        </w:rPr>
        <w:t>liječenih</w:t>
      </w:r>
      <w:proofErr w:type="spellEnd"/>
      <w:r w:rsidRPr="008A5390">
        <w:rPr>
          <w:bCs/>
          <w:sz w:val="22"/>
          <w:szCs w:val="22"/>
        </w:rPr>
        <w:t xml:space="preserve"> </w:t>
      </w:r>
      <w:proofErr w:type="spellStart"/>
      <w:r w:rsidRPr="008A5390">
        <w:rPr>
          <w:bCs/>
          <w:sz w:val="22"/>
          <w:szCs w:val="22"/>
        </w:rPr>
        <w:t>somatropinom</w:t>
      </w:r>
      <w:proofErr w:type="spellEnd"/>
      <w:r w:rsidRPr="008A5390">
        <w:rPr>
          <w:bCs/>
          <w:sz w:val="22"/>
          <w:szCs w:val="22"/>
        </w:rPr>
        <w:t xml:space="preserve">, </w:t>
      </w:r>
      <w:proofErr w:type="spellStart"/>
      <w:r w:rsidRPr="008A5390">
        <w:rPr>
          <w:bCs/>
          <w:sz w:val="22"/>
          <w:szCs w:val="22"/>
        </w:rPr>
        <w:t>ali</w:t>
      </w:r>
      <w:proofErr w:type="spellEnd"/>
      <w:r w:rsidRPr="008A5390">
        <w:rPr>
          <w:bCs/>
          <w:sz w:val="22"/>
          <w:szCs w:val="22"/>
        </w:rPr>
        <w:t xml:space="preserve"> </w:t>
      </w:r>
      <w:proofErr w:type="spellStart"/>
      <w:r w:rsidRPr="008A5390">
        <w:rPr>
          <w:bCs/>
          <w:sz w:val="22"/>
          <w:szCs w:val="22"/>
        </w:rPr>
        <w:t>izgleda</w:t>
      </w:r>
      <w:proofErr w:type="spellEnd"/>
      <w:r w:rsidRPr="008A5390">
        <w:rPr>
          <w:bCs/>
          <w:sz w:val="22"/>
          <w:szCs w:val="22"/>
        </w:rPr>
        <w:t xml:space="preserve"> da je </w:t>
      </w:r>
      <w:proofErr w:type="spellStart"/>
      <w:r w:rsidRPr="008A5390">
        <w:rPr>
          <w:bCs/>
          <w:sz w:val="22"/>
          <w:szCs w:val="22"/>
        </w:rPr>
        <w:t>incidenca</w:t>
      </w:r>
      <w:proofErr w:type="spellEnd"/>
      <w:r w:rsidRPr="008A5390">
        <w:rPr>
          <w:bCs/>
          <w:sz w:val="22"/>
          <w:szCs w:val="22"/>
        </w:rPr>
        <w:t xml:space="preserve"> </w:t>
      </w:r>
      <w:proofErr w:type="spellStart"/>
      <w:r w:rsidRPr="008A5390">
        <w:rPr>
          <w:bCs/>
          <w:sz w:val="22"/>
          <w:szCs w:val="22"/>
        </w:rPr>
        <w:t>slična</w:t>
      </w:r>
      <w:proofErr w:type="spellEnd"/>
      <w:r w:rsidRPr="008A5390">
        <w:rPr>
          <w:bCs/>
          <w:sz w:val="22"/>
          <w:szCs w:val="22"/>
        </w:rPr>
        <w:t xml:space="preserve"> </w:t>
      </w:r>
      <w:proofErr w:type="spellStart"/>
      <w:r w:rsidRPr="008A5390">
        <w:rPr>
          <w:bCs/>
          <w:sz w:val="22"/>
          <w:szCs w:val="22"/>
        </w:rPr>
        <w:t>onoj</w:t>
      </w:r>
      <w:proofErr w:type="spellEnd"/>
      <w:r w:rsidRPr="008A5390">
        <w:rPr>
          <w:bCs/>
          <w:sz w:val="22"/>
          <w:szCs w:val="22"/>
        </w:rPr>
        <w:t xml:space="preserve"> </w:t>
      </w:r>
      <w:proofErr w:type="spellStart"/>
      <w:r w:rsidRPr="008A5390">
        <w:rPr>
          <w:bCs/>
          <w:sz w:val="22"/>
          <w:szCs w:val="22"/>
        </w:rPr>
        <w:t>kod</w:t>
      </w:r>
      <w:proofErr w:type="spellEnd"/>
      <w:r w:rsidRPr="008A5390">
        <w:rPr>
          <w:bCs/>
          <w:sz w:val="22"/>
          <w:szCs w:val="22"/>
        </w:rPr>
        <w:t xml:space="preserve"> </w:t>
      </w:r>
      <w:proofErr w:type="spellStart"/>
      <w:r w:rsidRPr="008A5390">
        <w:rPr>
          <w:bCs/>
          <w:sz w:val="22"/>
          <w:szCs w:val="22"/>
        </w:rPr>
        <w:t>djece</w:t>
      </w:r>
      <w:proofErr w:type="spellEnd"/>
      <w:r w:rsidRPr="008A5390">
        <w:rPr>
          <w:bCs/>
          <w:sz w:val="22"/>
          <w:szCs w:val="22"/>
        </w:rPr>
        <w:t xml:space="preserve"> bez </w:t>
      </w:r>
      <w:proofErr w:type="spellStart"/>
      <w:r w:rsidRPr="008A5390">
        <w:rPr>
          <w:bCs/>
          <w:sz w:val="22"/>
          <w:szCs w:val="22"/>
        </w:rPr>
        <w:t>nedostatka</w:t>
      </w:r>
      <w:proofErr w:type="spellEnd"/>
      <w:r w:rsidRPr="008A5390">
        <w:rPr>
          <w:bCs/>
          <w:sz w:val="22"/>
          <w:szCs w:val="22"/>
        </w:rPr>
        <w:t xml:space="preserve"> </w:t>
      </w:r>
      <w:proofErr w:type="spellStart"/>
      <w:r w:rsidRPr="008A5390">
        <w:rPr>
          <w:bCs/>
          <w:sz w:val="22"/>
          <w:szCs w:val="22"/>
        </w:rPr>
        <w:t>hormona</w:t>
      </w:r>
      <w:proofErr w:type="spellEnd"/>
      <w:r w:rsidRPr="008A5390">
        <w:rPr>
          <w:bCs/>
          <w:sz w:val="22"/>
          <w:szCs w:val="22"/>
        </w:rPr>
        <w:t xml:space="preserve"> </w:t>
      </w:r>
      <w:proofErr w:type="spellStart"/>
      <w:r w:rsidRPr="008A5390">
        <w:rPr>
          <w:bCs/>
          <w:sz w:val="22"/>
          <w:szCs w:val="22"/>
        </w:rPr>
        <w:t>rasta</w:t>
      </w:r>
      <w:proofErr w:type="spellEnd"/>
      <w:r w:rsidRPr="008A5390">
        <w:rPr>
          <w:bCs/>
          <w:sz w:val="22"/>
          <w:szCs w:val="22"/>
        </w:rPr>
        <w:t>.</w:t>
      </w:r>
    </w:p>
    <w:p w14:paraId="6FDEC8EF" w14:textId="77777777" w:rsidR="00505A31" w:rsidRPr="006E31B1" w:rsidRDefault="00505A31" w:rsidP="006E31B1">
      <w:pPr>
        <w:pStyle w:val="BodyText"/>
        <w:ind w:right="372"/>
      </w:pPr>
    </w:p>
    <w:p w14:paraId="50CF791A" w14:textId="77777777" w:rsidR="003365B5" w:rsidRPr="006E31B1" w:rsidRDefault="003365B5" w:rsidP="009E0606">
      <w:pPr>
        <w:pStyle w:val="BodyText"/>
        <w:ind w:left="0" w:right="372"/>
        <w:rPr>
          <w:u w:val="single"/>
        </w:rPr>
      </w:pPr>
      <w:proofErr w:type="spellStart"/>
      <w:r w:rsidRPr="006E31B1">
        <w:rPr>
          <w:u w:val="single"/>
        </w:rPr>
        <w:t>Opis</w:t>
      </w:r>
      <w:proofErr w:type="spellEnd"/>
      <w:r w:rsidRPr="006E31B1">
        <w:rPr>
          <w:u w:val="single"/>
        </w:rPr>
        <w:t xml:space="preserve"> </w:t>
      </w:r>
      <w:proofErr w:type="spellStart"/>
      <w:r w:rsidRPr="006E31B1">
        <w:rPr>
          <w:u w:val="single"/>
        </w:rPr>
        <w:t>odabranih</w:t>
      </w:r>
      <w:proofErr w:type="spellEnd"/>
      <w:r w:rsidRPr="006E31B1">
        <w:rPr>
          <w:u w:val="single"/>
        </w:rPr>
        <w:t xml:space="preserve"> </w:t>
      </w:r>
      <w:proofErr w:type="spellStart"/>
      <w:r w:rsidRPr="006E31B1">
        <w:rPr>
          <w:u w:val="single"/>
        </w:rPr>
        <w:t>neželjenih</w:t>
      </w:r>
      <w:proofErr w:type="spellEnd"/>
      <w:r w:rsidRPr="006E31B1">
        <w:rPr>
          <w:u w:val="single"/>
        </w:rPr>
        <w:t xml:space="preserve"> </w:t>
      </w:r>
      <w:proofErr w:type="spellStart"/>
      <w:r w:rsidRPr="006E31B1">
        <w:rPr>
          <w:u w:val="single"/>
        </w:rPr>
        <w:t>reakcija</w:t>
      </w:r>
      <w:proofErr w:type="spellEnd"/>
    </w:p>
    <w:p w14:paraId="4265B316" w14:textId="77777777" w:rsidR="00FF2B3B" w:rsidRPr="006E31B1" w:rsidRDefault="00FF2B3B" w:rsidP="009E0606">
      <w:pPr>
        <w:pStyle w:val="BodyText"/>
        <w:spacing w:before="4"/>
        <w:ind w:left="0"/>
        <w:jc w:val="both"/>
      </w:pPr>
    </w:p>
    <w:p w14:paraId="52942843" w14:textId="77777777" w:rsidR="003365B5" w:rsidRPr="008A5390" w:rsidRDefault="003365B5" w:rsidP="009E0606">
      <w:pPr>
        <w:pStyle w:val="BodyText"/>
        <w:spacing w:before="4"/>
        <w:ind w:left="0"/>
        <w:jc w:val="both"/>
        <w:rPr>
          <w:i/>
        </w:rPr>
      </w:pPr>
      <w:proofErr w:type="spellStart"/>
      <w:r w:rsidRPr="008A5390">
        <w:rPr>
          <w:i/>
        </w:rPr>
        <w:t>Sniženje</w:t>
      </w:r>
      <w:proofErr w:type="spellEnd"/>
      <w:r w:rsidRPr="008A5390">
        <w:rPr>
          <w:i/>
        </w:rPr>
        <w:t xml:space="preserve"> </w:t>
      </w:r>
      <w:proofErr w:type="spellStart"/>
      <w:r w:rsidRPr="008A5390">
        <w:rPr>
          <w:i/>
        </w:rPr>
        <w:t>nivoa</w:t>
      </w:r>
      <w:proofErr w:type="spellEnd"/>
      <w:r w:rsidRPr="008A5390">
        <w:rPr>
          <w:i/>
        </w:rPr>
        <w:t xml:space="preserve"> </w:t>
      </w:r>
      <w:proofErr w:type="spellStart"/>
      <w:r w:rsidRPr="008A5390">
        <w:rPr>
          <w:i/>
        </w:rPr>
        <w:t>kortizola</w:t>
      </w:r>
      <w:proofErr w:type="spellEnd"/>
      <w:r w:rsidRPr="008A5390">
        <w:rPr>
          <w:i/>
        </w:rPr>
        <w:t xml:space="preserve"> u </w:t>
      </w:r>
      <w:proofErr w:type="spellStart"/>
      <w:r w:rsidRPr="008A5390">
        <w:rPr>
          <w:i/>
        </w:rPr>
        <w:t>krvi</w:t>
      </w:r>
      <w:proofErr w:type="spellEnd"/>
    </w:p>
    <w:p w14:paraId="18D960F1" w14:textId="77777777" w:rsidR="00FF2B3B" w:rsidRPr="006E31B1" w:rsidRDefault="00FF2B3B" w:rsidP="009E0606">
      <w:pPr>
        <w:pStyle w:val="BodyText"/>
        <w:spacing w:before="1"/>
        <w:ind w:left="0" w:right="572"/>
        <w:jc w:val="both"/>
      </w:pPr>
    </w:p>
    <w:p w14:paraId="6668C5C8" w14:textId="00E8399B" w:rsidR="003365B5" w:rsidRPr="006E31B1" w:rsidRDefault="003365B5" w:rsidP="00E737AC">
      <w:pPr>
        <w:pStyle w:val="BodyText"/>
        <w:spacing w:before="1"/>
        <w:ind w:left="0" w:right="-17"/>
        <w:jc w:val="both"/>
      </w:pPr>
      <w:proofErr w:type="spellStart"/>
      <w:r w:rsidRPr="006E31B1">
        <w:t>Zab</w:t>
      </w:r>
      <w:r w:rsidR="00FF2B3B" w:rsidRPr="006E31B1">
        <w:t>ilj</w:t>
      </w:r>
      <w:r w:rsidRPr="006E31B1">
        <w:t>eženo</w:t>
      </w:r>
      <w:proofErr w:type="spellEnd"/>
      <w:r w:rsidRPr="006E31B1">
        <w:t xml:space="preserve"> je da </w:t>
      </w:r>
      <w:proofErr w:type="spellStart"/>
      <w:r w:rsidRPr="006E31B1">
        <w:t>somatropin</w:t>
      </w:r>
      <w:proofErr w:type="spellEnd"/>
      <w:r w:rsidRPr="006E31B1">
        <w:t xml:space="preserve"> </w:t>
      </w:r>
      <w:proofErr w:type="spellStart"/>
      <w:r w:rsidRPr="006E31B1">
        <w:t>smanjuje</w:t>
      </w:r>
      <w:proofErr w:type="spellEnd"/>
      <w:r w:rsidRPr="006E31B1">
        <w:t xml:space="preserve"> </w:t>
      </w:r>
      <w:proofErr w:type="spellStart"/>
      <w:r w:rsidRPr="006E31B1">
        <w:t>vr</w:t>
      </w:r>
      <w:r w:rsidR="00FF2B3B" w:rsidRPr="006E31B1">
        <w:t>ij</w:t>
      </w:r>
      <w:r w:rsidRPr="006E31B1">
        <w:t>ednosti</w:t>
      </w:r>
      <w:proofErr w:type="spellEnd"/>
      <w:r w:rsidRPr="006E31B1">
        <w:t xml:space="preserve"> </w:t>
      </w:r>
      <w:proofErr w:type="spellStart"/>
      <w:r w:rsidRPr="006E31B1">
        <w:t>kortizola</w:t>
      </w:r>
      <w:proofErr w:type="spellEnd"/>
      <w:r w:rsidRPr="006E31B1">
        <w:t xml:space="preserve"> u </w:t>
      </w:r>
      <w:proofErr w:type="spellStart"/>
      <w:r w:rsidRPr="006E31B1">
        <w:t>serumu</w:t>
      </w:r>
      <w:proofErr w:type="spellEnd"/>
      <w:r w:rsidRPr="006E31B1">
        <w:t xml:space="preserve">, </w:t>
      </w:r>
      <w:proofErr w:type="spellStart"/>
      <w:r w:rsidRPr="006E31B1">
        <w:t>v</w:t>
      </w:r>
      <w:r w:rsidR="00FF2B3B" w:rsidRPr="006E31B1">
        <w:t>j</w:t>
      </w:r>
      <w:r w:rsidRPr="006E31B1">
        <w:t>erovatno</w:t>
      </w:r>
      <w:proofErr w:type="spellEnd"/>
      <w:r w:rsidRPr="006E31B1">
        <w:t xml:space="preserve"> </w:t>
      </w:r>
      <w:proofErr w:type="spellStart"/>
      <w:r w:rsidRPr="006E31B1">
        <w:t>zbog</w:t>
      </w:r>
      <w:proofErr w:type="spellEnd"/>
      <w:r w:rsidRPr="006E31B1">
        <w:t xml:space="preserve"> </w:t>
      </w:r>
      <w:proofErr w:type="spellStart"/>
      <w:r w:rsidRPr="006E31B1">
        <w:t>uticaja</w:t>
      </w:r>
      <w:proofErr w:type="spellEnd"/>
      <w:r w:rsidRPr="006E31B1">
        <w:t xml:space="preserve"> </w:t>
      </w:r>
      <w:proofErr w:type="spellStart"/>
      <w:r w:rsidRPr="006E31B1">
        <w:t>na</w:t>
      </w:r>
      <w:proofErr w:type="spellEnd"/>
      <w:r w:rsidRPr="006E31B1">
        <w:t xml:space="preserve"> </w:t>
      </w:r>
      <w:proofErr w:type="spellStart"/>
      <w:r w:rsidRPr="006E31B1">
        <w:t>transportne</w:t>
      </w:r>
      <w:proofErr w:type="spellEnd"/>
      <w:r w:rsidRPr="006E31B1">
        <w:t xml:space="preserve"> </w:t>
      </w:r>
      <w:proofErr w:type="spellStart"/>
      <w:r w:rsidRPr="006E31B1">
        <w:t>proteine</w:t>
      </w:r>
      <w:proofErr w:type="spellEnd"/>
      <w:r w:rsidRPr="006E31B1">
        <w:t xml:space="preserve"> </w:t>
      </w:r>
      <w:proofErr w:type="spellStart"/>
      <w:r w:rsidRPr="006E31B1">
        <w:t>ili</w:t>
      </w:r>
      <w:proofErr w:type="spellEnd"/>
      <w:r w:rsidRPr="006E31B1">
        <w:t xml:space="preserve"> </w:t>
      </w:r>
      <w:proofErr w:type="spellStart"/>
      <w:r w:rsidRPr="006E31B1">
        <w:t>usl</w:t>
      </w:r>
      <w:r w:rsidR="00FF2B3B" w:rsidRPr="006E31B1">
        <w:t>j</w:t>
      </w:r>
      <w:r w:rsidRPr="006E31B1">
        <w:t>ed</w:t>
      </w:r>
      <w:proofErr w:type="spellEnd"/>
      <w:r w:rsidRPr="006E31B1">
        <w:t xml:space="preserve"> </w:t>
      </w:r>
      <w:proofErr w:type="spellStart"/>
      <w:r w:rsidRPr="006E31B1">
        <w:t>povećanja</w:t>
      </w:r>
      <w:proofErr w:type="spellEnd"/>
      <w:r w:rsidRPr="006E31B1">
        <w:t xml:space="preserve"> </w:t>
      </w:r>
      <w:proofErr w:type="spellStart"/>
      <w:r w:rsidRPr="006E31B1">
        <w:t>hepatičkog</w:t>
      </w:r>
      <w:proofErr w:type="spellEnd"/>
      <w:r w:rsidRPr="006E31B1">
        <w:t xml:space="preserve"> </w:t>
      </w:r>
      <w:proofErr w:type="spellStart"/>
      <w:r w:rsidRPr="006E31B1">
        <w:t>klirensa</w:t>
      </w:r>
      <w:proofErr w:type="spellEnd"/>
      <w:r w:rsidRPr="006E31B1">
        <w:t xml:space="preserve">. </w:t>
      </w:r>
      <w:proofErr w:type="spellStart"/>
      <w:r w:rsidRPr="006E31B1">
        <w:t>Klinički</w:t>
      </w:r>
      <w:proofErr w:type="spellEnd"/>
      <w:r w:rsidRPr="006E31B1">
        <w:t xml:space="preserve"> </w:t>
      </w:r>
      <w:proofErr w:type="spellStart"/>
      <w:r w:rsidRPr="006E31B1">
        <w:t>značaj</w:t>
      </w:r>
      <w:proofErr w:type="spellEnd"/>
      <w:r w:rsidRPr="006E31B1">
        <w:t xml:space="preserve"> </w:t>
      </w:r>
      <w:proofErr w:type="spellStart"/>
      <w:r w:rsidRPr="006E31B1">
        <w:t>ovih</w:t>
      </w:r>
      <w:proofErr w:type="spellEnd"/>
      <w:r w:rsidRPr="006E31B1">
        <w:t xml:space="preserve"> </w:t>
      </w:r>
      <w:proofErr w:type="spellStart"/>
      <w:r w:rsidRPr="006E31B1">
        <w:t>nalaza</w:t>
      </w:r>
      <w:proofErr w:type="spellEnd"/>
      <w:r w:rsidRPr="006E31B1">
        <w:t xml:space="preserve"> </w:t>
      </w:r>
      <w:proofErr w:type="spellStart"/>
      <w:r w:rsidRPr="006E31B1">
        <w:t>može</w:t>
      </w:r>
      <w:proofErr w:type="spellEnd"/>
      <w:r w:rsidRPr="006E31B1">
        <w:t xml:space="preserve"> </w:t>
      </w:r>
      <w:proofErr w:type="spellStart"/>
      <w:r w:rsidRPr="006E31B1">
        <w:t>biti</w:t>
      </w:r>
      <w:proofErr w:type="spellEnd"/>
      <w:r w:rsidRPr="006E31B1">
        <w:t xml:space="preserve"> </w:t>
      </w:r>
      <w:proofErr w:type="spellStart"/>
      <w:r w:rsidRPr="006E31B1">
        <w:t>ograničen</w:t>
      </w:r>
      <w:proofErr w:type="spellEnd"/>
      <w:r w:rsidRPr="006E31B1">
        <w:t xml:space="preserve">. </w:t>
      </w:r>
      <w:proofErr w:type="spellStart"/>
      <w:r w:rsidRPr="006E31B1">
        <w:t>Ipak</w:t>
      </w:r>
      <w:proofErr w:type="spellEnd"/>
      <w:r w:rsidRPr="006E31B1">
        <w:t xml:space="preserve">, </w:t>
      </w:r>
      <w:proofErr w:type="spellStart"/>
      <w:r w:rsidRPr="006E31B1">
        <w:t>pr</w:t>
      </w:r>
      <w:r w:rsidR="00FF2B3B" w:rsidRPr="006E31B1">
        <w:t>ij</w:t>
      </w:r>
      <w:r w:rsidRPr="006E31B1">
        <w:t>e</w:t>
      </w:r>
      <w:proofErr w:type="spellEnd"/>
      <w:r w:rsidRPr="006E31B1">
        <w:t xml:space="preserve"> </w:t>
      </w:r>
      <w:proofErr w:type="spellStart"/>
      <w:r w:rsidRPr="006E31B1">
        <w:t>uvođenja</w:t>
      </w:r>
      <w:proofErr w:type="spellEnd"/>
      <w:r w:rsidRPr="006E31B1">
        <w:t xml:space="preserve"> </w:t>
      </w:r>
      <w:proofErr w:type="spellStart"/>
      <w:r w:rsidRPr="006E31B1">
        <w:t>terapije</w:t>
      </w:r>
      <w:proofErr w:type="spellEnd"/>
      <w:r w:rsidRPr="006E31B1">
        <w:t xml:space="preserve"> </w:t>
      </w:r>
      <w:proofErr w:type="spellStart"/>
      <w:r w:rsidRPr="006E31B1">
        <w:t>potrebna</w:t>
      </w:r>
      <w:proofErr w:type="spellEnd"/>
      <w:r w:rsidRPr="006E31B1">
        <w:t xml:space="preserve"> je </w:t>
      </w:r>
      <w:proofErr w:type="spellStart"/>
      <w:r w:rsidRPr="006E31B1">
        <w:t>optimizacija</w:t>
      </w:r>
      <w:proofErr w:type="spellEnd"/>
      <w:r w:rsidRPr="006E31B1">
        <w:t xml:space="preserve"> </w:t>
      </w:r>
      <w:proofErr w:type="spellStart"/>
      <w:r w:rsidRPr="006E31B1">
        <w:t>supstitucione</w:t>
      </w:r>
      <w:proofErr w:type="spellEnd"/>
      <w:r w:rsidRPr="006E31B1">
        <w:t xml:space="preserve"> </w:t>
      </w:r>
      <w:proofErr w:type="spellStart"/>
      <w:r w:rsidRPr="006E31B1">
        <w:t>terapije</w:t>
      </w:r>
      <w:proofErr w:type="spellEnd"/>
      <w:r w:rsidRPr="006E31B1">
        <w:t xml:space="preserve"> </w:t>
      </w:r>
      <w:proofErr w:type="spellStart"/>
      <w:r w:rsidRPr="006E31B1">
        <w:t>kortikosteroidima</w:t>
      </w:r>
      <w:proofErr w:type="spellEnd"/>
      <w:r w:rsidRPr="006E31B1">
        <w:t>.</w:t>
      </w:r>
    </w:p>
    <w:p w14:paraId="12234A16" w14:textId="77777777" w:rsidR="00CF6B2C" w:rsidRPr="00C76E49" w:rsidRDefault="00CF6B2C" w:rsidP="00A25D4F">
      <w:pPr>
        <w:pStyle w:val="Header"/>
        <w:tabs>
          <w:tab w:val="left" w:pos="284"/>
        </w:tabs>
        <w:jc w:val="both"/>
        <w:rPr>
          <w:sz w:val="22"/>
          <w:szCs w:val="22"/>
          <w:lang w:val="sr-Latn-ME"/>
        </w:rPr>
      </w:pPr>
    </w:p>
    <w:p w14:paraId="6EDDF0E7" w14:textId="77777777" w:rsidR="006B758B" w:rsidRPr="00C76E49" w:rsidRDefault="006B758B" w:rsidP="00A25D4F">
      <w:pPr>
        <w:pStyle w:val="Header"/>
        <w:tabs>
          <w:tab w:val="left" w:pos="284"/>
        </w:tabs>
        <w:jc w:val="both"/>
        <w:rPr>
          <w:i/>
          <w:iCs/>
          <w:sz w:val="22"/>
          <w:szCs w:val="22"/>
          <w:lang w:val="sr-Latn-ME"/>
        </w:rPr>
      </w:pPr>
      <w:r w:rsidRPr="00C76E49">
        <w:rPr>
          <w:i/>
          <w:iCs/>
          <w:sz w:val="22"/>
          <w:szCs w:val="22"/>
          <w:lang w:val="sr-Latn-ME"/>
        </w:rPr>
        <w:t>Prader Willijev sindrom</w:t>
      </w:r>
    </w:p>
    <w:p w14:paraId="536FAFA0" w14:textId="77777777" w:rsidR="00FF2B3B" w:rsidRDefault="00FF2B3B" w:rsidP="00A25D4F">
      <w:pPr>
        <w:pStyle w:val="Header"/>
        <w:tabs>
          <w:tab w:val="left" w:pos="284"/>
        </w:tabs>
        <w:jc w:val="both"/>
        <w:rPr>
          <w:sz w:val="22"/>
          <w:szCs w:val="22"/>
          <w:lang w:val="sr-Latn-ME"/>
        </w:rPr>
      </w:pPr>
    </w:p>
    <w:p w14:paraId="7EB16191" w14:textId="77777777" w:rsidR="00CF6B2C" w:rsidRPr="00C76E49" w:rsidRDefault="00CF6B2C" w:rsidP="00A25D4F">
      <w:pPr>
        <w:pStyle w:val="Header"/>
        <w:tabs>
          <w:tab w:val="left" w:pos="284"/>
        </w:tabs>
        <w:jc w:val="both"/>
        <w:rPr>
          <w:sz w:val="22"/>
          <w:szCs w:val="22"/>
          <w:lang w:val="sr-Latn-ME"/>
        </w:rPr>
      </w:pPr>
      <w:r w:rsidRPr="00C76E49">
        <w:rPr>
          <w:sz w:val="22"/>
          <w:szCs w:val="22"/>
          <w:lang w:val="sr-Latn-ME"/>
        </w:rPr>
        <w:t>Nakon stavljanja lijeka u promet, prijavljeni su rijetki slučajevi iznenadne smrti kod pacijenata sa Prader-Willijevim sindromom liječenih somatropinom, iako nije dokazana nikakva uzročno-posljedična povezanost.</w:t>
      </w:r>
    </w:p>
    <w:p w14:paraId="75F8ECB6" w14:textId="77777777" w:rsidR="00CF6B2C" w:rsidRPr="00C76E49" w:rsidRDefault="00CF6B2C" w:rsidP="00A25D4F">
      <w:pPr>
        <w:pStyle w:val="Header"/>
        <w:tabs>
          <w:tab w:val="left" w:pos="284"/>
        </w:tabs>
        <w:jc w:val="both"/>
        <w:rPr>
          <w:sz w:val="22"/>
          <w:szCs w:val="22"/>
          <w:lang w:val="sr-Latn-ME"/>
        </w:rPr>
      </w:pPr>
    </w:p>
    <w:p w14:paraId="699DF7D4" w14:textId="77777777" w:rsidR="00FC0009" w:rsidRPr="00C76E49" w:rsidRDefault="00FC0009" w:rsidP="00A25D4F">
      <w:pPr>
        <w:pStyle w:val="Header"/>
        <w:tabs>
          <w:tab w:val="left" w:pos="284"/>
        </w:tabs>
        <w:jc w:val="both"/>
        <w:rPr>
          <w:i/>
          <w:iCs/>
          <w:sz w:val="22"/>
          <w:szCs w:val="22"/>
          <w:lang w:val="sr-Latn-ME"/>
        </w:rPr>
      </w:pPr>
      <w:r w:rsidRPr="00C76E49">
        <w:rPr>
          <w:i/>
          <w:iCs/>
          <w:sz w:val="22"/>
          <w:szCs w:val="22"/>
          <w:lang w:val="sr-Latn-ME"/>
        </w:rPr>
        <w:t>Leukemija</w:t>
      </w:r>
    </w:p>
    <w:p w14:paraId="6C3967A4" w14:textId="77777777" w:rsidR="00FF2B3B" w:rsidRDefault="00FF2B3B" w:rsidP="00A25D4F">
      <w:pPr>
        <w:jc w:val="both"/>
        <w:rPr>
          <w:sz w:val="22"/>
          <w:szCs w:val="22"/>
          <w:lang w:val="sr-Latn-ME"/>
        </w:rPr>
      </w:pPr>
    </w:p>
    <w:p w14:paraId="7149E06F" w14:textId="77777777" w:rsidR="00CF6B2C" w:rsidRPr="00C76E49" w:rsidRDefault="00CF6B2C" w:rsidP="00A25D4F">
      <w:pPr>
        <w:jc w:val="both"/>
        <w:rPr>
          <w:sz w:val="22"/>
          <w:szCs w:val="22"/>
          <w:lang w:val="sr-Latn-ME"/>
        </w:rPr>
      </w:pPr>
      <w:r w:rsidRPr="00C76E49">
        <w:rPr>
          <w:sz w:val="22"/>
          <w:szCs w:val="22"/>
          <w:lang w:val="sr-Latn-ME"/>
        </w:rPr>
        <w:t>Prijavljeni su slučajevi leukemije</w:t>
      </w:r>
      <w:r w:rsidR="00FC0009" w:rsidRPr="00C76E49">
        <w:rPr>
          <w:sz w:val="22"/>
          <w:szCs w:val="22"/>
          <w:lang w:val="sr-Latn-ME"/>
        </w:rPr>
        <w:t xml:space="preserve"> (rijetki ili veoma rijetki)</w:t>
      </w:r>
      <w:r w:rsidRPr="00C76E49">
        <w:rPr>
          <w:sz w:val="22"/>
          <w:szCs w:val="22"/>
          <w:lang w:val="sr-Latn-ME"/>
        </w:rPr>
        <w:t xml:space="preserve"> kod pedijatrijskih pacijenata sa deficitom hormona rasta liječenih </w:t>
      </w:r>
      <w:r w:rsidR="00FC0009" w:rsidRPr="00C76E49">
        <w:rPr>
          <w:sz w:val="22"/>
          <w:szCs w:val="22"/>
          <w:lang w:val="sr-Latn-ME"/>
        </w:rPr>
        <w:t>somatotropinom</w:t>
      </w:r>
      <w:r w:rsidR="00FC0009" w:rsidRPr="006E31B1">
        <w:rPr>
          <w:sz w:val="22"/>
          <w:szCs w:val="22"/>
          <w:lang w:val="sr-Latn-ME"/>
        </w:rPr>
        <w:t xml:space="preserve"> </w:t>
      </w:r>
      <w:r w:rsidR="00FC0009" w:rsidRPr="00C76E49">
        <w:rPr>
          <w:sz w:val="22"/>
          <w:szCs w:val="22"/>
          <w:lang w:val="sr-Latn-ME"/>
        </w:rPr>
        <w:t>i uključeni su u iskustvo nakon stavljanja lijeka u promet. Međutim, nema dokaza povećanog rizika od leukemije bez predisponirajućih faktora, kao što je zračenje mozga ili glave.</w:t>
      </w:r>
    </w:p>
    <w:p w14:paraId="3A33E4DB" w14:textId="77777777" w:rsidR="004E70AD" w:rsidRPr="006E31B1" w:rsidRDefault="004E70AD" w:rsidP="00A25D4F">
      <w:pPr>
        <w:tabs>
          <w:tab w:val="left" w:pos="540"/>
          <w:tab w:val="left" w:pos="569"/>
        </w:tabs>
        <w:jc w:val="both"/>
        <w:rPr>
          <w:b/>
          <w:bCs/>
          <w:sz w:val="22"/>
          <w:szCs w:val="22"/>
          <w:lang w:val="sr-Latn-ME"/>
        </w:rPr>
      </w:pPr>
    </w:p>
    <w:p w14:paraId="73DF7A00" w14:textId="77777777" w:rsidR="00FC0009" w:rsidRPr="00C76E49" w:rsidRDefault="00FC0009" w:rsidP="00A25D4F">
      <w:pPr>
        <w:autoSpaceDE w:val="0"/>
        <w:autoSpaceDN w:val="0"/>
        <w:adjustRightInd w:val="0"/>
        <w:jc w:val="both"/>
        <w:rPr>
          <w:i/>
          <w:iCs/>
          <w:sz w:val="22"/>
          <w:szCs w:val="22"/>
          <w:lang w:val="sr-Latn-ME" w:eastAsia="sr-Latn-ME"/>
        </w:rPr>
      </w:pPr>
      <w:r w:rsidRPr="00C76E49">
        <w:rPr>
          <w:i/>
          <w:iCs/>
          <w:sz w:val="22"/>
          <w:szCs w:val="22"/>
          <w:lang w:val="sr-Latn-ME" w:eastAsia="sr-Latn-ME"/>
        </w:rPr>
        <w:t>Iskliznuće epifize glave femura i Legg-Calvé-Perthesova bolest</w:t>
      </w:r>
    </w:p>
    <w:p w14:paraId="5F584709" w14:textId="77777777" w:rsidR="00FF2B3B" w:rsidRDefault="00FF2B3B" w:rsidP="00034AB5">
      <w:pPr>
        <w:autoSpaceDE w:val="0"/>
        <w:autoSpaceDN w:val="0"/>
        <w:adjustRightInd w:val="0"/>
        <w:jc w:val="both"/>
        <w:rPr>
          <w:sz w:val="22"/>
          <w:szCs w:val="22"/>
          <w:lang w:val="sr-Latn-ME" w:eastAsia="sr-Latn-ME"/>
        </w:rPr>
      </w:pPr>
    </w:p>
    <w:p w14:paraId="7B92FCD2" w14:textId="6DDE22BB" w:rsidR="00FC0009" w:rsidRPr="00C76E49" w:rsidRDefault="00FC0009" w:rsidP="00034AB5">
      <w:pPr>
        <w:autoSpaceDE w:val="0"/>
        <w:autoSpaceDN w:val="0"/>
        <w:adjustRightInd w:val="0"/>
        <w:jc w:val="both"/>
        <w:rPr>
          <w:sz w:val="22"/>
          <w:szCs w:val="22"/>
          <w:lang w:val="sr-Latn-ME" w:eastAsia="sr-Latn-ME"/>
        </w:rPr>
      </w:pPr>
      <w:r w:rsidRPr="00C76E49">
        <w:rPr>
          <w:sz w:val="22"/>
          <w:szCs w:val="22"/>
          <w:lang w:val="sr-Latn-ME" w:eastAsia="sr-Latn-ME"/>
        </w:rPr>
        <w:t>Iskliznuće epifize glave femura i Legg-Calvé-Perthesova bolest zabilježeni su kod djece liječene</w:t>
      </w:r>
      <w:r w:rsidR="00164E81">
        <w:rPr>
          <w:sz w:val="22"/>
          <w:szCs w:val="22"/>
          <w:lang w:val="sr-Latn-ME" w:eastAsia="sr-Latn-ME"/>
        </w:rPr>
        <w:t xml:space="preserve"> </w:t>
      </w:r>
      <w:r w:rsidRPr="00C76E49">
        <w:rPr>
          <w:sz w:val="22"/>
          <w:szCs w:val="22"/>
          <w:lang w:val="sr-Latn-ME" w:eastAsia="sr-Latn-ME"/>
        </w:rPr>
        <w:t>hormonom rasta. Iskliznuće epifize glave femura nastaje češće u slučaju endokrinih poremećaja, a</w:t>
      </w:r>
      <w:r w:rsidR="00164E81">
        <w:rPr>
          <w:sz w:val="22"/>
          <w:szCs w:val="22"/>
          <w:lang w:val="sr-Latn-ME" w:eastAsia="sr-Latn-ME"/>
        </w:rPr>
        <w:t xml:space="preserve"> </w:t>
      </w:r>
      <w:r w:rsidRPr="00C76E49">
        <w:rPr>
          <w:sz w:val="22"/>
          <w:szCs w:val="22"/>
          <w:lang w:val="sr-Latn-ME" w:eastAsia="sr-Latn-ME"/>
        </w:rPr>
        <w:t>Legg-Calvé-Perthesova bolest češća je u slučaju niskog stasa. Međutim, nije poznato jesu li ova 2</w:t>
      </w:r>
      <w:r w:rsidR="00164E81">
        <w:rPr>
          <w:sz w:val="22"/>
          <w:szCs w:val="22"/>
          <w:lang w:val="sr-Latn-ME" w:eastAsia="sr-Latn-ME"/>
        </w:rPr>
        <w:t xml:space="preserve"> </w:t>
      </w:r>
      <w:r w:rsidRPr="00C76E49">
        <w:rPr>
          <w:sz w:val="22"/>
          <w:szCs w:val="22"/>
          <w:lang w:val="sr-Latn-ME" w:eastAsia="sr-Latn-ME"/>
        </w:rPr>
        <w:t>patološka stanja češća ili ne za vrijeme liječenja somatotropinom. Dijagnoze treba uzeti u obzir kod</w:t>
      </w:r>
      <w:r w:rsidR="00164E81">
        <w:rPr>
          <w:sz w:val="22"/>
          <w:szCs w:val="22"/>
          <w:lang w:val="sr-Latn-ME" w:eastAsia="sr-Latn-ME"/>
        </w:rPr>
        <w:t xml:space="preserve"> </w:t>
      </w:r>
      <w:r w:rsidRPr="00C76E49">
        <w:rPr>
          <w:sz w:val="22"/>
          <w:szCs w:val="22"/>
          <w:lang w:val="sr-Latn-ME" w:eastAsia="sr-Latn-ME"/>
        </w:rPr>
        <w:t>djeteta s nelagodom ili bolom u kuku ili koljenu.</w:t>
      </w:r>
    </w:p>
    <w:p w14:paraId="50F9FE32" w14:textId="77777777" w:rsidR="00FC0009" w:rsidRPr="00C76E49" w:rsidRDefault="00FC0009" w:rsidP="00A25D4F">
      <w:pPr>
        <w:autoSpaceDE w:val="0"/>
        <w:autoSpaceDN w:val="0"/>
        <w:adjustRightInd w:val="0"/>
        <w:jc w:val="both"/>
        <w:rPr>
          <w:sz w:val="22"/>
          <w:szCs w:val="22"/>
          <w:lang w:val="sr-Latn-ME" w:eastAsia="sr-Latn-ME"/>
        </w:rPr>
      </w:pPr>
    </w:p>
    <w:p w14:paraId="2199B263" w14:textId="77777777" w:rsidR="00FC0009" w:rsidRPr="00C76E49" w:rsidRDefault="00FC0009" w:rsidP="00A25D4F">
      <w:pPr>
        <w:autoSpaceDE w:val="0"/>
        <w:autoSpaceDN w:val="0"/>
        <w:adjustRightInd w:val="0"/>
        <w:jc w:val="both"/>
        <w:rPr>
          <w:i/>
          <w:iCs/>
          <w:sz w:val="22"/>
          <w:szCs w:val="22"/>
          <w:lang w:val="sr-Latn-ME" w:eastAsia="sr-Latn-ME"/>
        </w:rPr>
      </w:pPr>
      <w:r w:rsidRPr="00C76E49">
        <w:rPr>
          <w:i/>
          <w:iCs/>
          <w:sz w:val="22"/>
          <w:szCs w:val="22"/>
          <w:lang w:val="sr-Latn-ME" w:eastAsia="sr-Latn-ME"/>
        </w:rPr>
        <w:t>Druga neželjena dejstva</w:t>
      </w:r>
    </w:p>
    <w:p w14:paraId="205D3ADC" w14:textId="77777777" w:rsidR="00FF2B3B" w:rsidRDefault="00FF2B3B" w:rsidP="00A25D4F">
      <w:pPr>
        <w:autoSpaceDE w:val="0"/>
        <w:autoSpaceDN w:val="0"/>
        <w:adjustRightInd w:val="0"/>
        <w:jc w:val="both"/>
        <w:rPr>
          <w:sz w:val="22"/>
          <w:szCs w:val="22"/>
          <w:lang w:val="sr-Latn-ME" w:eastAsia="sr-Latn-ME"/>
        </w:rPr>
      </w:pPr>
    </w:p>
    <w:p w14:paraId="33A7DAEC" w14:textId="389E6103" w:rsidR="00FC0009" w:rsidRPr="00C76E49" w:rsidRDefault="00FC0009" w:rsidP="00A25D4F">
      <w:pPr>
        <w:autoSpaceDE w:val="0"/>
        <w:autoSpaceDN w:val="0"/>
        <w:adjustRightInd w:val="0"/>
        <w:jc w:val="both"/>
        <w:rPr>
          <w:sz w:val="22"/>
          <w:szCs w:val="22"/>
          <w:lang w:val="sr-Latn-ME" w:eastAsia="sr-Latn-ME"/>
        </w:rPr>
      </w:pPr>
      <w:r w:rsidRPr="00C76E49">
        <w:rPr>
          <w:sz w:val="22"/>
          <w:szCs w:val="22"/>
          <w:lang w:val="sr-Latn-ME" w:eastAsia="sr-Latn-ME"/>
        </w:rPr>
        <w:t>Druga neželjena dejstva mogu se smatrati efektima klase somatotropina, kao što su moguća hiperglikemija prouzrokovana smanjenom osjetljivošću na in</w:t>
      </w:r>
      <w:r w:rsidR="00E737AC">
        <w:rPr>
          <w:sz w:val="22"/>
          <w:szCs w:val="22"/>
          <w:lang w:val="sr-Latn-ME" w:eastAsia="sr-Latn-ME"/>
        </w:rPr>
        <w:t>s</w:t>
      </w:r>
      <w:r w:rsidRPr="00C76E49">
        <w:rPr>
          <w:sz w:val="22"/>
          <w:szCs w:val="22"/>
          <w:lang w:val="sr-Latn-ME" w:eastAsia="sr-Latn-ME"/>
        </w:rPr>
        <w:t>ulin, snižena koncentracija slobodnog tiroksina i benigna intrakranijalna hipertenzija.</w:t>
      </w:r>
    </w:p>
    <w:p w14:paraId="498650C6" w14:textId="77777777" w:rsidR="00FC0009" w:rsidRPr="006E31B1" w:rsidRDefault="00FC0009" w:rsidP="00A25D4F">
      <w:pPr>
        <w:tabs>
          <w:tab w:val="left" w:pos="540"/>
          <w:tab w:val="left" w:pos="569"/>
        </w:tabs>
        <w:jc w:val="both"/>
        <w:rPr>
          <w:b/>
          <w:bCs/>
          <w:sz w:val="22"/>
          <w:szCs w:val="22"/>
          <w:lang w:val="sr-Latn-ME"/>
        </w:rPr>
      </w:pPr>
    </w:p>
    <w:p w14:paraId="40D588E2" w14:textId="77777777" w:rsidR="005A23D2" w:rsidRPr="00C76E49" w:rsidRDefault="005A23D2" w:rsidP="00A25D4F">
      <w:pPr>
        <w:spacing w:after="200" w:line="276" w:lineRule="auto"/>
        <w:jc w:val="both"/>
        <w:rPr>
          <w:rFonts w:eastAsia="Calibri"/>
          <w:sz w:val="22"/>
          <w:szCs w:val="22"/>
          <w:u w:val="single"/>
          <w:lang w:val="sr-Latn-RS"/>
        </w:rPr>
      </w:pPr>
      <w:r w:rsidRPr="00C76E49">
        <w:rPr>
          <w:rFonts w:eastAsia="Calibri"/>
          <w:sz w:val="22"/>
          <w:szCs w:val="22"/>
          <w:u w:val="single"/>
          <w:lang w:val="sr-Latn-RS"/>
        </w:rPr>
        <w:t>Prijavljivanje sumnji na neželjena dejstva</w:t>
      </w:r>
    </w:p>
    <w:p w14:paraId="5AF10E7B" w14:textId="77777777" w:rsidR="005A23D2" w:rsidRPr="00C76E49" w:rsidRDefault="005A23D2" w:rsidP="00A25D4F">
      <w:pPr>
        <w:spacing w:after="200"/>
        <w:jc w:val="both"/>
        <w:rPr>
          <w:rFonts w:eastAsia="Calibri"/>
          <w:sz w:val="22"/>
          <w:szCs w:val="22"/>
          <w:lang w:val="sr-Latn-RS"/>
        </w:rPr>
      </w:pPr>
      <w:r w:rsidRPr="00C76E49">
        <w:rPr>
          <w:rFonts w:eastAsia="Calibri"/>
          <w:sz w:val="22"/>
          <w:szCs w:val="22"/>
          <w:lang w:val="sr-Latn-RS"/>
        </w:rPr>
        <w:t>Prijavljivanje neželjenih dejstava nakon dobijanja dozvole je od velikog značaja jer obezbjeđuje kont</w:t>
      </w:r>
      <w:r w:rsidR="00EA5765" w:rsidRPr="00C76E49">
        <w:rPr>
          <w:rFonts w:eastAsia="Calibri"/>
          <w:sz w:val="22"/>
          <w:szCs w:val="22"/>
          <w:lang w:val="sr-Latn-RS"/>
        </w:rPr>
        <w:t>inuirano praćenje odnosa korist</w:t>
      </w:r>
      <w:r w:rsidRPr="00C76E49">
        <w:rPr>
          <w:rFonts w:eastAsia="Calibri"/>
          <w:sz w:val="22"/>
          <w:szCs w:val="22"/>
          <w:lang w:val="sr-Latn-RS"/>
        </w:rPr>
        <w:t>/rizik primjene lijeka. Zdravstveni radnici treba da prijave svaku sumnju na neželjeno</w:t>
      </w:r>
      <w:r w:rsidR="009B062A" w:rsidRPr="00C76E49">
        <w:rPr>
          <w:rFonts w:eastAsia="Calibri"/>
          <w:sz w:val="22"/>
          <w:szCs w:val="22"/>
          <w:lang w:val="sr-Latn-RS"/>
        </w:rPr>
        <w:t xml:space="preserve"> </w:t>
      </w:r>
      <w:r w:rsidRPr="00C76E49">
        <w:rPr>
          <w:rFonts w:eastAsia="Calibri"/>
          <w:sz w:val="22"/>
          <w:szCs w:val="22"/>
          <w:lang w:val="sr-Latn-RS"/>
        </w:rPr>
        <w:t xml:space="preserve">dejstvo ovog lijeka </w:t>
      </w:r>
      <w:r w:rsidR="004E70AD" w:rsidRPr="00C76E49">
        <w:rPr>
          <w:rFonts w:eastAsia="Calibri"/>
          <w:sz w:val="22"/>
          <w:szCs w:val="22"/>
          <w:lang w:val="sr-Latn-RS"/>
        </w:rPr>
        <w:t>Institutu</w:t>
      </w:r>
      <w:r w:rsidRPr="00C76E49">
        <w:rPr>
          <w:rFonts w:eastAsia="Calibri"/>
          <w:sz w:val="22"/>
          <w:szCs w:val="22"/>
          <w:lang w:val="sr-Latn-RS"/>
        </w:rPr>
        <w:t xml:space="preserve"> za ljekove i medicinska sredstva</w:t>
      </w:r>
      <w:r w:rsidR="004E70AD" w:rsidRPr="00C76E49">
        <w:rPr>
          <w:rFonts w:eastAsia="Calibri"/>
          <w:sz w:val="22"/>
          <w:szCs w:val="22"/>
          <w:lang w:val="sr-Latn-RS"/>
        </w:rPr>
        <w:t xml:space="preserve"> </w:t>
      </w:r>
      <w:r w:rsidRPr="00C76E49">
        <w:rPr>
          <w:rFonts w:eastAsia="Calibri"/>
          <w:sz w:val="22"/>
          <w:szCs w:val="22"/>
          <w:lang w:val="sr-Latn-RS"/>
        </w:rPr>
        <w:t>(</w:t>
      </w:r>
      <w:r w:rsidR="004E70AD" w:rsidRPr="00C76E49">
        <w:rPr>
          <w:rFonts w:eastAsia="Calibri"/>
          <w:sz w:val="22"/>
          <w:szCs w:val="22"/>
          <w:lang w:val="sr-Latn-RS"/>
        </w:rPr>
        <w:t>CInMED</w:t>
      </w:r>
      <w:r w:rsidRPr="00C76E49">
        <w:rPr>
          <w:rFonts w:eastAsia="Calibri"/>
          <w:sz w:val="22"/>
          <w:szCs w:val="22"/>
          <w:lang w:val="sr-Latn-RS"/>
        </w:rPr>
        <w:t>):</w:t>
      </w:r>
    </w:p>
    <w:p w14:paraId="6CC5705A" w14:textId="77777777" w:rsidR="005A23D2" w:rsidRPr="00C76E49" w:rsidRDefault="004E70AD" w:rsidP="00A25D4F">
      <w:pPr>
        <w:pStyle w:val="NoSpacing"/>
        <w:jc w:val="both"/>
        <w:rPr>
          <w:rFonts w:eastAsia="Calibri"/>
          <w:sz w:val="22"/>
          <w:szCs w:val="22"/>
          <w:lang w:val="sr-Latn-RS"/>
        </w:rPr>
      </w:pPr>
      <w:r w:rsidRPr="00C76E49">
        <w:rPr>
          <w:rFonts w:eastAsia="Calibri"/>
          <w:sz w:val="22"/>
          <w:szCs w:val="22"/>
          <w:lang w:val="sr-Latn-RS"/>
        </w:rPr>
        <w:lastRenderedPageBreak/>
        <w:t xml:space="preserve">Institut </w:t>
      </w:r>
      <w:r w:rsidR="005A23D2" w:rsidRPr="00C76E49">
        <w:rPr>
          <w:rFonts w:eastAsia="Calibri"/>
          <w:sz w:val="22"/>
          <w:szCs w:val="22"/>
          <w:lang w:val="sr-Latn-RS"/>
        </w:rPr>
        <w:t xml:space="preserve">za ljekove i medicinska sredstva </w:t>
      </w:r>
    </w:p>
    <w:p w14:paraId="6D742D92" w14:textId="77777777" w:rsidR="005A23D2" w:rsidRPr="00C76E49" w:rsidRDefault="005A23D2" w:rsidP="00A25D4F">
      <w:pPr>
        <w:pStyle w:val="NoSpacing"/>
        <w:jc w:val="both"/>
        <w:rPr>
          <w:rFonts w:eastAsia="Calibri"/>
          <w:sz w:val="22"/>
          <w:szCs w:val="22"/>
          <w:lang w:val="sr-Latn-RS"/>
        </w:rPr>
      </w:pPr>
      <w:r w:rsidRPr="00C76E49">
        <w:rPr>
          <w:rFonts w:eastAsia="Calibri"/>
          <w:sz w:val="22"/>
          <w:szCs w:val="22"/>
          <w:lang w:val="sr-Latn-RS"/>
        </w:rPr>
        <w:t>Odjeljenje za farmakovigilancu</w:t>
      </w:r>
    </w:p>
    <w:p w14:paraId="1D052411" w14:textId="77777777" w:rsidR="00EA5765" w:rsidRPr="00C76E49" w:rsidRDefault="005A23D2" w:rsidP="00A25D4F">
      <w:pPr>
        <w:pStyle w:val="NoSpacing"/>
        <w:jc w:val="both"/>
        <w:rPr>
          <w:rFonts w:eastAsia="Calibri"/>
          <w:sz w:val="22"/>
          <w:szCs w:val="22"/>
          <w:lang w:val="sr-Latn-RS"/>
        </w:rPr>
      </w:pPr>
      <w:r w:rsidRPr="00C76E49">
        <w:rPr>
          <w:rFonts w:eastAsia="Calibri"/>
          <w:sz w:val="22"/>
          <w:szCs w:val="22"/>
          <w:lang w:val="sr-Latn-RS"/>
        </w:rPr>
        <w:t>Bulevar Ivana Crnojevića 64a, 81000 Podgorica</w:t>
      </w:r>
    </w:p>
    <w:p w14:paraId="6945548C" w14:textId="77777777" w:rsidR="00EA5765" w:rsidRPr="00C76E49" w:rsidRDefault="00EA5765" w:rsidP="00A25D4F">
      <w:pPr>
        <w:pStyle w:val="NoSpacing"/>
        <w:jc w:val="both"/>
        <w:rPr>
          <w:rFonts w:eastAsia="Calibri"/>
          <w:sz w:val="22"/>
          <w:szCs w:val="22"/>
          <w:lang w:val="sr-Latn-RS"/>
        </w:rPr>
      </w:pPr>
    </w:p>
    <w:p w14:paraId="23C97DCA" w14:textId="77777777" w:rsidR="005A23D2" w:rsidRPr="00C76E49" w:rsidRDefault="005A23D2" w:rsidP="00A25D4F">
      <w:pPr>
        <w:pStyle w:val="NoSpacing"/>
        <w:jc w:val="both"/>
        <w:rPr>
          <w:rFonts w:eastAsia="Calibri"/>
          <w:sz w:val="22"/>
          <w:szCs w:val="22"/>
          <w:lang w:val="sr-Latn-RS"/>
        </w:rPr>
      </w:pPr>
      <w:r w:rsidRPr="00C76E49">
        <w:rPr>
          <w:rFonts w:eastAsia="Calibri"/>
          <w:sz w:val="22"/>
          <w:szCs w:val="22"/>
          <w:lang w:val="sr-Latn-RS"/>
        </w:rPr>
        <w:t>tel: +382 (0) 20 310 280</w:t>
      </w:r>
    </w:p>
    <w:p w14:paraId="03EB7CB0" w14:textId="77777777" w:rsidR="00EA5765" w:rsidRPr="00C76E49" w:rsidRDefault="005A23D2" w:rsidP="00A25D4F">
      <w:pPr>
        <w:pStyle w:val="NoSpacing"/>
        <w:tabs>
          <w:tab w:val="left" w:pos="6720"/>
        </w:tabs>
        <w:jc w:val="both"/>
        <w:rPr>
          <w:rFonts w:eastAsia="Calibri"/>
          <w:sz w:val="22"/>
          <w:szCs w:val="22"/>
          <w:lang w:val="sr-Latn-RS"/>
        </w:rPr>
      </w:pPr>
      <w:r w:rsidRPr="00C76E49">
        <w:rPr>
          <w:rFonts w:eastAsia="Calibri"/>
          <w:sz w:val="22"/>
          <w:szCs w:val="22"/>
          <w:lang w:val="sr-Latn-RS"/>
        </w:rPr>
        <w:t>fax:</w:t>
      </w:r>
      <w:r w:rsidR="00EA5765" w:rsidRPr="00C76E49">
        <w:rPr>
          <w:rFonts w:eastAsia="Calibri"/>
          <w:sz w:val="22"/>
          <w:szCs w:val="22"/>
          <w:lang w:val="sr-Latn-RS"/>
        </w:rPr>
        <w:t xml:space="preserve"> </w:t>
      </w:r>
      <w:r w:rsidRPr="00C76E49">
        <w:rPr>
          <w:rFonts w:eastAsia="Calibri"/>
          <w:sz w:val="22"/>
          <w:szCs w:val="22"/>
          <w:lang w:val="sr-Latn-RS"/>
        </w:rPr>
        <w:t>+382 (0) 20 310 581</w:t>
      </w:r>
      <w:r w:rsidR="00FF3EDF" w:rsidRPr="00C76E49">
        <w:rPr>
          <w:rFonts w:eastAsia="Calibri"/>
          <w:sz w:val="22"/>
          <w:szCs w:val="22"/>
          <w:lang w:val="sr-Latn-RS"/>
        </w:rPr>
        <w:tab/>
      </w:r>
    </w:p>
    <w:p w14:paraId="2743FF6B" w14:textId="77777777" w:rsidR="00D50357" w:rsidRPr="00786071" w:rsidRDefault="00D50357" w:rsidP="00D50357">
      <w:pPr>
        <w:pStyle w:val="NoSpacing"/>
        <w:jc w:val="both"/>
        <w:rPr>
          <w:rFonts w:eastAsia="Calibri"/>
          <w:sz w:val="22"/>
          <w:szCs w:val="22"/>
          <w:lang w:val="sr-Latn-RS"/>
        </w:rPr>
      </w:pPr>
      <w:hyperlink r:id="rId8" w:history="1">
        <w:r w:rsidRPr="00B664A0">
          <w:rPr>
            <w:rStyle w:val="Hyperlink"/>
            <w:rFonts w:eastAsia="Calibri"/>
            <w:sz w:val="22"/>
            <w:szCs w:val="22"/>
            <w:lang w:val="sr-Latn-RS"/>
          </w:rPr>
          <w:t>www.cinmed.me</w:t>
        </w:r>
      </w:hyperlink>
    </w:p>
    <w:p w14:paraId="76AA6B55" w14:textId="77777777" w:rsidR="00D50357" w:rsidRPr="00786071" w:rsidRDefault="00D50357" w:rsidP="00D50357">
      <w:pPr>
        <w:pStyle w:val="NoSpacing"/>
        <w:jc w:val="both"/>
        <w:rPr>
          <w:rFonts w:eastAsia="Calibri"/>
          <w:color w:val="0000FF"/>
          <w:sz w:val="22"/>
          <w:szCs w:val="22"/>
          <w:u w:val="single"/>
          <w:lang w:val="sr-Latn-RS"/>
        </w:rPr>
      </w:pPr>
      <w:hyperlink r:id="rId9" w:history="1">
        <w:r w:rsidRPr="00B664A0">
          <w:rPr>
            <w:rStyle w:val="Hyperlink"/>
            <w:rFonts w:eastAsia="Calibri"/>
            <w:sz w:val="22"/>
            <w:szCs w:val="22"/>
            <w:lang w:val="sr-Latn-RS"/>
          </w:rPr>
          <w:t>nezeljenadejstva@cinmed.me</w:t>
        </w:r>
      </w:hyperlink>
    </w:p>
    <w:p w14:paraId="63462D8F" w14:textId="77777777" w:rsidR="005A23D2" w:rsidRPr="00C76E49" w:rsidRDefault="005A23D2" w:rsidP="00A25D4F">
      <w:pPr>
        <w:pStyle w:val="NoSpacing"/>
        <w:jc w:val="both"/>
        <w:rPr>
          <w:rFonts w:eastAsia="Calibri"/>
          <w:sz w:val="22"/>
          <w:szCs w:val="22"/>
          <w:lang w:val="sr-Latn-RS"/>
        </w:rPr>
      </w:pPr>
      <w:r w:rsidRPr="00C76E49">
        <w:rPr>
          <w:rFonts w:eastAsia="Calibri"/>
          <w:sz w:val="22"/>
          <w:szCs w:val="22"/>
          <w:lang w:val="sr-Latn-RS"/>
        </w:rPr>
        <w:t>putem IS zdravstvene zaštite</w:t>
      </w:r>
    </w:p>
    <w:p w14:paraId="164EC548" w14:textId="77777777" w:rsidR="007E31E9" w:rsidRPr="00C76E49" w:rsidRDefault="007E31E9" w:rsidP="00A25D4F">
      <w:pPr>
        <w:pStyle w:val="NoSpacing"/>
        <w:jc w:val="both"/>
        <w:rPr>
          <w:rFonts w:eastAsia="Calibri"/>
          <w:sz w:val="22"/>
          <w:szCs w:val="22"/>
          <w:lang w:val="sr-Latn-RS"/>
        </w:rPr>
      </w:pPr>
      <w:r w:rsidRPr="00C76E49">
        <w:rPr>
          <w:rFonts w:eastAsia="Calibri"/>
          <w:sz w:val="22"/>
          <w:szCs w:val="22"/>
          <w:lang w:val="sr-Latn-RS"/>
        </w:rPr>
        <w:t>QR kod za online prijavu</w:t>
      </w:r>
      <w:r w:rsidR="00D74CD2" w:rsidRPr="00C76E49">
        <w:rPr>
          <w:rFonts w:eastAsia="Calibri"/>
          <w:sz w:val="22"/>
          <w:szCs w:val="22"/>
          <w:lang w:val="sr-Latn-RS"/>
        </w:rPr>
        <w:t xml:space="preserve"> sumnje na neželjeno dejstvo lijeka</w:t>
      </w:r>
      <w:r w:rsidRPr="00C76E49">
        <w:rPr>
          <w:rFonts w:eastAsia="Calibri"/>
          <w:sz w:val="22"/>
          <w:szCs w:val="22"/>
          <w:lang w:val="sr-Latn-RS"/>
        </w:rPr>
        <w:t>:</w:t>
      </w:r>
    </w:p>
    <w:p w14:paraId="66F31812" w14:textId="77777777" w:rsidR="007E31E9" w:rsidRPr="00C76E49" w:rsidRDefault="007E31E9" w:rsidP="00A25D4F">
      <w:pPr>
        <w:pStyle w:val="NoSpacing"/>
        <w:jc w:val="both"/>
        <w:rPr>
          <w:rFonts w:eastAsia="Calibri"/>
          <w:sz w:val="22"/>
          <w:szCs w:val="22"/>
          <w:lang w:val="sr-Latn-RS"/>
        </w:rPr>
      </w:pPr>
    </w:p>
    <w:p w14:paraId="16EF5E3B" w14:textId="5D10DABE" w:rsidR="004F17E2" w:rsidRPr="00C76E49" w:rsidRDefault="0090137B" w:rsidP="00A25D4F">
      <w:pPr>
        <w:pStyle w:val="NoSpacing"/>
        <w:jc w:val="both"/>
        <w:rPr>
          <w:rFonts w:eastAsia="Calibri"/>
          <w:sz w:val="22"/>
          <w:szCs w:val="22"/>
          <w:lang w:val="sr-Latn-RS"/>
        </w:rPr>
      </w:pPr>
      <w:r w:rsidRPr="007F661E">
        <w:rPr>
          <w:b/>
          <w:bCs/>
          <w:noProof/>
          <w:sz w:val="22"/>
          <w:szCs w:val="22"/>
        </w:rPr>
        <w:drawing>
          <wp:inline distT="0" distB="0" distL="0" distR="0" wp14:anchorId="26ED62EE" wp14:editId="4A1A0E3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7FEC24A" w14:textId="77777777" w:rsidR="00836B35" w:rsidRPr="00C76E49" w:rsidRDefault="00836B35" w:rsidP="00A25D4F">
      <w:pPr>
        <w:tabs>
          <w:tab w:val="left" w:pos="540"/>
          <w:tab w:val="left" w:pos="569"/>
        </w:tabs>
        <w:jc w:val="both"/>
        <w:rPr>
          <w:b/>
          <w:bCs/>
          <w:sz w:val="22"/>
          <w:szCs w:val="22"/>
        </w:rPr>
      </w:pPr>
    </w:p>
    <w:p w14:paraId="03708E51" w14:textId="77777777" w:rsidR="00CD6F02" w:rsidRPr="00C76E49" w:rsidRDefault="0072020E" w:rsidP="00A25D4F">
      <w:pPr>
        <w:tabs>
          <w:tab w:val="left" w:pos="540"/>
          <w:tab w:val="left" w:pos="569"/>
        </w:tabs>
        <w:jc w:val="both"/>
        <w:rPr>
          <w:b/>
          <w:bCs/>
          <w:sz w:val="22"/>
          <w:szCs w:val="22"/>
        </w:rPr>
      </w:pPr>
      <w:r w:rsidRPr="00C76E49">
        <w:rPr>
          <w:b/>
          <w:bCs/>
          <w:sz w:val="22"/>
          <w:szCs w:val="22"/>
        </w:rPr>
        <w:t xml:space="preserve">4.9. </w:t>
      </w:r>
      <w:r w:rsidR="00480FB1" w:rsidRPr="00C76E49">
        <w:rPr>
          <w:b/>
          <w:bCs/>
          <w:sz w:val="22"/>
          <w:szCs w:val="22"/>
        </w:rPr>
        <w:tab/>
      </w:r>
      <w:proofErr w:type="spellStart"/>
      <w:r w:rsidRPr="00C76E49">
        <w:rPr>
          <w:b/>
          <w:bCs/>
          <w:sz w:val="22"/>
          <w:szCs w:val="22"/>
        </w:rPr>
        <w:t>Predoziranje</w:t>
      </w:r>
      <w:proofErr w:type="spellEnd"/>
      <w:r w:rsidR="002846DB" w:rsidRPr="00C76E49">
        <w:rPr>
          <w:b/>
          <w:bCs/>
          <w:sz w:val="22"/>
          <w:szCs w:val="22"/>
        </w:rPr>
        <w:t xml:space="preserve"> </w:t>
      </w:r>
    </w:p>
    <w:p w14:paraId="10106F9A" w14:textId="77777777" w:rsidR="00574B57" w:rsidRPr="00C76E49" w:rsidRDefault="00574B57" w:rsidP="00A25D4F">
      <w:pPr>
        <w:pStyle w:val="Header"/>
        <w:tabs>
          <w:tab w:val="left" w:pos="284"/>
        </w:tabs>
        <w:jc w:val="both"/>
        <w:rPr>
          <w:sz w:val="22"/>
          <w:szCs w:val="22"/>
          <w:lang w:val="sr-Latn-ME"/>
        </w:rPr>
      </w:pPr>
    </w:p>
    <w:p w14:paraId="619626EF" w14:textId="77777777" w:rsidR="00FC0009" w:rsidRPr="00C76E49" w:rsidRDefault="00FC0009" w:rsidP="00A25D4F">
      <w:pPr>
        <w:pStyle w:val="Header"/>
        <w:tabs>
          <w:tab w:val="left" w:pos="284"/>
        </w:tabs>
        <w:jc w:val="both"/>
        <w:rPr>
          <w:sz w:val="22"/>
          <w:szCs w:val="22"/>
          <w:u w:val="single"/>
          <w:lang w:val="sr-Latn-ME"/>
        </w:rPr>
      </w:pPr>
      <w:r w:rsidRPr="00C76E49">
        <w:rPr>
          <w:sz w:val="22"/>
          <w:szCs w:val="22"/>
          <w:u w:val="single"/>
          <w:lang w:val="sr-Latn-ME"/>
        </w:rPr>
        <w:t>Simptomi:</w:t>
      </w:r>
    </w:p>
    <w:p w14:paraId="58607D4F"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Akutno predoziranje može dovesti na početku do hipoglikemije, a kasnije do hiperglikemije.</w:t>
      </w:r>
    </w:p>
    <w:p w14:paraId="08B41B6A" w14:textId="77777777" w:rsidR="00574B57" w:rsidRPr="00C76E49" w:rsidRDefault="00574B57" w:rsidP="00A25D4F">
      <w:pPr>
        <w:pStyle w:val="Header"/>
        <w:tabs>
          <w:tab w:val="left" w:pos="284"/>
        </w:tabs>
        <w:jc w:val="both"/>
        <w:rPr>
          <w:sz w:val="22"/>
          <w:szCs w:val="22"/>
          <w:lang w:val="sr-Latn-ME"/>
        </w:rPr>
      </w:pPr>
    </w:p>
    <w:p w14:paraId="008C7193"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 xml:space="preserve">Dugotrajno predoziranje može dovesti do pojave znakova i simptoma za koje se zna da se javljaju kod povećanja humanog hormona rasta. </w:t>
      </w:r>
    </w:p>
    <w:p w14:paraId="26EDD37E" w14:textId="77777777" w:rsidR="00227BDB" w:rsidRPr="006E31B1" w:rsidRDefault="00227BDB" w:rsidP="00A25D4F">
      <w:pPr>
        <w:tabs>
          <w:tab w:val="left" w:pos="540"/>
          <w:tab w:val="left" w:pos="569"/>
        </w:tabs>
        <w:jc w:val="both"/>
        <w:rPr>
          <w:b/>
          <w:bCs/>
          <w:sz w:val="22"/>
          <w:szCs w:val="22"/>
          <w:lang w:val="sr-Latn-ME"/>
        </w:rPr>
      </w:pPr>
    </w:p>
    <w:p w14:paraId="0CD7605F" w14:textId="77777777" w:rsidR="0090137B" w:rsidRPr="006E31B1" w:rsidRDefault="0090137B" w:rsidP="00A25D4F">
      <w:pPr>
        <w:tabs>
          <w:tab w:val="left" w:pos="540"/>
          <w:tab w:val="left" w:pos="569"/>
        </w:tabs>
        <w:jc w:val="both"/>
        <w:rPr>
          <w:b/>
          <w:bCs/>
          <w:sz w:val="22"/>
          <w:szCs w:val="22"/>
          <w:lang w:val="sr-Latn-ME"/>
        </w:rPr>
      </w:pPr>
    </w:p>
    <w:p w14:paraId="3D98C217"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5. </w:t>
      </w:r>
      <w:r w:rsidR="00480FB1" w:rsidRPr="006E31B1">
        <w:rPr>
          <w:b/>
          <w:bCs/>
          <w:sz w:val="22"/>
          <w:szCs w:val="22"/>
          <w:lang w:val="sr-Latn-ME"/>
        </w:rPr>
        <w:tab/>
      </w:r>
      <w:r w:rsidRPr="00C76E49">
        <w:rPr>
          <w:b/>
          <w:bCs/>
          <w:sz w:val="22"/>
          <w:szCs w:val="22"/>
        </w:rPr>
        <w:t>FARMAKOLO</w:t>
      </w:r>
      <w:r w:rsidRPr="006E31B1">
        <w:rPr>
          <w:b/>
          <w:bCs/>
          <w:sz w:val="22"/>
          <w:szCs w:val="22"/>
          <w:lang w:val="sr-Latn-ME"/>
        </w:rPr>
        <w:t>Š</w:t>
      </w:r>
      <w:r w:rsidRPr="00C76E49">
        <w:rPr>
          <w:b/>
          <w:bCs/>
          <w:sz w:val="22"/>
          <w:szCs w:val="22"/>
        </w:rPr>
        <w:t>K</w:t>
      </w:r>
      <w:r w:rsidR="000D425A" w:rsidRPr="00C76E49">
        <w:rPr>
          <w:b/>
          <w:bCs/>
          <w:sz w:val="22"/>
          <w:szCs w:val="22"/>
        </w:rPr>
        <w:t>I</w:t>
      </w:r>
      <w:r w:rsidRPr="006E31B1">
        <w:rPr>
          <w:b/>
          <w:bCs/>
          <w:sz w:val="22"/>
          <w:szCs w:val="22"/>
          <w:lang w:val="sr-Latn-ME"/>
        </w:rPr>
        <w:t xml:space="preserve"> </w:t>
      </w:r>
      <w:r w:rsidRPr="00C76E49">
        <w:rPr>
          <w:b/>
          <w:bCs/>
          <w:sz w:val="22"/>
          <w:szCs w:val="22"/>
        </w:rPr>
        <w:t>PODACI</w:t>
      </w:r>
    </w:p>
    <w:p w14:paraId="285AB693" w14:textId="77777777" w:rsidR="0072020E" w:rsidRPr="006E31B1" w:rsidRDefault="0072020E" w:rsidP="00A25D4F">
      <w:pPr>
        <w:tabs>
          <w:tab w:val="left" w:pos="540"/>
          <w:tab w:val="left" w:pos="569"/>
        </w:tabs>
        <w:jc w:val="both"/>
        <w:rPr>
          <w:b/>
          <w:bCs/>
          <w:sz w:val="22"/>
          <w:szCs w:val="22"/>
          <w:lang w:val="sr-Latn-ME"/>
        </w:rPr>
      </w:pPr>
    </w:p>
    <w:p w14:paraId="3B1AE8D7"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5.1. </w:t>
      </w:r>
      <w:r w:rsidR="00480FB1" w:rsidRPr="006E31B1">
        <w:rPr>
          <w:b/>
          <w:bCs/>
          <w:sz w:val="22"/>
          <w:szCs w:val="22"/>
          <w:lang w:val="sr-Latn-ME"/>
        </w:rPr>
        <w:tab/>
      </w:r>
      <w:proofErr w:type="spellStart"/>
      <w:r w:rsidRPr="00C76E49">
        <w:rPr>
          <w:b/>
          <w:bCs/>
          <w:sz w:val="22"/>
          <w:szCs w:val="22"/>
        </w:rPr>
        <w:t>Farmakodinamski</w:t>
      </w:r>
      <w:proofErr w:type="spellEnd"/>
      <w:r w:rsidRPr="006E31B1">
        <w:rPr>
          <w:b/>
          <w:bCs/>
          <w:sz w:val="22"/>
          <w:szCs w:val="22"/>
          <w:lang w:val="sr-Latn-ME"/>
        </w:rPr>
        <w:t xml:space="preserve"> </w:t>
      </w:r>
      <w:proofErr w:type="spellStart"/>
      <w:r w:rsidRPr="00C76E49">
        <w:rPr>
          <w:b/>
          <w:bCs/>
          <w:sz w:val="22"/>
          <w:szCs w:val="22"/>
        </w:rPr>
        <w:t>podaci</w:t>
      </w:r>
      <w:proofErr w:type="spellEnd"/>
      <w:r w:rsidR="003A7059" w:rsidRPr="006E31B1">
        <w:rPr>
          <w:b/>
          <w:bCs/>
          <w:sz w:val="22"/>
          <w:szCs w:val="22"/>
          <w:lang w:val="sr-Latn-ME"/>
        </w:rPr>
        <w:t xml:space="preserve"> </w:t>
      </w:r>
    </w:p>
    <w:p w14:paraId="126345DE" w14:textId="77777777" w:rsidR="00F45F77" w:rsidRPr="006E31B1" w:rsidRDefault="00F45F77" w:rsidP="00A25D4F">
      <w:pPr>
        <w:tabs>
          <w:tab w:val="left" w:pos="540"/>
          <w:tab w:val="left" w:pos="569"/>
        </w:tabs>
        <w:jc w:val="both"/>
        <w:rPr>
          <w:b/>
          <w:bCs/>
          <w:sz w:val="22"/>
          <w:szCs w:val="22"/>
          <w:lang w:val="sr-Latn-ME"/>
        </w:rPr>
      </w:pPr>
    </w:p>
    <w:p w14:paraId="057C0D40" w14:textId="77777777" w:rsidR="0072020E" w:rsidRPr="006E31B1" w:rsidRDefault="0072020E" w:rsidP="00A25D4F">
      <w:pPr>
        <w:tabs>
          <w:tab w:val="left" w:pos="540"/>
          <w:tab w:val="left" w:pos="569"/>
        </w:tabs>
        <w:jc w:val="both"/>
        <w:rPr>
          <w:bCs/>
          <w:sz w:val="22"/>
          <w:szCs w:val="22"/>
          <w:lang w:val="sr-Latn-ME"/>
        </w:rPr>
      </w:pPr>
      <w:proofErr w:type="spellStart"/>
      <w:r w:rsidRPr="00C76E49">
        <w:rPr>
          <w:bCs/>
          <w:sz w:val="22"/>
          <w:szCs w:val="22"/>
        </w:rPr>
        <w:t>Farmakoterapijska</w:t>
      </w:r>
      <w:proofErr w:type="spellEnd"/>
      <w:r w:rsidRPr="006E31B1">
        <w:rPr>
          <w:bCs/>
          <w:sz w:val="22"/>
          <w:szCs w:val="22"/>
          <w:lang w:val="sr-Latn-ME"/>
        </w:rPr>
        <w:t xml:space="preserve"> </w:t>
      </w:r>
      <w:proofErr w:type="spellStart"/>
      <w:r w:rsidRPr="00C76E49">
        <w:rPr>
          <w:bCs/>
          <w:sz w:val="22"/>
          <w:szCs w:val="22"/>
        </w:rPr>
        <w:t>grupa</w:t>
      </w:r>
      <w:proofErr w:type="spellEnd"/>
      <w:r w:rsidRPr="006E31B1">
        <w:rPr>
          <w:bCs/>
          <w:sz w:val="22"/>
          <w:szCs w:val="22"/>
          <w:lang w:val="sr-Latn-ME"/>
        </w:rPr>
        <w:t>:</w:t>
      </w:r>
      <w:r w:rsidR="00574B57" w:rsidRPr="00C76E49">
        <w:rPr>
          <w:sz w:val="22"/>
          <w:szCs w:val="22"/>
          <w:lang w:val="sr-Latn-ME"/>
        </w:rPr>
        <w:t xml:space="preserve"> hormoni prednjeg režnja hipofize i njihovi analozi</w:t>
      </w:r>
    </w:p>
    <w:p w14:paraId="0314FB30" w14:textId="77777777" w:rsidR="0072020E" w:rsidRPr="006E31B1" w:rsidRDefault="0072020E" w:rsidP="00A25D4F">
      <w:pPr>
        <w:tabs>
          <w:tab w:val="left" w:pos="540"/>
          <w:tab w:val="left" w:pos="569"/>
        </w:tabs>
        <w:jc w:val="both"/>
        <w:rPr>
          <w:bCs/>
          <w:sz w:val="22"/>
          <w:szCs w:val="22"/>
          <w:lang w:val="sr-Latn-ME"/>
        </w:rPr>
      </w:pPr>
    </w:p>
    <w:p w14:paraId="56F516FC" w14:textId="77777777" w:rsidR="0072020E" w:rsidRPr="00C76E49" w:rsidRDefault="0072020E" w:rsidP="00A25D4F">
      <w:pPr>
        <w:tabs>
          <w:tab w:val="left" w:pos="540"/>
          <w:tab w:val="left" w:pos="569"/>
        </w:tabs>
        <w:jc w:val="both"/>
        <w:rPr>
          <w:sz w:val="22"/>
          <w:szCs w:val="22"/>
          <w:lang w:val="sr-Latn-ME"/>
        </w:rPr>
      </w:pPr>
      <w:r w:rsidRPr="00C76E49">
        <w:rPr>
          <w:bCs/>
          <w:sz w:val="22"/>
          <w:szCs w:val="22"/>
        </w:rPr>
        <w:t>ATC</w:t>
      </w:r>
      <w:r w:rsidRPr="006E31B1">
        <w:rPr>
          <w:bCs/>
          <w:sz w:val="22"/>
          <w:szCs w:val="22"/>
          <w:lang w:val="sr-Latn-ME"/>
        </w:rPr>
        <w:t xml:space="preserve"> </w:t>
      </w:r>
      <w:proofErr w:type="spellStart"/>
      <w:r w:rsidRPr="00C76E49">
        <w:rPr>
          <w:bCs/>
          <w:sz w:val="22"/>
          <w:szCs w:val="22"/>
        </w:rPr>
        <w:t>kod</w:t>
      </w:r>
      <w:proofErr w:type="spellEnd"/>
      <w:r w:rsidRPr="006E31B1">
        <w:rPr>
          <w:bCs/>
          <w:sz w:val="22"/>
          <w:szCs w:val="22"/>
          <w:lang w:val="sr-Latn-ME"/>
        </w:rPr>
        <w:t>:</w:t>
      </w:r>
      <w:r w:rsidR="00574B57" w:rsidRPr="00C76E49">
        <w:rPr>
          <w:sz w:val="22"/>
          <w:szCs w:val="22"/>
          <w:lang w:val="sr-Latn-ME"/>
        </w:rPr>
        <w:t xml:space="preserve"> H01AC01</w:t>
      </w:r>
    </w:p>
    <w:p w14:paraId="137FA462" w14:textId="77777777" w:rsidR="00574B57" w:rsidRPr="00C76E49" w:rsidRDefault="00574B57" w:rsidP="00A25D4F">
      <w:pPr>
        <w:pStyle w:val="Header"/>
        <w:tabs>
          <w:tab w:val="left" w:pos="284"/>
        </w:tabs>
        <w:jc w:val="both"/>
        <w:rPr>
          <w:sz w:val="22"/>
          <w:szCs w:val="22"/>
          <w:lang w:val="sr-Latn-ME"/>
        </w:rPr>
      </w:pPr>
    </w:p>
    <w:p w14:paraId="22D1FE1F" w14:textId="77777777" w:rsidR="00574B57" w:rsidRPr="00C76E49" w:rsidRDefault="00574B57" w:rsidP="00A25D4F">
      <w:pPr>
        <w:autoSpaceDE w:val="0"/>
        <w:autoSpaceDN w:val="0"/>
        <w:adjustRightInd w:val="0"/>
        <w:jc w:val="both"/>
        <w:rPr>
          <w:sz w:val="22"/>
          <w:szCs w:val="22"/>
          <w:lang w:val="sr-Latn-ME" w:eastAsia="sr-Latn-ME"/>
        </w:rPr>
      </w:pPr>
      <w:r w:rsidRPr="00C76E49">
        <w:rPr>
          <w:sz w:val="22"/>
          <w:szCs w:val="22"/>
          <w:lang w:val="sr-Latn-ME"/>
        </w:rPr>
        <w:t>Lijek Omnitrope pripada grupi biološki sličnih ljekova (biosimilari).</w:t>
      </w:r>
      <w:r w:rsidR="00FC0009" w:rsidRPr="00C76E49">
        <w:rPr>
          <w:sz w:val="22"/>
          <w:szCs w:val="22"/>
          <w:lang w:val="sr-Latn-ME" w:eastAsia="sr-Latn-ME"/>
        </w:rPr>
        <w:t xml:space="preserve"> Detaljnije informacije dostupne su na internetskoj stranici Europske agencije za lijekove http://www.ema.europa.eu.</w:t>
      </w:r>
    </w:p>
    <w:p w14:paraId="6D0EBFC7" w14:textId="77777777" w:rsidR="00574B57" w:rsidRPr="00C76E49" w:rsidRDefault="00574B57" w:rsidP="00A25D4F">
      <w:pPr>
        <w:pStyle w:val="Header"/>
        <w:tabs>
          <w:tab w:val="left" w:pos="284"/>
        </w:tabs>
        <w:jc w:val="both"/>
        <w:rPr>
          <w:sz w:val="22"/>
          <w:szCs w:val="22"/>
          <w:lang w:val="sr-Latn-ME"/>
        </w:rPr>
      </w:pPr>
    </w:p>
    <w:p w14:paraId="69E0314C" w14:textId="77777777" w:rsidR="00574B57" w:rsidRPr="00C76E49" w:rsidRDefault="00574B57" w:rsidP="00A25D4F">
      <w:pPr>
        <w:pStyle w:val="Header"/>
        <w:tabs>
          <w:tab w:val="left" w:pos="284"/>
        </w:tabs>
        <w:jc w:val="both"/>
        <w:rPr>
          <w:sz w:val="22"/>
          <w:szCs w:val="22"/>
          <w:u w:val="single"/>
          <w:lang w:val="sr-Latn-ME"/>
        </w:rPr>
      </w:pPr>
      <w:r w:rsidRPr="00C76E49">
        <w:rPr>
          <w:sz w:val="22"/>
          <w:szCs w:val="22"/>
          <w:u w:val="single"/>
          <w:lang w:val="sr-Latn-ME"/>
        </w:rPr>
        <w:t>Mehanizam dejstva</w:t>
      </w:r>
    </w:p>
    <w:p w14:paraId="58D02220" w14:textId="2EFC71F4" w:rsidR="00574B57" w:rsidRPr="00C76E49" w:rsidRDefault="00574B57" w:rsidP="00A25D4F">
      <w:pPr>
        <w:pStyle w:val="Header"/>
        <w:tabs>
          <w:tab w:val="left" w:pos="284"/>
        </w:tabs>
        <w:jc w:val="both"/>
        <w:rPr>
          <w:sz w:val="22"/>
          <w:szCs w:val="22"/>
          <w:lang w:val="sr-Latn-ME"/>
        </w:rPr>
      </w:pPr>
      <w:r w:rsidRPr="00C76E49">
        <w:rPr>
          <w:sz w:val="22"/>
          <w:szCs w:val="22"/>
          <w:lang w:val="sr-Latn-ME"/>
        </w:rPr>
        <w:t>Somatropin je jak metabolički hormon važan za metabolizam lipida, ugljenih hidrata i proteina. Kod djece sa nedovoljno endogenog hormona rasta, somatropin stimuliše linearni rast i povećava brzinu rasta. Kod odraslih i djece, somatropin održava normalan sastav organizma povećavanjem zadržavanja azota i stimulacijom rasta skeletnih mišića, kao i mobilizacijom tjelesne masti. Viscelarno masno tkivo je naročito osjetljivo na somatropin. Pored pojačavanja lipolize, somatropin smanjuje i preuzimanje triglicerida u depoe tjelesne masti. Somatropin povećava koncentraciju IGF-1</w:t>
      </w:r>
      <w:r w:rsidR="00E737AC">
        <w:rPr>
          <w:sz w:val="22"/>
          <w:szCs w:val="22"/>
          <w:lang w:val="sr-Latn-ME"/>
        </w:rPr>
        <w:t xml:space="preserve"> </w:t>
      </w:r>
      <w:r w:rsidRPr="00C76E49">
        <w:rPr>
          <w:sz w:val="22"/>
          <w:szCs w:val="22"/>
          <w:lang w:val="sr-Latn-ME"/>
        </w:rPr>
        <w:t>faktor rasta sličan insulinu-1) i IGFBP3 (protein koji vezuje faktor rasta sličan insulinu-3) u serumu. Pored toga, zabilježena su i sljedeća djelovanja.</w:t>
      </w:r>
    </w:p>
    <w:p w14:paraId="43BA0695" w14:textId="77777777" w:rsidR="00574B57" w:rsidRPr="00C76E49" w:rsidRDefault="00574B57" w:rsidP="00A25D4F">
      <w:pPr>
        <w:pStyle w:val="Header"/>
        <w:tabs>
          <w:tab w:val="left" w:pos="284"/>
        </w:tabs>
        <w:jc w:val="both"/>
        <w:rPr>
          <w:sz w:val="22"/>
          <w:szCs w:val="22"/>
          <w:lang w:val="sr-Latn-ME"/>
        </w:rPr>
      </w:pPr>
    </w:p>
    <w:p w14:paraId="529B5D9E" w14:textId="77777777" w:rsidR="00574B57" w:rsidRPr="00C76E49" w:rsidRDefault="00574B57" w:rsidP="00A25D4F">
      <w:pPr>
        <w:pStyle w:val="Header"/>
        <w:tabs>
          <w:tab w:val="left" w:pos="284"/>
        </w:tabs>
        <w:jc w:val="both"/>
        <w:rPr>
          <w:sz w:val="22"/>
          <w:szCs w:val="22"/>
          <w:u w:val="single"/>
          <w:lang w:val="sr-Latn-ME"/>
        </w:rPr>
      </w:pPr>
      <w:r w:rsidRPr="00C76E49">
        <w:rPr>
          <w:sz w:val="22"/>
          <w:szCs w:val="22"/>
          <w:u w:val="single"/>
          <w:lang w:val="sr-Latn-ME"/>
        </w:rPr>
        <w:t>Farmakodinamski efekti</w:t>
      </w:r>
    </w:p>
    <w:p w14:paraId="62175677" w14:textId="77777777" w:rsidR="00B621CE" w:rsidRDefault="00B621CE" w:rsidP="00A25D4F">
      <w:pPr>
        <w:pStyle w:val="Header"/>
        <w:tabs>
          <w:tab w:val="left" w:pos="284"/>
        </w:tabs>
        <w:jc w:val="both"/>
        <w:rPr>
          <w:i/>
          <w:sz w:val="22"/>
          <w:szCs w:val="22"/>
          <w:u w:val="single"/>
          <w:lang w:val="sr-Latn-ME"/>
        </w:rPr>
      </w:pPr>
    </w:p>
    <w:p w14:paraId="2D6347EC" w14:textId="56966115"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Metabolizam lipida</w:t>
      </w:r>
    </w:p>
    <w:p w14:paraId="54CAF430"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Somatropin indukuje jetrene receptore za LDL holesterol i utiče na profil lipida i lipoproteina u serumu. Primjena somatropina kod pacijenata sa deficitom hormona rasta generalno smanjuje LDL i apolipoprotein B u serumu. Takođe se može uočiti i smanjenje ukupnog holesterola u serumu.</w:t>
      </w:r>
    </w:p>
    <w:p w14:paraId="0906ABE9" w14:textId="7108DCA9" w:rsidR="00574B57" w:rsidRDefault="00574B57" w:rsidP="00A25D4F">
      <w:pPr>
        <w:pStyle w:val="Header"/>
        <w:tabs>
          <w:tab w:val="left" w:pos="284"/>
        </w:tabs>
        <w:jc w:val="both"/>
        <w:rPr>
          <w:sz w:val="22"/>
          <w:szCs w:val="22"/>
          <w:lang w:val="sr-Latn-ME"/>
        </w:rPr>
      </w:pPr>
    </w:p>
    <w:p w14:paraId="7C0637BA" w14:textId="29349F4A" w:rsidR="00D50357" w:rsidRDefault="00D50357" w:rsidP="00A25D4F">
      <w:pPr>
        <w:pStyle w:val="Header"/>
        <w:tabs>
          <w:tab w:val="left" w:pos="284"/>
        </w:tabs>
        <w:jc w:val="both"/>
        <w:rPr>
          <w:sz w:val="22"/>
          <w:szCs w:val="22"/>
          <w:lang w:val="sr-Latn-ME"/>
        </w:rPr>
      </w:pPr>
    </w:p>
    <w:p w14:paraId="62CFAD5A" w14:textId="77777777" w:rsidR="00D50357" w:rsidRPr="00C76E49" w:rsidRDefault="00D50357" w:rsidP="00A25D4F">
      <w:pPr>
        <w:pStyle w:val="Header"/>
        <w:tabs>
          <w:tab w:val="left" w:pos="284"/>
        </w:tabs>
        <w:jc w:val="both"/>
        <w:rPr>
          <w:sz w:val="22"/>
          <w:szCs w:val="22"/>
          <w:lang w:val="sr-Latn-ME"/>
        </w:rPr>
      </w:pPr>
    </w:p>
    <w:p w14:paraId="5FFDAE48" w14:textId="77777777" w:rsidR="00574B57" w:rsidRPr="006E31B1" w:rsidRDefault="00574B57" w:rsidP="00A25D4F">
      <w:pPr>
        <w:pStyle w:val="Header"/>
        <w:tabs>
          <w:tab w:val="left" w:pos="284"/>
        </w:tabs>
        <w:jc w:val="both"/>
        <w:rPr>
          <w:sz w:val="22"/>
          <w:szCs w:val="22"/>
          <w:u w:val="single"/>
          <w:lang w:val="sr-Latn-ME"/>
        </w:rPr>
      </w:pPr>
      <w:r w:rsidRPr="006E31B1">
        <w:rPr>
          <w:i/>
          <w:sz w:val="22"/>
          <w:szCs w:val="22"/>
          <w:u w:val="single"/>
          <w:lang w:val="sr-Latn-ME"/>
        </w:rPr>
        <w:lastRenderedPageBreak/>
        <w:t>Metabolizam ugljenih hidrata</w:t>
      </w:r>
    </w:p>
    <w:p w14:paraId="2213F98B"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Somatropin povećava vrijednosti insulina, ali glukoza u krvi izmjerena natašte obično ostaje nepromijenjena. Kod djece sa hipopituitarizmom može se javiti hipoglikemija na tašte. Ovo stanje je reverzibilno sa somatropinom.</w:t>
      </w:r>
    </w:p>
    <w:p w14:paraId="735906DC" w14:textId="77777777" w:rsidR="00574B57" w:rsidRPr="00C76E49" w:rsidRDefault="00574B57" w:rsidP="00A25D4F">
      <w:pPr>
        <w:pStyle w:val="Header"/>
        <w:tabs>
          <w:tab w:val="left" w:pos="284"/>
        </w:tabs>
        <w:jc w:val="both"/>
        <w:rPr>
          <w:sz w:val="22"/>
          <w:szCs w:val="22"/>
          <w:lang w:val="sr-Latn-ME"/>
        </w:rPr>
      </w:pPr>
    </w:p>
    <w:p w14:paraId="39691D0F"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Metabolizam vode i minerala</w:t>
      </w:r>
    </w:p>
    <w:p w14:paraId="108C9B19"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Deficit hormona rasta je povezan sa smanjenjem volumena plazme i ekstracelularne tečnosti. Oba volumena se brzo povećavaju nakon liječenja somatropinom. Somatropin indukuje zadržavanje natrijuma, kalijuma i fosfata.</w:t>
      </w:r>
    </w:p>
    <w:p w14:paraId="7D26CEF7" w14:textId="77777777" w:rsidR="00574B57" w:rsidRPr="006E31B1" w:rsidRDefault="00574B57" w:rsidP="00A25D4F">
      <w:pPr>
        <w:pStyle w:val="Header"/>
        <w:tabs>
          <w:tab w:val="left" w:pos="284"/>
        </w:tabs>
        <w:jc w:val="both"/>
        <w:rPr>
          <w:sz w:val="22"/>
          <w:szCs w:val="22"/>
          <w:u w:val="single"/>
          <w:lang w:val="sr-Latn-ME"/>
        </w:rPr>
      </w:pPr>
    </w:p>
    <w:p w14:paraId="54DEE579"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Metabolizam kostiju</w:t>
      </w:r>
    </w:p>
    <w:p w14:paraId="061623A9"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Somatropin stimuliše pregradnju kostiju. Dugotrajna primjena somatropina kod pacijenata sa deficitom hormona rasta sa neutropenijom dovodi do porasta sadržaja minerala i gustine kostiju na mjestima opterećenja.</w:t>
      </w:r>
    </w:p>
    <w:p w14:paraId="1A62AF90" w14:textId="77777777" w:rsidR="00EE159C" w:rsidRPr="00C76E49" w:rsidRDefault="00EE159C" w:rsidP="00A25D4F">
      <w:pPr>
        <w:pStyle w:val="Header"/>
        <w:tabs>
          <w:tab w:val="left" w:pos="284"/>
        </w:tabs>
        <w:jc w:val="both"/>
        <w:rPr>
          <w:sz w:val="22"/>
          <w:szCs w:val="22"/>
          <w:lang w:val="sr-Latn-ME"/>
        </w:rPr>
      </w:pPr>
    </w:p>
    <w:p w14:paraId="56F5DE62"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Fizički kapacitet</w:t>
      </w:r>
    </w:p>
    <w:p w14:paraId="316142D9" w14:textId="25AC6A85" w:rsidR="00574B57" w:rsidRPr="00C76E49" w:rsidRDefault="00574B57" w:rsidP="00A25D4F">
      <w:pPr>
        <w:pStyle w:val="Header"/>
        <w:tabs>
          <w:tab w:val="left" w:pos="284"/>
        </w:tabs>
        <w:jc w:val="both"/>
        <w:rPr>
          <w:sz w:val="22"/>
          <w:szCs w:val="22"/>
          <w:lang w:val="sr-Latn-ME"/>
        </w:rPr>
      </w:pPr>
      <w:r w:rsidRPr="00C76E49">
        <w:rPr>
          <w:sz w:val="22"/>
          <w:szCs w:val="22"/>
          <w:lang w:val="sr-Latn-ME"/>
        </w:rPr>
        <w:t>Snaga mišića i sposobnost za fizičke vježbe poboljšavaju se posl</w:t>
      </w:r>
      <w:r w:rsidR="00FF2B3B">
        <w:rPr>
          <w:sz w:val="22"/>
          <w:szCs w:val="22"/>
          <w:lang w:val="sr-Latn-ME"/>
        </w:rPr>
        <w:t>ij</w:t>
      </w:r>
      <w:r w:rsidRPr="00C76E49">
        <w:rPr>
          <w:sz w:val="22"/>
          <w:szCs w:val="22"/>
          <w:lang w:val="sr-Latn-ME"/>
        </w:rPr>
        <w:t>e dugotrajnog liječenja somatropinom. So</w:t>
      </w:r>
      <w:r w:rsidR="00B621CE">
        <w:rPr>
          <w:sz w:val="22"/>
          <w:szCs w:val="22"/>
          <w:lang w:val="sr-Latn-ME"/>
        </w:rPr>
        <w:t>ma</w:t>
      </w:r>
      <w:r w:rsidRPr="00C76E49">
        <w:rPr>
          <w:sz w:val="22"/>
          <w:szCs w:val="22"/>
          <w:lang w:val="sr-Latn-ME"/>
        </w:rPr>
        <w:t>tropin povećava i minutni volumen srca, ali mehanizam još uvek nije razjašnjen. Tom efektu može da doprinese smanjenje perifernog vaskularnog otpora.</w:t>
      </w:r>
    </w:p>
    <w:p w14:paraId="7B4E5239" w14:textId="77777777" w:rsidR="00574B57" w:rsidRPr="00C76E49" w:rsidRDefault="00574B57" w:rsidP="00A25D4F">
      <w:pPr>
        <w:pStyle w:val="Header"/>
        <w:tabs>
          <w:tab w:val="left" w:pos="284"/>
        </w:tabs>
        <w:jc w:val="both"/>
        <w:rPr>
          <w:sz w:val="22"/>
          <w:szCs w:val="22"/>
          <w:lang w:val="sr-Latn-ME"/>
        </w:rPr>
      </w:pPr>
    </w:p>
    <w:p w14:paraId="06B55B48" w14:textId="77777777" w:rsidR="00574B57" w:rsidRPr="00C76E49" w:rsidRDefault="00574B57" w:rsidP="00A25D4F">
      <w:pPr>
        <w:pStyle w:val="Header"/>
        <w:tabs>
          <w:tab w:val="left" w:pos="284"/>
        </w:tabs>
        <w:jc w:val="both"/>
        <w:rPr>
          <w:sz w:val="22"/>
          <w:szCs w:val="22"/>
          <w:u w:val="single"/>
          <w:lang w:val="sr-Latn-ME"/>
        </w:rPr>
      </w:pPr>
      <w:r w:rsidRPr="00C76E49">
        <w:rPr>
          <w:sz w:val="22"/>
          <w:szCs w:val="22"/>
          <w:u w:val="single"/>
          <w:lang w:val="sr-Latn-ME"/>
        </w:rPr>
        <w:t>Klinička efikasnost i bezbjednost</w:t>
      </w:r>
    </w:p>
    <w:p w14:paraId="767B9552" w14:textId="77777777" w:rsidR="00574B57" w:rsidRPr="00C76E49" w:rsidRDefault="00574B57" w:rsidP="00A25D4F">
      <w:pPr>
        <w:tabs>
          <w:tab w:val="left" w:pos="540"/>
          <w:tab w:val="left" w:pos="569"/>
        </w:tabs>
        <w:jc w:val="both"/>
        <w:rPr>
          <w:sz w:val="22"/>
          <w:szCs w:val="22"/>
          <w:lang w:val="sr-Latn-ME"/>
        </w:rPr>
      </w:pPr>
      <w:r w:rsidRPr="00C76E49">
        <w:rPr>
          <w:sz w:val="22"/>
          <w:szCs w:val="22"/>
          <w:lang w:val="sr-Latn-ME"/>
        </w:rPr>
        <w:t xml:space="preserve">Tokom kliničkih studija kod niske djece/adolescenata koji su rođeni mali za gestacijsku dob za liječenje su korišćene doze od 0.033 i 0.067 mg somatropina/kg tjelesne mase/dan do postizanja konačne visine. Kod 56 neprekidno liječenih pacijenata koji su dostigli (skoro) konačnu visinu, srednja promjena u visini od početka liječenja iznosila je +1.90 SDS (0.033 mg/kg tjelesne mase/dan) i +2.19 SDS (0.067 mg somatropina/kg tjelesne mase/dan). Podaci iz literature od neliječene djece/adolescenata koji su rođeni mali za gestacijsku dob bez ranog spontanog ubrzanog rasta, sugerišu kasniji rast od 0.5 SDS. </w:t>
      </w:r>
    </w:p>
    <w:p w14:paraId="7E1C6585" w14:textId="77777777" w:rsidR="00EE159C" w:rsidRPr="00C76E49" w:rsidRDefault="00EE159C" w:rsidP="00A25D4F">
      <w:pPr>
        <w:autoSpaceDE w:val="0"/>
        <w:autoSpaceDN w:val="0"/>
        <w:adjustRightInd w:val="0"/>
        <w:jc w:val="both"/>
        <w:rPr>
          <w:sz w:val="22"/>
          <w:szCs w:val="22"/>
          <w:lang w:val="sr-Latn-ME" w:eastAsia="sr-Latn-ME"/>
        </w:rPr>
      </w:pPr>
    </w:p>
    <w:p w14:paraId="226F8D8A" w14:textId="77777777" w:rsidR="00DC7088" w:rsidRPr="007B1358" w:rsidRDefault="00DC7088" w:rsidP="00DC7088">
      <w:pPr>
        <w:autoSpaceDE w:val="0"/>
        <w:autoSpaceDN w:val="0"/>
        <w:adjustRightInd w:val="0"/>
        <w:jc w:val="both"/>
        <w:rPr>
          <w:sz w:val="22"/>
          <w:szCs w:val="22"/>
          <w:u w:val="single"/>
          <w:lang w:val="sr-Latn-ME" w:eastAsia="sr-Latn-ME"/>
        </w:rPr>
      </w:pPr>
      <w:r w:rsidRPr="007B1358">
        <w:rPr>
          <w:sz w:val="22"/>
          <w:szCs w:val="22"/>
          <w:u w:val="single"/>
          <w:lang w:val="sr-Latn-ME" w:eastAsia="sr-Latn-ME"/>
        </w:rPr>
        <w:t>Iskustvo postmarketinških studija:</w:t>
      </w:r>
    </w:p>
    <w:p w14:paraId="2C95A21A" w14:textId="627F31BA" w:rsidR="00DC7088" w:rsidRDefault="00DC7088" w:rsidP="00DC7088">
      <w:pPr>
        <w:autoSpaceDE w:val="0"/>
        <w:autoSpaceDN w:val="0"/>
        <w:adjustRightInd w:val="0"/>
        <w:jc w:val="both"/>
        <w:rPr>
          <w:sz w:val="22"/>
          <w:szCs w:val="22"/>
          <w:lang w:val="sr-Latn-ME" w:eastAsia="sr-Latn-ME"/>
        </w:rPr>
      </w:pPr>
      <w:r w:rsidRPr="00C76E49">
        <w:rPr>
          <w:sz w:val="22"/>
          <w:szCs w:val="22"/>
          <w:lang w:val="sr-Latn-ME" w:eastAsia="sr-Latn-ME"/>
        </w:rPr>
        <w:t>Međunarodni, neinterventni, nekontrolisani, longitudinalni, otvoreni i multicentrični, dobrovoljni PASS kategorije 3, dizajniran da evidentira podatke o bezbjednosti i efikasnosti 7359 pedijatrijskih pacijenata liječenih Omnitropom u različitim indikacijama, sproveo je Sandoz između 2006. i 2020. u 11 evropskih zemalja</w:t>
      </w:r>
      <w:r w:rsidR="00033057">
        <w:rPr>
          <w:sz w:val="22"/>
          <w:szCs w:val="22"/>
          <w:lang w:val="sr-Latn-ME" w:eastAsia="sr-Latn-ME"/>
        </w:rPr>
        <w:t>,</w:t>
      </w:r>
      <w:r w:rsidRPr="00C76E49">
        <w:rPr>
          <w:sz w:val="22"/>
          <w:szCs w:val="22"/>
          <w:lang w:val="sr-Latn-ME" w:eastAsia="sr-Latn-ME"/>
        </w:rPr>
        <w:t xml:space="preserve"> u Sjevernoj Americi, Kanadi, Australiji i Tajvanu.</w:t>
      </w:r>
    </w:p>
    <w:p w14:paraId="545B8EF9" w14:textId="77777777" w:rsidR="0030017F" w:rsidRPr="00C76E49" w:rsidRDefault="0030017F" w:rsidP="00DC7088">
      <w:pPr>
        <w:autoSpaceDE w:val="0"/>
        <w:autoSpaceDN w:val="0"/>
        <w:adjustRightInd w:val="0"/>
        <w:jc w:val="both"/>
        <w:rPr>
          <w:sz w:val="22"/>
          <w:szCs w:val="22"/>
          <w:lang w:val="sr-Latn-ME" w:eastAsia="sr-Latn-ME"/>
        </w:rPr>
      </w:pPr>
    </w:p>
    <w:p w14:paraId="0378976A" w14:textId="4C30E841" w:rsidR="00DC7088" w:rsidRPr="00C76E49" w:rsidRDefault="00DC7088" w:rsidP="00DC7088">
      <w:pPr>
        <w:autoSpaceDE w:val="0"/>
        <w:autoSpaceDN w:val="0"/>
        <w:adjustRightInd w:val="0"/>
        <w:jc w:val="both"/>
        <w:rPr>
          <w:sz w:val="22"/>
          <w:szCs w:val="22"/>
          <w:lang w:val="sr-Latn-ME" w:eastAsia="sr-Latn-ME"/>
        </w:rPr>
      </w:pPr>
      <w:r w:rsidRPr="00C76E49">
        <w:rPr>
          <w:sz w:val="22"/>
          <w:szCs w:val="22"/>
          <w:lang w:val="sr-Latn-ME" w:eastAsia="sr-Latn-ME"/>
        </w:rPr>
        <w:t>Glavne pedijatrijske indikacije bile su: GHD (57,9%), SGA (26,6%), TS (4,9%), ISS (3,3%), PVS (3,2%) i CRI (1,0%). Većina pacijenata nije prethodno primjenjivala tretman rhGH (86,0%). U svim indikacijama, najčešća neželjena dejstva sa sumnjom na uzročnu vezu sa liječenjem Omnitropeom kod pacijenata bili su glavobolja (1,6%), bol na mjestu injekcije (1,1%), hematom na mjestu injekcije (1,1%) i artralgija (0,6%), proc</w:t>
      </w:r>
      <w:r w:rsidR="00033057">
        <w:rPr>
          <w:sz w:val="22"/>
          <w:szCs w:val="22"/>
          <w:lang w:val="sr-Latn-ME" w:eastAsia="sr-Latn-ME"/>
        </w:rPr>
        <w:t>i</w:t>
      </w:r>
      <w:r w:rsidRPr="00C76E49">
        <w:rPr>
          <w:sz w:val="22"/>
          <w:szCs w:val="22"/>
          <w:lang w:val="sr-Latn-ME" w:eastAsia="sr-Latn-ME"/>
        </w:rPr>
        <w:t>jenjeno u 7359 pedijatrijski pacijenti (SAF). Većina neželjenih dejstava za koje je procjenjeno da su povezani sa liječenjem somatropinom očekivani su na osnovu SmPC-a i poznatih za ovu vrstu klase molekula (GH). Intenzitet većine AE je bio blag ili umjeren.</w:t>
      </w:r>
    </w:p>
    <w:p w14:paraId="44557A6D" w14:textId="77777777" w:rsidR="00DC7088" w:rsidRPr="00C76E49" w:rsidRDefault="00DC7088" w:rsidP="00DC7088">
      <w:pPr>
        <w:autoSpaceDE w:val="0"/>
        <w:autoSpaceDN w:val="0"/>
        <w:adjustRightInd w:val="0"/>
        <w:jc w:val="both"/>
        <w:rPr>
          <w:sz w:val="22"/>
          <w:szCs w:val="22"/>
          <w:lang w:val="sr-Latn-ME" w:eastAsia="sr-Latn-ME"/>
        </w:rPr>
      </w:pPr>
      <w:r w:rsidRPr="00C76E49">
        <w:rPr>
          <w:sz w:val="22"/>
          <w:szCs w:val="22"/>
          <w:lang w:val="sr-Latn-ME" w:eastAsia="sr-Latn-ME"/>
        </w:rPr>
        <w:t>Rezultati efikasnosti, proc</w:t>
      </w:r>
      <w:r w:rsidR="00FF2B3B">
        <w:rPr>
          <w:sz w:val="22"/>
          <w:szCs w:val="22"/>
          <w:lang w:val="sr-Latn-ME" w:eastAsia="sr-Latn-ME"/>
        </w:rPr>
        <w:t>i</w:t>
      </w:r>
      <w:r w:rsidRPr="00C76E49">
        <w:rPr>
          <w:sz w:val="22"/>
          <w:szCs w:val="22"/>
          <w:lang w:val="sr-Latn-ME" w:eastAsia="sr-Latn-ME"/>
        </w:rPr>
        <w:t>jenjeni na 6589 pedijatrijskih pacijenata (EFF koji se sastoji od 5671 prethodno liječenih, 915 prethodno liječenih rhGH i 3 pacijenta sa nedostajućim informacijama prije tretmana), pokazuju da je liječenje somatropinom bilo efikasno i rezultiralo je značajnim povećanjem rasta koji je u skladu sa objavljeno u opservacionim studijama drugih odobrenih ljekova za rhGH: medijana H SDS se efektivno povećala sa -2,64 na početku na -1,97 nakon 1 godine i na -0,98 nakon 5 godina liječenja kod pacijenata koji prethodno nisu primali ovu terapiju, a medijana H SDS se povećala sa -1,49 na -1,21 posle 1 godine i do -0,98 posle 5 godina liječenja somatropinom kod pacijenata koji su prethodno liječeni. 1628/6589 (24,7%) pacijenata EFF-a dostiglo je konačnu visinu prema mišljenju ljekara (netretiranih pacijenata: 1289/5671, 22,7%); rhGH prethodno tretiran: 338/915, 36,9%). Medijan (opseg) konačnog H SDS kod netretiranih pacijenata -1,51 (-9,3 do 2,7) i -1,43 (-8,7 do 2,1) kod prethodno liječenih pacijenata.</w:t>
      </w:r>
    </w:p>
    <w:p w14:paraId="1E4674ED" w14:textId="77777777" w:rsidR="002E37A5" w:rsidRPr="006E31B1" w:rsidRDefault="002E37A5" w:rsidP="00A25D4F">
      <w:pPr>
        <w:tabs>
          <w:tab w:val="left" w:pos="540"/>
          <w:tab w:val="left" w:pos="569"/>
        </w:tabs>
        <w:jc w:val="both"/>
        <w:rPr>
          <w:b/>
          <w:bCs/>
          <w:sz w:val="22"/>
          <w:szCs w:val="22"/>
          <w:lang w:val="sr-Latn-ME"/>
        </w:rPr>
      </w:pPr>
    </w:p>
    <w:p w14:paraId="10006CF6"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5.2. </w:t>
      </w:r>
      <w:r w:rsidR="00480FB1" w:rsidRPr="006E31B1">
        <w:rPr>
          <w:b/>
          <w:bCs/>
          <w:sz w:val="22"/>
          <w:szCs w:val="22"/>
          <w:lang w:val="sr-Latn-ME"/>
        </w:rPr>
        <w:tab/>
      </w:r>
      <w:proofErr w:type="spellStart"/>
      <w:r w:rsidRPr="00C76E49">
        <w:rPr>
          <w:b/>
          <w:bCs/>
          <w:sz w:val="22"/>
          <w:szCs w:val="22"/>
        </w:rPr>
        <w:t>Farmakokineti</w:t>
      </w:r>
      <w:proofErr w:type="spellEnd"/>
      <w:r w:rsidRPr="006E31B1">
        <w:rPr>
          <w:b/>
          <w:bCs/>
          <w:sz w:val="22"/>
          <w:szCs w:val="22"/>
          <w:lang w:val="sr-Latn-ME"/>
        </w:rPr>
        <w:t>č</w:t>
      </w:r>
      <w:proofErr w:type="spellStart"/>
      <w:r w:rsidRPr="00C76E49">
        <w:rPr>
          <w:b/>
          <w:bCs/>
          <w:sz w:val="22"/>
          <w:szCs w:val="22"/>
        </w:rPr>
        <w:t>ki</w:t>
      </w:r>
      <w:proofErr w:type="spellEnd"/>
      <w:r w:rsidRPr="006E31B1">
        <w:rPr>
          <w:b/>
          <w:bCs/>
          <w:sz w:val="22"/>
          <w:szCs w:val="22"/>
          <w:lang w:val="sr-Latn-ME"/>
        </w:rPr>
        <w:t xml:space="preserve"> </w:t>
      </w:r>
      <w:proofErr w:type="spellStart"/>
      <w:r w:rsidRPr="00C76E49">
        <w:rPr>
          <w:b/>
          <w:bCs/>
          <w:sz w:val="22"/>
          <w:szCs w:val="22"/>
        </w:rPr>
        <w:t>podaci</w:t>
      </w:r>
      <w:proofErr w:type="spellEnd"/>
      <w:r w:rsidR="003A7059" w:rsidRPr="006E31B1">
        <w:rPr>
          <w:b/>
          <w:bCs/>
          <w:sz w:val="22"/>
          <w:szCs w:val="22"/>
          <w:lang w:val="sr-Latn-ME"/>
        </w:rPr>
        <w:t xml:space="preserve"> </w:t>
      </w:r>
    </w:p>
    <w:p w14:paraId="7B60CA11" w14:textId="77777777" w:rsidR="00574B57" w:rsidRPr="00C76E49" w:rsidRDefault="00574B57" w:rsidP="00A25D4F">
      <w:pPr>
        <w:pStyle w:val="Header"/>
        <w:tabs>
          <w:tab w:val="left" w:pos="284"/>
        </w:tabs>
        <w:jc w:val="both"/>
        <w:rPr>
          <w:i/>
          <w:sz w:val="22"/>
          <w:szCs w:val="22"/>
          <w:lang w:val="sr-Latn-ME"/>
        </w:rPr>
      </w:pPr>
    </w:p>
    <w:p w14:paraId="4B34F0ED"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Resorpcija</w:t>
      </w:r>
    </w:p>
    <w:p w14:paraId="490B8C96" w14:textId="44A39C5D" w:rsidR="00EE159C" w:rsidRPr="00C76E49" w:rsidRDefault="00574B57" w:rsidP="00A25D4F">
      <w:pPr>
        <w:pStyle w:val="Header"/>
        <w:tabs>
          <w:tab w:val="left" w:pos="284"/>
        </w:tabs>
        <w:jc w:val="both"/>
        <w:rPr>
          <w:sz w:val="22"/>
          <w:szCs w:val="22"/>
          <w:lang w:val="sr-Latn-ME"/>
        </w:rPr>
      </w:pPr>
      <w:r w:rsidRPr="00C76E49">
        <w:rPr>
          <w:sz w:val="22"/>
          <w:szCs w:val="22"/>
          <w:lang w:val="sr-Latn-ME"/>
        </w:rPr>
        <w:lastRenderedPageBreak/>
        <w:t>Bioraspoloživost su</w:t>
      </w:r>
      <w:r w:rsidR="00033057">
        <w:rPr>
          <w:sz w:val="22"/>
          <w:szCs w:val="22"/>
          <w:lang w:val="sr-Latn-ME"/>
        </w:rPr>
        <w:t>b</w:t>
      </w:r>
      <w:r w:rsidRPr="00C76E49">
        <w:rPr>
          <w:sz w:val="22"/>
          <w:szCs w:val="22"/>
          <w:lang w:val="sr-Latn-ME"/>
        </w:rPr>
        <w:t xml:space="preserve">kutano primijenjenog somatropina iznosi približno 80% i kod zdravih ispitanika i kod pacijenata sa deficitom hormona rasta. </w:t>
      </w:r>
    </w:p>
    <w:p w14:paraId="4BBCDDA3" w14:textId="77777777" w:rsidR="00574B57" w:rsidRPr="00C76E49" w:rsidRDefault="00574B57" w:rsidP="00A25D4F">
      <w:pPr>
        <w:pStyle w:val="Header"/>
        <w:tabs>
          <w:tab w:val="left" w:pos="284"/>
        </w:tabs>
        <w:jc w:val="both"/>
        <w:rPr>
          <w:sz w:val="22"/>
          <w:szCs w:val="22"/>
          <w:lang w:val="sr-Latn-ME"/>
        </w:rPr>
      </w:pPr>
    </w:p>
    <w:p w14:paraId="278F9AFF" w14:textId="5F5B0E27" w:rsidR="00EE159C" w:rsidRPr="00C76E49" w:rsidRDefault="00EE159C" w:rsidP="00A25D4F">
      <w:pPr>
        <w:autoSpaceDE w:val="0"/>
        <w:autoSpaceDN w:val="0"/>
        <w:adjustRightInd w:val="0"/>
        <w:jc w:val="both"/>
        <w:rPr>
          <w:sz w:val="22"/>
          <w:szCs w:val="22"/>
          <w:lang w:val="sr-Latn-ME" w:eastAsia="sr-Latn-ME"/>
        </w:rPr>
      </w:pPr>
      <w:r w:rsidRPr="00C76E49">
        <w:rPr>
          <w:sz w:val="22"/>
          <w:szCs w:val="22"/>
          <w:lang w:val="sr-Latn-ME" w:eastAsia="sr-Latn-ME"/>
        </w:rPr>
        <w:t>Su</w:t>
      </w:r>
      <w:r w:rsidR="00033057">
        <w:rPr>
          <w:sz w:val="22"/>
          <w:szCs w:val="22"/>
          <w:lang w:val="sr-Latn-ME" w:eastAsia="sr-Latn-ME"/>
        </w:rPr>
        <w:t>b</w:t>
      </w:r>
      <w:r w:rsidRPr="00C76E49">
        <w:rPr>
          <w:sz w:val="22"/>
          <w:szCs w:val="22"/>
          <w:lang w:val="sr-Latn-ME" w:eastAsia="sr-Latn-ME"/>
        </w:rPr>
        <w:t>kutana doza od 5 mg Omnitrope 10 mg/1,5 ml, rastvor za injekciju kod zdravih odraslih osoba dovodi do vrijednosti Cmax od 74 ± 22 μg/l u serumu, odnosno srednje vrijednosti tmax od 3,9 ± 1,2 sata.</w:t>
      </w:r>
    </w:p>
    <w:p w14:paraId="4B39E7E0" w14:textId="433ADC17" w:rsidR="00EE159C" w:rsidRPr="00C76E49" w:rsidRDefault="00EE159C" w:rsidP="00A25D4F">
      <w:pPr>
        <w:autoSpaceDE w:val="0"/>
        <w:autoSpaceDN w:val="0"/>
        <w:adjustRightInd w:val="0"/>
        <w:jc w:val="both"/>
        <w:rPr>
          <w:sz w:val="22"/>
          <w:szCs w:val="22"/>
          <w:lang w:val="sr-Latn-ME"/>
        </w:rPr>
      </w:pPr>
      <w:r w:rsidRPr="00C76E49">
        <w:rPr>
          <w:sz w:val="22"/>
          <w:szCs w:val="22"/>
          <w:lang w:val="sr-Latn-ME" w:eastAsia="sr-Latn-ME"/>
        </w:rPr>
        <w:t>Su</w:t>
      </w:r>
      <w:r w:rsidR="00033057">
        <w:rPr>
          <w:sz w:val="22"/>
          <w:szCs w:val="22"/>
          <w:lang w:val="sr-Latn-ME" w:eastAsia="sr-Latn-ME"/>
        </w:rPr>
        <w:t>b</w:t>
      </w:r>
      <w:r w:rsidRPr="00C76E49">
        <w:rPr>
          <w:sz w:val="22"/>
          <w:szCs w:val="22"/>
          <w:lang w:val="sr-Latn-ME" w:eastAsia="sr-Latn-ME"/>
        </w:rPr>
        <w:t xml:space="preserve">kutana doza od 5 mg Omnitrope 15 mg/1,5 ml, rastvor za injekciju </w:t>
      </w:r>
      <w:r w:rsidR="00756769" w:rsidRPr="00C76E49">
        <w:rPr>
          <w:sz w:val="22"/>
          <w:szCs w:val="22"/>
          <w:lang w:val="sr-Latn-ME" w:eastAsia="sr-Latn-ME"/>
        </w:rPr>
        <w:t>kod</w:t>
      </w:r>
      <w:r w:rsidRPr="00C76E49">
        <w:rPr>
          <w:sz w:val="22"/>
          <w:szCs w:val="22"/>
          <w:lang w:val="sr-Latn-ME" w:eastAsia="sr-Latn-ME"/>
        </w:rPr>
        <w:t xml:space="preserve"> zdravih odraslih osoba </w:t>
      </w:r>
      <w:r w:rsidR="00756769" w:rsidRPr="00C76E49">
        <w:rPr>
          <w:sz w:val="22"/>
          <w:szCs w:val="22"/>
          <w:lang w:val="sr-Latn-ME" w:eastAsia="sr-Latn-ME"/>
        </w:rPr>
        <w:t xml:space="preserve">dovodi do vrijednosti </w:t>
      </w:r>
      <w:r w:rsidRPr="00C76E49">
        <w:rPr>
          <w:sz w:val="22"/>
          <w:szCs w:val="22"/>
          <w:lang w:val="sr-Latn-ME" w:eastAsia="sr-Latn-ME"/>
        </w:rPr>
        <w:t>Cmax od 52 ± 19 μg/l</w:t>
      </w:r>
      <w:r w:rsidR="00756769" w:rsidRPr="00C76E49">
        <w:rPr>
          <w:sz w:val="22"/>
          <w:szCs w:val="22"/>
          <w:lang w:val="sr-Latn-ME" w:eastAsia="sr-Latn-ME"/>
        </w:rPr>
        <w:t xml:space="preserve"> u serumu</w:t>
      </w:r>
      <w:r w:rsidRPr="00C76E49">
        <w:rPr>
          <w:sz w:val="22"/>
          <w:szCs w:val="22"/>
          <w:lang w:val="sr-Latn-ME" w:eastAsia="sr-Latn-ME"/>
        </w:rPr>
        <w:t>,</w:t>
      </w:r>
      <w:r w:rsidR="00756769" w:rsidRPr="00C76E49">
        <w:rPr>
          <w:sz w:val="22"/>
          <w:szCs w:val="22"/>
          <w:lang w:val="sr-Latn-ME" w:eastAsia="sr-Latn-ME"/>
        </w:rPr>
        <w:t xml:space="preserve"> odnosno srednje vrijednosti tmax od</w:t>
      </w:r>
      <w:r w:rsidRPr="00C76E49">
        <w:rPr>
          <w:sz w:val="22"/>
          <w:szCs w:val="22"/>
          <w:lang w:val="sr-Latn-ME" w:eastAsia="sr-Latn-ME"/>
        </w:rPr>
        <w:t xml:space="preserve"> 3,7 ± 1,2 sata.</w:t>
      </w:r>
    </w:p>
    <w:p w14:paraId="078161E8" w14:textId="77777777" w:rsidR="00574B57" w:rsidRPr="00C76E49" w:rsidRDefault="00574B57" w:rsidP="00A25D4F">
      <w:pPr>
        <w:pStyle w:val="Header"/>
        <w:tabs>
          <w:tab w:val="left" w:pos="284"/>
        </w:tabs>
        <w:jc w:val="both"/>
        <w:rPr>
          <w:i/>
          <w:sz w:val="22"/>
          <w:szCs w:val="22"/>
          <w:lang w:val="sr-Latn-ME"/>
        </w:rPr>
      </w:pPr>
    </w:p>
    <w:p w14:paraId="0995B97B"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Eliminacija</w:t>
      </w:r>
    </w:p>
    <w:p w14:paraId="4FF96000" w14:textId="77777777" w:rsidR="00756769" w:rsidRPr="00C76E49" w:rsidRDefault="00574B57" w:rsidP="00A25D4F">
      <w:pPr>
        <w:pStyle w:val="Header"/>
        <w:tabs>
          <w:tab w:val="left" w:pos="284"/>
        </w:tabs>
        <w:jc w:val="both"/>
        <w:rPr>
          <w:sz w:val="22"/>
          <w:szCs w:val="22"/>
          <w:lang w:val="sr-Latn-ME"/>
        </w:rPr>
      </w:pPr>
      <w:r w:rsidRPr="00C76E49">
        <w:rPr>
          <w:sz w:val="22"/>
          <w:szCs w:val="22"/>
          <w:lang w:val="sr-Latn-ME"/>
        </w:rPr>
        <w:t>Srednje terminalno poluvrijeme eliminacije somatropina poslije intravenske primjene  kod odraslih pacijenata sa deficitom hormona rasta je oko 4.0 sata. Međutim, nakon su</w:t>
      </w:r>
      <w:r w:rsidR="005A2575" w:rsidRPr="00C76E49">
        <w:rPr>
          <w:sz w:val="22"/>
          <w:szCs w:val="22"/>
          <w:lang w:val="sr-Latn-ME"/>
        </w:rPr>
        <w:t>b</w:t>
      </w:r>
      <w:r w:rsidRPr="00C76E49">
        <w:rPr>
          <w:sz w:val="22"/>
          <w:szCs w:val="22"/>
          <w:lang w:val="sr-Latn-ME"/>
        </w:rPr>
        <w:t>kutane primjene lijeka Omnitrope 5 mg/1.5 ml,</w:t>
      </w:r>
      <w:r w:rsidR="00756769" w:rsidRPr="00C76E49">
        <w:rPr>
          <w:sz w:val="22"/>
          <w:szCs w:val="22"/>
          <w:lang w:val="sr-Latn-ME"/>
        </w:rPr>
        <w:t xml:space="preserve"> Omnitrope 10 mg/1,5 ml,</w:t>
      </w:r>
      <w:r w:rsidRPr="00C76E49">
        <w:rPr>
          <w:sz w:val="22"/>
          <w:szCs w:val="22"/>
          <w:lang w:val="sr-Latn-ME"/>
        </w:rPr>
        <w:t xml:space="preserve"> rastvor za injekciju, dostiže se poluvrijeme eliminacije od 3 sata.</w:t>
      </w:r>
      <w:r w:rsidR="00756769" w:rsidRPr="006E31B1">
        <w:rPr>
          <w:sz w:val="22"/>
          <w:szCs w:val="22"/>
          <w:lang w:val="sr-Latn-ME"/>
        </w:rPr>
        <w:t xml:space="preserve"> </w:t>
      </w:r>
      <w:r w:rsidR="00756769" w:rsidRPr="00C76E49">
        <w:rPr>
          <w:sz w:val="22"/>
          <w:szCs w:val="22"/>
          <w:lang w:val="sr-Latn-ME"/>
        </w:rPr>
        <w:t>Međutim, nakon su</w:t>
      </w:r>
      <w:r w:rsidR="005A2575" w:rsidRPr="00C76E49">
        <w:rPr>
          <w:sz w:val="22"/>
          <w:szCs w:val="22"/>
          <w:lang w:val="sr-Latn-ME"/>
        </w:rPr>
        <w:t>b</w:t>
      </w:r>
      <w:r w:rsidR="00756769" w:rsidRPr="00C76E49">
        <w:rPr>
          <w:sz w:val="22"/>
          <w:szCs w:val="22"/>
          <w:lang w:val="sr-Latn-ME"/>
        </w:rPr>
        <w:t>kutane primjene Omnitrope 15 mg/1,5 ml, rastvor za injekciju dostiže se poluvrijeme od 2,76 sata. Uočena razlika se vjerovatno javlja zbog spore resorpcije sa mjesta primjene lijeka nakon su</w:t>
      </w:r>
      <w:r w:rsidR="005A2575" w:rsidRPr="00C76E49">
        <w:rPr>
          <w:sz w:val="22"/>
          <w:szCs w:val="22"/>
          <w:lang w:val="sr-Latn-ME"/>
        </w:rPr>
        <w:t>b</w:t>
      </w:r>
      <w:r w:rsidR="00756769" w:rsidRPr="00C76E49">
        <w:rPr>
          <w:sz w:val="22"/>
          <w:szCs w:val="22"/>
          <w:lang w:val="sr-Latn-ME"/>
        </w:rPr>
        <w:t>kutane primjene.</w:t>
      </w:r>
    </w:p>
    <w:p w14:paraId="2CE4C24F" w14:textId="77777777" w:rsidR="00574B57" w:rsidRPr="00C76E49" w:rsidRDefault="00574B57" w:rsidP="00A25D4F">
      <w:pPr>
        <w:pStyle w:val="Header"/>
        <w:tabs>
          <w:tab w:val="left" w:pos="284"/>
        </w:tabs>
        <w:jc w:val="both"/>
        <w:rPr>
          <w:sz w:val="22"/>
          <w:szCs w:val="22"/>
          <w:lang w:val="sr-Latn-ME"/>
        </w:rPr>
      </w:pPr>
    </w:p>
    <w:p w14:paraId="5EFF1029" w14:textId="77777777" w:rsidR="00574B57" w:rsidRPr="006E31B1" w:rsidRDefault="00574B57" w:rsidP="00A25D4F">
      <w:pPr>
        <w:pStyle w:val="Header"/>
        <w:tabs>
          <w:tab w:val="left" w:pos="284"/>
        </w:tabs>
        <w:jc w:val="both"/>
        <w:rPr>
          <w:i/>
          <w:sz w:val="22"/>
          <w:szCs w:val="22"/>
          <w:u w:val="single"/>
          <w:lang w:val="sr-Latn-ME"/>
        </w:rPr>
      </w:pPr>
      <w:r w:rsidRPr="006E31B1">
        <w:rPr>
          <w:i/>
          <w:sz w:val="22"/>
          <w:szCs w:val="22"/>
          <w:u w:val="single"/>
          <w:lang w:val="sr-Latn-ME"/>
        </w:rPr>
        <w:t>Posebne populacije</w:t>
      </w:r>
    </w:p>
    <w:p w14:paraId="7A1BEF53" w14:textId="441A23BD" w:rsidR="00574B57" w:rsidRPr="00C76E49" w:rsidRDefault="00574B57" w:rsidP="00A25D4F">
      <w:pPr>
        <w:pStyle w:val="Header"/>
        <w:tabs>
          <w:tab w:val="left" w:pos="284"/>
        </w:tabs>
        <w:jc w:val="both"/>
        <w:rPr>
          <w:sz w:val="22"/>
          <w:szCs w:val="22"/>
          <w:lang w:val="sr-Latn-ME"/>
        </w:rPr>
      </w:pPr>
      <w:r w:rsidRPr="00C76E49">
        <w:rPr>
          <w:sz w:val="22"/>
          <w:szCs w:val="22"/>
          <w:lang w:val="sr-Latn-ME"/>
        </w:rPr>
        <w:t>Čini se da je apsolutna bioraspoloživost slična kod muškaraca i žena nakon su</w:t>
      </w:r>
      <w:r w:rsidR="00033057">
        <w:rPr>
          <w:sz w:val="22"/>
          <w:szCs w:val="22"/>
          <w:lang w:val="sr-Latn-ME"/>
        </w:rPr>
        <w:t>b</w:t>
      </w:r>
      <w:r w:rsidRPr="00C76E49">
        <w:rPr>
          <w:sz w:val="22"/>
          <w:szCs w:val="22"/>
          <w:lang w:val="sr-Latn-ME"/>
        </w:rPr>
        <w:t xml:space="preserve">kutane primjene. </w:t>
      </w:r>
    </w:p>
    <w:p w14:paraId="1CB93BB7" w14:textId="77777777" w:rsidR="00574B57" w:rsidRPr="00C76E49" w:rsidRDefault="00574B57" w:rsidP="00A25D4F">
      <w:pPr>
        <w:pStyle w:val="Header"/>
        <w:tabs>
          <w:tab w:val="left" w:pos="284"/>
        </w:tabs>
        <w:jc w:val="both"/>
        <w:rPr>
          <w:sz w:val="22"/>
          <w:szCs w:val="22"/>
          <w:lang w:val="sr-Latn-ME"/>
        </w:rPr>
      </w:pPr>
    </w:p>
    <w:p w14:paraId="09349900" w14:textId="77777777" w:rsidR="00574B57" w:rsidRPr="006E31B1" w:rsidRDefault="00574B57" w:rsidP="00A25D4F">
      <w:pPr>
        <w:tabs>
          <w:tab w:val="left" w:pos="540"/>
          <w:tab w:val="left" w:pos="569"/>
        </w:tabs>
        <w:jc w:val="both"/>
        <w:rPr>
          <w:b/>
          <w:bCs/>
          <w:sz w:val="22"/>
          <w:szCs w:val="22"/>
          <w:lang w:val="sr-Latn-ME"/>
        </w:rPr>
      </w:pPr>
      <w:r w:rsidRPr="00C76E49">
        <w:rPr>
          <w:sz w:val="22"/>
          <w:szCs w:val="22"/>
          <w:lang w:val="sr-Latn-ME"/>
        </w:rPr>
        <w:t xml:space="preserve">Informacije o farmakokinetici somatropina kod </w:t>
      </w:r>
      <w:r w:rsidR="00756769" w:rsidRPr="00C76E49">
        <w:rPr>
          <w:sz w:val="22"/>
          <w:szCs w:val="22"/>
          <w:lang w:val="sr-Latn-ME"/>
        </w:rPr>
        <w:t>gerijatrijske i pedijatrijske populacije</w:t>
      </w:r>
      <w:r w:rsidRPr="00C76E49">
        <w:rPr>
          <w:sz w:val="22"/>
          <w:szCs w:val="22"/>
          <w:lang w:val="sr-Latn-ME"/>
        </w:rPr>
        <w:t>, kod različitih rasa i kod pacijenata sa insuficijecijom bubrega, jetre ili srca nedostaju ili su nepotpune.</w:t>
      </w:r>
    </w:p>
    <w:p w14:paraId="41DE4D59" w14:textId="77777777" w:rsidR="0072020E" w:rsidRPr="006E31B1" w:rsidRDefault="0072020E" w:rsidP="00A25D4F">
      <w:pPr>
        <w:tabs>
          <w:tab w:val="left" w:pos="540"/>
          <w:tab w:val="left" w:pos="569"/>
        </w:tabs>
        <w:jc w:val="both"/>
        <w:rPr>
          <w:bCs/>
          <w:sz w:val="22"/>
          <w:szCs w:val="22"/>
          <w:lang w:val="sr-Latn-ME"/>
        </w:rPr>
      </w:pPr>
    </w:p>
    <w:p w14:paraId="084A1997"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5.3. </w:t>
      </w:r>
      <w:r w:rsidR="00480FB1" w:rsidRPr="006E31B1">
        <w:rPr>
          <w:b/>
          <w:bCs/>
          <w:sz w:val="22"/>
          <w:szCs w:val="22"/>
          <w:lang w:val="sr-Latn-ME"/>
        </w:rPr>
        <w:tab/>
      </w:r>
      <w:proofErr w:type="spellStart"/>
      <w:r w:rsidRPr="00C76E49">
        <w:rPr>
          <w:b/>
          <w:bCs/>
          <w:sz w:val="22"/>
          <w:szCs w:val="22"/>
        </w:rPr>
        <w:t>Pretklini</w:t>
      </w:r>
      <w:proofErr w:type="spellEnd"/>
      <w:r w:rsidRPr="006E31B1">
        <w:rPr>
          <w:b/>
          <w:bCs/>
          <w:sz w:val="22"/>
          <w:szCs w:val="22"/>
          <w:lang w:val="sr-Latn-ME"/>
        </w:rPr>
        <w:t>č</w:t>
      </w:r>
      <w:proofErr w:type="spellStart"/>
      <w:r w:rsidRPr="00C76E49">
        <w:rPr>
          <w:b/>
          <w:bCs/>
          <w:sz w:val="22"/>
          <w:szCs w:val="22"/>
        </w:rPr>
        <w:t>ki</w:t>
      </w:r>
      <w:proofErr w:type="spellEnd"/>
      <w:r w:rsidRPr="006E31B1">
        <w:rPr>
          <w:b/>
          <w:bCs/>
          <w:sz w:val="22"/>
          <w:szCs w:val="22"/>
          <w:lang w:val="sr-Latn-ME"/>
        </w:rPr>
        <w:t xml:space="preserve"> </w:t>
      </w:r>
      <w:proofErr w:type="spellStart"/>
      <w:r w:rsidRPr="00C76E49">
        <w:rPr>
          <w:b/>
          <w:bCs/>
          <w:sz w:val="22"/>
          <w:szCs w:val="22"/>
        </w:rPr>
        <w:t>podaci</w:t>
      </w:r>
      <w:proofErr w:type="spellEnd"/>
      <w:r w:rsidRPr="006E31B1">
        <w:rPr>
          <w:b/>
          <w:bCs/>
          <w:sz w:val="22"/>
          <w:szCs w:val="22"/>
          <w:lang w:val="sr-Latn-ME"/>
        </w:rPr>
        <w:t xml:space="preserve"> </w:t>
      </w:r>
      <w:r w:rsidRPr="00C76E49">
        <w:rPr>
          <w:b/>
          <w:bCs/>
          <w:sz w:val="22"/>
          <w:szCs w:val="22"/>
        </w:rPr>
        <w:t>o</w:t>
      </w:r>
      <w:r w:rsidRPr="006E31B1">
        <w:rPr>
          <w:b/>
          <w:bCs/>
          <w:sz w:val="22"/>
          <w:szCs w:val="22"/>
          <w:lang w:val="sr-Latn-ME"/>
        </w:rPr>
        <w:t xml:space="preserve"> </w:t>
      </w:r>
      <w:proofErr w:type="spellStart"/>
      <w:r w:rsidRPr="00C76E49">
        <w:rPr>
          <w:b/>
          <w:bCs/>
          <w:sz w:val="22"/>
          <w:szCs w:val="22"/>
        </w:rPr>
        <w:t>bezbjednosti</w:t>
      </w:r>
      <w:proofErr w:type="spellEnd"/>
      <w:r w:rsidRPr="006E31B1">
        <w:rPr>
          <w:b/>
          <w:bCs/>
          <w:sz w:val="22"/>
          <w:szCs w:val="22"/>
          <w:lang w:val="sr-Latn-ME"/>
        </w:rPr>
        <w:t xml:space="preserve"> </w:t>
      </w:r>
    </w:p>
    <w:p w14:paraId="1DC4698F" w14:textId="77777777" w:rsidR="00836B35" w:rsidRPr="006E31B1" w:rsidRDefault="00836B35" w:rsidP="00A25D4F">
      <w:pPr>
        <w:tabs>
          <w:tab w:val="left" w:pos="540"/>
          <w:tab w:val="left" w:pos="569"/>
        </w:tabs>
        <w:jc w:val="both"/>
        <w:rPr>
          <w:bCs/>
          <w:sz w:val="22"/>
          <w:szCs w:val="22"/>
          <w:lang w:val="sr-Latn-ME"/>
        </w:rPr>
      </w:pPr>
    </w:p>
    <w:p w14:paraId="1312532A" w14:textId="77777777" w:rsidR="00574B57" w:rsidRPr="00C76E49" w:rsidRDefault="00574B57" w:rsidP="00A25D4F">
      <w:pPr>
        <w:pStyle w:val="Default"/>
        <w:jc w:val="both"/>
        <w:rPr>
          <w:color w:val="auto"/>
          <w:sz w:val="22"/>
          <w:szCs w:val="22"/>
          <w:lang w:val="sr-Latn-ME"/>
        </w:rPr>
      </w:pPr>
      <w:r w:rsidRPr="00C76E49">
        <w:rPr>
          <w:color w:val="auto"/>
          <w:sz w:val="22"/>
          <w:szCs w:val="22"/>
          <w:lang w:val="sr-Latn-ME"/>
        </w:rPr>
        <w:t>U studijama subakutne toksičnosti i lokalne podnošljivosti lijeka Omnitrope, nijesu uočeni klinički značajni efekti.</w:t>
      </w:r>
    </w:p>
    <w:p w14:paraId="410D3F49" w14:textId="77777777" w:rsidR="00574B57" w:rsidRPr="00C76E49" w:rsidRDefault="00574B57" w:rsidP="00A25D4F">
      <w:pPr>
        <w:pStyle w:val="Default"/>
        <w:jc w:val="both"/>
        <w:rPr>
          <w:color w:val="auto"/>
          <w:sz w:val="22"/>
          <w:szCs w:val="22"/>
          <w:lang w:val="sr-Latn-ME"/>
        </w:rPr>
      </w:pPr>
    </w:p>
    <w:p w14:paraId="3441A2DF" w14:textId="77777777" w:rsidR="00574B57" w:rsidRPr="00C76E49" w:rsidRDefault="00574B57" w:rsidP="00A25D4F">
      <w:pPr>
        <w:pStyle w:val="Default"/>
        <w:jc w:val="both"/>
        <w:rPr>
          <w:color w:val="auto"/>
          <w:sz w:val="22"/>
          <w:szCs w:val="22"/>
          <w:lang w:val="sr-Latn-ME"/>
        </w:rPr>
      </w:pPr>
      <w:r w:rsidRPr="00C76E49">
        <w:rPr>
          <w:color w:val="auto"/>
          <w:sz w:val="22"/>
          <w:szCs w:val="22"/>
          <w:lang w:val="sr-Latn-ME"/>
        </w:rPr>
        <w:t>U ostalim studijama sa somatropinom koje se tiču generalne toksičnosti, lokalne podnošljivosti i reproduktivne toksičnosti nijesu uočeni klinički značajni efekti.</w:t>
      </w:r>
    </w:p>
    <w:p w14:paraId="55120633" w14:textId="77777777" w:rsidR="00574B57" w:rsidRPr="00C76E49" w:rsidRDefault="00574B57" w:rsidP="00A25D4F">
      <w:pPr>
        <w:pStyle w:val="Default"/>
        <w:jc w:val="both"/>
        <w:rPr>
          <w:color w:val="auto"/>
          <w:sz w:val="22"/>
          <w:szCs w:val="22"/>
          <w:lang w:val="sr-Latn-ME"/>
        </w:rPr>
      </w:pPr>
    </w:p>
    <w:p w14:paraId="2F84AD6B" w14:textId="77777777" w:rsidR="00574B57" w:rsidRPr="00C76E49" w:rsidRDefault="00574B57" w:rsidP="00A25D4F">
      <w:pPr>
        <w:pStyle w:val="Default"/>
        <w:jc w:val="both"/>
        <w:rPr>
          <w:color w:val="auto"/>
          <w:sz w:val="22"/>
          <w:szCs w:val="22"/>
          <w:lang w:val="sr-Latn-ME"/>
        </w:rPr>
      </w:pPr>
      <w:r w:rsidRPr="00C76E49">
        <w:rPr>
          <w:i/>
          <w:color w:val="auto"/>
          <w:sz w:val="22"/>
          <w:szCs w:val="22"/>
          <w:lang w:val="sr-Latn-ME"/>
        </w:rPr>
        <w:t>In vitro</w:t>
      </w:r>
      <w:r w:rsidRPr="00C76E49">
        <w:rPr>
          <w:color w:val="auto"/>
          <w:sz w:val="22"/>
          <w:szCs w:val="22"/>
          <w:lang w:val="sr-Latn-ME"/>
        </w:rPr>
        <w:t xml:space="preserve"> i </w:t>
      </w:r>
      <w:r w:rsidRPr="00C76E49">
        <w:rPr>
          <w:i/>
          <w:color w:val="auto"/>
          <w:sz w:val="22"/>
          <w:szCs w:val="22"/>
          <w:lang w:val="sr-Latn-ME"/>
        </w:rPr>
        <w:t>in vivo</w:t>
      </w:r>
      <w:r w:rsidRPr="00C76E49">
        <w:rPr>
          <w:color w:val="auto"/>
          <w:sz w:val="22"/>
          <w:szCs w:val="22"/>
          <w:lang w:val="sr-Latn-ME"/>
        </w:rPr>
        <w:t xml:space="preserve"> studije genotoksičnosti sa somatropinom, u smislu genskih mutacija i indukcije hromozomskih aberacija bile su negativne.</w:t>
      </w:r>
    </w:p>
    <w:p w14:paraId="0FFDA203" w14:textId="77777777" w:rsidR="00574B57" w:rsidRPr="00C76E49" w:rsidRDefault="00574B57" w:rsidP="00A25D4F">
      <w:pPr>
        <w:pStyle w:val="Default"/>
        <w:jc w:val="both"/>
        <w:rPr>
          <w:color w:val="auto"/>
          <w:sz w:val="22"/>
          <w:szCs w:val="22"/>
          <w:lang w:val="sr-Latn-ME"/>
        </w:rPr>
      </w:pPr>
    </w:p>
    <w:p w14:paraId="103D1327" w14:textId="77777777" w:rsidR="00574B57" w:rsidRPr="00C76E49" w:rsidRDefault="00574B57" w:rsidP="00A25D4F">
      <w:pPr>
        <w:pStyle w:val="Default"/>
        <w:jc w:val="both"/>
        <w:rPr>
          <w:color w:val="auto"/>
          <w:sz w:val="22"/>
          <w:szCs w:val="22"/>
          <w:lang w:val="sr-Latn-ME"/>
        </w:rPr>
      </w:pPr>
      <w:r w:rsidRPr="00C76E49">
        <w:rPr>
          <w:color w:val="auto"/>
          <w:sz w:val="22"/>
          <w:szCs w:val="22"/>
          <w:lang w:val="sr-Latn-ME"/>
        </w:rPr>
        <w:t xml:space="preserve">U jednoj </w:t>
      </w:r>
      <w:r w:rsidRPr="00C76E49">
        <w:rPr>
          <w:i/>
          <w:color w:val="auto"/>
          <w:sz w:val="22"/>
          <w:szCs w:val="22"/>
          <w:lang w:val="sr-Latn-ME"/>
        </w:rPr>
        <w:t>in vitro</w:t>
      </w:r>
      <w:r w:rsidRPr="00C76E49">
        <w:rPr>
          <w:color w:val="auto"/>
          <w:sz w:val="22"/>
          <w:szCs w:val="22"/>
          <w:lang w:val="sr-Latn-ME"/>
        </w:rPr>
        <w:t xml:space="preserve"> studiji sprovedenoj na limfocitima pacijenta poslije dugotrajnog liječenja somatropinom i poslije dodavanja radiomimetičkog lijeka bleomicina uočena je povećana fragilnost hromozoma. Klinički značaj ovog nalaza nije jasan.</w:t>
      </w:r>
    </w:p>
    <w:p w14:paraId="12146C47" w14:textId="77777777" w:rsidR="00756769" w:rsidRPr="00C76E49" w:rsidRDefault="00756769" w:rsidP="00A25D4F">
      <w:pPr>
        <w:pStyle w:val="Default"/>
        <w:jc w:val="both"/>
        <w:rPr>
          <w:color w:val="auto"/>
          <w:sz w:val="22"/>
          <w:szCs w:val="22"/>
          <w:lang w:val="sr-Latn-ME"/>
        </w:rPr>
      </w:pPr>
    </w:p>
    <w:p w14:paraId="348AA09B" w14:textId="77777777" w:rsidR="00574B57" w:rsidRPr="006E31B1" w:rsidRDefault="00574B57" w:rsidP="00A25D4F">
      <w:pPr>
        <w:tabs>
          <w:tab w:val="left" w:pos="540"/>
          <w:tab w:val="left" w:pos="569"/>
        </w:tabs>
        <w:jc w:val="both"/>
        <w:rPr>
          <w:bCs/>
          <w:sz w:val="22"/>
          <w:szCs w:val="22"/>
          <w:lang w:val="sr-Latn-ME"/>
        </w:rPr>
      </w:pPr>
      <w:r w:rsidRPr="00C76E49">
        <w:rPr>
          <w:sz w:val="22"/>
          <w:szCs w:val="22"/>
          <w:lang w:val="sr-Latn-ME"/>
        </w:rPr>
        <w:t>U drugoj studiji sa somatropinom, nije uočeno povećanje hromozomskih abnormalnosti u limfocitima pacijenata koji su dugotrajno liječeni somatropinom.</w:t>
      </w:r>
    </w:p>
    <w:p w14:paraId="454038B8" w14:textId="77777777" w:rsidR="00396DFD" w:rsidRPr="006E31B1" w:rsidRDefault="00396DFD" w:rsidP="00A25D4F">
      <w:pPr>
        <w:tabs>
          <w:tab w:val="left" w:pos="540"/>
          <w:tab w:val="left" w:pos="569"/>
        </w:tabs>
        <w:jc w:val="both"/>
        <w:rPr>
          <w:b/>
          <w:bCs/>
          <w:sz w:val="22"/>
          <w:szCs w:val="22"/>
          <w:lang w:val="sr-Latn-ME"/>
        </w:rPr>
      </w:pPr>
    </w:p>
    <w:p w14:paraId="4BCCBF96" w14:textId="77777777" w:rsidR="005F0096" w:rsidRPr="006E31B1" w:rsidRDefault="005F0096" w:rsidP="00A25D4F">
      <w:pPr>
        <w:tabs>
          <w:tab w:val="left" w:pos="540"/>
          <w:tab w:val="left" w:pos="569"/>
        </w:tabs>
        <w:jc w:val="both"/>
        <w:rPr>
          <w:b/>
          <w:bCs/>
          <w:sz w:val="22"/>
          <w:szCs w:val="22"/>
          <w:lang w:val="sr-Latn-ME"/>
        </w:rPr>
      </w:pPr>
    </w:p>
    <w:p w14:paraId="08DEC80B" w14:textId="77777777" w:rsidR="0072020E" w:rsidRPr="006E31B1" w:rsidRDefault="0072020E" w:rsidP="00A25D4F">
      <w:pPr>
        <w:tabs>
          <w:tab w:val="left" w:pos="540"/>
          <w:tab w:val="left" w:pos="569"/>
        </w:tabs>
        <w:jc w:val="both"/>
        <w:rPr>
          <w:b/>
          <w:bCs/>
          <w:sz w:val="22"/>
          <w:szCs w:val="22"/>
          <w:lang w:val="it-IT"/>
        </w:rPr>
      </w:pPr>
      <w:r w:rsidRPr="006E31B1">
        <w:rPr>
          <w:b/>
          <w:bCs/>
          <w:sz w:val="22"/>
          <w:szCs w:val="22"/>
          <w:lang w:val="it-IT"/>
        </w:rPr>
        <w:t xml:space="preserve">6. </w:t>
      </w:r>
      <w:r w:rsidR="00480FB1" w:rsidRPr="006E31B1">
        <w:rPr>
          <w:b/>
          <w:bCs/>
          <w:sz w:val="22"/>
          <w:szCs w:val="22"/>
          <w:lang w:val="it-IT"/>
        </w:rPr>
        <w:tab/>
      </w:r>
      <w:r w:rsidRPr="006E31B1">
        <w:rPr>
          <w:b/>
          <w:bCs/>
          <w:sz w:val="22"/>
          <w:szCs w:val="22"/>
          <w:lang w:val="it-IT"/>
        </w:rPr>
        <w:t>FARMACEUTSKI PODACI</w:t>
      </w:r>
    </w:p>
    <w:p w14:paraId="65AD0CB6" w14:textId="77777777" w:rsidR="00836B35" w:rsidRPr="006E31B1" w:rsidRDefault="00836B35" w:rsidP="00A25D4F">
      <w:pPr>
        <w:tabs>
          <w:tab w:val="left" w:pos="540"/>
          <w:tab w:val="left" w:pos="569"/>
        </w:tabs>
        <w:jc w:val="both"/>
        <w:rPr>
          <w:bCs/>
          <w:sz w:val="22"/>
          <w:szCs w:val="22"/>
          <w:lang w:val="it-IT"/>
        </w:rPr>
      </w:pPr>
    </w:p>
    <w:p w14:paraId="3ACD7D3B" w14:textId="77777777" w:rsidR="0072020E" w:rsidRPr="006E31B1" w:rsidRDefault="0072020E" w:rsidP="00A25D4F">
      <w:pPr>
        <w:tabs>
          <w:tab w:val="left" w:pos="540"/>
          <w:tab w:val="left" w:pos="569"/>
        </w:tabs>
        <w:jc w:val="both"/>
        <w:rPr>
          <w:b/>
          <w:bCs/>
          <w:sz w:val="22"/>
          <w:szCs w:val="22"/>
          <w:lang w:val="it-IT"/>
        </w:rPr>
      </w:pPr>
      <w:r w:rsidRPr="006E31B1">
        <w:rPr>
          <w:b/>
          <w:bCs/>
          <w:sz w:val="22"/>
          <w:szCs w:val="22"/>
          <w:lang w:val="it-IT"/>
        </w:rPr>
        <w:t xml:space="preserve">6.1. </w:t>
      </w:r>
      <w:r w:rsidR="00480FB1" w:rsidRPr="006E31B1">
        <w:rPr>
          <w:b/>
          <w:bCs/>
          <w:sz w:val="22"/>
          <w:szCs w:val="22"/>
          <w:lang w:val="it-IT"/>
        </w:rPr>
        <w:tab/>
      </w:r>
      <w:r w:rsidRPr="006E31B1">
        <w:rPr>
          <w:b/>
          <w:bCs/>
          <w:sz w:val="22"/>
          <w:szCs w:val="22"/>
          <w:lang w:val="it-IT"/>
        </w:rPr>
        <w:t>Lista pomoćnih supstanci</w:t>
      </w:r>
      <w:r w:rsidR="002E0135" w:rsidRPr="006E31B1">
        <w:rPr>
          <w:b/>
          <w:bCs/>
          <w:sz w:val="22"/>
          <w:szCs w:val="22"/>
          <w:lang w:val="it-IT"/>
        </w:rPr>
        <w:t xml:space="preserve"> (ekscipijenasa)</w:t>
      </w:r>
    </w:p>
    <w:p w14:paraId="161667B3" w14:textId="77777777" w:rsidR="00574B57" w:rsidRPr="00C76E49" w:rsidRDefault="00574B57" w:rsidP="00A25D4F">
      <w:pPr>
        <w:jc w:val="both"/>
        <w:rPr>
          <w:sz w:val="22"/>
          <w:szCs w:val="22"/>
          <w:lang w:val="sr-Latn-ME"/>
        </w:rPr>
      </w:pPr>
    </w:p>
    <w:p w14:paraId="7494F446" w14:textId="666C56A8" w:rsidR="00574B57" w:rsidRPr="00C76E49" w:rsidRDefault="00574B57" w:rsidP="00A25D4F">
      <w:pPr>
        <w:jc w:val="both"/>
        <w:rPr>
          <w:sz w:val="22"/>
          <w:szCs w:val="22"/>
          <w:u w:val="single"/>
          <w:lang w:val="sr-Latn-ME"/>
        </w:rPr>
      </w:pPr>
      <w:r w:rsidRPr="00C76E49">
        <w:rPr>
          <w:sz w:val="22"/>
          <w:szCs w:val="22"/>
          <w:u w:val="single"/>
          <w:lang w:val="sr-Latn-ME"/>
        </w:rPr>
        <w:t xml:space="preserve">Omnitrope, </w:t>
      </w:r>
      <w:r w:rsidR="00A0470F" w:rsidRPr="00C76E49">
        <w:rPr>
          <w:sz w:val="22"/>
          <w:szCs w:val="22"/>
          <w:u w:val="single"/>
          <w:lang w:val="sr-Latn-ME"/>
        </w:rPr>
        <w:t>10 mg/1.5 ml</w:t>
      </w:r>
      <w:r w:rsidRPr="00C76E49">
        <w:rPr>
          <w:sz w:val="22"/>
          <w:szCs w:val="22"/>
          <w:u w:val="single"/>
          <w:lang w:val="sr-Latn-ME"/>
        </w:rPr>
        <w:t xml:space="preserve"> </w:t>
      </w:r>
    </w:p>
    <w:p w14:paraId="116C0EC1" w14:textId="654555F4" w:rsidR="00574B57" w:rsidRPr="00C76E49" w:rsidRDefault="00574B57" w:rsidP="00A25D4F">
      <w:pPr>
        <w:jc w:val="both"/>
        <w:rPr>
          <w:sz w:val="22"/>
          <w:szCs w:val="22"/>
          <w:lang w:val="sr-Latn-ME"/>
        </w:rPr>
      </w:pPr>
      <w:r w:rsidRPr="00C76E49">
        <w:rPr>
          <w:sz w:val="22"/>
          <w:szCs w:val="22"/>
          <w:lang w:val="sr-Latn-ME"/>
        </w:rPr>
        <w:t>Dinatrijum hidrogenfosfat heptahidrat</w:t>
      </w:r>
    </w:p>
    <w:p w14:paraId="797EB62F" w14:textId="2FFF5333" w:rsidR="00574B57" w:rsidRPr="00C76E49" w:rsidRDefault="00574B57" w:rsidP="00A25D4F">
      <w:pPr>
        <w:jc w:val="both"/>
        <w:rPr>
          <w:sz w:val="22"/>
          <w:szCs w:val="22"/>
          <w:lang w:val="sr-Latn-ME"/>
        </w:rPr>
      </w:pPr>
      <w:r w:rsidRPr="00C76E49">
        <w:rPr>
          <w:sz w:val="22"/>
          <w:szCs w:val="22"/>
          <w:lang w:val="sr-Latn-ME"/>
        </w:rPr>
        <w:t>Natrijum dihidrogenfosfat dihidrat</w:t>
      </w:r>
    </w:p>
    <w:p w14:paraId="0D20327F" w14:textId="77777777" w:rsidR="00574B57" w:rsidRPr="00C76E49" w:rsidRDefault="00574B57" w:rsidP="00A25D4F">
      <w:pPr>
        <w:jc w:val="both"/>
        <w:rPr>
          <w:sz w:val="22"/>
          <w:szCs w:val="22"/>
          <w:lang w:val="sr-Latn-ME"/>
        </w:rPr>
      </w:pPr>
      <w:r w:rsidRPr="00C76E49">
        <w:rPr>
          <w:sz w:val="22"/>
          <w:szCs w:val="22"/>
          <w:lang w:val="sr-Latn-ME"/>
        </w:rPr>
        <w:t>Poloksamer 188</w:t>
      </w:r>
    </w:p>
    <w:p w14:paraId="273DEAB6" w14:textId="77777777" w:rsidR="00574B57" w:rsidRPr="00C76E49" w:rsidRDefault="00574B57" w:rsidP="00A25D4F">
      <w:pPr>
        <w:jc w:val="both"/>
        <w:rPr>
          <w:sz w:val="22"/>
          <w:szCs w:val="22"/>
          <w:lang w:val="sr-Latn-ME"/>
        </w:rPr>
      </w:pPr>
      <w:r w:rsidRPr="00C76E49">
        <w:rPr>
          <w:sz w:val="22"/>
          <w:szCs w:val="22"/>
          <w:lang w:val="sr-Latn-ME"/>
        </w:rPr>
        <w:t>Fenol</w:t>
      </w:r>
    </w:p>
    <w:p w14:paraId="0D6200EB" w14:textId="77777777" w:rsidR="00574B57" w:rsidRPr="00C76E49" w:rsidRDefault="00574B57" w:rsidP="00A25D4F">
      <w:pPr>
        <w:jc w:val="both"/>
        <w:rPr>
          <w:sz w:val="22"/>
          <w:szCs w:val="22"/>
          <w:lang w:val="sr-Latn-ME"/>
        </w:rPr>
      </w:pPr>
      <w:r w:rsidRPr="00C76E49">
        <w:rPr>
          <w:sz w:val="22"/>
          <w:szCs w:val="22"/>
          <w:lang w:val="sr-Latn-ME"/>
        </w:rPr>
        <w:t>Glicin</w:t>
      </w:r>
    </w:p>
    <w:p w14:paraId="03C9DEB6" w14:textId="71279208" w:rsidR="00574B57" w:rsidRPr="00C76E49" w:rsidRDefault="00574B57" w:rsidP="00A25D4F">
      <w:pPr>
        <w:jc w:val="both"/>
        <w:rPr>
          <w:sz w:val="22"/>
          <w:szCs w:val="22"/>
          <w:lang w:val="sr-Latn-ME"/>
        </w:rPr>
      </w:pPr>
      <w:r w:rsidRPr="00C76E49">
        <w:rPr>
          <w:sz w:val="22"/>
          <w:szCs w:val="22"/>
          <w:lang w:val="sr-Latn-ME"/>
        </w:rPr>
        <w:t>Voda za injekcij</w:t>
      </w:r>
      <w:r w:rsidR="00A0470F">
        <w:rPr>
          <w:sz w:val="22"/>
          <w:szCs w:val="22"/>
          <w:lang w:val="sr-Latn-ME"/>
        </w:rPr>
        <w:t>e</w:t>
      </w:r>
    </w:p>
    <w:p w14:paraId="7271AD74" w14:textId="33E2943C" w:rsidR="00574B57" w:rsidRDefault="00574B57" w:rsidP="00A25D4F">
      <w:pPr>
        <w:jc w:val="both"/>
        <w:rPr>
          <w:sz w:val="22"/>
          <w:szCs w:val="22"/>
          <w:lang w:val="sr-Latn-ME"/>
        </w:rPr>
      </w:pPr>
    </w:p>
    <w:p w14:paraId="165DA24F" w14:textId="6D22EE13" w:rsidR="00D50357" w:rsidRDefault="00D50357" w:rsidP="00A25D4F">
      <w:pPr>
        <w:jc w:val="both"/>
        <w:rPr>
          <w:sz w:val="22"/>
          <w:szCs w:val="22"/>
          <w:lang w:val="sr-Latn-ME"/>
        </w:rPr>
      </w:pPr>
    </w:p>
    <w:p w14:paraId="70143780" w14:textId="77777777" w:rsidR="00D50357" w:rsidRPr="00C76E49" w:rsidRDefault="00D50357" w:rsidP="00A25D4F">
      <w:pPr>
        <w:jc w:val="both"/>
        <w:rPr>
          <w:sz w:val="22"/>
          <w:szCs w:val="22"/>
          <w:lang w:val="sr-Latn-ME"/>
        </w:rPr>
      </w:pPr>
    </w:p>
    <w:p w14:paraId="0E1823F8" w14:textId="66B6121F" w:rsidR="00574B57" w:rsidRPr="00C76E49" w:rsidRDefault="00574B57" w:rsidP="00A25D4F">
      <w:pPr>
        <w:jc w:val="both"/>
        <w:rPr>
          <w:sz w:val="22"/>
          <w:szCs w:val="22"/>
          <w:u w:val="single"/>
          <w:lang w:val="sr-Latn-ME"/>
        </w:rPr>
      </w:pPr>
      <w:r w:rsidRPr="005F0096">
        <w:rPr>
          <w:sz w:val="22"/>
          <w:szCs w:val="22"/>
          <w:u w:val="single"/>
          <w:lang w:val="sr-Latn-ME"/>
        </w:rPr>
        <w:lastRenderedPageBreak/>
        <w:t xml:space="preserve">Omnitrope, </w:t>
      </w:r>
      <w:r w:rsidR="00A0470F" w:rsidRPr="005F0096">
        <w:rPr>
          <w:sz w:val="22"/>
          <w:szCs w:val="22"/>
          <w:u w:val="single"/>
          <w:lang w:val="sr-Latn-ME"/>
        </w:rPr>
        <w:t>15 mg/1.5 ml</w:t>
      </w:r>
      <w:r w:rsidRPr="005F0096">
        <w:rPr>
          <w:sz w:val="22"/>
          <w:szCs w:val="22"/>
          <w:u w:val="single"/>
          <w:lang w:val="sr-Latn-ME"/>
        </w:rPr>
        <w:t xml:space="preserve"> </w:t>
      </w:r>
    </w:p>
    <w:p w14:paraId="4F289911" w14:textId="71E2153D" w:rsidR="00574B57" w:rsidRPr="00C76E49" w:rsidRDefault="00574B57" w:rsidP="00A25D4F">
      <w:pPr>
        <w:jc w:val="both"/>
        <w:rPr>
          <w:sz w:val="22"/>
          <w:szCs w:val="22"/>
          <w:lang w:val="sr-Latn-ME"/>
        </w:rPr>
      </w:pPr>
      <w:r w:rsidRPr="00C76E49">
        <w:rPr>
          <w:sz w:val="22"/>
          <w:szCs w:val="22"/>
          <w:lang w:val="sr-Latn-ME"/>
        </w:rPr>
        <w:t>Dinatrijum hidrogenfosfat heptahidrat</w:t>
      </w:r>
    </w:p>
    <w:p w14:paraId="6384EEF3" w14:textId="0955A72C" w:rsidR="00574B57" w:rsidRPr="00C76E49" w:rsidRDefault="00574B57" w:rsidP="00A25D4F">
      <w:pPr>
        <w:jc w:val="both"/>
        <w:rPr>
          <w:sz w:val="22"/>
          <w:szCs w:val="22"/>
          <w:lang w:val="sr-Latn-ME"/>
        </w:rPr>
      </w:pPr>
      <w:r w:rsidRPr="00C76E49">
        <w:rPr>
          <w:sz w:val="22"/>
          <w:szCs w:val="22"/>
          <w:lang w:val="sr-Latn-ME"/>
        </w:rPr>
        <w:t>Natrijum dihidrogenfosfat dihidrat</w:t>
      </w:r>
    </w:p>
    <w:p w14:paraId="7DCFCEF1" w14:textId="77777777" w:rsidR="00574B57" w:rsidRPr="00C76E49" w:rsidRDefault="00574B57" w:rsidP="00A25D4F">
      <w:pPr>
        <w:jc w:val="both"/>
        <w:rPr>
          <w:sz w:val="22"/>
          <w:szCs w:val="22"/>
          <w:lang w:val="sr-Latn-ME"/>
        </w:rPr>
      </w:pPr>
      <w:r w:rsidRPr="00C76E49">
        <w:rPr>
          <w:sz w:val="22"/>
          <w:szCs w:val="22"/>
          <w:lang w:val="sr-Latn-ME"/>
        </w:rPr>
        <w:t>Natrijum hlorid</w:t>
      </w:r>
    </w:p>
    <w:p w14:paraId="2842FE9F" w14:textId="77777777" w:rsidR="00574B57" w:rsidRPr="00C76E49" w:rsidRDefault="00574B57" w:rsidP="00A25D4F">
      <w:pPr>
        <w:jc w:val="both"/>
        <w:rPr>
          <w:sz w:val="22"/>
          <w:szCs w:val="22"/>
          <w:lang w:val="sr-Latn-ME"/>
        </w:rPr>
      </w:pPr>
      <w:r w:rsidRPr="00C76E49">
        <w:rPr>
          <w:sz w:val="22"/>
          <w:szCs w:val="22"/>
          <w:lang w:val="sr-Latn-ME"/>
        </w:rPr>
        <w:t>Poloksamer 188</w:t>
      </w:r>
    </w:p>
    <w:p w14:paraId="2D2ED209" w14:textId="77777777" w:rsidR="00574B57" w:rsidRPr="00C76E49" w:rsidRDefault="00574B57" w:rsidP="00A25D4F">
      <w:pPr>
        <w:jc w:val="both"/>
        <w:rPr>
          <w:sz w:val="22"/>
          <w:szCs w:val="22"/>
          <w:lang w:val="sr-Latn-ME"/>
        </w:rPr>
      </w:pPr>
      <w:r w:rsidRPr="00C76E49">
        <w:rPr>
          <w:sz w:val="22"/>
          <w:szCs w:val="22"/>
          <w:lang w:val="sr-Latn-ME"/>
        </w:rPr>
        <w:t>Fenol</w:t>
      </w:r>
    </w:p>
    <w:p w14:paraId="783C668D" w14:textId="35FAE694" w:rsidR="00574B57" w:rsidRPr="00C76E49" w:rsidRDefault="00574B57" w:rsidP="00A25D4F">
      <w:pPr>
        <w:jc w:val="both"/>
        <w:rPr>
          <w:sz w:val="22"/>
          <w:szCs w:val="22"/>
          <w:lang w:val="sr-Latn-ME"/>
        </w:rPr>
      </w:pPr>
      <w:r w:rsidRPr="00C76E49">
        <w:rPr>
          <w:sz w:val="22"/>
          <w:szCs w:val="22"/>
          <w:lang w:val="sr-Latn-ME"/>
        </w:rPr>
        <w:t>Voda za injekcij</w:t>
      </w:r>
      <w:r w:rsidR="00A0470F">
        <w:rPr>
          <w:sz w:val="22"/>
          <w:szCs w:val="22"/>
          <w:lang w:val="sr-Latn-ME"/>
        </w:rPr>
        <w:t>e</w:t>
      </w:r>
    </w:p>
    <w:p w14:paraId="403733C5" w14:textId="77777777" w:rsidR="0072020E" w:rsidRPr="006E31B1" w:rsidRDefault="0072020E" w:rsidP="00A25D4F">
      <w:pPr>
        <w:tabs>
          <w:tab w:val="left" w:pos="540"/>
          <w:tab w:val="left" w:pos="569"/>
        </w:tabs>
        <w:jc w:val="both"/>
        <w:rPr>
          <w:bCs/>
          <w:sz w:val="22"/>
          <w:szCs w:val="22"/>
          <w:lang w:val="sr-Latn-ME"/>
        </w:rPr>
      </w:pPr>
    </w:p>
    <w:p w14:paraId="20C9F2D9"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6.2. </w:t>
      </w:r>
      <w:r w:rsidR="00480FB1" w:rsidRPr="006E31B1">
        <w:rPr>
          <w:b/>
          <w:bCs/>
          <w:sz w:val="22"/>
          <w:szCs w:val="22"/>
          <w:lang w:val="sr-Latn-ME"/>
        </w:rPr>
        <w:tab/>
      </w:r>
      <w:proofErr w:type="spellStart"/>
      <w:r w:rsidRPr="00C76E49">
        <w:rPr>
          <w:b/>
          <w:bCs/>
          <w:sz w:val="22"/>
          <w:szCs w:val="22"/>
        </w:rPr>
        <w:t>Inkompatibilnost</w:t>
      </w:r>
      <w:r w:rsidR="002846DB" w:rsidRPr="00C76E49">
        <w:rPr>
          <w:b/>
          <w:bCs/>
          <w:sz w:val="22"/>
          <w:szCs w:val="22"/>
        </w:rPr>
        <w:t>i</w:t>
      </w:r>
      <w:proofErr w:type="spellEnd"/>
    </w:p>
    <w:p w14:paraId="7E761FFB" w14:textId="77777777" w:rsidR="00574B57" w:rsidRPr="006E31B1" w:rsidRDefault="00574B57" w:rsidP="00A25D4F">
      <w:pPr>
        <w:tabs>
          <w:tab w:val="left" w:pos="540"/>
          <w:tab w:val="left" w:pos="569"/>
        </w:tabs>
        <w:jc w:val="both"/>
        <w:rPr>
          <w:b/>
          <w:bCs/>
          <w:sz w:val="22"/>
          <w:szCs w:val="22"/>
          <w:lang w:val="sr-Latn-ME"/>
        </w:rPr>
      </w:pPr>
    </w:p>
    <w:p w14:paraId="14B5E662" w14:textId="5D8F7CB3" w:rsidR="00574B57" w:rsidRPr="00C76E49" w:rsidRDefault="00574B57" w:rsidP="00A25D4F">
      <w:pPr>
        <w:tabs>
          <w:tab w:val="left" w:pos="540"/>
          <w:tab w:val="left" w:pos="569"/>
        </w:tabs>
        <w:jc w:val="both"/>
        <w:rPr>
          <w:sz w:val="22"/>
          <w:szCs w:val="22"/>
          <w:lang w:val="sr-Latn-ME"/>
        </w:rPr>
      </w:pPr>
      <w:r w:rsidRPr="00C76E49">
        <w:rPr>
          <w:sz w:val="22"/>
          <w:szCs w:val="22"/>
          <w:lang w:val="sr-Latn-ME"/>
        </w:rPr>
        <w:t xml:space="preserve">U odsustvu </w:t>
      </w:r>
      <w:r w:rsidR="00CD5966">
        <w:rPr>
          <w:sz w:val="22"/>
          <w:szCs w:val="22"/>
          <w:lang w:val="sr-Latn-ME"/>
        </w:rPr>
        <w:t xml:space="preserve">studija </w:t>
      </w:r>
      <w:r w:rsidRPr="00C76E49">
        <w:rPr>
          <w:sz w:val="22"/>
          <w:szCs w:val="22"/>
          <w:lang w:val="sr-Latn-ME"/>
        </w:rPr>
        <w:t>kompatibiln</w:t>
      </w:r>
      <w:r w:rsidR="00CD5966">
        <w:rPr>
          <w:sz w:val="22"/>
          <w:szCs w:val="22"/>
          <w:lang w:val="sr-Latn-ME"/>
        </w:rPr>
        <w:t>osti</w:t>
      </w:r>
      <w:r w:rsidRPr="00C76E49">
        <w:rPr>
          <w:sz w:val="22"/>
          <w:szCs w:val="22"/>
          <w:lang w:val="sr-Latn-ME"/>
        </w:rPr>
        <w:t>, ovaj lijek se ne smije miješati sa ostalim ljekovima.</w:t>
      </w:r>
    </w:p>
    <w:p w14:paraId="2153FD5E" w14:textId="77777777" w:rsidR="0072020E" w:rsidRPr="006E31B1" w:rsidRDefault="0072020E" w:rsidP="00A25D4F">
      <w:pPr>
        <w:tabs>
          <w:tab w:val="left" w:pos="540"/>
          <w:tab w:val="left" w:pos="569"/>
        </w:tabs>
        <w:jc w:val="both"/>
        <w:rPr>
          <w:bCs/>
          <w:sz w:val="22"/>
          <w:szCs w:val="22"/>
          <w:lang w:val="it-IT"/>
        </w:rPr>
      </w:pPr>
    </w:p>
    <w:p w14:paraId="2E2BC8BB" w14:textId="77777777" w:rsidR="0072020E" w:rsidRPr="00874FD9" w:rsidRDefault="0072020E" w:rsidP="00A25D4F">
      <w:pPr>
        <w:tabs>
          <w:tab w:val="left" w:pos="540"/>
          <w:tab w:val="left" w:pos="569"/>
        </w:tabs>
        <w:jc w:val="both"/>
        <w:rPr>
          <w:b/>
          <w:bCs/>
          <w:sz w:val="22"/>
          <w:szCs w:val="22"/>
          <w:lang w:val="it-IT"/>
        </w:rPr>
      </w:pPr>
      <w:r w:rsidRPr="00874FD9">
        <w:rPr>
          <w:b/>
          <w:bCs/>
          <w:sz w:val="22"/>
          <w:szCs w:val="22"/>
          <w:lang w:val="it-IT"/>
        </w:rPr>
        <w:t>6.3.</w:t>
      </w:r>
      <w:r w:rsidR="00C05DF8" w:rsidRPr="00874FD9">
        <w:rPr>
          <w:b/>
          <w:bCs/>
          <w:sz w:val="22"/>
          <w:szCs w:val="22"/>
          <w:lang w:val="it-IT"/>
        </w:rPr>
        <w:t xml:space="preserve"> </w:t>
      </w:r>
      <w:r w:rsidR="00480FB1" w:rsidRPr="00874FD9">
        <w:rPr>
          <w:b/>
          <w:bCs/>
          <w:sz w:val="22"/>
          <w:szCs w:val="22"/>
          <w:lang w:val="it-IT"/>
        </w:rPr>
        <w:tab/>
      </w:r>
      <w:r w:rsidRPr="00874FD9">
        <w:rPr>
          <w:b/>
          <w:bCs/>
          <w:sz w:val="22"/>
          <w:szCs w:val="22"/>
          <w:lang w:val="it-IT"/>
        </w:rPr>
        <w:t>Rok upotrebe</w:t>
      </w:r>
    </w:p>
    <w:p w14:paraId="2E37B12E" w14:textId="77777777" w:rsidR="00574B57" w:rsidRPr="00C76E49" w:rsidRDefault="00574B57" w:rsidP="00A25D4F">
      <w:pPr>
        <w:pStyle w:val="Header"/>
        <w:tabs>
          <w:tab w:val="left" w:pos="284"/>
        </w:tabs>
        <w:jc w:val="both"/>
        <w:rPr>
          <w:sz w:val="22"/>
          <w:szCs w:val="22"/>
          <w:lang w:val="sr-Latn-ME"/>
        </w:rPr>
      </w:pPr>
    </w:p>
    <w:p w14:paraId="42AC2D0C" w14:textId="77777777" w:rsidR="00574B57" w:rsidRPr="00C76E49" w:rsidRDefault="00756769" w:rsidP="00A25D4F">
      <w:pPr>
        <w:pStyle w:val="Header"/>
        <w:tabs>
          <w:tab w:val="left" w:pos="284"/>
        </w:tabs>
        <w:jc w:val="both"/>
        <w:rPr>
          <w:sz w:val="22"/>
          <w:szCs w:val="22"/>
          <w:lang w:val="sr-Latn-ME"/>
        </w:rPr>
      </w:pPr>
      <w:r w:rsidRPr="005F0096">
        <w:rPr>
          <w:sz w:val="22"/>
          <w:szCs w:val="22"/>
          <w:lang w:val="sr-Latn-ME"/>
        </w:rPr>
        <w:t>18 mjeseci</w:t>
      </w:r>
      <w:r w:rsidR="00574B57" w:rsidRPr="005F0096">
        <w:rPr>
          <w:sz w:val="22"/>
          <w:szCs w:val="22"/>
          <w:lang w:val="sr-Latn-ME"/>
        </w:rPr>
        <w:t>.</w:t>
      </w:r>
    </w:p>
    <w:p w14:paraId="6248FF46" w14:textId="77777777" w:rsidR="00574B57" w:rsidRPr="00C76E49" w:rsidRDefault="00574B57" w:rsidP="00A25D4F">
      <w:pPr>
        <w:pStyle w:val="Header"/>
        <w:tabs>
          <w:tab w:val="left" w:pos="284"/>
        </w:tabs>
        <w:jc w:val="both"/>
        <w:rPr>
          <w:sz w:val="22"/>
          <w:szCs w:val="22"/>
          <w:lang w:val="sr-Latn-ME"/>
        </w:rPr>
      </w:pPr>
    </w:p>
    <w:p w14:paraId="2575F912" w14:textId="77777777" w:rsidR="00574B57" w:rsidRPr="00C76E49" w:rsidRDefault="00574B57" w:rsidP="00A25D4F">
      <w:pPr>
        <w:pStyle w:val="Header"/>
        <w:tabs>
          <w:tab w:val="left" w:pos="284"/>
        </w:tabs>
        <w:jc w:val="both"/>
        <w:rPr>
          <w:i/>
          <w:sz w:val="22"/>
          <w:szCs w:val="22"/>
          <w:lang w:val="sr-Latn-ME"/>
        </w:rPr>
      </w:pPr>
      <w:r w:rsidRPr="00C76E49">
        <w:rPr>
          <w:i/>
          <w:sz w:val="22"/>
          <w:szCs w:val="22"/>
          <w:lang w:val="sr-Latn-ME"/>
        </w:rPr>
        <w:t>Rok upotrebe nakon otvaranja:</w:t>
      </w:r>
    </w:p>
    <w:p w14:paraId="39E0FCCF" w14:textId="0300293B" w:rsidR="00574B57" w:rsidRPr="00C76E49" w:rsidRDefault="00574B57" w:rsidP="00A25D4F">
      <w:pPr>
        <w:pStyle w:val="Header"/>
        <w:tabs>
          <w:tab w:val="left" w:pos="284"/>
        </w:tabs>
        <w:jc w:val="both"/>
        <w:rPr>
          <w:sz w:val="22"/>
          <w:szCs w:val="22"/>
          <w:lang w:val="sr-Latn-ME"/>
        </w:rPr>
      </w:pPr>
      <w:r w:rsidRPr="00C76E49">
        <w:rPr>
          <w:sz w:val="22"/>
          <w:szCs w:val="22"/>
          <w:lang w:val="sr-Latn-ME"/>
        </w:rPr>
        <w:t xml:space="preserve">Nakon prve upotrebe uložak treba da ostane u penu. Čuvati u frižideru (2ºC - 8ºC), </w:t>
      </w:r>
      <w:r w:rsidR="00F11EDB">
        <w:rPr>
          <w:sz w:val="22"/>
          <w:szCs w:val="22"/>
          <w:lang w:val="sr-Latn-ME"/>
        </w:rPr>
        <w:t>najduže</w:t>
      </w:r>
      <w:r w:rsidR="00F11EDB" w:rsidRPr="00C76E49">
        <w:rPr>
          <w:sz w:val="22"/>
          <w:szCs w:val="22"/>
          <w:lang w:val="sr-Latn-ME"/>
        </w:rPr>
        <w:t xml:space="preserve"> </w:t>
      </w:r>
      <w:r w:rsidRPr="00C76E49">
        <w:rPr>
          <w:sz w:val="22"/>
          <w:szCs w:val="22"/>
          <w:lang w:val="sr-Latn-ME"/>
        </w:rPr>
        <w:t>28 dana. Čuvati i transportovati u frižideru (2ºC - 8ºC). Ne zamrzavati. Čuvati u originalnom penu, radi zaštite od svjetlosti.</w:t>
      </w:r>
    </w:p>
    <w:p w14:paraId="074F5FCE" w14:textId="77777777" w:rsidR="0072020E" w:rsidRPr="006E31B1" w:rsidRDefault="0072020E" w:rsidP="00A25D4F">
      <w:pPr>
        <w:tabs>
          <w:tab w:val="left" w:pos="540"/>
          <w:tab w:val="left" w:pos="569"/>
        </w:tabs>
        <w:jc w:val="both"/>
        <w:rPr>
          <w:bCs/>
          <w:sz w:val="22"/>
          <w:szCs w:val="22"/>
          <w:lang w:val="it-IT"/>
        </w:rPr>
      </w:pPr>
    </w:p>
    <w:p w14:paraId="0B1B03B5" w14:textId="77777777" w:rsidR="0072020E" w:rsidRPr="006E31B1" w:rsidRDefault="0072020E" w:rsidP="00A25D4F">
      <w:pPr>
        <w:tabs>
          <w:tab w:val="left" w:pos="540"/>
          <w:tab w:val="left" w:pos="569"/>
        </w:tabs>
        <w:jc w:val="both"/>
        <w:rPr>
          <w:b/>
          <w:bCs/>
          <w:sz w:val="22"/>
          <w:szCs w:val="22"/>
          <w:lang w:val="it-IT"/>
        </w:rPr>
      </w:pPr>
      <w:r w:rsidRPr="006E31B1">
        <w:rPr>
          <w:b/>
          <w:bCs/>
          <w:sz w:val="22"/>
          <w:szCs w:val="22"/>
          <w:lang w:val="it-IT"/>
        </w:rPr>
        <w:t xml:space="preserve">6.4. </w:t>
      </w:r>
      <w:r w:rsidR="00480FB1" w:rsidRPr="006E31B1">
        <w:rPr>
          <w:b/>
          <w:bCs/>
          <w:sz w:val="22"/>
          <w:szCs w:val="22"/>
          <w:lang w:val="it-IT"/>
        </w:rPr>
        <w:tab/>
      </w:r>
      <w:r w:rsidRPr="006E31B1">
        <w:rPr>
          <w:b/>
          <w:bCs/>
          <w:sz w:val="22"/>
          <w:szCs w:val="22"/>
          <w:lang w:val="it-IT"/>
        </w:rPr>
        <w:t>Posebne mjere upozorenja pri čuvanju</w:t>
      </w:r>
      <w:r w:rsidR="00F8570A" w:rsidRPr="006E31B1">
        <w:rPr>
          <w:b/>
          <w:bCs/>
          <w:sz w:val="22"/>
          <w:szCs w:val="22"/>
          <w:lang w:val="it-IT"/>
        </w:rPr>
        <w:t xml:space="preserve"> lijeka</w:t>
      </w:r>
    </w:p>
    <w:p w14:paraId="2669EE21" w14:textId="77777777" w:rsidR="00574B57" w:rsidRPr="006E31B1" w:rsidRDefault="00574B57" w:rsidP="00A25D4F">
      <w:pPr>
        <w:tabs>
          <w:tab w:val="left" w:pos="540"/>
          <w:tab w:val="left" w:pos="569"/>
        </w:tabs>
        <w:jc w:val="both"/>
        <w:rPr>
          <w:b/>
          <w:bCs/>
          <w:sz w:val="22"/>
          <w:szCs w:val="22"/>
          <w:lang w:val="it-IT"/>
        </w:rPr>
      </w:pPr>
    </w:p>
    <w:p w14:paraId="73D30360" w14:textId="77777777" w:rsidR="00CD5966" w:rsidRDefault="00574B57" w:rsidP="00A25D4F">
      <w:pPr>
        <w:pStyle w:val="Header"/>
        <w:tabs>
          <w:tab w:val="left" w:pos="284"/>
        </w:tabs>
        <w:jc w:val="both"/>
        <w:rPr>
          <w:sz w:val="22"/>
          <w:szCs w:val="22"/>
          <w:lang w:val="sr-Latn-ME"/>
        </w:rPr>
      </w:pPr>
      <w:r w:rsidRPr="00C76E49">
        <w:rPr>
          <w:i/>
          <w:sz w:val="22"/>
          <w:szCs w:val="22"/>
          <w:lang w:val="sr-Latn-ME"/>
        </w:rPr>
        <w:t>Neotvoreni uložak</w:t>
      </w:r>
      <w:r w:rsidRPr="00C76E49">
        <w:rPr>
          <w:sz w:val="22"/>
          <w:szCs w:val="22"/>
          <w:lang w:val="sr-Latn-ME"/>
        </w:rPr>
        <w:t xml:space="preserve">: </w:t>
      </w:r>
    </w:p>
    <w:p w14:paraId="48E12461" w14:textId="10BE691C" w:rsidR="00574B57" w:rsidRPr="00C76E49" w:rsidRDefault="00574B57" w:rsidP="00A25D4F">
      <w:pPr>
        <w:pStyle w:val="Header"/>
        <w:tabs>
          <w:tab w:val="left" w:pos="284"/>
        </w:tabs>
        <w:jc w:val="both"/>
        <w:rPr>
          <w:sz w:val="22"/>
          <w:szCs w:val="22"/>
          <w:lang w:val="sr-Latn-ME"/>
        </w:rPr>
      </w:pPr>
      <w:r w:rsidRPr="00C76E49">
        <w:rPr>
          <w:sz w:val="22"/>
          <w:szCs w:val="22"/>
          <w:lang w:val="sr-Latn-ME"/>
        </w:rPr>
        <w:t>Čuvati i transportovati u frižideru (2ºC - 8ºC). Ne zamrzavati. Čuvati u originalnom pakovanju, radi zaštite od svjetlosti.</w:t>
      </w:r>
    </w:p>
    <w:p w14:paraId="003D8684" w14:textId="77777777" w:rsidR="00574B57" w:rsidRPr="00C76E49" w:rsidRDefault="00574B57" w:rsidP="00A25D4F">
      <w:pPr>
        <w:pStyle w:val="Header"/>
        <w:tabs>
          <w:tab w:val="left" w:pos="284"/>
        </w:tabs>
        <w:jc w:val="both"/>
        <w:rPr>
          <w:sz w:val="22"/>
          <w:szCs w:val="22"/>
          <w:lang w:val="sr-Latn-ME"/>
        </w:rPr>
      </w:pPr>
    </w:p>
    <w:p w14:paraId="535E314C" w14:textId="69E0A0F0" w:rsidR="00574B57" w:rsidRPr="00C76E49" w:rsidRDefault="00574B57" w:rsidP="00A25D4F">
      <w:pPr>
        <w:pStyle w:val="Header"/>
        <w:tabs>
          <w:tab w:val="left" w:pos="284"/>
        </w:tabs>
        <w:jc w:val="both"/>
        <w:rPr>
          <w:sz w:val="22"/>
          <w:szCs w:val="22"/>
          <w:lang w:val="sr-Latn-ME"/>
        </w:rPr>
      </w:pPr>
      <w:r w:rsidRPr="00C76E49">
        <w:rPr>
          <w:sz w:val="22"/>
          <w:szCs w:val="22"/>
          <w:lang w:val="sr-Latn-ME"/>
        </w:rPr>
        <w:t>Za uslove čuvanja nakon</w:t>
      </w:r>
      <w:r w:rsidR="00CD5966">
        <w:rPr>
          <w:sz w:val="22"/>
          <w:szCs w:val="22"/>
          <w:lang w:val="sr-Latn-ME"/>
        </w:rPr>
        <w:t xml:space="preserve"> prvog</w:t>
      </w:r>
      <w:r w:rsidRPr="00C76E49">
        <w:rPr>
          <w:sz w:val="22"/>
          <w:szCs w:val="22"/>
          <w:lang w:val="sr-Latn-ME"/>
        </w:rPr>
        <w:t xml:space="preserve"> otvaranja, vidjeti </w:t>
      </w:r>
      <w:r w:rsidR="005F0096">
        <w:rPr>
          <w:sz w:val="22"/>
          <w:szCs w:val="22"/>
          <w:lang w:val="sr-Latn-ME"/>
        </w:rPr>
        <w:t>dio</w:t>
      </w:r>
      <w:r w:rsidR="005F0096" w:rsidRPr="00C76E49">
        <w:rPr>
          <w:sz w:val="22"/>
          <w:szCs w:val="22"/>
          <w:lang w:val="sr-Latn-ME"/>
        </w:rPr>
        <w:t xml:space="preserve"> </w:t>
      </w:r>
      <w:r w:rsidRPr="00C76E49">
        <w:rPr>
          <w:sz w:val="22"/>
          <w:szCs w:val="22"/>
          <w:lang w:val="sr-Latn-ME"/>
        </w:rPr>
        <w:t>6.3.</w:t>
      </w:r>
    </w:p>
    <w:p w14:paraId="5F96050E" w14:textId="77777777" w:rsidR="00EC2532" w:rsidRPr="006E31B1" w:rsidRDefault="00EC2532" w:rsidP="00A25D4F">
      <w:pPr>
        <w:tabs>
          <w:tab w:val="left" w:pos="540"/>
          <w:tab w:val="left" w:pos="569"/>
        </w:tabs>
        <w:jc w:val="both"/>
        <w:rPr>
          <w:bCs/>
          <w:sz w:val="22"/>
          <w:szCs w:val="22"/>
          <w:lang w:val="sr-Latn-ME"/>
        </w:rPr>
      </w:pPr>
    </w:p>
    <w:p w14:paraId="194CC726"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6.5. </w:t>
      </w:r>
      <w:r w:rsidR="00480FB1" w:rsidRPr="006E31B1">
        <w:rPr>
          <w:b/>
          <w:bCs/>
          <w:sz w:val="22"/>
          <w:szCs w:val="22"/>
          <w:lang w:val="sr-Latn-ME"/>
        </w:rPr>
        <w:tab/>
      </w:r>
      <w:proofErr w:type="spellStart"/>
      <w:r w:rsidR="002846DB" w:rsidRPr="00C76E49">
        <w:rPr>
          <w:b/>
          <w:bCs/>
          <w:sz w:val="22"/>
          <w:szCs w:val="22"/>
        </w:rPr>
        <w:t>Vrsta</w:t>
      </w:r>
      <w:proofErr w:type="spellEnd"/>
      <w:r w:rsidR="002846DB" w:rsidRPr="006E31B1">
        <w:rPr>
          <w:b/>
          <w:bCs/>
          <w:sz w:val="22"/>
          <w:szCs w:val="22"/>
          <w:lang w:val="sr-Latn-ME"/>
        </w:rPr>
        <w:t xml:space="preserve"> </w:t>
      </w:r>
      <w:proofErr w:type="spellStart"/>
      <w:r w:rsidR="002846DB" w:rsidRPr="00C76E49">
        <w:rPr>
          <w:b/>
          <w:bCs/>
          <w:sz w:val="22"/>
          <w:szCs w:val="22"/>
        </w:rPr>
        <w:t>i</w:t>
      </w:r>
      <w:proofErr w:type="spellEnd"/>
      <w:r w:rsidR="002846DB" w:rsidRPr="006E31B1">
        <w:rPr>
          <w:b/>
          <w:bCs/>
          <w:sz w:val="22"/>
          <w:szCs w:val="22"/>
          <w:lang w:val="sr-Latn-ME"/>
        </w:rPr>
        <w:t xml:space="preserve"> </w:t>
      </w:r>
      <w:proofErr w:type="spellStart"/>
      <w:r w:rsidR="002846DB" w:rsidRPr="00C76E49">
        <w:rPr>
          <w:b/>
          <w:bCs/>
          <w:sz w:val="22"/>
          <w:szCs w:val="22"/>
        </w:rPr>
        <w:t>sadr</w:t>
      </w:r>
      <w:proofErr w:type="spellEnd"/>
      <w:r w:rsidR="002846DB" w:rsidRPr="006E31B1">
        <w:rPr>
          <w:b/>
          <w:bCs/>
          <w:sz w:val="22"/>
          <w:szCs w:val="22"/>
          <w:lang w:val="sr-Latn-ME"/>
        </w:rPr>
        <w:t>ž</w:t>
      </w:r>
      <w:proofErr w:type="spellStart"/>
      <w:r w:rsidR="002846DB" w:rsidRPr="00C76E49">
        <w:rPr>
          <w:b/>
          <w:bCs/>
          <w:sz w:val="22"/>
          <w:szCs w:val="22"/>
        </w:rPr>
        <w:t>aj</w:t>
      </w:r>
      <w:proofErr w:type="spellEnd"/>
      <w:r w:rsidR="002846DB" w:rsidRPr="006E31B1">
        <w:rPr>
          <w:b/>
          <w:bCs/>
          <w:sz w:val="22"/>
          <w:szCs w:val="22"/>
          <w:lang w:val="sr-Latn-ME"/>
        </w:rPr>
        <w:t xml:space="preserve"> </w:t>
      </w:r>
      <w:proofErr w:type="spellStart"/>
      <w:r w:rsidR="00F8570A" w:rsidRPr="00C76E49">
        <w:rPr>
          <w:b/>
          <w:bCs/>
          <w:sz w:val="22"/>
          <w:szCs w:val="22"/>
        </w:rPr>
        <w:t>pakovanja</w:t>
      </w:r>
      <w:proofErr w:type="spellEnd"/>
      <w:r w:rsidR="00C06864" w:rsidRPr="006E31B1">
        <w:rPr>
          <w:b/>
          <w:bCs/>
          <w:sz w:val="22"/>
          <w:szCs w:val="22"/>
          <w:lang w:val="sr-Latn-ME"/>
        </w:rPr>
        <w:t xml:space="preserve"> </w:t>
      </w:r>
    </w:p>
    <w:p w14:paraId="3180C736" w14:textId="77777777" w:rsidR="00574B57" w:rsidRPr="006E31B1" w:rsidRDefault="00574B57" w:rsidP="00A25D4F">
      <w:pPr>
        <w:tabs>
          <w:tab w:val="left" w:pos="540"/>
          <w:tab w:val="left" w:pos="569"/>
        </w:tabs>
        <w:jc w:val="both"/>
        <w:rPr>
          <w:b/>
          <w:bCs/>
          <w:sz w:val="22"/>
          <w:szCs w:val="22"/>
          <w:lang w:val="sr-Latn-ME"/>
        </w:rPr>
      </w:pPr>
    </w:p>
    <w:p w14:paraId="34672441" w14:textId="4090D327" w:rsidR="00574B57" w:rsidRPr="00C76E49" w:rsidRDefault="00A8551B" w:rsidP="00A25D4F">
      <w:pPr>
        <w:pStyle w:val="Header"/>
        <w:tabs>
          <w:tab w:val="left" w:pos="284"/>
        </w:tabs>
        <w:jc w:val="both"/>
        <w:rPr>
          <w:sz w:val="22"/>
          <w:szCs w:val="22"/>
          <w:lang w:val="sr-Latn-ME"/>
        </w:rPr>
      </w:pPr>
      <w:r>
        <w:rPr>
          <w:sz w:val="22"/>
          <w:szCs w:val="22"/>
          <w:lang w:val="sr-Latn-ME"/>
        </w:rPr>
        <w:t>Unutrašnje pakovanje je</w:t>
      </w:r>
      <w:r w:rsidR="00F11EDB">
        <w:rPr>
          <w:sz w:val="22"/>
          <w:szCs w:val="22"/>
          <w:lang w:val="sr-Latn-ME"/>
        </w:rPr>
        <w:t xml:space="preserve"> stakleni</w:t>
      </w:r>
      <w:r w:rsidR="00574B57" w:rsidRPr="00C76E49">
        <w:rPr>
          <w:sz w:val="22"/>
          <w:szCs w:val="22"/>
          <w:lang w:val="sr-Latn-ME"/>
        </w:rPr>
        <w:t xml:space="preserve"> ulo</w:t>
      </w:r>
      <w:r>
        <w:rPr>
          <w:sz w:val="22"/>
          <w:szCs w:val="22"/>
          <w:lang w:val="sr-Latn-ME"/>
        </w:rPr>
        <w:t>žak</w:t>
      </w:r>
      <w:r w:rsidR="00574B57" w:rsidRPr="00C76E49">
        <w:rPr>
          <w:sz w:val="22"/>
          <w:szCs w:val="22"/>
          <w:lang w:val="sr-Latn-ME"/>
        </w:rPr>
        <w:t xml:space="preserve"> (bezbojno staklo tipa I) sa klipom</w:t>
      </w:r>
      <w:r w:rsidR="00CD5966">
        <w:rPr>
          <w:sz w:val="22"/>
          <w:szCs w:val="22"/>
          <w:lang w:val="sr-Latn-ME"/>
        </w:rPr>
        <w:t xml:space="preserve"> </w:t>
      </w:r>
      <w:r w:rsidR="00CD5966" w:rsidRPr="00C76E49">
        <w:rPr>
          <w:sz w:val="22"/>
          <w:szCs w:val="22"/>
          <w:lang w:val="sr-Latn-ME"/>
        </w:rPr>
        <w:t>(silikonizirani bromobutil)</w:t>
      </w:r>
      <w:r w:rsidR="00574B57" w:rsidRPr="00C76E49">
        <w:rPr>
          <w:sz w:val="22"/>
          <w:szCs w:val="22"/>
          <w:lang w:val="sr-Latn-ME"/>
        </w:rPr>
        <w:t xml:space="preserve"> na jednoj strani, diskom (bromobutil) i poklopcem (aluminijum) na drugoj strani</w:t>
      </w:r>
      <w:r>
        <w:rPr>
          <w:sz w:val="22"/>
          <w:szCs w:val="22"/>
          <w:lang w:val="sr-Latn-ME"/>
        </w:rPr>
        <w:t>, koji sadrži 1.5 ml rastvora</w:t>
      </w:r>
      <w:r w:rsidR="00574B57" w:rsidRPr="00C76E49">
        <w:rPr>
          <w:sz w:val="22"/>
          <w:szCs w:val="22"/>
          <w:lang w:val="sr-Latn-ME"/>
        </w:rPr>
        <w:t>. Stakleni uložak je trajno ugrađen u prozirni kontejner i sastavljen sa plastičnim mehanizmom sa štapićem sa navojima na jednom kraju.</w:t>
      </w:r>
    </w:p>
    <w:p w14:paraId="73F8CB0D" w14:textId="3BBA29E0" w:rsidR="005A2575" w:rsidRPr="00C76E49" w:rsidRDefault="00A8551B" w:rsidP="00A25D4F">
      <w:pPr>
        <w:pStyle w:val="Header"/>
        <w:tabs>
          <w:tab w:val="left" w:pos="284"/>
        </w:tabs>
        <w:jc w:val="both"/>
        <w:rPr>
          <w:sz w:val="22"/>
          <w:szCs w:val="22"/>
          <w:lang w:val="sr-Latn-ME"/>
        </w:rPr>
      </w:pPr>
      <w:r>
        <w:rPr>
          <w:sz w:val="22"/>
          <w:szCs w:val="22"/>
          <w:lang w:val="sr-Latn-ME"/>
        </w:rPr>
        <w:t xml:space="preserve">Spoljašnje pakovanje je složiva kartonska kutija u kojoj se nalazi </w:t>
      </w:r>
      <w:r w:rsidR="005A2575" w:rsidRPr="005F0096">
        <w:rPr>
          <w:sz w:val="22"/>
          <w:szCs w:val="22"/>
          <w:lang w:val="sr-Latn-ME"/>
        </w:rPr>
        <w:t>1</w:t>
      </w:r>
      <w:r>
        <w:rPr>
          <w:sz w:val="22"/>
          <w:szCs w:val="22"/>
          <w:lang w:val="sr-Latn-ME"/>
        </w:rPr>
        <w:t xml:space="preserve"> uložak i Uputstvo za lijek</w:t>
      </w:r>
      <w:r w:rsidR="005A2575" w:rsidRPr="005F0096">
        <w:rPr>
          <w:sz w:val="22"/>
          <w:szCs w:val="22"/>
          <w:lang w:val="sr-Latn-ME"/>
        </w:rPr>
        <w:t>.</w:t>
      </w:r>
    </w:p>
    <w:p w14:paraId="5625C0D9" w14:textId="77777777" w:rsidR="005A2575" w:rsidRPr="00C76E49" w:rsidRDefault="005A2575" w:rsidP="00A25D4F">
      <w:pPr>
        <w:pStyle w:val="Header"/>
        <w:tabs>
          <w:tab w:val="left" w:pos="284"/>
        </w:tabs>
        <w:jc w:val="both"/>
        <w:rPr>
          <w:sz w:val="22"/>
          <w:szCs w:val="22"/>
          <w:lang w:val="sr-Latn-ME"/>
        </w:rPr>
      </w:pPr>
    </w:p>
    <w:p w14:paraId="01642232" w14:textId="77777777" w:rsidR="002846DB"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6.6. </w:t>
      </w:r>
      <w:r w:rsidR="00480FB1" w:rsidRPr="006E31B1">
        <w:rPr>
          <w:b/>
          <w:bCs/>
          <w:sz w:val="22"/>
          <w:szCs w:val="22"/>
          <w:lang w:val="sr-Latn-ME"/>
        </w:rPr>
        <w:tab/>
      </w:r>
      <w:proofErr w:type="spellStart"/>
      <w:r w:rsidRPr="00C76E49">
        <w:rPr>
          <w:b/>
          <w:bCs/>
          <w:sz w:val="22"/>
          <w:szCs w:val="22"/>
        </w:rPr>
        <w:t>Posebne</w:t>
      </w:r>
      <w:proofErr w:type="spellEnd"/>
      <w:r w:rsidRPr="006E31B1">
        <w:rPr>
          <w:b/>
          <w:bCs/>
          <w:sz w:val="22"/>
          <w:szCs w:val="22"/>
          <w:lang w:val="sr-Latn-ME"/>
        </w:rPr>
        <w:t xml:space="preserve"> </w:t>
      </w:r>
      <w:proofErr w:type="spellStart"/>
      <w:r w:rsidRPr="00C76E49">
        <w:rPr>
          <w:b/>
          <w:bCs/>
          <w:sz w:val="22"/>
          <w:szCs w:val="22"/>
        </w:rPr>
        <w:t>mjere</w:t>
      </w:r>
      <w:proofErr w:type="spellEnd"/>
      <w:r w:rsidRPr="006E31B1">
        <w:rPr>
          <w:b/>
          <w:bCs/>
          <w:sz w:val="22"/>
          <w:szCs w:val="22"/>
          <w:lang w:val="sr-Latn-ME"/>
        </w:rPr>
        <w:t xml:space="preserve"> </w:t>
      </w:r>
      <w:proofErr w:type="spellStart"/>
      <w:r w:rsidRPr="00C76E49">
        <w:rPr>
          <w:b/>
          <w:bCs/>
          <w:sz w:val="22"/>
          <w:szCs w:val="22"/>
        </w:rPr>
        <w:t>opreza</w:t>
      </w:r>
      <w:proofErr w:type="spellEnd"/>
      <w:r w:rsidRPr="006E31B1">
        <w:rPr>
          <w:b/>
          <w:bCs/>
          <w:sz w:val="22"/>
          <w:szCs w:val="22"/>
          <w:lang w:val="sr-Latn-ME"/>
        </w:rPr>
        <w:t xml:space="preserve"> </w:t>
      </w:r>
      <w:proofErr w:type="spellStart"/>
      <w:r w:rsidRPr="00C76E49">
        <w:rPr>
          <w:b/>
          <w:bCs/>
          <w:sz w:val="22"/>
          <w:szCs w:val="22"/>
        </w:rPr>
        <w:t>pri</w:t>
      </w:r>
      <w:proofErr w:type="spellEnd"/>
      <w:r w:rsidRPr="006E31B1">
        <w:rPr>
          <w:b/>
          <w:bCs/>
          <w:sz w:val="22"/>
          <w:szCs w:val="22"/>
          <w:lang w:val="sr-Latn-ME"/>
        </w:rPr>
        <w:t xml:space="preserve"> </w:t>
      </w:r>
      <w:proofErr w:type="spellStart"/>
      <w:r w:rsidRPr="00C76E49">
        <w:rPr>
          <w:b/>
          <w:bCs/>
          <w:sz w:val="22"/>
          <w:szCs w:val="22"/>
        </w:rPr>
        <w:t>odlaganju</w:t>
      </w:r>
      <w:proofErr w:type="spellEnd"/>
      <w:r w:rsidRPr="006E31B1">
        <w:rPr>
          <w:b/>
          <w:bCs/>
          <w:sz w:val="22"/>
          <w:szCs w:val="22"/>
          <w:lang w:val="sr-Latn-ME"/>
        </w:rPr>
        <w:t xml:space="preserve"> </w:t>
      </w:r>
      <w:proofErr w:type="spellStart"/>
      <w:r w:rsidRPr="00C76E49">
        <w:rPr>
          <w:b/>
          <w:bCs/>
          <w:sz w:val="22"/>
          <w:szCs w:val="22"/>
        </w:rPr>
        <w:t>materijala</w:t>
      </w:r>
      <w:proofErr w:type="spellEnd"/>
      <w:r w:rsidRPr="006E31B1">
        <w:rPr>
          <w:b/>
          <w:bCs/>
          <w:sz w:val="22"/>
          <w:szCs w:val="22"/>
          <w:lang w:val="sr-Latn-ME"/>
        </w:rPr>
        <w:t xml:space="preserve"> </w:t>
      </w:r>
      <w:proofErr w:type="spellStart"/>
      <w:r w:rsidRPr="00C76E49">
        <w:rPr>
          <w:b/>
          <w:bCs/>
          <w:sz w:val="22"/>
          <w:szCs w:val="22"/>
        </w:rPr>
        <w:t>koji</w:t>
      </w:r>
      <w:proofErr w:type="spellEnd"/>
      <w:r w:rsidRPr="006E31B1">
        <w:rPr>
          <w:b/>
          <w:bCs/>
          <w:sz w:val="22"/>
          <w:szCs w:val="22"/>
          <w:lang w:val="sr-Latn-ME"/>
        </w:rPr>
        <w:t xml:space="preserve"> </w:t>
      </w:r>
      <w:proofErr w:type="spellStart"/>
      <w:r w:rsidRPr="00C76E49">
        <w:rPr>
          <w:b/>
          <w:bCs/>
          <w:sz w:val="22"/>
          <w:szCs w:val="22"/>
        </w:rPr>
        <w:t>treba</w:t>
      </w:r>
      <w:proofErr w:type="spellEnd"/>
      <w:r w:rsidRPr="006E31B1">
        <w:rPr>
          <w:b/>
          <w:bCs/>
          <w:sz w:val="22"/>
          <w:szCs w:val="22"/>
          <w:lang w:val="sr-Latn-ME"/>
        </w:rPr>
        <w:t xml:space="preserve"> </w:t>
      </w:r>
      <w:proofErr w:type="spellStart"/>
      <w:r w:rsidRPr="00C76E49">
        <w:rPr>
          <w:b/>
          <w:bCs/>
          <w:sz w:val="22"/>
          <w:szCs w:val="22"/>
        </w:rPr>
        <w:t>odbaciti</w:t>
      </w:r>
      <w:proofErr w:type="spellEnd"/>
      <w:r w:rsidRPr="006E31B1">
        <w:rPr>
          <w:b/>
          <w:bCs/>
          <w:sz w:val="22"/>
          <w:szCs w:val="22"/>
          <w:lang w:val="sr-Latn-ME"/>
        </w:rPr>
        <w:t xml:space="preserve"> </w:t>
      </w:r>
      <w:proofErr w:type="spellStart"/>
      <w:r w:rsidRPr="00C76E49">
        <w:rPr>
          <w:b/>
          <w:bCs/>
          <w:sz w:val="22"/>
          <w:szCs w:val="22"/>
        </w:rPr>
        <w:t>nakon</w:t>
      </w:r>
      <w:proofErr w:type="spellEnd"/>
      <w:r w:rsidRPr="006E31B1">
        <w:rPr>
          <w:b/>
          <w:bCs/>
          <w:sz w:val="22"/>
          <w:szCs w:val="22"/>
          <w:lang w:val="sr-Latn-ME"/>
        </w:rPr>
        <w:t xml:space="preserve"> </w:t>
      </w:r>
      <w:proofErr w:type="spellStart"/>
      <w:r w:rsidRPr="00C76E49">
        <w:rPr>
          <w:b/>
          <w:bCs/>
          <w:sz w:val="22"/>
          <w:szCs w:val="22"/>
        </w:rPr>
        <w:t>primjene</w:t>
      </w:r>
      <w:proofErr w:type="spellEnd"/>
      <w:r w:rsidRPr="006E31B1">
        <w:rPr>
          <w:b/>
          <w:bCs/>
          <w:sz w:val="22"/>
          <w:szCs w:val="22"/>
          <w:lang w:val="sr-Latn-ME"/>
        </w:rPr>
        <w:t xml:space="preserve"> </w:t>
      </w:r>
      <w:proofErr w:type="spellStart"/>
      <w:r w:rsidRPr="00C76E49">
        <w:rPr>
          <w:b/>
          <w:bCs/>
          <w:sz w:val="22"/>
          <w:szCs w:val="22"/>
        </w:rPr>
        <w:t>lijeka</w:t>
      </w:r>
      <w:proofErr w:type="spellEnd"/>
      <w:r w:rsidRPr="006E31B1">
        <w:rPr>
          <w:b/>
          <w:bCs/>
          <w:sz w:val="22"/>
          <w:szCs w:val="22"/>
          <w:lang w:val="sr-Latn-ME"/>
        </w:rPr>
        <w:t xml:space="preserve"> </w:t>
      </w:r>
      <w:r w:rsidR="00310F03" w:rsidRPr="006E31B1">
        <w:rPr>
          <w:b/>
          <w:bCs/>
          <w:sz w:val="22"/>
          <w:szCs w:val="22"/>
          <w:lang w:val="sr-Latn-ME"/>
        </w:rPr>
        <w:t>(</w:t>
      </w:r>
      <w:proofErr w:type="spellStart"/>
      <w:r w:rsidR="00310F03" w:rsidRPr="00C76E49">
        <w:rPr>
          <w:b/>
          <w:bCs/>
          <w:sz w:val="22"/>
          <w:szCs w:val="22"/>
        </w:rPr>
        <w:t>i</w:t>
      </w:r>
      <w:proofErr w:type="spellEnd"/>
      <w:r w:rsidR="00310F03" w:rsidRPr="006E31B1">
        <w:rPr>
          <w:b/>
          <w:bCs/>
          <w:sz w:val="22"/>
          <w:szCs w:val="22"/>
          <w:lang w:val="sr-Latn-ME"/>
        </w:rPr>
        <w:t xml:space="preserve"> </w:t>
      </w:r>
      <w:proofErr w:type="spellStart"/>
      <w:r w:rsidR="00310F03" w:rsidRPr="00C76E49">
        <w:rPr>
          <w:b/>
          <w:bCs/>
          <w:sz w:val="22"/>
          <w:szCs w:val="22"/>
        </w:rPr>
        <w:t>druga</w:t>
      </w:r>
      <w:proofErr w:type="spellEnd"/>
      <w:r w:rsidR="00310F03" w:rsidRPr="006E31B1">
        <w:rPr>
          <w:b/>
          <w:bCs/>
          <w:sz w:val="22"/>
          <w:szCs w:val="22"/>
          <w:lang w:val="sr-Latn-ME"/>
        </w:rPr>
        <w:t xml:space="preserve"> </w:t>
      </w:r>
      <w:proofErr w:type="spellStart"/>
      <w:r w:rsidR="00310F03" w:rsidRPr="00C76E49">
        <w:rPr>
          <w:b/>
          <w:bCs/>
          <w:sz w:val="22"/>
          <w:szCs w:val="22"/>
        </w:rPr>
        <w:t>uputs</w:t>
      </w:r>
      <w:r w:rsidR="004109FA" w:rsidRPr="00C76E49">
        <w:rPr>
          <w:b/>
          <w:bCs/>
          <w:sz w:val="22"/>
          <w:szCs w:val="22"/>
        </w:rPr>
        <w:t>t</w:t>
      </w:r>
      <w:r w:rsidR="00310F03" w:rsidRPr="00C76E49">
        <w:rPr>
          <w:b/>
          <w:bCs/>
          <w:sz w:val="22"/>
          <w:szCs w:val="22"/>
        </w:rPr>
        <w:t>va</w:t>
      </w:r>
      <w:proofErr w:type="spellEnd"/>
      <w:r w:rsidR="00310F03" w:rsidRPr="006E31B1">
        <w:rPr>
          <w:b/>
          <w:bCs/>
          <w:sz w:val="22"/>
          <w:szCs w:val="22"/>
          <w:lang w:val="sr-Latn-ME"/>
        </w:rPr>
        <w:t xml:space="preserve"> </w:t>
      </w:r>
      <w:r w:rsidR="00310F03" w:rsidRPr="00C76E49">
        <w:rPr>
          <w:b/>
          <w:bCs/>
          <w:sz w:val="22"/>
          <w:szCs w:val="22"/>
        </w:rPr>
        <w:t>za</w:t>
      </w:r>
      <w:r w:rsidR="00310F03" w:rsidRPr="006E31B1">
        <w:rPr>
          <w:b/>
          <w:bCs/>
          <w:sz w:val="22"/>
          <w:szCs w:val="22"/>
          <w:lang w:val="sr-Latn-ME"/>
        </w:rPr>
        <w:t xml:space="preserve"> </w:t>
      </w:r>
      <w:proofErr w:type="spellStart"/>
      <w:r w:rsidR="00310F03" w:rsidRPr="00C76E49">
        <w:rPr>
          <w:b/>
          <w:bCs/>
          <w:sz w:val="22"/>
          <w:szCs w:val="22"/>
        </w:rPr>
        <w:t>rukovanje</w:t>
      </w:r>
      <w:proofErr w:type="spellEnd"/>
      <w:r w:rsidR="00310F03" w:rsidRPr="006E31B1">
        <w:rPr>
          <w:b/>
          <w:bCs/>
          <w:sz w:val="22"/>
          <w:szCs w:val="22"/>
          <w:lang w:val="sr-Latn-ME"/>
        </w:rPr>
        <w:t xml:space="preserve"> </w:t>
      </w:r>
      <w:proofErr w:type="spellStart"/>
      <w:r w:rsidR="00310F03" w:rsidRPr="00C76E49">
        <w:rPr>
          <w:b/>
          <w:bCs/>
          <w:sz w:val="22"/>
          <w:szCs w:val="22"/>
        </w:rPr>
        <w:t>lijekom</w:t>
      </w:r>
      <w:proofErr w:type="spellEnd"/>
      <w:r w:rsidR="00310F03" w:rsidRPr="006E31B1">
        <w:rPr>
          <w:b/>
          <w:bCs/>
          <w:sz w:val="22"/>
          <w:szCs w:val="22"/>
          <w:lang w:val="sr-Latn-ME"/>
        </w:rPr>
        <w:t xml:space="preserve">) </w:t>
      </w:r>
    </w:p>
    <w:p w14:paraId="79809813" w14:textId="77777777" w:rsidR="00B66A70" w:rsidRPr="006E31B1" w:rsidRDefault="00B66A70" w:rsidP="00A25D4F">
      <w:pPr>
        <w:tabs>
          <w:tab w:val="left" w:pos="540"/>
          <w:tab w:val="left" w:pos="569"/>
        </w:tabs>
        <w:jc w:val="both"/>
        <w:rPr>
          <w:b/>
          <w:bCs/>
          <w:sz w:val="22"/>
          <w:szCs w:val="22"/>
          <w:lang w:val="sr-Latn-ME"/>
        </w:rPr>
      </w:pPr>
    </w:p>
    <w:p w14:paraId="55570EC8" w14:textId="77777777" w:rsidR="00574B57" w:rsidRPr="00C76E49" w:rsidRDefault="00574B57" w:rsidP="00A25D4F">
      <w:pPr>
        <w:pStyle w:val="Header"/>
        <w:tabs>
          <w:tab w:val="left" w:pos="284"/>
        </w:tabs>
        <w:jc w:val="both"/>
        <w:rPr>
          <w:sz w:val="22"/>
          <w:szCs w:val="22"/>
          <w:lang w:val="sr-Latn-ME"/>
        </w:rPr>
      </w:pPr>
      <w:r w:rsidRPr="00C76E49">
        <w:rPr>
          <w:sz w:val="22"/>
          <w:szCs w:val="22"/>
          <w:lang w:val="sr-Latn-ME"/>
        </w:rPr>
        <w:t xml:space="preserve">Lijek Omnitrope je sterilni rastvor za subkutanu primjenu koji se nalazi u staklenom ulošku. </w:t>
      </w:r>
    </w:p>
    <w:p w14:paraId="07DEFA08" w14:textId="77777777" w:rsidR="00574B57" w:rsidRPr="00C76E49" w:rsidRDefault="00574B57" w:rsidP="00A25D4F">
      <w:pPr>
        <w:pStyle w:val="Header"/>
        <w:tabs>
          <w:tab w:val="left" w:pos="284"/>
        </w:tabs>
        <w:jc w:val="both"/>
        <w:rPr>
          <w:sz w:val="22"/>
          <w:szCs w:val="22"/>
          <w:lang w:val="sr-Latn-ME"/>
        </w:rPr>
      </w:pPr>
    </w:p>
    <w:p w14:paraId="102AC38D" w14:textId="65291991" w:rsidR="00574B57" w:rsidRPr="00C76E49" w:rsidRDefault="00574B57" w:rsidP="00A25D4F">
      <w:pPr>
        <w:jc w:val="both"/>
        <w:rPr>
          <w:sz w:val="22"/>
          <w:szCs w:val="22"/>
          <w:lang w:val="sr-Latn-ME"/>
        </w:rPr>
      </w:pPr>
      <w:r w:rsidRPr="00C76E49">
        <w:rPr>
          <w:sz w:val="22"/>
          <w:szCs w:val="22"/>
          <w:lang w:val="sr-Latn-ME"/>
        </w:rPr>
        <w:t xml:space="preserve">Za višekratnu primjenu. Primjenjivati samo sa SurePal </w:t>
      </w:r>
      <w:r w:rsidR="00BF7738">
        <w:rPr>
          <w:sz w:val="22"/>
          <w:szCs w:val="22"/>
          <w:lang w:val="sr-Latn-ME"/>
        </w:rPr>
        <w:t>10</w:t>
      </w:r>
      <w:r w:rsidRPr="00C76E49">
        <w:rPr>
          <w:sz w:val="22"/>
          <w:szCs w:val="22"/>
          <w:lang w:val="sr-Latn-ME"/>
        </w:rPr>
        <w:t>, injekciono sredstvo specijalno napravljeno za upotrebu Omnitrope, rastvor za injekciju u ulošku 10 mg/1.5 ml i SurePal 15 za upotrebu lijeka Omnitrope, rastvor za injekciju u ulošku 15 mg/1.5 ml. Lijek treba primjeniti pomoću sterilnih pen igala za jednokratnu upotrebu. Ljekari i drugo kvalifikovano medicinsko osoblje trebali bi na adekvatan način da obuče pacijente i njihove staratelje kako bi pravilno koristili Omnitrope uložak i pen.</w:t>
      </w:r>
    </w:p>
    <w:p w14:paraId="539CA601" w14:textId="77777777" w:rsidR="00574B57" w:rsidRPr="00C76E49" w:rsidRDefault="00574B57" w:rsidP="00A25D4F">
      <w:pPr>
        <w:jc w:val="both"/>
        <w:rPr>
          <w:sz w:val="22"/>
          <w:szCs w:val="22"/>
          <w:lang w:val="sr-Latn-ME"/>
        </w:rPr>
      </w:pPr>
    </w:p>
    <w:p w14:paraId="3B994D87" w14:textId="4A490AE7" w:rsidR="00574B57" w:rsidRPr="00C76E49" w:rsidRDefault="009C3AE1" w:rsidP="00A25D4F">
      <w:pPr>
        <w:jc w:val="both"/>
        <w:rPr>
          <w:sz w:val="22"/>
          <w:szCs w:val="22"/>
          <w:lang w:val="sr-Latn-ME"/>
        </w:rPr>
      </w:pPr>
      <w:r>
        <w:rPr>
          <w:sz w:val="22"/>
          <w:szCs w:val="22"/>
          <w:lang w:val="sr-Latn-ME"/>
        </w:rPr>
        <w:t xml:space="preserve">U nastavku </w:t>
      </w:r>
      <w:r w:rsidR="00574B57" w:rsidRPr="00C76E49">
        <w:rPr>
          <w:sz w:val="22"/>
          <w:szCs w:val="22"/>
          <w:lang w:val="sr-Latn-ME"/>
        </w:rPr>
        <w:t xml:space="preserve">su navedene opšte preporuke za proceduru primjene lijeka. Instrukcije proizvođača za svaki pen moraju se pratiti radi punjenja uloška, pričvršćivanja injekcione igle i primjene lijeka. </w:t>
      </w:r>
    </w:p>
    <w:p w14:paraId="034013BB" w14:textId="77777777" w:rsidR="005A2575" w:rsidRPr="00C76E49" w:rsidRDefault="005A2575" w:rsidP="00A25D4F">
      <w:pPr>
        <w:jc w:val="both"/>
        <w:rPr>
          <w:sz w:val="22"/>
          <w:szCs w:val="22"/>
          <w:lang w:val="sr-Latn-ME"/>
        </w:rPr>
      </w:pPr>
    </w:p>
    <w:p w14:paraId="4C419EB0" w14:textId="77777777"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t>Potrebno je oprati ruke.</w:t>
      </w:r>
    </w:p>
    <w:p w14:paraId="0C7190CC" w14:textId="77777777"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t>Ako je rastvor zamućen ili sadrži čestice, ne smije se koristiti. Sadržaj mora biti bistar i bezbojan.</w:t>
      </w:r>
    </w:p>
    <w:p w14:paraId="7BCC97D4" w14:textId="77777777"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t>Dezinfikujte gumenu membranu uloška čistim ubrusom.</w:t>
      </w:r>
    </w:p>
    <w:p w14:paraId="72E9A948" w14:textId="6F3426A4"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t>Ubacite uložak u SurePal prateći instrukcije o upotrebi koje se dobijaju sa penom.</w:t>
      </w:r>
    </w:p>
    <w:p w14:paraId="0910265F" w14:textId="77777777"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t>Očistite mjesto primjene injekcije sa vatom natopljenom alkoholom.</w:t>
      </w:r>
    </w:p>
    <w:p w14:paraId="4B9CBDB0" w14:textId="77777777" w:rsidR="00574B57" w:rsidRPr="00C76E49" w:rsidRDefault="00574B57" w:rsidP="00A25D4F">
      <w:pPr>
        <w:numPr>
          <w:ilvl w:val="0"/>
          <w:numId w:val="13"/>
        </w:numPr>
        <w:tabs>
          <w:tab w:val="left" w:pos="284"/>
        </w:tabs>
        <w:jc w:val="both"/>
        <w:rPr>
          <w:sz w:val="22"/>
          <w:szCs w:val="22"/>
          <w:lang w:val="sr-Latn-ME"/>
        </w:rPr>
      </w:pPr>
      <w:r w:rsidRPr="00C76E49">
        <w:rPr>
          <w:sz w:val="22"/>
          <w:szCs w:val="22"/>
          <w:lang w:val="sr-Latn-ME"/>
        </w:rPr>
        <w:lastRenderedPageBreak/>
        <w:t>Primijenite odgovarajuću dozu u vidu subkutane injekcije pomoću sterilne pen igle. Uklonite pen iglu i bacite je u skladu sa propisima.</w:t>
      </w:r>
    </w:p>
    <w:p w14:paraId="5725E519" w14:textId="77777777" w:rsidR="005A2575" w:rsidRPr="00C76E49" w:rsidRDefault="005A2575" w:rsidP="007B1358">
      <w:pPr>
        <w:tabs>
          <w:tab w:val="left" w:pos="284"/>
        </w:tabs>
        <w:ind w:left="720"/>
        <w:jc w:val="both"/>
        <w:rPr>
          <w:sz w:val="22"/>
          <w:szCs w:val="22"/>
          <w:lang w:val="sr-Latn-ME"/>
        </w:rPr>
      </w:pPr>
    </w:p>
    <w:p w14:paraId="2B0058BB" w14:textId="7A17EB53" w:rsidR="0072020E" w:rsidRPr="006E31B1" w:rsidRDefault="009C3AE1" w:rsidP="00A25D4F">
      <w:pPr>
        <w:tabs>
          <w:tab w:val="left" w:pos="540"/>
          <w:tab w:val="left" w:pos="569"/>
        </w:tabs>
        <w:jc w:val="both"/>
        <w:rPr>
          <w:bCs/>
          <w:sz w:val="22"/>
          <w:szCs w:val="22"/>
          <w:lang w:val="sr-Latn-ME"/>
        </w:rPr>
      </w:pPr>
      <w:r w:rsidRPr="009C3AE1">
        <w:rPr>
          <w:sz w:val="22"/>
          <w:szCs w:val="22"/>
          <w:lang w:val="sr-Latn-ME"/>
        </w:rPr>
        <w:t>Svu neiskorišćenu količinu l</w:t>
      </w:r>
      <w:r>
        <w:rPr>
          <w:sz w:val="22"/>
          <w:szCs w:val="22"/>
          <w:lang w:val="sr-Latn-ME"/>
        </w:rPr>
        <w:t>ij</w:t>
      </w:r>
      <w:r w:rsidRPr="009C3AE1">
        <w:rPr>
          <w:sz w:val="22"/>
          <w:szCs w:val="22"/>
          <w:lang w:val="sr-Latn-ME"/>
        </w:rPr>
        <w:t>eka ili otpadnog</w:t>
      </w:r>
      <w:r>
        <w:rPr>
          <w:sz w:val="22"/>
          <w:szCs w:val="22"/>
          <w:lang w:val="sr-Latn-ME"/>
        </w:rPr>
        <w:t xml:space="preserve"> </w:t>
      </w:r>
      <w:r w:rsidRPr="009C3AE1">
        <w:rPr>
          <w:sz w:val="22"/>
          <w:szCs w:val="22"/>
          <w:lang w:val="sr-Latn-ME"/>
        </w:rPr>
        <w:t>materijala nakon njegove upotrebe treba ukloniti, u skladu sa važećim propisima</w:t>
      </w:r>
    </w:p>
    <w:p w14:paraId="4758D7C6" w14:textId="2EAD60C2" w:rsidR="0090137B" w:rsidRPr="006E31B1" w:rsidRDefault="0090137B" w:rsidP="00A25D4F">
      <w:pPr>
        <w:tabs>
          <w:tab w:val="left" w:pos="540"/>
          <w:tab w:val="left" w:pos="569"/>
        </w:tabs>
        <w:jc w:val="both"/>
        <w:rPr>
          <w:bCs/>
          <w:sz w:val="22"/>
          <w:szCs w:val="22"/>
          <w:lang w:val="sr-Latn-ME"/>
        </w:rPr>
      </w:pPr>
    </w:p>
    <w:p w14:paraId="4C65D036" w14:textId="77777777" w:rsidR="009C3AE1" w:rsidRPr="006E31B1" w:rsidRDefault="009C3AE1" w:rsidP="00A25D4F">
      <w:pPr>
        <w:tabs>
          <w:tab w:val="left" w:pos="540"/>
          <w:tab w:val="left" w:pos="569"/>
        </w:tabs>
        <w:jc w:val="both"/>
        <w:rPr>
          <w:bCs/>
          <w:sz w:val="22"/>
          <w:szCs w:val="22"/>
          <w:lang w:val="sr-Latn-ME"/>
        </w:rPr>
      </w:pPr>
    </w:p>
    <w:p w14:paraId="365A989A" w14:textId="77777777" w:rsidR="00F8570A" w:rsidRPr="006E31B1" w:rsidRDefault="0072020E" w:rsidP="00A25D4F">
      <w:pPr>
        <w:tabs>
          <w:tab w:val="left" w:pos="540"/>
          <w:tab w:val="left" w:pos="569"/>
        </w:tabs>
        <w:jc w:val="both"/>
        <w:rPr>
          <w:b/>
          <w:bCs/>
          <w:sz w:val="22"/>
          <w:szCs w:val="22"/>
          <w:lang w:val="it-IT"/>
        </w:rPr>
      </w:pPr>
      <w:r w:rsidRPr="006E31B1">
        <w:rPr>
          <w:b/>
          <w:bCs/>
          <w:sz w:val="22"/>
          <w:szCs w:val="22"/>
          <w:lang w:val="it-IT"/>
        </w:rPr>
        <w:t xml:space="preserve">7. </w:t>
      </w:r>
      <w:r w:rsidR="00480FB1" w:rsidRPr="006E31B1">
        <w:rPr>
          <w:b/>
          <w:bCs/>
          <w:sz w:val="22"/>
          <w:szCs w:val="22"/>
          <w:lang w:val="it-IT"/>
        </w:rPr>
        <w:tab/>
      </w:r>
      <w:r w:rsidRPr="006E31B1">
        <w:rPr>
          <w:b/>
          <w:bCs/>
          <w:sz w:val="22"/>
          <w:szCs w:val="22"/>
          <w:lang w:val="it-IT"/>
        </w:rPr>
        <w:t>NOSILAC DOZVOLE</w:t>
      </w:r>
      <w:r w:rsidR="00483928" w:rsidRPr="006E31B1">
        <w:rPr>
          <w:b/>
          <w:bCs/>
          <w:sz w:val="22"/>
          <w:szCs w:val="22"/>
          <w:lang w:val="it-IT"/>
        </w:rPr>
        <w:t xml:space="preserve"> </w:t>
      </w:r>
    </w:p>
    <w:p w14:paraId="4C9D2556" w14:textId="77777777" w:rsidR="00C61BE0" w:rsidRPr="006E31B1" w:rsidRDefault="00C61BE0" w:rsidP="00A25D4F">
      <w:pPr>
        <w:tabs>
          <w:tab w:val="left" w:pos="540"/>
          <w:tab w:val="left" w:pos="569"/>
        </w:tabs>
        <w:jc w:val="both"/>
        <w:rPr>
          <w:bCs/>
          <w:sz w:val="22"/>
          <w:szCs w:val="22"/>
          <w:lang w:val="it-IT"/>
        </w:rPr>
      </w:pPr>
    </w:p>
    <w:p w14:paraId="43AE2278" w14:textId="5F45E64A" w:rsidR="00574B57" w:rsidRPr="00C76E49" w:rsidRDefault="00574B57" w:rsidP="00A25D4F">
      <w:pPr>
        <w:tabs>
          <w:tab w:val="left" w:pos="540"/>
          <w:tab w:val="left" w:pos="569"/>
        </w:tabs>
        <w:jc w:val="both"/>
        <w:rPr>
          <w:bCs/>
          <w:sz w:val="22"/>
          <w:szCs w:val="22"/>
          <w:lang w:val="sr-Latn-ME"/>
        </w:rPr>
      </w:pPr>
      <w:r w:rsidRPr="00C76E49">
        <w:rPr>
          <w:bCs/>
          <w:sz w:val="22"/>
          <w:szCs w:val="22"/>
          <w:lang w:val="sr-Latn-ME"/>
        </w:rPr>
        <w:t>Glosarij d.o.o.</w:t>
      </w:r>
      <w:r w:rsidR="009C3AE1">
        <w:rPr>
          <w:bCs/>
          <w:sz w:val="22"/>
          <w:szCs w:val="22"/>
          <w:lang w:val="sr-Latn-ME"/>
        </w:rPr>
        <w:t xml:space="preserve"> Podgorica</w:t>
      </w:r>
    </w:p>
    <w:p w14:paraId="0A6D215A" w14:textId="15D3F580" w:rsidR="00574B57" w:rsidRDefault="00574B57" w:rsidP="00A25D4F">
      <w:pPr>
        <w:tabs>
          <w:tab w:val="left" w:pos="540"/>
          <w:tab w:val="left" w:pos="569"/>
        </w:tabs>
        <w:jc w:val="both"/>
        <w:rPr>
          <w:bCs/>
          <w:sz w:val="22"/>
          <w:szCs w:val="22"/>
          <w:lang w:val="sr-Latn-ME"/>
        </w:rPr>
      </w:pPr>
      <w:r w:rsidRPr="00C76E49">
        <w:rPr>
          <w:bCs/>
          <w:sz w:val="22"/>
          <w:szCs w:val="22"/>
          <w:lang w:val="sr-Latn-ME"/>
        </w:rPr>
        <w:t>Vojislavljevića 76,</w:t>
      </w:r>
      <w:r w:rsidR="009C3AE1">
        <w:rPr>
          <w:bCs/>
          <w:sz w:val="22"/>
          <w:szCs w:val="22"/>
          <w:lang w:val="sr-Latn-ME"/>
        </w:rPr>
        <w:t xml:space="preserve"> 81000</w:t>
      </w:r>
      <w:r w:rsidRPr="00C76E49">
        <w:rPr>
          <w:bCs/>
          <w:sz w:val="22"/>
          <w:szCs w:val="22"/>
          <w:lang w:val="sr-Latn-ME"/>
        </w:rPr>
        <w:t xml:space="preserve"> Podgorica, Crna Gora</w:t>
      </w:r>
    </w:p>
    <w:p w14:paraId="17A51F50" w14:textId="77777777" w:rsidR="0090137B" w:rsidRPr="00C76E49" w:rsidRDefault="0090137B" w:rsidP="00A25D4F">
      <w:pPr>
        <w:tabs>
          <w:tab w:val="left" w:pos="540"/>
          <w:tab w:val="left" w:pos="569"/>
        </w:tabs>
        <w:jc w:val="both"/>
        <w:rPr>
          <w:bCs/>
          <w:sz w:val="22"/>
          <w:szCs w:val="22"/>
          <w:lang w:val="sr-Latn-ME"/>
        </w:rPr>
      </w:pPr>
    </w:p>
    <w:p w14:paraId="34AEFA95" w14:textId="77777777" w:rsidR="00C37FD7" w:rsidRPr="006E31B1" w:rsidRDefault="00C37FD7" w:rsidP="00A25D4F">
      <w:pPr>
        <w:tabs>
          <w:tab w:val="left" w:pos="540"/>
          <w:tab w:val="left" w:pos="569"/>
        </w:tabs>
        <w:jc w:val="both"/>
        <w:rPr>
          <w:bCs/>
          <w:sz w:val="22"/>
          <w:szCs w:val="22"/>
          <w:lang w:val="sr-Latn-ME"/>
        </w:rPr>
      </w:pPr>
    </w:p>
    <w:p w14:paraId="37CFFAA6" w14:textId="77777777" w:rsidR="0072020E" w:rsidRPr="006E31B1" w:rsidRDefault="0072020E" w:rsidP="00A25D4F">
      <w:pPr>
        <w:tabs>
          <w:tab w:val="left" w:pos="540"/>
          <w:tab w:val="left" w:pos="569"/>
        </w:tabs>
        <w:jc w:val="both"/>
        <w:rPr>
          <w:b/>
          <w:bCs/>
          <w:sz w:val="22"/>
          <w:szCs w:val="22"/>
          <w:lang w:val="sr-Latn-ME"/>
        </w:rPr>
      </w:pPr>
      <w:r w:rsidRPr="006E31B1">
        <w:rPr>
          <w:b/>
          <w:bCs/>
          <w:sz w:val="22"/>
          <w:szCs w:val="22"/>
          <w:lang w:val="sr-Latn-ME"/>
        </w:rPr>
        <w:t xml:space="preserve">8. </w:t>
      </w:r>
      <w:r w:rsidR="00480FB1" w:rsidRPr="006E31B1">
        <w:rPr>
          <w:b/>
          <w:bCs/>
          <w:sz w:val="22"/>
          <w:szCs w:val="22"/>
          <w:lang w:val="sr-Latn-ME"/>
        </w:rPr>
        <w:tab/>
      </w:r>
      <w:r w:rsidRPr="00C76E49">
        <w:rPr>
          <w:b/>
          <w:bCs/>
          <w:sz w:val="22"/>
          <w:szCs w:val="22"/>
        </w:rPr>
        <w:t>BROJ</w:t>
      </w:r>
      <w:r w:rsidRPr="006E31B1">
        <w:rPr>
          <w:b/>
          <w:bCs/>
          <w:sz w:val="22"/>
          <w:szCs w:val="22"/>
          <w:lang w:val="sr-Latn-ME"/>
        </w:rPr>
        <w:t xml:space="preserve"> </w:t>
      </w:r>
      <w:r w:rsidRPr="00C76E49">
        <w:rPr>
          <w:b/>
          <w:bCs/>
          <w:sz w:val="22"/>
          <w:szCs w:val="22"/>
        </w:rPr>
        <w:t>DOZVOLE</w:t>
      </w:r>
      <w:r w:rsidR="008A6D43" w:rsidRPr="006E31B1">
        <w:rPr>
          <w:b/>
          <w:bCs/>
          <w:sz w:val="22"/>
          <w:szCs w:val="22"/>
          <w:lang w:val="sr-Latn-ME"/>
        </w:rPr>
        <w:t xml:space="preserve"> </w:t>
      </w:r>
      <w:r w:rsidR="008A6D43" w:rsidRPr="00C76E49">
        <w:rPr>
          <w:b/>
          <w:bCs/>
          <w:sz w:val="22"/>
          <w:szCs w:val="22"/>
        </w:rPr>
        <w:t>ZA</w:t>
      </w:r>
      <w:r w:rsidR="008A6D43" w:rsidRPr="006E31B1">
        <w:rPr>
          <w:b/>
          <w:bCs/>
          <w:sz w:val="22"/>
          <w:szCs w:val="22"/>
          <w:lang w:val="sr-Latn-ME"/>
        </w:rPr>
        <w:t xml:space="preserve"> </w:t>
      </w:r>
      <w:r w:rsidR="008A6D43" w:rsidRPr="00C76E49">
        <w:rPr>
          <w:b/>
          <w:bCs/>
          <w:sz w:val="22"/>
          <w:szCs w:val="22"/>
        </w:rPr>
        <w:t>STAVLJANJE</w:t>
      </w:r>
      <w:r w:rsidR="008A6D43" w:rsidRPr="006E31B1">
        <w:rPr>
          <w:b/>
          <w:bCs/>
          <w:sz w:val="22"/>
          <w:szCs w:val="22"/>
          <w:lang w:val="sr-Latn-ME"/>
        </w:rPr>
        <w:t xml:space="preserve"> </w:t>
      </w:r>
      <w:r w:rsidR="008A6D43" w:rsidRPr="00C76E49">
        <w:rPr>
          <w:b/>
          <w:bCs/>
          <w:sz w:val="22"/>
          <w:szCs w:val="22"/>
        </w:rPr>
        <w:t>LIJEKA</w:t>
      </w:r>
      <w:r w:rsidR="008A6D43" w:rsidRPr="006E31B1">
        <w:rPr>
          <w:b/>
          <w:bCs/>
          <w:sz w:val="22"/>
          <w:szCs w:val="22"/>
          <w:lang w:val="sr-Latn-ME"/>
        </w:rPr>
        <w:t xml:space="preserve"> </w:t>
      </w:r>
      <w:r w:rsidR="008A6D43" w:rsidRPr="00C76E49">
        <w:rPr>
          <w:b/>
          <w:bCs/>
          <w:sz w:val="22"/>
          <w:szCs w:val="22"/>
        </w:rPr>
        <w:t>U</w:t>
      </w:r>
      <w:r w:rsidR="008A6D43" w:rsidRPr="006E31B1">
        <w:rPr>
          <w:b/>
          <w:bCs/>
          <w:sz w:val="22"/>
          <w:szCs w:val="22"/>
          <w:lang w:val="sr-Latn-ME"/>
        </w:rPr>
        <w:t xml:space="preserve"> </w:t>
      </w:r>
      <w:r w:rsidR="008A6D43" w:rsidRPr="00C76E49">
        <w:rPr>
          <w:b/>
          <w:bCs/>
          <w:sz w:val="22"/>
          <w:szCs w:val="22"/>
        </w:rPr>
        <w:t>PROMET</w:t>
      </w:r>
    </w:p>
    <w:p w14:paraId="40CF87F3" w14:textId="77777777" w:rsidR="0072020E" w:rsidRPr="006E31B1" w:rsidRDefault="0072020E" w:rsidP="00A25D4F">
      <w:pPr>
        <w:tabs>
          <w:tab w:val="left" w:pos="540"/>
          <w:tab w:val="left" w:pos="569"/>
        </w:tabs>
        <w:jc w:val="both"/>
        <w:rPr>
          <w:bCs/>
          <w:sz w:val="22"/>
          <w:szCs w:val="22"/>
          <w:lang w:val="sr-Latn-ME"/>
        </w:rPr>
      </w:pPr>
    </w:p>
    <w:p w14:paraId="1C74BD0D" w14:textId="658A2953" w:rsidR="00574B57" w:rsidRPr="00C76E49" w:rsidRDefault="00574B57" w:rsidP="00A25D4F">
      <w:pPr>
        <w:tabs>
          <w:tab w:val="left" w:pos="540"/>
          <w:tab w:val="left" w:pos="569"/>
        </w:tabs>
        <w:jc w:val="both"/>
        <w:rPr>
          <w:bCs/>
          <w:sz w:val="22"/>
          <w:szCs w:val="22"/>
          <w:lang w:val="sr-Latn-ME"/>
        </w:rPr>
      </w:pPr>
      <w:r w:rsidRPr="00C76E49">
        <w:rPr>
          <w:bCs/>
          <w:sz w:val="22"/>
          <w:szCs w:val="22"/>
          <w:lang w:val="sr-Latn-ME"/>
        </w:rPr>
        <w:t>Omnitrope, rastvor za injekciju u ulošku, 10</w:t>
      </w:r>
      <w:r w:rsidR="009C3AE1">
        <w:rPr>
          <w:bCs/>
          <w:sz w:val="22"/>
          <w:szCs w:val="22"/>
          <w:lang w:val="sr-Latn-ME"/>
        </w:rPr>
        <w:t xml:space="preserve"> </w:t>
      </w:r>
      <w:r w:rsidRPr="00C76E49">
        <w:rPr>
          <w:bCs/>
          <w:sz w:val="22"/>
          <w:szCs w:val="22"/>
          <w:lang w:val="sr-Latn-ME"/>
        </w:rPr>
        <w:t>mg/1.5</w:t>
      </w:r>
      <w:r w:rsidR="009C3AE1">
        <w:rPr>
          <w:bCs/>
          <w:sz w:val="22"/>
          <w:szCs w:val="22"/>
          <w:lang w:val="sr-Latn-ME"/>
        </w:rPr>
        <w:t xml:space="preserve"> </w:t>
      </w:r>
      <w:r w:rsidRPr="00C76E49">
        <w:rPr>
          <w:bCs/>
          <w:sz w:val="22"/>
          <w:szCs w:val="22"/>
          <w:lang w:val="sr-Latn-ME"/>
        </w:rPr>
        <w:t>ml, uložak, 1</w:t>
      </w:r>
      <w:r w:rsidR="009C3AE1">
        <w:rPr>
          <w:bCs/>
          <w:sz w:val="22"/>
          <w:szCs w:val="22"/>
          <w:lang w:val="sr-Latn-ME"/>
        </w:rPr>
        <w:t xml:space="preserve"> </w:t>
      </w:r>
      <w:r w:rsidRPr="00C76E49">
        <w:rPr>
          <w:bCs/>
          <w:sz w:val="22"/>
          <w:szCs w:val="22"/>
          <w:lang w:val="sr-Latn-ME"/>
        </w:rPr>
        <w:t>x</w:t>
      </w:r>
      <w:r w:rsidR="009C3AE1">
        <w:rPr>
          <w:bCs/>
          <w:sz w:val="22"/>
          <w:szCs w:val="22"/>
          <w:lang w:val="sr-Latn-ME"/>
        </w:rPr>
        <w:t xml:space="preserve"> </w:t>
      </w:r>
      <w:r w:rsidRPr="00C76E49">
        <w:rPr>
          <w:bCs/>
          <w:sz w:val="22"/>
          <w:szCs w:val="22"/>
          <w:lang w:val="sr-Latn-ME"/>
        </w:rPr>
        <w:t>1.5</w:t>
      </w:r>
      <w:r w:rsidR="009C3AE1">
        <w:rPr>
          <w:bCs/>
          <w:sz w:val="22"/>
          <w:szCs w:val="22"/>
          <w:lang w:val="sr-Latn-ME"/>
        </w:rPr>
        <w:t xml:space="preserve"> </w:t>
      </w:r>
      <w:r w:rsidRPr="00C76E49">
        <w:rPr>
          <w:bCs/>
          <w:sz w:val="22"/>
          <w:szCs w:val="22"/>
          <w:lang w:val="sr-Latn-ME"/>
        </w:rPr>
        <w:t xml:space="preserve">ml: </w:t>
      </w:r>
      <w:r w:rsidR="00283C3E" w:rsidRPr="00283C3E">
        <w:rPr>
          <w:bCs/>
          <w:sz w:val="22"/>
          <w:szCs w:val="22"/>
        </w:rPr>
        <w:t>2030/25/2363 - 2248</w:t>
      </w:r>
    </w:p>
    <w:p w14:paraId="4585550B" w14:textId="79903CF1" w:rsidR="00574B57" w:rsidRDefault="00574B57" w:rsidP="00A25D4F">
      <w:pPr>
        <w:tabs>
          <w:tab w:val="left" w:pos="540"/>
          <w:tab w:val="left" w:pos="569"/>
        </w:tabs>
        <w:jc w:val="both"/>
        <w:rPr>
          <w:bCs/>
          <w:sz w:val="22"/>
          <w:szCs w:val="22"/>
          <w:lang w:val="sr-Latn-ME"/>
        </w:rPr>
      </w:pPr>
      <w:r w:rsidRPr="00C76E49">
        <w:rPr>
          <w:bCs/>
          <w:sz w:val="22"/>
          <w:szCs w:val="22"/>
          <w:lang w:val="sr-Latn-ME"/>
        </w:rPr>
        <w:t>Omnitrope, rastvor za injekciju u ulošku, 15</w:t>
      </w:r>
      <w:r w:rsidR="009C3AE1">
        <w:rPr>
          <w:bCs/>
          <w:sz w:val="22"/>
          <w:szCs w:val="22"/>
          <w:lang w:val="sr-Latn-ME"/>
        </w:rPr>
        <w:t xml:space="preserve"> </w:t>
      </w:r>
      <w:r w:rsidRPr="00C76E49">
        <w:rPr>
          <w:bCs/>
          <w:sz w:val="22"/>
          <w:szCs w:val="22"/>
          <w:lang w:val="sr-Latn-ME"/>
        </w:rPr>
        <w:t>mg/1.5</w:t>
      </w:r>
      <w:r w:rsidR="009C3AE1">
        <w:rPr>
          <w:bCs/>
          <w:sz w:val="22"/>
          <w:szCs w:val="22"/>
          <w:lang w:val="sr-Latn-ME"/>
        </w:rPr>
        <w:t xml:space="preserve"> </w:t>
      </w:r>
      <w:r w:rsidRPr="00C76E49">
        <w:rPr>
          <w:bCs/>
          <w:sz w:val="22"/>
          <w:szCs w:val="22"/>
          <w:lang w:val="sr-Latn-ME"/>
        </w:rPr>
        <w:t>ml, uložak, 1</w:t>
      </w:r>
      <w:r w:rsidR="009C3AE1">
        <w:rPr>
          <w:bCs/>
          <w:sz w:val="22"/>
          <w:szCs w:val="22"/>
          <w:lang w:val="sr-Latn-ME"/>
        </w:rPr>
        <w:t xml:space="preserve"> </w:t>
      </w:r>
      <w:r w:rsidRPr="00C76E49">
        <w:rPr>
          <w:bCs/>
          <w:sz w:val="22"/>
          <w:szCs w:val="22"/>
          <w:lang w:val="sr-Latn-ME"/>
        </w:rPr>
        <w:t>x</w:t>
      </w:r>
      <w:r w:rsidR="009C3AE1">
        <w:rPr>
          <w:bCs/>
          <w:sz w:val="22"/>
          <w:szCs w:val="22"/>
          <w:lang w:val="sr-Latn-ME"/>
        </w:rPr>
        <w:t xml:space="preserve"> </w:t>
      </w:r>
      <w:r w:rsidRPr="00C76E49">
        <w:rPr>
          <w:bCs/>
          <w:sz w:val="22"/>
          <w:szCs w:val="22"/>
          <w:lang w:val="sr-Latn-ME"/>
        </w:rPr>
        <w:t>1.5</w:t>
      </w:r>
      <w:r w:rsidR="009C3AE1">
        <w:rPr>
          <w:bCs/>
          <w:sz w:val="22"/>
          <w:szCs w:val="22"/>
          <w:lang w:val="sr-Latn-ME"/>
        </w:rPr>
        <w:t xml:space="preserve"> </w:t>
      </w:r>
      <w:r w:rsidRPr="00C76E49">
        <w:rPr>
          <w:bCs/>
          <w:sz w:val="22"/>
          <w:szCs w:val="22"/>
          <w:lang w:val="sr-Latn-ME"/>
        </w:rPr>
        <w:t xml:space="preserve">ml: </w:t>
      </w:r>
      <w:r w:rsidR="00283C3E" w:rsidRPr="00283C3E">
        <w:rPr>
          <w:bCs/>
          <w:sz w:val="22"/>
          <w:szCs w:val="22"/>
        </w:rPr>
        <w:t>2030/25/2364 - 2249</w:t>
      </w:r>
    </w:p>
    <w:p w14:paraId="271C5F1D" w14:textId="77777777" w:rsidR="0090137B" w:rsidRPr="00C76E49" w:rsidRDefault="0090137B" w:rsidP="00A25D4F">
      <w:pPr>
        <w:tabs>
          <w:tab w:val="left" w:pos="540"/>
          <w:tab w:val="left" w:pos="569"/>
        </w:tabs>
        <w:jc w:val="both"/>
        <w:rPr>
          <w:bCs/>
          <w:sz w:val="22"/>
          <w:szCs w:val="22"/>
          <w:lang w:val="sr-Latn-ME"/>
        </w:rPr>
      </w:pPr>
    </w:p>
    <w:p w14:paraId="0679A664" w14:textId="77777777" w:rsidR="00F45F77" w:rsidRPr="006E31B1" w:rsidRDefault="00F45F77" w:rsidP="00A25D4F">
      <w:pPr>
        <w:tabs>
          <w:tab w:val="left" w:pos="540"/>
          <w:tab w:val="left" w:pos="569"/>
        </w:tabs>
        <w:jc w:val="both"/>
        <w:rPr>
          <w:bCs/>
          <w:sz w:val="22"/>
          <w:szCs w:val="22"/>
          <w:lang w:val="sr-Latn-ME"/>
        </w:rPr>
      </w:pPr>
    </w:p>
    <w:p w14:paraId="03F10F6A" w14:textId="77777777" w:rsidR="0072020E" w:rsidRPr="006E31B1" w:rsidRDefault="0072020E" w:rsidP="00A25D4F">
      <w:pPr>
        <w:tabs>
          <w:tab w:val="left" w:pos="540"/>
          <w:tab w:val="left" w:pos="569"/>
        </w:tabs>
        <w:jc w:val="both"/>
        <w:rPr>
          <w:b/>
          <w:bCs/>
          <w:sz w:val="22"/>
          <w:szCs w:val="22"/>
          <w:lang w:val="it-IT"/>
        </w:rPr>
      </w:pPr>
      <w:r w:rsidRPr="006E31B1">
        <w:rPr>
          <w:b/>
          <w:bCs/>
          <w:sz w:val="22"/>
          <w:szCs w:val="22"/>
          <w:lang w:val="it-IT"/>
        </w:rPr>
        <w:t xml:space="preserve">9. </w:t>
      </w:r>
      <w:r w:rsidR="00480FB1" w:rsidRPr="006E31B1">
        <w:rPr>
          <w:b/>
          <w:bCs/>
          <w:sz w:val="22"/>
          <w:szCs w:val="22"/>
          <w:lang w:val="it-IT"/>
        </w:rPr>
        <w:tab/>
      </w:r>
      <w:r w:rsidRPr="006E31B1">
        <w:rPr>
          <w:b/>
          <w:bCs/>
          <w:sz w:val="22"/>
          <w:szCs w:val="22"/>
          <w:lang w:val="it-IT"/>
        </w:rPr>
        <w:t xml:space="preserve">DATUM </w:t>
      </w:r>
      <w:r w:rsidR="00C05DF8" w:rsidRPr="006E31B1">
        <w:rPr>
          <w:b/>
          <w:bCs/>
          <w:sz w:val="22"/>
          <w:szCs w:val="22"/>
          <w:lang w:val="it-IT"/>
        </w:rPr>
        <w:t xml:space="preserve">PRVE </w:t>
      </w:r>
      <w:r w:rsidR="008A6D43" w:rsidRPr="006E31B1">
        <w:rPr>
          <w:b/>
          <w:bCs/>
          <w:sz w:val="22"/>
          <w:szCs w:val="22"/>
          <w:lang w:val="it-IT"/>
        </w:rPr>
        <w:t>DOZVOLE</w:t>
      </w:r>
      <w:r w:rsidR="00C05DF8" w:rsidRPr="006E31B1">
        <w:rPr>
          <w:b/>
          <w:bCs/>
          <w:sz w:val="22"/>
          <w:szCs w:val="22"/>
          <w:lang w:val="it-IT"/>
        </w:rPr>
        <w:t>/OBNOVE DOZVOLE</w:t>
      </w:r>
      <w:r w:rsidR="008A6D43" w:rsidRPr="006E31B1">
        <w:rPr>
          <w:b/>
          <w:bCs/>
          <w:sz w:val="22"/>
          <w:szCs w:val="22"/>
          <w:lang w:val="it-IT"/>
        </w:rPr>
        <w:t xml:space="preserve"> ZA STAVLJANJE LIJEKA U PROMET</w:t>
      </w:r>
    </w:p>
    <w:p w14:paraId="51E91B1E" w14:textId="77777777" w:rsidR="00574B57" w:rsidRPr="00C76E49" w:rsidRDefault="00574B57" w:rsidP="00A25D4F">
      <w:pPr>
        <w:tabs>
          <w:tab w:val="left" w:pos="540"/>
          <w:tab w:val="left" w:pos="569"/>
        </w:tabs>
        <w:jc w:val="both"/>
        <w:rPr>
          <w:bCs/>
          <w:sz w:val="22"/>
          <w:szCs w:val="22"/>
          <w:lang w:val="sr-Latn-ME"/>
        </w:rPr>
      </w:pPr>
    </w:p>
    <w:p w14:paraId="549719AA" w14:textId="2C4F967E" w:rsidR="00574B57" w:rsidRDefault="009C3AE1" w:rsidP="00A25D4F">
      <w:pPr>
        <w:tabs>
          <w:tab w:val="left" w:pos="540"/>
          <w:tab w:val="left" w:pos="569"/>
        </w:tabs>
        <w:jc w:val="both"/>
        <w:rPr>
          <w:bCs/>
          <w:sz w:val="22"/>
          <w:szCs w:val="22"/>
          <w:lang w:val="sr-Latn-ME"/>
        </w:rPr>
      </w:pPr>
      <w:r>
        <w:rPr>
          <w:bCs/>
          <w:sz w:val="22"/>
          <w:szCs w:val="22"/>
          <w:lang w:val="sr-Latn-ME"/>
        </w:rPr>
        <w:t>Datum prve dozvole</w:t>
      </w:r>
      <w:r w:rsidR="00574B57" w:rsidRPr="00C76E49">
        <w:rPr>
          <w:bCs/>
          <w:sz w:val="22"/>
          <w:szCs w:val="22"/>
          <w:lang w:val="sr-Latn-ME"/>
        </w:rPr>
        <w:t>: 17.12.2014. godine</w:t>
      </w:r>
    </w:p>
    <w:p w14:paraId="43C07F9A" w14:textId="51C985EF" w:rsidR="0090137B" w:rsidRPr="00C76E49" w:rsidRDefault="009C3AE1" w:rsidP="00A25D4F">
      <w:pPr>
        <w:tabs>
          <w:tab w:val="left" w:pos="540"/>
          <w:tab w:val="left" w:pos="569"/>
        </w:tabs>
        <w:jc w:val="both"/>
        <w:rPr>
          <w:bCs/>
          <w:sz w:val="22"/>
          <w:szCs w:val="22"/>
          <w:lang w:val="sr-Latn-ME"/>
        </w:rPr>
      </w:pPr>
      <w:r>
        <w:rPr>
          <w:bCs/>
          <w:sz w:val="22"/>
          <w:szCs w:val="22"/>
          <w:lang w:val="sr-Latn-ME"/>
        </w:rPr>
        <w:t>Datum poslednje obnove dozvole:</w:t>
      </w:r>
      <w:r w:rsidR="00283C3E">
        <w:rPr>
          <w:bCs/>
          <w:sz w:val="22"/>
          <w:szCs w:val="22"/>
          <w:lang w:val="sr-Latn-ME"/>
        </w:rPr>
        <w:t xml:space="preserve"> </w:t>
      </w:r>
      <w:r w:rsidR="00283C3E" w:rsidRPr="00283C3E">
        <w:rPr>
          <w:bCs/>
          <w:sz w:val="22"/>
          <w:szCs w:val="22"/>
        </w:rPr>
        <w:t xml:space="preserve">16.06.2025. </w:t>
      </w:r>
      <w:r w:rsidR="00283C3E" w:rsidRPr="00283C3E">
        <w:rPr>
          <w:bCs/>
          <w:sz w:val="22"/>
          <w:szCs w:val="22"/>
          <w:lang w:val="sr-Latn-ME"/>
        </w:rPr>
        <w:t>godine</w:t>
      </w:r>
    </w:p>
    <w:p w14:paraId="4AEBFF8D" w14:textId="355EC552" w:rsidR="00836B35" w:rsidRPr="006E31B1" w:rsidRDefault="00836B35" w:rsidP="00A25D4F">
      <w:pPr>
        <w:tabs>
          <w:tab w:val="left" w:pos="540"/>
          <w:tab w:val="left" w:pos="569"/>
        </w:tabs>
        <w:jc w:val="both"/>
        <w:rPr>
          <w:bCs/>
          <w:sz w:val="22"/>
          <w:szCs w:val="22"/>
          <w:lang w:val="it-IT"/>
        </w:rPr>
      </w:pPr>
    </w:p>
    <w:p w14:paraId="0FC4A4E5" w14:textId="77777777" w:rsidR="009C3AE1" w:rsidRPr="006E31B1" w:rsidRDefault="009C3AE1" w:rsidP="00A25D4F">
      <w:pPr>
        <w:tabs>
          <w:tab w:val="left" w:pos="540"/>
          <w:tab w:val="left" w:pos="569"/>
        </w:tabs>
        <w:jc w:val="both"/>
        <w:rPr>
          <w:bCs/>
          <w:sz w:val="22"/>
          <w:szCs w:val="22"/>
          <w:lang w:val="it-IT"/>
        </w:rPr>
      </w:pPr>
    </w:p>
    <w:p w14:paraId="5AB79E6F" w14:textId="77777777" w:rsidR="003F6A59" w:rsidRPr="00EC7034" w:rsidRDefault="0072020E" w:rsidP="00A25D4F">
      <w:pPr>
        <w:tabs>
          <w:tab w:val="left" w:pos="540"/>
          <w:tab w:val="left" w:pos="569"/>
        </w:tabs>
        <w:ind w:left="540" w:hanging="540"/>
        <w:jc w:val="both"/>
        <w:rPr>
          <w:bCs/>
          <w:sz w:val="22"/>
          <w:szCs w:val="22"/>
        </w:rPr>
      </w:pPr>
      <w:r w:rsidRPr="00C76E49">
        <w:rPr>
          <w:b/>
          <w:bCs/>
          <w:sz w:val="22"/>
          <w:szCs w:val="22"/>
        </w:rPr>
        <w:t xml:space="preserve">10. </w:t>
      </w:r>
      <w:r w:rsidR="00480FB1" w:rsidRPr="00C76E49">
        <w:rPr>
          <w:b/>
          <w:bCs/>
          <w:sz w:val="22"/>
          <w:szCs w:val="22"/>
        </w:rPr>
        <w:tab/>
      </w:r>
      <w:r w:rsidR="002846DB" w:rsidRPr="00C76E49">
        <w:rPr>
          <w:b/>
          <w:bCs/>
          <w:sz w:val="22"/>
          <w:szCs w:val="22"/>
        </w:rPr>
        <w:t>D</w:t>
      </w:r>
      <w:r w:rsidR="00EC2532" w:rsidRPr="00C76E49">
        <w:rPr>
          <w:b/>
          <w:bCs/>
          <w:sz w:val="22"/>
          <w:szCs w:val="22"/>
        </w:rPr>
        <w:t>ATUM REVIZIJE TEKSTA</w:t>
      </w:r>
      <w:r w:rsidR="00EC2532" w:rsidRPr="00EC7034">
        <w:rPr>
          <w:b/>
          <w:bCs/>
          <w:sz w:val="22"/>
          <w:szCs w:val="22"/>
        </w:rPr>
        <w:t xml:space="preserve"> </w:t>
      </w:r>
    </w:p>
    <w:p w14:paraId="5145FCD6" w14:textId="77777777" w:rsidR="003F6A59" w:rsidRPr="00EC7034" w:rsidRDefault="003F6A59" w:rsidP="00A25D4F">
      <w:pPr>
        <w:tabs>
          <w:tab w:val="left" w:pos="540"/>
          <w:tab w:val="left" w:pos="569"/>
        </w:tabs>
        <w:jc w:val="both"/>
        <w:rPr>
          <w:bCs/>
          <w:sz w:val="22"/>
          <w:szCs w:val="22"/>
        </w:rPr>
      </w:pPr>
    </w:p>
    <w:p w14:paraId="050188E5" w14:textId="79E6A2A9" w:rsidR="003F6A59" w:rsidRPr="00EC7034" w:rsidRDefault="00283C3E" w:rsidP="00A25D4F">
      <w:pPr>
        <w:jc w:val="both"/>
        <w:rPr>
          <w:sz w:val="22"/>
          <w:szCs w:val="22"/>
          <w:lang w:val="pl-PL"/>
        </w:rPr>
      </w:pPr>
      <w:r>
        <w:rPr>
          <w:sz w:val="22"/>
          <w:szCs w:val="22"/>
          <w:lang w:val="pl-PL"/>
        </w:rPr>
        <w:t>Jun, 2025. godine</w:t>
      </w:r>
      <w:bookmarkStart w:id="0" w:name="_GoBack"/>
      <w:bookmarkEnd w:id="0"/>
    </w:p>
    <w:sectPr w:rsidR="003F6A59" w:rsidRPr="00EC7034" w:rsidSect="00CC568A">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7B92F" w14:textId="77777777" w:rsidR="000E1706" w:rsidRDefault="000E1706">
      <w:r>
        <w:separator/>
      </w:r>
    </w:p>
  </w:endnote>
  <w:endnote w:type="continuationSeparator" w:id="0">
    <w:p w14:paraId="5C036144" w14:textId="77777777" w:rsidR="000E1706" w:rsidRDefault="000E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53E74" w14:textId="3AE753EA" w:rsidR="00A0470F" w:rsidRPr="00B23F69" w:rsidRDefault="00A0470F"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83C3E">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83C3E">
      <w:rPr>
        <w:noProof/>
        <w:sz w:val="22"/>
        <w:szCs w:val="22"/>
      </w:rPr>
      <w:t>14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7C0E" w14:textId="77777777" w:rsidR="000E1706" w:rsidRDefault="000E1706">
      <w:r>
        <w:separator/>
      </w:r>
    </w:p>
  </w:footnote>
  <w:footnote w:type="continuationSeparator" w:id="0">
    <w:p w14:paraId="2B900021" w14:textId="77777777" w:rsidR="000E1706" w:rsidRDefault="000E1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pt;height:13.5pt;visibility:visible;mso-wrap-style:square" o:bullet="t">
        <v:imagedata r:id="rId1" o:title=""/>
      </v:shape>
    </w:pict>
  </w:numPicBullet>
  <w:abstractNum w:abstractNumId="0" w15:restartNumberingAfterBreak="0">
    <w:nsid w:val="0A0507C8"/>
    <w:multiLevelType w:val="hybridMultilevel"/>
    <w:tmpl w:val="DA268E24"/>
    <w:lvl w:ilvl="0" w:tplc="25D247DE">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B6C68"/>
    <w:multiLevelType w:val="hybridMultilevel"/>
    <w:tmpl w:val="8482FC54"/>
    <w:lvl w:ilvl="0" w:tplc="2C1A0019">
      <w:start w:val="1"/>
      <w:numFmt w:val="low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767006"/>
    <w:multiLevelType w:val="hybridMultilevel"/>
    <w:tmpl w:val="8A7ACA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10"/>
  </w:num>
  <w:num w:numId="5">
    <w:abstractNumId w:val="5"/>
  </w:num>
  <w:num w:numId="6">
    <w:abstractNumId w:val="2"/>
  </w:num>
  <w:num w:numId="7">
    <w:abstractNumId w:val="9"/>
  </w:num>
  <w:num w:numId="8">
    <w:abstractNumId w:val="4"/>
  </w:num>
  <w:num w:numId="9">
    <w:abstractNumId w:val="8"/>
  </w:num>
  <w:num w:numId="10">
    <w:abstractNumId w:val="13"/>
  </w:num>
  <w:num w:numId="11">
    <w:abstractNumId w:val="6"/>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3B1"/>
    <w:rsid w:val="000176CA"/>
    <w:rsid w:val="000262AD"/>
    <w:rsid w:val="00026FA7"/>
    <w:rsid w:val="00033057"/>
    <w:rsid w:val="00033469"/>
    <w:rsid w:val="00034AB5"/>
    <w:rsid w:val="00036FA0"/>
    <w:rsid w:val="0003793F"/>
    <w:rsid w:val="00041ED2"/>
    <w:rsid w:val="00045130"/>
    <w:rsid w:val="0005326B"/>
    <w:rsid w:val="00057E35"/>
    <w:rsid w:val="0007213A"/>
    <w:rsid w:val="00075E28"/>
    <w:rsid w:val="00076726"/>
    <w:rsid w:val="00080303"/>
    <w:rsid w:val="00083D02"/>
    <w:rsid w:val="000A3F58"/>
    <w:rsid w:val="000D2343"/>
    <w:rsid w:val="000D3449"/>
    <w:rsid w:val="000D425A"/>
    <w:rsid w:val="000D60CC"/>
    <w:rsid w:val="000E1706"/>
    <w:rsid w:val="000E2084"/>
    <w:rsid w:val="000E6F55"/>
    <w:rsid w:val="000F3972"/>
    <w:rsid w:val="000F77FA"/>
    <w:rsid w:val="00107BF7"/>
    <w:rsid w:val="00126F53"/>
    <w:rsid w:val="0014766D"/>
    <w:rsid w:val="001536CC"/>
    <w:rsid w:val="00164E81"/>
    <w:rsid w:val="0016643C"/>
    <w:rsid w:val="0016702C"/>
    <w:rsid w:val="00185DE7"/>
    <w:rsid w:val="001A3FBA"/>
    <w:rsid w:val="001A5518"/>
    <w:rsid w:val="001B1C6A"/>
    <w:rsid w:val="001C1263"/>
    <w:rsid w:val="001C1417"/>
    <w:rsid w:val="001E371E"/>
    <w:rsid w:val="001E390B"/>
    <w:rsid w:val="001F42FB"/>
    <w:rsid w:val="001F719A"/>
    <w:rsid w:val="002001F6"/>
    <w:rsid w:val="002031B3"/>
    <w:rsid w:val="00207D19"/>
    <w:rsid w:val="00215931"/>
    <w:rsid w:val="00224C91"/>
    <w:rsid w:val="00227BDB"/>
    <w:rsid w:val="00233CD7"/>
    <w:rsid w:val="00234CB1"/>
    <w:rsid w:val="002352F8"/>
    <w:rsid w:val="002510A5"/>
    <w:rsid w:val="00254227"/>
    <w:rsid w:val="00254A0A"/>
    <w:rsid w:val="00266046"/>
    <w:rsid w:val="00283C3E"/>
    <w:rsid w:val="002846DB"/>
    <w:rsid w:val="00284CCD"/>
    <w:rsid w:val="002C2A95"/>
    <w:rsid w:val="002C6637"/>
    <w:rsid w:val="002E0135"/>
    <w:rsid w:val="002E37A5"/>
    <w:rsid w:val="0030017F"/>
    <w:rsid w:val="00310CAF"/>
    <w:rsid w:val="00310F03"/>
    <w:rsid w:val="0032218B"/>
    <w:rsid w:val="003247D2"/>
    <w:rsid w:val="00333D9C"/>
    <w:rsid w:val="003365B5"/>
    <w:rsid w:val="003445C1"/>
    <w:rsid w:val="00355B61"/>
    <w:rsid w:val="00362686"/>
    <w:rsid w:val="00365B41"/>
    <w:rsid w:val="00371510"/>
    <w:rsid w:val="00396DFD"/>
    <w:rsid w:val="003A7059"/>
    <w:rsid w:val="003B7A36"/>
    <w:rsid w:val="003C17AB"/>
    <w:rsid w:val="003C7823"/>
    <w:rsid w:val="003E1DCC"/>
    <w:rsid w:val="003F11A1"/>
    <w:rsid w:val="003F6A59"/>
    <w:rsid w:val="004065C8"/>
    <w:rsid w:val="004109FA"/>
    <w:rsid w:val="00411B4B"/>
    <w:rsid w:val="00415BEE"/>
    <w:rsid w:val="00425378"/>
    <w:rsid w:val="004254E9"/>
    <w:rsid w:val="00427F85"/>
    <w:rsid w:val="004353C9"/>
    <w:rsid w:val="00436F42"/>
    <w:rsid w:val="004378B4"/>
    <w:rsid w:val="00451314"/>
    <w:rsid w:val="00452E9D"/>
    <w:rsid w:val="004534C7"/>
    <w:rsid w:val="004671AA"/>
    <w:rsid w:val="00471DF8"/>
    <w:rsid w:val="00480FB1"/>
    <w:rsid w:val="00483928"/>
    <w:rsid w:val="004C331F"/>
    <w:rsid w:val="004D6103"/>
    <w:rsid w:val="004E3BCE"/>
    <w:rsid w:val="004E70AD"/>
    <w:rsid w:val="004F0E97"/>
    <w:rsid w:val="004F17E2"/>
    <w:rsid w:val="00501DD1"/>
    <w:rsid w:val="00505A31"/>
    <w:rsid w:val="00515C21"/>
    <w:rsid w:val="00530BD7"/>
    <w:rsid w:val="00545CD2"/>
    <w:rsid w:val="005476F3"/>
    <w:rsid w:val="00572527"/>
    <w:rsid w:val="00573E40"/>
    <w:rsid w:val="00574B57"/>
    <w:rsid w:val="00576348"/>
    <w:rsid w:val="00586273"/>
    <w:rsid w:val="005A0B2E"/>
    <w:rsid w:val="005A23D2"/>
    <w:rsid w:val="005A2575"/>
    <w:rsid w:val="005A36CB"/>
    <w:rsid w:val="005B49B8"/>
    <w:rsid w:val="005C0741"/>
    <w:rsid w:val="005C5EF4"/>
    <w:rsid w:val="005E2E0B"/>
    <w:rsid w:val="005E67AD"/>
    <w:rsid w:val="005E7A7D"/>
    <w:rsid w:val="005F0096"/>
    <w:rsid w:val="00602457"/>
    <w:rsid w:val="006439E3"/>
    <w:rsid w:val="00644FC3"/>
    <w:rsid w:val="00646BD1"/>
    <w:rsid w:val="006561C2"/>
    <w:rsid w:val="00671CB3"/>
    <w:rsid w:val="00674BAF"/>
    <w:rsid w:val="00682200"/>
    <w:rsid w:val="00692BF6"/>
    <w:rsid w:val="006A1351"/>
    <w:rsid w:val="006A1497"/>
    <w:rsid w:val="006B0BD1"/>
    <w:rsid w:val="006B5404"/>
    <w:rsid w:val="006B758B"/>
    <w:rsid w:val="006C4F9D"/>
    <w:rsid w:val="006C7AA7"/>
    <w:rsid w:val="006D20A5"/>
    <w:rsid w:val="006D37BF"/>
    <w:rsid w:val="006E31B1"/>
    <w:rsid w:val="006E6226"/>
    <w:rsid w:val="00702E22"/>
    <w:rsid w:val="0072020E"/>
    <w:rsid w:val="00754902"/>
    <w:rsid w:val="00756769"/>
    <w:rsid w:val="00786071"/>
    <w:rsid w:val="007A3ECB"/>
    <w:rsid w:val="007B1358"/>
    <w:rsid w:val="007C5E00"/>
    <w:rsid w:val="007D7BB3"/>
    <w:rsid w:val="007E31E9"/>
    <w:rsid w:val="007F05E3"/>
    <w:rsid w:val="007F66CC"/>
    <w:rsid w:val="0080011E"/>
    <w:rsid w:val="00824AB9"/>
    <w:rsid w:val="00836B35"/>
    <w:rsid w:val="00843BDE"/>
    <w:rsid w:val="00874FD9"/>
    <w:rsid w:val="0087588C"/>
    <w:rsid w:val="00876217"/>
    <w:rsid w:val="0089705C"/>
    <w:rsid w:val="008A5390"/>
    <w:rsid w:val="008A6D43"/>
    <w:rsid w:val="008B491E"/>
    <w:rsid w:val="008C1A28"/>
    <w:rsid w:val="008C2E98"/>
    <w:rsid w:val="008E49BD"/>
    <w:rsid w:val="008E53E9"/>
    <w:rsid w:val="008E5771"/>
    <w:rsid w:val="008E626B"/>
    <w:rsid w:val="008F4ACF"/>
    <w:rsid w:val="0090137B"/>
    <w:rsid w:val="00924166"/>
    <w:rsid w:val="00930DDB"/>
    <w:rsid w:val="00940B9B"/>
    <w:rsid w:val="00953573"/>
    <w:rsid w:val="0095676E"/>
    <w:rsid w:val="00956983"/>
    <w:rsid w:val="00961CF5"/>
    <w:rsid w:val="00963CF0"/>
    <w:rsid w:val="00964BB1"/>
    <w:rsid w:val="009710E2"/>
    <w:rsid w:val="009775D9"/>
    <w:rsid w:val="00981DF3"/>
    <w:rsid w:val="00997175"/>
    <w:rsid w:val="009A1847"/>
    <w:rsid w:val="009B062A"/>
    <w:rsid w:val="009B426D"/>
    <w:rsid w:val="009C0B52"/>
    <w:rsid w:val="009C3AE1"/>
    <w:rsid w:val="009E0606"/>
    <w:rsid w:val="009E305B"/>
    <w:rsid w:val="009E7C6F"/>
    <w:rsid w:val="009E7DE8"/>
    <w:rsid w:val="009F050A"/>
    <w:rsid w:val="009F1793"/>
    <w:rsid w:val="009F2D23"/>
    <w:rsid w:val="00A01D69"/>
    <w:rsid w:val="00A02335"/>
    <w:rsid w:val="00A0470F"/>
    <w:rsid w:val="00A21499"/>
    <w:rsid w:val="00A25D4F"/>
    <w:rsid w:val="00A3205D"/>
    <w:rsid w:val="00A46C9A"/>
    <w:rsid w:val="00A619F3"/>
    <w:rsid w:val="00A62A73"/>
    <w:rsid w:val="00A81302"/>
    <w:rsid w:val="00A8551B"/>
    <w:rsid w:val="00A87FF6"/>
    <w:rsid w:val="00AA0A3B"/>
    <w:rsid w:val="00AA2763"/>
    <w:rsid w:val="00AA33B6"/>
    <w:rsid w:val="00AA6531"/>
    <w:rsid w:val="00AB50CA"/>
    <w:rsid w:val="00AB5790"/>
    <w:rsid w:val="00AB6D64"/>
    <w:rsid w:val="00AC44CD"/>
    <w:rsid w:val="00AC53CE"/>
    <w:rsid w:val="00AD2193"/>
    <w:rsid w:val="00AF19F4"/>
    <w:rsid w:val="00AF2AC7"/>
    <w:rsid w:val="00AF74CE"/>
    <w:rsid w:val="00B208DB"/>
    <w:rsid w:val="00B23F69"/>
    <w:rsid w:val="00B24F89"/>
    <w:rsid w:val="00B44167"/>
    <w:rsid w:val="00B60619"/>
    <w:rsid w:val="00B621CE"/>
    <w:rsid w:val="00B66A70"/>
    <w:rsid w:val="00B67366"/>
    <w:rsid w:val="00B80EE1"/>
    <w:rsid w:val="00B84135"/>
    <w:rsid w:val="00BE7CFB"/>
    <w:rsid w:val="00BF7738"/>
    <w:rsid w:val="00C04D34"/>
    <w:rsid w:val="00C05DF8"/>
    <w:rsid w:val="00C06864"/>
    <w:rsid w:val="00C10F54"/>
    <w:rsid w:val="00C23D8D"/>
    <w:rsid w:val="00C37AA3"/>
    <w:rsid w:val="00C37FD7"/>
    <w:rsid w:val="00C43419"/>
    <w:rsid w:val="00C44CF3"/>
    <w:rsid w:val="00C534C1"/>
    <w:rsid w:val="00C61BE0"/>
    <w:rsid w:val="00C6707E"/>
    <w:rsid w:val="00C70B0E"/>
    <w:rsid w:val="00C76E49"/>
    <w:rsid w:val="00C773CA"/>
    <w:rsid w:val="00C83785"/>
    <w:rsid w:val="00C84600"/>
    <w:rsid w:val="00C871FD"/>
    <w:rsid w:val="00C87FA8"/>
    <w:rsid w:val="00C942CB"/>
    <w:rsid w:val="00C94C0D"/>
    <w:rsid w:val="00CA1FEB"/>
    <w:rsid w:val="00CC568A"/>
    <w:rsid w:val="00CD4F85"/>
    <w:rsid w:val="00CD5966"/>
    <w:rsid w:val="00CD6F02"/>
    <w:rsid w:val="00CE246D"/>
    <w:rsid w:val="00CF07A0"/>
    <w:rsid w:val="00CF3E03"/>
    <w:rsid w:val="00CF6B2C"/>
    <w:rsid w:val="00D0082A"/>
    <w:rsid w:val="00D21455"/>
    <w:rsid w:val="00D434CA"/>
    <w:rsid w:val="00D47634"/>
    <w:rsid w:val="00D50357"/>
    <w:rsid w:val="00D709B3"/>
    <w:rsid w:val="00D74CD2"/>
    <w:rsid w:val="00D85845"/>
    <w:rsid w:val="00DA2ED6"/>
    <w:rsid w:val="00DA66ED"/>
    <w:rsid w:val="00DB02CF"/>
    <w:rsid w:val="00DB1D55"/>
    <w:rsid w:val="00DB76B8"/>
    <w:rsid w:val="00DC2EA1"/>
    <w:rsid w:val="00DC7088"/>
    <w:rsid w:val="00DD6AAF"/>
    <w:rsid w:val="00DE3F5C"/>
    <w:rsid w:val="00DF1D20"/>
    <w:rsid w:val="00E1036A"/>
    <w:rsid w:val="00E136CB"/>
    <w:rsid w:val="00E21324"/>
    <w:rsid w:val="00E246B9"/>
    <w:rsid w:val="00E31FEA"/>
    <w:rsid w:val="00E421EE"/>
    <w:rsid w:val="00E45169"/>
    <w:rsid w:val="00E47787"/>
    <w:rsid w:val="00E51C30"/>
    <w:rsid w:val="00E6186C"/>
    <w:rsid w:val="00E64180"/>
    <w:rsid w:val="00E7235D"/>
    <w:rsid w:val="00E737AC"/>
    <w:rsid w:val="00E74AEE"/>
    <w:rsid w:val="00E868E5"/>
    <w:rsid w:val="00E9237A"/>
    <w:rsid w:val="00E939FA"/>
    <w:rsid w:val="00EA5765"/>
    <w:rsid w:val="00EB0B72"/>
    <w:rsid w:val="00EC1A2D"/>
    <w:rsid w:val="00EC2532"/>
    <w:rsid w:val="00EC7034"/>
    <w:rsid w:val="00ED245C"/>
    <w:rsid w:val="00ED56D0"/>
    <w:rsid w:val="00ED7812"/>
    <w:rsid w:val="00EE159C"/>
    <w:rsid w:val="00EE22B4"/>
    <w:rsid w:val="00EF3B86"/>
    <w:rsid w:val="00F11EDB"/>
    <w:rsid w:val="00F317E9"/>
    <w:rsid w:val="00F34554"/>
    <w:rsid w:val="00F35B68"/>
    <w:rsid w:val="00F45F77"/>
    <w:rsid w:val="00F5167F"/>
    <w:rsid w:val="00F52258"/>
    <w:rsid w:val="00F70CEB"/>
    <w:rsid w:val="00F8570A"/>
    <w:rsid w:val="00F91C7B"/>
    <w:rsid w:val="00F92805"/>
    <w:rsid w:val="00FC0009"/>
    <w:rsid w:val="00FF2B3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9EB7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F39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Header 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CF6B2C"/>
    <w:rPr>
      <w:sz w:val="24"/>
      <w:szCs w:val="24"/>
      <w:lang w:val="en-US" w:eastAsia="en-US"/>
    </w:rPr>
  </w:style>
  <w:style w:type="paragraph" w:customStyle="1" w:styleId="Default">
    <w:name w:val="Default"/>
    <w:rsid w:val="00574B57"/>
    <w:pPr>
      <w:autoSpaceDE w:val="0"/>
      <w:autoSpaceDN w:val="0"/>
      <w:adjustRightInd w:val="0"/>
    </w:pPr>
    <w:rPr>
      <w:color w:val="000000"/>
      <w:sz w:val="24"/>
      <w:szCs w:val="24"/>
      <w:lang w:val="en-US" w:eastAsia="zh-TW"/>
    </w:rPr>
  </w:style>
  <w:style w:type="paragraph" w:styleId="Revision">
    <w:name w:val="Revision"/>
    <w:hidden/>
    <w:uiPriority w:val="99"/>
    <w:semiHidden/>
    <w:rsid w:val="00D85845"/>
    <w:rPr>
      <w:sz w:val="24"/>
      <w:szCs w:val="24"/>
      <w:lang w:val="en-US" w:eastAsia="en-US"/>
    </w:rPr>
  </w:style>
  <w:style w:type="paragraph" w:styleId="ListParagraph">
    <w:name w:val="List Paragraph"/>
    <w:basedOn w:val="Normal"/>
    <w:uiPriority w:val="34"/>
    <w:qFormat/>
    <w:rsid w:val="00AC44CD"/>
    <w:pPr>
      <w:ind w:left="720"/>
      <w:contextualSpacing/>
    </w:pPr>
  </w:style>
  <w:style w:type="table" w:styleId="TableGrid">
    <w:name w:val="Table Grid"/>
    <w:basedOn w:val="TableNormal"/>
    <w:rsid w:val="00200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F3972"/>
    <w:pPr>
      <w:widowControl w:val="0"/>
      <w:autoSpaceDE w:val="0"/>
      <w:autoSpaceDN w:val="0"/>
      <w:ind w:left="112"/>
    </w:pPr>
    <w:rPr>
      <w:sz w:val="22"/>
      <w:szCs w:val="22"/>
    </w:rPr>
  </w:style>
  <w:style w:type="character" w:customStyle="1" w:styleId="BodyTextChar">
    <w:name w:val="Body Text Char"/>
    <w:basedOn w:val="DefaultParagraphFont"/>
    <w:link w:val="BodyText"/>
    <w:uiPriority w:val="1"/>
    <w:rsid w:val="000F3972"/>
    <w:rPr>
      <w:sz w:val="22"/>
      <w:szCs w:val="22"/>
      <w:lang w:val="en-US" w:eastAsia="en-US"/>
    </w:rPr>
  </w:style>
  <w:style w:type="character" w:customStyle="1" w:styleId="Heading1Char">
    <w:name w:val="Heading 1 Char"/>
    <w:basedOn w:val="DefaultParagraphFont"/>
    <w:link w:val="Heading1"/>
    <w:rsid w:val="000F3972"/>
    <w:rPr>
      <w:rFonts w:asciiTheme="majorHAnsi" w:eastAsiaTheme="majorEastAsia" w:hAnsiTheme="majorHAnsi" w:cstheme="majorBidi"/>
      <w:color w:val="2E74B5" w:themeColor="accent1" w:themeShade="BF"/>
      <w:sz w:val="32"/>
      <w:szCs w:val="32"/>
      <w:lang w:val="en-US" w:eastAsia="en-US"/>
    </w:rPr>
  </w:style>
  <w:style w:type="paragraph" w:customStyle="1" w:styleId="TableParagraph">
    <w:name w:val="Table Paragraph"/>
    <w:basedOn w:val="Normal"/>
    <w:uiPriority w:val="1"/>
    <w:qFormat/>
    <w:rsid w:val="000F3972"/>
    <w:pPr>
      <w:widowControl w:val="0"/>
      <w:autoSpaceDE w:val="0"/>
      <w:autoSpaceDN w:val="0"/>
      <w:ind w:left="105"/>
    </w:pPr>
    <w:rPr>
      <w:sz w:val="22"/>
      <w:szCs w:val="22"/>
    </w:rPr>
  </w:style>
  <w:style w:type="table" w:customStyle="1" w:styleId="TableGrid0">
    <w:name w:val="TableGrid"/>
    <w:rsid w:val="00AA6531"/>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4B82-CA66-4A0C-9E9F-20A04CEC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38246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3</cp:revision>
  <cp:lastPrinted>2023-02-09T08:16:00Z</cp:lastPrinted>
  <dcterms:created xsi:type="dcterms:W3CDTF">2025-06-13T05:18:00Z</dcterms:created>
  <dcterms:modified xsi:type="dcterms:W3CDTF">2025-06-13T08:33:00Z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