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78FD0ED" w14:textId="77777777" w:rsidR="00F0528E" w:rsidRPr="00922577" w:rsidRDefault="00F0528E" w:rsidP="00922577">
      <w:pPr>
        <w:pStyle w:val="Caption"/>
        <w:rPr>
          <w:rFonts w:eastAsia="Lucida Sans Unicode"/>
        </w:rPr>
      </w:pPr>
    </w:p>
    <w:p w14:paraId="734EE23F" w14:textId="77777777" w:rsidR="00043288" w:rsidRPr="0013178E" w:rsidRDefault="00043288" w:rsidP="00043288">
      <w:pPr>
        <w:jc w:val="center"/>
        <w:rPr>
          <w:b/>
          <w:bCs/>
          <w:iCs/>
          <w:sz w:val="22"/>
          <w:szCs w:val="22"/>
          <w:u w:val="single"/>
          <w:lang w:val="hr-HR"/>
        </w:rPr>
      </w:pPr>
      <w:r w:rsidRPr="0013178E">
        <w:rPr>
          <w:b/>
          <w:bCs/>
          <w:iCs/>
          <w:sz w:val="22"/>
          <w:szCs w:val="22"/>
          <w:u w:val="single"/>
          <w:lang w:val="hr-HR"/>
        </w:rPr>
        <w:t>SAŽETAK KARAKTERISTIKA LIJEKA</w:t>
      </w:r>
    </w:p>
    <w:p w14:paraId="344A846C" w14:textId="77777777" w:rsidR="00C1476C" w:rsidRPr="0013178E" w:rsidRDefault="00C1476C" w:rsidP="007967E3">
      <w:pPr>
        <w:widowControl/>
        <w:shd w:val="clear" w:color="auto" w:fill="FFFFFF"/>
        <w:autoSpaceDE/>
        <w:jc w:val="center"/>
        <w:rPr>
          <w:b/>
          <w:bCs/>
          <w:color w:val="FF0000"/>
          <w:spacing w:val="-15"/>
          <w:kern w:val="1"/>
          <w:sz w:val="22"/>
          <w:szCs w:val="22"/>
          <w:lang w:val="hr-HR"/>
        </w:rPr>
      </w:pPr>
    </w:p>
    <w:p w14:paraId="29C6EEB0" w14:textId="77777777" w:rsidR="00C1476C" w:rsidRPr="0013178E" w:rsidRDefault="00C1476C" w:rsidP="007967E3">
      <w:pPr>
        <w:shd w:val="clear" w:color="auto" w:fill="FFFFFF"/>
        <w:tabs>
          <w:tab w:val="left" w:pos="0"/>
        </w:tabs>
        <w:spacing w:before="240"/>
        <w:rPr>
          <w:b/>
          <w:bCs/>
          <w:color w:val="FF0000"/>
          <w:sz w:val="22"/>
          <w:szCs w:val="22"/>
          <w:lang w:val="hr-HR"/>
        </w:rPr>
      </w:pPr>
    </w:p>
    <w:p w14:paraId="4FBFAC67" w14:textId="64CD8495" w:rsidR="002371CF" w:rsidRPr="0013178E" w:rsidRDefault="002371CF" w:rsidP="004C6596">
      <w:pPr>
        <w:widowControl/>
        <w:shd w:val="clear" w:color="auto" w:fill="FFFFFF"/>
        <w:tabs>
          <w:tab w:val="left" w:pos="360"/>
        </w:tabs>
        <w:autoSpaceDE/>
        <w:jc w:val="both"/>
        <w:rPr>
          <w:rFonts w:eastAsia="Lucida Sans Unicode"/>
          <w:b/>
          <w:bCs/>
          <w:spacing w:val="-11"/>
          <w:kern w:val="1"/>
          <w:sz w:val="22"/>
          <w:szCs w:val="22"/>
          <w:lang w:val="hr-HR"/>
        </w:rPr>
      </w:pPr>
      <w:r w:rsidRPr="0013178E">
        <w:rPr>
          <w:rFonts w:eastAsia="Lucida Sans Unicode"/>
          <w:b/>
          <w:bCs/>
          <w:spacing w:val="-24"/>
          <w:kern w:val="1"/>
          <w:sz w:val="22"/>
          <w:szCs w:val="22"/>
          <w:lang w:val="hr-HR"/>
        </w:rPr>
        <w:t>1.</w:t>
      </w:r>
      <w:r w:rsidRPr="0013178E">
        <w:rPr>
          <w:rFonts w:eastAsia="Lucida Sans Unicode"/>
          <w:b/>
          <w:bCs/>
          <w:kern w:val="1"/>
          <w:sz w:val="22"/>
          <w:szCs w:val="22"/>
          <w:lang w:val="hr-HR"/>
        </w:rPr>
        <w:tab/>
      </w:r>
      <w:r w:rsidRPr="0013178E">
        <w:rPr>
          <w:rFonts w:eastAsia="Lucida Sans Unicode"/>
          <w:b/>
          <w:bCs/>
          <w:spacing w:val="-11"/>
          <w:kern w:val="1"/>
          <w:sz w:val="22"/>
          <w:szCs w:val="22"/>
          <w:lang w:val="hr-HR"/>
        </w:rPr>
        <w:t>NAZIV LIJEKA</w:t>
      </w:r>
    </w:p>
    <w:p w14:paraId="0745DCCA" w14:textId="77777777" w:rsidR="007967E3" w:rsidRPr="0013178E" w:rsidRDefault="007967E3" w:rsidP="004C6596">
      <w:pPr>
        <w:shd w:val="clear" w:color="auto" w:fill="FFFFFF"/>
        <w:tabs>
          <w:tab w:val="left" w:pos="0"/>
        </w:tabs>
        <w:jc w:val="both"/>
        <w:rPr>
          <w:bCs/>
          <w:color w:val="FF0000"/>
          <w:sz w:val="22"/>
          <w:szCs w:val="22"/>
          <w:lang w:val="hr-HR"/>
        </w:rPr>
      </w:pPr>
    </w:p>
    <w:p w14:paraId="1E33DE0B" w14:textId="65AEF468" w:rsidR="00CE160C" w:rsidRPr="00430A60" w:rsidRDefault="006A3BFD" w:rsidP="00A30111">
      <w:pPr>
        <w:shd w:val="clear" w:color="auto" w:fill="FFFFFF"/>
        <w:tabs>
          <w:tab w:val="left" w:pos="0"/>
        </w:tabs>
        <w:jc w:val="both"/>
        <w:rPr>
          <w:bCs/>
          <w:sz w:val="22"/>
          <w:szCs w:val="22"/>
          <w:lang w:val="hr-HR"/>
        </w:rPr>
      </w:pPr>
      <w:r w:rsidRPr="00430A60">
        <w:rPr>
          <w:bCs/>
          <w:sz w:val="22"/>
          <w:szCs w:val="22"/>
          <w:lang w:val="hr-HR"/>
        </w:rPr>
        <w:t>SOLU-</w:t>
      </w:r>
      <w:r w:rsidR="00CE160C" w:rsidRPr="00430A60">
        <w:rPr>
          <w:bCs/>
          <w:sz w:val="22"/>
          <w:szCs w:val="22"/>
          <w:lang w:val="hr-HR"/>
        </w:rPr>
        <w:t>MEDROL</w:t>
      </w:r>
      <w:r w:rsidR="00BB3944" w:rsidRPr="00430A60">
        <w:rPr>
          <w:bCs/>
          <w:sz w:val="22"/>
          <w:szCs w:val="22"/>
          <w:lang w:val="hr-HR"/>
        </w:rPr>
        <w:t>,</w:t>
      </w:r>
      <w:r w:rsidR="00CE160C" w:rsidRPr="00430A60">
        <w:rPr>
          <w:bCs/>
          <w:sz w:val="22"/>
          <w:szCs w:val="22"/>
          <w:lang w:val="hr-HR"/>
        </w:rPr>
        <w:t xml:space="preserve"> 40</w:t>
      </w:r>
      <w:r w:rsidR="002A4BA6" w:rsidRPr="00430A60">
        <w:rPr>
          <w:bCs/>
          <w:sz w:val="22"/>
          <w:szCs w:val="22"/>
          <w:lang w:val="hr-HR"/>
        </w:rPr>
        <w:t xml:space="preserve"> </w:t>
      </w:r>
      <w:r w:rsidR="00CE160C" w:rsidRPr="00430A60">
        <w:rPr>
          <w:bCs/>
          <w:sz w:val="22"/>
          <w:szCs w:val="22"/>
          <w:lang w:val="hr-HR"/>
        </w:rPr>
        <w:t>mg</w:t>
      </w:r>
      <w:r w:rsidRPr="00430A60">
        <w:rPr>
          <w:bCs/>
          <w:sz w:val="22"/>
          <w:szCs w:val="22"/>
          <w:lang w:val="hr-HR"/>
        </w:rPr>
        <w:t xml:space="preserve"> prašak i rastvarač za rastvor za injekciju</w:t>
      </w:r>
      <w:r w:rsidR="008862EB" w:rsidRPr="00430A60">
        <w:rPr>
          <w:bCs/>
          <w:sz w:val="22"/>
          <w:szCs w:val="22"/>
          <w:lang w:val="hr-HR"/>
        </w:rPr>
        <w:t>/</w:t>
      </w:r>
      <w:r w:rsidR="00897866" w:rsidRPr="00430A60">
        <w:rPr>
          <w:bCs/>
          <w:sz w:val="22"/>
          <w:szCs w:val="22"/>
          <w:lang w:val="hr-HR"/>
        </w:rPr>
        <w:t>infuziju</w:t>
      </w:r>
    </w:p>
    <w:p w14:paraId="46DA095D" w14:textId="03E31C77" w:rsidR="004316E8" w:rsidRPr="00430A60" w:rsidRDefault="004316E8" w:rsidP="00430A60">
      <w:pPr>
        <w:shd w:val="clear" w:color="auto" w:fill="FFFFFF"/>
        <w:tabs>
          <w:tab w:val="left" w:pos="0"/>
          <w:tab w:val="left" w:pos="360"/>
        </w:tabs>
        <w:jc w:val="both"/>
        <w:rPr>
          <w:bCs/>
          <w:sz w:val="22"/>
          <w:szCs w:val="22"/>
          <w:lang w:val="hr-HR"/>
        </w:rPr>
      </w:pPr>
      <w:r w:rsidRPr="00430A60">
        <w:rPr>
          <w:bCs/>
          <w:sz w:val="22"/>
          <w:szCs w:val="22"/>
          <w:lang w:val="hr-HR"/>
        </w:rPr>
        <w:t>SOLU-MEDROL, 125 mg prašak i rastvarač za rastvor za injekciju</w:t>
      </w:r>
      <w:r w:rsidR="008862EB" w:rsidRPr="00430A60">
        <w:rPr>
          <w:bCs/>
          <w:sz w:val="22"/>
          <w:szCs w:val="22"/>
          <w:lang w:val="hr-HR"/>
        </w:rPr>
        <w:t>/</w:t>
      </w:r>
      <w:r w:rsidRPr="00430A60">
        <w:rPr>
          <w:bCs/>
          <w:sz w:val="22"/>
          <w:szCs w:val="22"/>
          <w:lang w:val="hr-HR"/>
        </w:rPr>
        <w:t>infuziju</w:t>
      </w:r>
    </w:p>
    <w:p w14:paraId="35A6058F" w14:textId="3AC7BD2C" w:rsidR="004316E8" w:rsidRPr="00430A60" w:rsidRDefault="004316E8" w:rsidP="00430A60">
      <w:pPr>
        <w:shd w:val="clear" w:color="auto" w:fill="FFFFFF"/>
        <w:tabs>
          <w:tab w:val="left" w:pos="0"/>
        </w:tabs>
        <w:jc w:val="both"/>
        <w:rPr>
          <w:bCs/>
          <w:sz w:val="22"/>
          <w:szCs w:val="22"/>
          <w:lang w:val="hr-HR"/>
        </w:rPr>
      </w:pPr>
      <w:r w:rsidRPr="00430A60">
        <w:rPr>
          <w:bCs/>
          <w:sz w:val="22"/>
          <w:szCs w:val="22"/>
          <w:lang w:val="hr-HR"/>
        </w:rPr>
        <w:t>SOLU-MEDROL, 500 mg prašak i rastvarač za rastvor za injekciju</w:t>
      </w:r>
      <w:r w:rsidR="008862EB" w:rsidRPr="00430A60">
        <w:rPr>
          <w:bCs/>
          <w:sz w:val="22"/>
          <w:szCs w:val="22"/>
          <w:lang w:val="hr-HR"/>
        </w:rPr>
        <w:t>/</w:t>
      </w:r>
      <w:r w:rsidRPr="00430A60">
        <w:rPr>
          <w:bCs/>
          <w:sz w:val="22"/>
          <w:szCs w:val="22"/>
          <w:lang w:val="hr-HR"/>
        </w:rPr>
        <w:t>infuziju</w:t>
      </w:r>
    </w:p>
    <w:p w14:paraId="3D301172" w14:textId="77777777" w:rsidR="00EF0D50" w:rsidRPr="0013178E" w:rsidRDefault="00EF0D50" w:rsidP="009959D7">
      <w:pPr>
        <w:shd w:val="clear" w:color="auto" w:fill="FFFFFF"/>
        <w:tabs>
          <w:tab w:val="left" w:pos="0"/>
        </w:tabs>
        <w:jc w:val="both"/>
        <w:rPr>
          <w:bCs/>
          <w:color w:val="FF0000"/>
          <w:sz w:val="22"/>
          <w:szCs w:val="22"/>
          <w:lang w:val="hr-HR"/>
        </w:rPr>
      </w:pPr>
    </w:p>
    <w:p w14:paraId="781A1BBA" w14:textId="77777777" w:rsidR="002371CF" w:rsidRPr="0013178E" w:rsidRDefault="00BB3944" w:rsidP="009959D7">
      <w:pPr>
        <w:shd w:val="clear" w:color="auto" w:fill="FFFFFF"/>
        <w:tabs>
          <w:tab w:val="left" w:pos="0"/>
        </w:tabs>
        <w:jc w:val="both"/>
        <w:rPr>
          <w:bCs/>
          <w:sz w:val="22"/>
          <w:szCs w:val="22"/>
          <w:lang w:val="hr-HR"/>
        </w:rPr>
      </w:pPr>
      <w:r w:rsidRPr="0013178E">
        <w:rPr>
          <w:bCs/>
          <w:sz w:val="22"/>
          <w:szCs w:val="22"/>
          <w:lang w:val="hr-HR"/>
        </w:rPr>
        <w:t>INN: m</w:t>
      </w:r>
      <w:r w:rsidR="00CE160C" w:rsidRPr="0013178E">
        <w:rPr>
          <w:bCs/>
          <w:sz w:val="22"/>
          <w:szCs w:val="22"/>
          <w:lang w:val="hr-HR"/>
        </w:rPr>
        <w:t>etilprednizolon</w:t>
      </w:r>
    </w:p>
    <w:p w14:paraId="1CA69C31" w14:textId="77777777" w:rsidR="004C6596" w:rsidRPr="0013178E" w:rsidRDefault="004C6596" w:rsidP="004C6596">
      <w:pPr>
        <w:shd w:val="clear" w:color="auto" w:fill="FFFFFF"/>
        <w:tabs>
          <w:tab w:val="left" w:pos="0"/>
        </w:tabs>
        <w:jc w:val="both"/>
        <w:rPr>
          <w:bCs/>
          <w:color w:val="FF0000"/>
          <w:sz w:val="22"/>
          <w:szCs w:val="22"/>
          <w:lang w:val="hr-HR"/>
        </w:rPr>
      </w:pPr>
    </w:p>
    <w:p w14:paraId="3EC2D3C0" w14:textId="77777777" w:rsidR="004C6596" w:rsidRPr="0013178E" w:rsidRDefault="004C6596" w:rsidP="004C6596">
      <w:pPr>
        <w:shd w:val="clear" w:color="auto" w:fill="FFFFFF"/>
        <w:tabs>
          <w:tab w:val="left" w:pos="0"/>
        </w:tabs>
        <w:jc w:val="both"/>
        <w:rPr>
          <w:bCs/>
          <w:color w:val="FF0000"/>
          <w:sz w:val="22"/>
          <w:szCs w:val="22"/>
          <w:lang w:val="hr-HR"/>
        </w:rPr>
      </w:pPr>
    </w:p>
    <w:p w14:paraId="53423F52" w14:textId="77777777" w:rsidR="002371CF" w:rsidRPr="0013178E" w:rsidRDefault="002371CF" w:rsidP="004C6596">
      <w:pPr>
        <w:widowControl/>
        <w:shd w:val="clear" w:color="auto" w:fill="FFFFFF"/>
        <w:tabs>
          <w:tab w:val="left" w:pos="360"/>
        </w:tabs>
        <w:autoSpaceDE/>
        <w:jc w:val="both"/>
        <w:rPr>
          <w:rFonts w:eastAsia="Lucida Sans Unicode"/>
          <w:b/>
          <w:bCs/>
          <w:spacing w:val="-11"/>
          <w:kern w:val="1"/>
          <w:sz w:val="22"/>
          <w:szCs w:val="22"/>
          <w:lang w:val="hr-HR"/>
        </w:rPr>
      </w:pPr>
      <w:r w:rsidRPr="0013178E">
        <w:rPr>
          <w:rFonts w:eastAsia="Lucida Sans Unicode"/>
          <w:b/>
          <w:bCs/>
          <w:spacing w:val="-17"/>
          <w:kern w:val="1"/>
          <w:sz w:val="22"/>
          <w:szCs w:val="22"/>
          <w:lang w:val="hr-HR"/>
        </w:rPr>
        <w:t>2.</w:t>
      </w:r>
      <w:r w:rsidRPr="0013178E">
        <w:rPr>
          <w:rFonts w:eastAsia="Lucida Sans Unicode"/>
          <w:b/>
          <w:bCs/>
          <w:kern w:val="1"/>
          <w:sz w:val="22"/>
          <w:szCs w:val="22"/>
          <w:lang w:val="hr-HR"/>
        </w:rPr>
        <w:tab/>
      </w:r>
      <w:r w:rsidRPr="0013178E">
        <w:rPr>
          <w:rFonts w:eastAsia="Lucida Sans Unicode"/>
          <w:b/>
          <w:bCs/>
          <w:spacing w:val="-11"/>
          <w:kern w:val="1"/>
          <w:sz w:val="22"/>
          <w:szCs w:val="22"/>
          <w:lang w:val="hr-HR"/>
        </w:rPr>
        <w:t>KVALITATIVNI I KVANTITATIVNI SASTAV</w:t>
      </w:r>
    </w:p>
    <w:p w14:paraId="2F840D13" w14:textId="77777777" w:rsidR="00FC2748" w:rsidRPr="0013178E" w:rsidRDefault="00FC2748" w:rsidP="004C6596">
      <w:pPr>
        <w:widowControl/>
        <w:shd w:val="clear" w:color="auto" w:fill="FFFFFF"/>
        <w:tabs>
          <w:tab w:val="left" w:pos="360"/>
        </w:tabs>
        <w:autoSpaceDE/>
        <w:jc w:val="both"/>
        <w:rPr>
          <w:rFonts w:eastAsia="Lucida Sans Unicode"/>
          <w:bCs/>
          <w:color w:val="FF0000"/>
          <w:spacing w:val="-11"/>
          <w:kern w:val="1"/>
          <w:sz w:val="22"/>
          <w:szCs w:val="22"/>
          <w:lang w:val="hr-HR"/>
        </w:rPr>
      </w:pPr>
    </w:p>
    <w:p w14:paraId="77F65509" w14:textId="1BB126D1" w:rsidR="006B5735" w:rsidRPr="0013178E" w:rsidRDefault="006B5735" w:rsidP="009959D7">
      <w:pPr>
        <w:shd w:val="clear" w:color="auto" w:fill="FFFFFF"/>
        <w:tabs>
          <w:tab w:val="left" w:pos="0"/>
        </w:tabs>
        <w:jc w:val="both"/>
        <w:rPr>
          <w:bCs/>
          <w:sz w:val="22"/>
          <w:szCs w:val="22"/>
          <w:lang w:val="hr-HR"/>
        </w:rPr>
      </w:pPr>
      <w:r w:rsidRPr="00430A60">
        <w:rPr>
          <w:bCs/>
          <w:sz w:val="22"/>
          <w:szCs w:val="22"/>
          <w:u w:val="single"/>
          <w:lang w:val="hr-HR"/>
        </w:rPr>
        <w:t>SOLU-MEDROL, 40 mg prašak i rastvarač za rastvor za injekciju</w:t>
      </w:r>
      <w:r w:rsidR="008862EB" w:rsidRPr="00430A60">
        <w:rPr>
          <w:bCs/>
          <w:sz w:val="22"/>
          <w:szCs w:val="22"/>
          <w:u w:val="single"/>
          <w:lang w:val="hr-HR"/>
        </w:rPr>
        <w:t>/</w:t>
      </w:r>
      <w:r w:rsidRPr="00430A60">
        <w:rPr>
          <w:bCs/>
          <w:sz w:val="22"/>
          <w:szCs w:val="22"/>
          <w:u w:val="single"/>
          <w:lang w:val="hr-HR"/>
        </w:rPr>
        <w:t>infuziju</w:t>
      </w:r>
      <w:r w:rsidRPr="0013178E">
        <w:rPr>
          <w:bCs/>
          <w:sz w:val="22"/>
          <w:szCs w:val="22"/>
          <w:lang w:val="hr-HR"/>
        </w:rPr>
        <w:t>:</w:t>
      </w:r>
    </w:p>
    <w:p w14:paraId="402930E2" w14:textId="77777777" w:rsidR="00EF0D50" w:rsidRPr="0013178E" w:rsidRDefault="0041008E" w:rsidP="009959D7">
      <w:pPr>
        <w:shd w:val="clear" w:color="auto" w:fill="FFFFFF"/>
        <w:tabs>
          <w:tab w:val="left" w:pos="0"/>
        </w:tabs>
        <w:jc w:val="both"/>
        <w:rPr>
          <w:bCs/>
          <w:sz w:val="22"/>
          <w:szCs w:val="22"/>
          <w:lang w:val="hr-HR"/>
        </w:rPr>
      </w:pPr>
      <w:r w:rsidRPr="0013178E">
        <w:rPr>
          <w:bCs/>
          <w:sz w:val="22"/>
          <w:szCs w:val="22"/>
          <w:lang w:val="hr-HR"/>
        </w:rPr>
        <w:t>Jedn</w:t>
      </w:r>
      <w:r w:rsidR="00807C85" w:rsidRPr="0013178E">
        <w:rPr>
          <w:bCs/>
          <w:sz w:val="22"/>
          <w:szCs w:val="22"/>
          <w:lang w:val="hr-HR"/>
        </w:rPr>
        <w:t>a</w:t>
      </w:r>
      <w:r w:rsidR="002A453F" w:rsidRPr="0013178E">
        <w:rPr>
          <w:bCs/>
          <w:sz w:val="22"/>
          <w:szCs w:val="22"/>
          <w:lang w:val="hr-HR"/>
        </w:rPr>
        <w:t xml:space="preserve"> </w:t>
      </w:r>
      <w:r w:rsidR="00807C85" w:rsidRPr="0013178E">
        <w:rPr>
          <w:bCs/>
          <w:sz w:val="22"/>
          <w:szCs w:val="22"/>
          <w:lang w:val="hr-HR"/>
        </w:rPr>
        <w:t>bočica sadrži: 40 mg metilprednizolona u obliku metilprednizolon</w:t>
      </w:r>
      <w:r w:rsidR="00F3763F" w:rsidRPr="0013178E">
        <w:rPr>
          <w:bCs/>
          <w:sz w:val="22"/>
          <w:szCs w:val="22"/>
          <w:lang w:val="hr-HR"/>
        </w:rPr>
        <w:t xml:space="preserve"> natrijum </w:t>
      </w:r>
      <w:r w:rsidR="00807C85" w:rsidRPr="0013178E">
        <w:rPr>
          <w:bCs/>
          <w:sz w:val="22"/>
          <w:szCs w:val="22"/>
          <w:lang w:val="hr-HR"/>
        </w:rPr>
        <w:t>sukcinata.</w:t>
      </w:r>
      <w:r w:rsidR="00741CA3" w:rsidRPr="0013178E">
        <w:rPr>
          <w:bCs/>
          <w:sz w:val="22"/>
          <w:szCs w:val="22"/>
          <w:lang w:val="hr-HR"/>
        </w:rPr>
        <w:t xml:space="preserve"> </w:t>
      </w:r>
      <w:r w:rsidR="00EF0D50" w:rsidRPr="0013178E">
        <w:rPr>
          <w:bCs/>
          <w:sz w:val="22"/>
          <w:szCs w:val="22"/>
          <w:lang w:val="hr-HR"/>
        </w:rPr>
        <w:t>Nakon rastvaranja praška u rastvaraču</w:t>
      </w:r>
      <w:r w:rsidR="006B5735" w:rsidRPr="0013178E">
        <w:rPr>
          <w:bCs/>
          <w:sz w:val="22"/>
          <w:szCs w:val="22"/>
          <w:lang w:val="hr-HR"/>
        </w:rPr>
        <w:t>, 1 ml rekonstituisanog rastvora sadrži 40 mg metilprednizolona.</w:t>
      </w:r>
    </w:p>
    <w:p w14:paraId="07451643" w14:textId="77777777" w:rsidR="006B5735" w:rsidRPr="0013178E" w:rsidRDefault="006B5735" w:rsidP="009959D7">
      <w:pPr>
        <w:shd w:val="clear" w:color="auto" w:fill="FFFFFF"/>
        <w:tabs>
          <w:tab w:val="left" w:pos="0"/>
        </w:tabs>
        <w:jc w:val="both"/>
        <w:rPr>
          <w:bCs/>
          <w:sz w:val="22"/>
          <w:szCs w:val="22"/>
          <w:lang w:val="hr-HR"/>
        </w:rPr>
      </w:pPr>
    </w:p>
    <w:p w14:paraId="0073B8BF" w14:textId="631F920C" w:rsidR="006B5735" w:rsidRPr="0013178E" w:rsidRDefault="006B5735">
      <w:pPr>
        <w:shd w:val="clear" w:color="auto" w:fill="FFFFFF"/>
        <w:tabs>
          <w:tab w:val="left" w:pos="0"/>
        </w:tabs>
        <w:jc w:val="both"/>
        <w:rPr>
          <w:bCs/>
          <w:sz w:val="22"/>
          <w:szCs w:val="22"/>
          <w:lang w:val="hr-HR"/>
        </w:rPr>
      </w:pPr>
      <w:r w:rsidRPr="00430A60">
        <w:rPr>
          <w:bCs/>
          <w:sz w:val="22"/>
          <w:szCs w:val="22"/>
          <w:u w:val="single"/>
          <w:lang w:val="hr-HR"/>
        </w:rPr>
        <w:t>SOLU-MEDROL, 125 mg prašak i rastvarač za rastvor za injekciju</w:t>
      </w:r>
      <w:r w:rsidR="008862EB" w:rsidRPr="00430A60">
        <w:rPr>
          <w:bCs/>
          <w:sz w:val="22"/>
          <w:szCs w:val="22"/>
          <w:u w:val="single"/>
          <w:lang w:val="hr-HR"/>
        </w:rPr>
        <w:t>/</w:t>
      </w:r>
      <w:r w:rsidRPr="00430A60">
        <w:rPr>
          <w:bCs/>
          <w:sz w:val="22"/>
          <w:szCs w:val="22"/>
          <w:u w:val="single"/>
          <w:lang w:val="hr-HR"/>
        </w:rPr>
        <w:t>infuziju</w:t>
      </w:r>
      <w:r w:rsidRPr="0013178E">
        <w:rPr>
          <w:bCs/>
          <w:sz w:val="22"/>
          <w:szCs w:val="22"/>
          <w:lang w:val="hr-HR"/>
        </w:rPr>
        <w:t>:</w:t>
      </w:r>
    </w:p>
    <w:p w14:paraId="728337E6" w14:textId="77777777" w:rsidR="00EF0D50" w:rsidRPr="0013178E" w:rsidRDefault="006B5735">
      <w:pPr>
        <w:shd w:val="clear" w:color="auto" w:fill="FFFFFF"/>
        <w:tabs>
          <w:tab w:val="left" w:pos="0"/>
        </w:tabs>
        <w:jc w:val="both"/>
        <w:rPr>
          <w:bCs/>
          <w:sz w:val="22"/>
          <w:szCs w:val="22"/>
          <w:lang w:val="hr-HR"/>
        </w:rPr>
      </w:pPr>
      <w:r w:rsidRPr="0013178E">
        <w:rPr>
          <w:bCs/>
          <w:sz w:val="22"/>
          <w:szCs w:val="22"/>
          <w:lang w:val="hr-HR"/>
        </w:rPr>
        <w:t>Jedna</w:t>
      </w:r>
      <w:r w:rsidR="00EF0D50" w:rsidRPr="0013178E">
        <w:rPr>
          <w:bCs/>
          <w:sz w:val="22"/>
          <w:szCs w:val="22"/>
          <w:lang w:val="hr-HR"/>
        </w:rPr>
        <w:t xml:space="preserve"> bočica sadrži </w:t>
      </w:r>
      <w:r w:rsidRPr="0013178E">
        <w:rPr>
          <w:bCs/>
          <w:sz w:val="22"/>
          <w:szCs w:val="22"/>
          <w:lang w:val="hr-HR"/>
        </w:rPr>
        <w:t>125</w:t>
      </w:r>
      <w:r w:rsidR="00EF0D50" w:rsidRPr="0013178E">
        <w:rPr>
          <w:bCs/>
          <w:sz w:val="22"/>
          <w:szCs w:val="22"/>
          <w:lang w:val="hr-HR"/>
        </w:rPr>
        <w:t xml:space="preserve"> mg metilprednizolona u obliku </w:t>
      </w:r>
      <w:r w:rsidR="00F3763F" w:rsidRPr="0013178E">
        <w:rPr>
          <w:bCs/>
          <w:sz w:val="22"/>
          <w:szCs w:val="22"/>
          <w:lang w:val="hr-HR"/>
        </w:rPr>
        <w:t>metilprednizolon natrijum sukcinata</w:t>
      </w:r>
      <w:r w:rsidR="00EF0D50" w:rsidRPr="0013178E">
        <w:rPr>
          <w:bCs/>
          <w:sz w:val="22"/>
          <w:szCs w:val="22"/>
          <w:lang w:val="hr-HR"/>
        </w:rPr>
        <w:t>.</w:t>
      </w:r>
      <w:r w:rsidRPr="0013178E">
        <w:rPr>
          <w:bCs/>
          <w:sz w:val="22"/>
          <w:szCs w:val="22"/>
          <w:lang w:val="hr-HR"/>
        </w:rPr>
        <w:t xml:space="preserve"> Nakon rastvaranja praška u rastvaraču, 1 ml rekonstituisanog rastvora sadrži 62,5 mg metilprednizolona.</w:t>
      </w:r>
    </w:p>
    <w:p w14:paraId="2F045B75" w14:textId="77777777" w:rsidR="006B5735" w:rsidRPr="0013178E" w:rsidRDefault="006B5735">
      <w:pPr>
        <w:shd w:val="clear" w:color="auto" w:fill="FFFFFF"/>
        <w:tabs>
          <w:tab w:val="left" w:pos="0"/>
        </w:tabs>
        <w:jc w:val="both"/>
        <w:rPr>
          <w:bCs/>
          <w:sz w:val="22"/>
          <w:szCs w:val="22"/>
          <w:lang w:val="hr-HR"/>
        </w:rPr>
      </w:pPr>
    </w:p>
    <w:p w14:paraId="553561E8" w14:textId="4D32BA3D" w:rsidR="006B5735" w:rsidRPr="0013178E" w:rsidRDefault="006B5735">
      <w:pPr>
        <w:shd w:val="clear" w:color="auto" w:fill="FFFFFF"/>
        <w:tabs>
          <w:tab w:val="left" w:pos="0"/>
        </w:tabs>
        <w:jc w:val="both"/>
        <w:rPr>
          <w:bCs/>
          <w:sz w:val="22"/>
          <w:szCs w:val="22"/>
          <w:lang w:val="hr-HR"/>
        </w:rPr>
      </w:pPr>
      <w:r w:rsidRPr="00430A60">
        <w:rPr>
          <w:bCs/>
          <w:sz w:val="22"/>
          <w:szCs w:val="22"/>
          <w:u w:val="single"/>
          <w:lang w:val="hr-HR"/>
        </w:rPr>
        <w:t>SOLU-MEDROL, 500 mg prašak i rastvarač za rastvor za injekciju</w:t>
      </w:r>
      <w:r w:rsidR="008862EB" w:rsidRPr="00430A60">
        <w:rPr>
          <w:bCs/>
          <w:sz w:val="22"/>
          <w:szCs w:val="22"/>
          <w:u w:val="single"/>
          <w:lang w:val="hr-HR"/>
        </w:rPr>
        <w:t>/</w:t>
      </w:r>
      <w:r w:rsidRPr="00430A60">
        <w:rPr>
          <w:bCs/>
          <w:sz w:val="22"/>
          <w:szCs w:val="22"/>
          <w:u w:val="single"/>
          <w:lang w:val="hr-HR"/>
        </w:rPr>
        <w:t>infuziju</w:t>
      </w:r>
      <w:r w:rsidRPr="0013178E">
        <w:rPr>
          <w:bCs/>
          <w:sz w:val="22"/>
          <w:szCs w:val="22"/>
          <w:lang w:val="hr-HR"/>
        </w:rPr>
        <w:t>:</w:t>
      </w:r>
    </w:p>
    <w:p w14:paraId="7BF9E947" w14:textId="77777777" w:rsidR="009E35B6" w:rsidRPr="0013178E" w:rsidRDefault="006B5735">
      <w:pPr>
        <w:shd w:val="clear" w:color="auto" w:fill="FFFFFF"/>
        <w:tabs>
          <w:tab w:val="left" w:pos="0"/>
        </w:tabs>
        <w:jc w:val="both"/>
        <w:rPr>
          <w:bCs/>
          <w:sz w:val="22"/>
          <w:szCs w:val="22"/>
          <w:lang w:val="hr-HR"/>
        </w:rPr>
      </w:pPr>
      <w:r w:rsidRPr="0013178E">
        <w:rPr>
          <w:bCs/>
          <w:sz w:val="22"/>
          <w:szCs w:val="22"/>
          <w:lang w:val="hr-HR"/>
        </w:rPr>
        <w:t>Jedna</w:t>
      </w:r>
      <w:r w:rsidR="009E35B6" w:rsidRPr="0013178E">
        <w:rPr>
          <w:bCs/>
          <w:sz w:val="22"/>
          <w:szCs w:val="22"/>
          <w:lang w:val="hr-HR"/>
        </w:rPr>
        <w:t xml:space="preserve"> bočica sadrži </w:t>
      </w:r>
      <w:r w:rsidRPr="0013178E">
        <w:rPr>
          <w:bCs/>
          <w:sz w:val="22"/>
          <w:szCs w:val="22"/>
          <w:lang w:val="hr-HR"/>
        </w:rPr>
        <w:t xml:space="preserve">500 mg </w:t>
      </w:r>
      <w:r w:rsidR="009E35B6" w:rsidRPr="0013178E">
        <w:rPr>
          <w:bCs/>
          <w:sz w:val="22"/>
          <w:szCs w:val="22"/>
          <w:lang w:val="hr-HR"/>
        </w:rPr>
        <w:t xml:space="preserve">metilprednizolona u obliku </w:t>
      </w:r>
      <w:r w:rsidR="00F3763F" w:rsidRPr="0013178E">
        <w:rPr>
          <w:bCs/>
          <w:sz w:val="22"/>
          <w:szCs w:val="22"/>
          <w:lang w:val="hr-HR"/>
        </w:rPr>
        <w:t>metilprednizolon natrijum sukcinata</w:t>
      </w:r>
      <w:r w:rsidR="009E35B6" w:rsidRPr="0013178E">
        <w:rPr>
          <w:bCs/>
          <w:sz w:val="22"/>
          <w:szCs w:val="22"/>
          <w:lang w:val="hr-HR"/>
        </w:rPr>
        <w:t>.</w:t>
      </w:r>
      <w:r w:rsidRPr="0013178E">
        <w:rPr>
          <w:bCs/>
          <w:sz w:val="22"/>
          <w:szCs w:val="22"/>
          <w:lang w:val="hr-HR"/>
        </w:rPr>
        <w:t xml:space="preserve"> Nakon rastvaranja praška u rastvaraču, 1 ml rekonstituisanog rastvora </w:t>
      </w:r>
      <w:r w:rsidR="009E35B6" w:rsidRPr="0013178E">
        <w:rPr>
          <w:bCs/>
          <w:sz w:val="22"/>
          <w:szCs w:val="22"/>
          <w:lang w:val="hr-HR"/>
        </w:rPr>
        <w:t>sadrži 59,7 mg metilprednizolona.</w:t>
      </w:r>
    </w:p>
    <w:p w14:paraId="3D774D7E" w14:textId="315BDEE6" w:rsidR="00A53020" w:rsidRPr="0013178E" w:rsidRDefault="00A53020">
      <w:pPr>
        <w:shd w:val="clear" w:color="auto" w:fill="FFFFFF"/>
        <w:tabs>
          <w:tab w:val="left" w:pos="0"/>
        </w:tabs>
        <w:jc w:val="both"/>
        <w:rPr>
          <w:bCs/>
          <w:color w:val="FF0000"/>
          <w:sz w:val="22"/>
          <w:szCs w:val="22"/>
          <w:lang w:val="hr-HR"/>
        </w:rPr>
      </w:pPr>
    </w:p>
    <w:p w14:paraId="24E4A8A0" w14:textId="59138074" w:rsidR="00A53020" w:rsidRPr="0013178E" w:rsidRDefault="001C49DE">
      <w:pPr>
        <w:shd w:val="clear" w:color="auto" w:fill="FFFFFF"/>
        <w:tabs>
          <w:tab w:val="left" w:pos="0"/>
        </w:tabs>
        <w:jc w:val="both"/>
        <w:rPr>
          <w:bCs/>
          <w:sz w:val="22"/>
          <w:szCs w:val="22"/>
          <w:u w:val="single"/>
          <w:lang w:val="hr-HR"/>
        </w:rPr>
      </w:pPr>
      <w:r w:rsidRPr="00430A60">
        <w:rPr>
          <w:bCs/>
          <w:sz w:val="22"/>
          <w:szCs w:val="22"/>
          <w:u w:val="single"/>
          <w:lang w:val="hr-HR"/>
        </w:rPr>
        <w:t>Pomoćne supstance sa potvrđenim</w:t>
      </w:r>
      <w:r w:rsidR="00A367DB" w:rsidRPr="001C49DE">
        <w:rPr>
          <w:bCs/>
          <w:sz w:val="22"/>
          <w:szCs w:val="22"/>
          <w:u w:val="single"/>
          <w:lang w:val="hr-HR"/>
        </w:rPr>
        <w:t xml:space="preserve"> dejstvo</w:t>
      </w:r>
      <w:r w:rsidR="00682EFF" w:rsidRPr="001C49DE">
        <w:rPr>
          <w:bCs/>
          <w:sz w:val="22"/>
          <w:szCs w:val="22"/>
          <w:u w:val="single"/>
          <w:lang w:val="hr-HR"/>
        </w:rPr>
        <w:t>m</w:t>
      </w:r>
      <w:r w:rsidR="00E87B20" w:rsidRPr="00430A60">
        <w:rPr>
          <w:bCs/>
          <w:sz w:val="22"/>
          <w:szCs w:val="22"/>
          <w:lang w:val="hr-HR"/>
        </w:rPr>
        <w:t>:</w:t>
      </w:r>
    </w:p>
    <w:p w14:paraId="7AF65B81" w14:textId="77777777" w:rsidR="001C49DE" w:rsidRDefault="001C49DE" w:rsidP="00430A60">
      <w:pPr>
        <w:jc w:val="both"/>
        <w:rPr>
          <w:i/>
          <w:sz w:val="22"/>
          <w:szCs w:val="22"/>
          <w:lang w:val="hr-HR"/>
        </w:rPr>
      </w:pPr>
    </w:p>
    <w:p w14:paraId="7325D165" w14:textId="5E659AF4" w:rsidR="00D335A6" w:rsidRPr="0013178E" w:rsidRDefault="006C3641" w:rsidP="00430A60">
      <w:pPr>
        <w:jc w:val="both"/>
        <w:rPr>
          <w:sz w:val="22"/>
          <w:szCs w:val="22"/>
          <w:lang w:val="hr-HR"/>
        </w:rPr>
      </w:pPr>
      <w:r w:rsidRPr="00430A60">
        <w:rPr>
          <w:i/>
          <w:sz w:val="22"/>
          <w:szCs w:val="22"/>
          <w:lang w:val="hr-HR"/>
        </w:rPr>
        <w:t>Benzil alkohol</w:t>
      </w:r>
      <w:r w:rsidRPr="0013178E">
        <w:rPr>
          <w:sz w:val="22"/>
          <w:szCs w:val="22"/>
          <w:lang w:val="hr-HR"/>
        </w:rPr>
        <w:t>:</w:t>
      </w:r>
    </w:p>
    <w:p w14:paraId="31954DFE" w14:textId="3BF6BA41" w:rsidR="006C3641" w:rsidRPr="0013178E" w:rsidRDefault="006C3641" w:rsidP="00430A60">
      <w:pPr>
        <w:jc w:val="both"/>
        <w:rPr>
          <w:sz w:val="22"/>
          <w:szCs w:val="22"/>
          <w:lang w:val="hr-HR"/>
        </w:rPr>
      </w:pPr>
      <w:r w:rsidRPr="0013178E">
        <w:rPr>
          <w:sz w:val="22"/>
          <w:szCs w:val="22"/>
          <w:lang w:val="hr-HR"/>
        </w:rPr>
        <w:t>Solu-Medrol 500 mg prašak i rastvarač za rastvor za injekciju/infuziju sadrž</w:t>
      </w:r>
      <w:r w:rsidR="00660D49">
        <w:rPr>
          <w:sz w:val="22"/>
          <w:szCs w:val="22"/>
          <w:lang w:val="hr-HR"/>
        </w:rPr>
        <w:t>i</w:t>
      </w:r>
      <w:r w:rsidRPr="0013178E">
        <w:rPr>
          <w:sz w:val="22"/>
          <w:szCs w:val="22"/>
          <w:lang w:val="hr-HR"/>
        </w:rPr>
        <w:t xml:space="preserve"> 70,2 mg benzil alkohola u 7,8 ml rastv</w:t>
      </w:r>
      <w:r w:rsidR="00D55323">
        <w:rPr>
          <w:sz w:val="22"/>
          <w:szCs w:val="22"/>
          <w:lang w:val="hr-HR"/>
        </w:rPr>
        <w:t>a</w:t>
      </w:r>
      <w:r w:rsidRPr="0013178E">
        <w:rPr>
          <w:sz w:val="22"/>
          <w:szCs w:val="22"/>
          <w:lang w:val="hr-HR"/>
        </w:rPr>
        <w:t>r</w:t>
      </w:r>
      <w:r w:rsidR="00D55323">
        <w:rPr>
          <w:sz w:val="22"/>
          <w:szCs w:val="22"/>
          <w:lang w:val="hr-HR"/>
        </w:rPr>
        <w:t>ač</w:t>
      </w:r>
      <w:r w:rsidRPr="0013178E">
        <w:rPr>
          <w:sz w:val="22"/>
          <w:szCs w:val="22"/>
          <w:lang w:val="hr-HR"/>
        </w:rPr>
        <w:t>a, što je ekvivalentno 9 mg/ml.</w:t>
      </w:r>
    </w:p>
    <w:p w14:paraId="743C99C2" w14:textId="53E3B05F" w:rsidR="006C3641" w:rsidRPr="0013178E" w:rsidRDefault="006C3641" w:rsidP="00430A60">
      <w:pPr>
        <w:jc w:val="both"/>
        <w:rPr>
          <w:sz w:val="22"/>
          <w:szCs w:val="22"/>
          <w:lang w:val="hr-HR"/>
        </w:rPr>
      </w:pPr>
    </w:p>
    <w:p w14:paraId="60F200F4" w14:textId="70F12B2D" w:rsidR="006C3641" w:rsidRPr="0013178E" w:rsidRDefault="006C3641" w:rsidP="00430A60">
      <w:pPr>
        <w:jc w:val="both"/>
        <w:rPr>
          <w:sz w:val="22"/>
          <w:szCs w:val="22"/>
          <w:lang w:val="hr-HR"/>
        </w:rPr>
      </w:pPr>
      <w:r w:rsidRPr="00430A60">
        <w:rPr>
          <w:i/>
          <w:sz w:val="22"/>
          <w:szCs w:val="22"/>
          <w:lang w:val="hr-HR"/>
        </w:rPr>
        <w:t>Natrijum</w:t>
      </w:r>
      <w:r w:rsidRPr="0013178E">
        <w:rPr>
          <w:sz w:val="22"/>
          <w:szCs w:val="22"/>
          <w:lang w:val="hr-HR"/>
        </w:rPr>
        <w:t>:</w:t>
      </w:r>
    </w:p>
    <w:p w14:paraId="395332B5" w14:textId="02C9A5C7" w:rsidR="00D335A6" w:rsidRPr="0013178E" w:rsidRDefault="006C3641" w:rsidP="00430A60">
      <w:pPr>
        <w:jc w:val="both"/>
        <w:rPr>
          <w:sz w:val="22"/>
          <w:szCs w:val="22"/>
          <w:lang w:val="hr-HR"/>
        </w:rPr>
      </w:pPr>
      <w:r w:rsidRPr="0013178E">
        <w:rPr>
          <w:sz w:val="22"/>
          <w:szCs w:val="22"/>
          <w:lang w:val="hr-HR"/>
        </w:rPr>
        <w:t>Solu-Medrol 500 mg prašak i rastvarač za rastvor za injekciju/infuziju sadrž</w:t>
      </w:r>
      <w:r w:rsidR="00660D49">
        <w:rPr>
          <w:sz w:val="22"/>
          <w:szCs w:val="22"/>
          <w:lang w:val="hr-HR"/>
        </w:rPr>
        <w:t>i</w:t>
      </w:r>
      <w:r w:rsidRPr="0013178E">
        <w:rPr>
          <w:sz w:val="22"/>
          <w:szCs w:val="22"/>
          <w:lang w:val="hr-HR"/>
        </w:rPr>
        <w:t xml:space="preserve"> 58,3 mg natrijuma po bočici.</w:t>
      </w:r>
    </w:p>
    <w:p w14:paraId="47CD0F36" w14:textId="77777777" w:rsidR="00E87B20" w:rsidRPr="0013178E" w:rsidRDefault="00E87B20" w:rsidP="009959D7">
      <w:pPr>
        <w:shd w:val="clear" w:color="auto" w:fill="FFFFFF"/>
        <w:tabs>
          <w:tab w:val="left" w:pos="0"/>
        </w:tabs>
        <w:jc w:val="both"/>
        <w:rPr>
          <w:bCs/>
          <w:color w:val="FF0000"/>
          <w:sz w:val="22"/>
          <w:szCs w:val="22"/>
          <w:lang w:val="hr-HR"/>
        </w:rPr>
      </w:pPr>
    </w:p>
    <w:p w14:paraId="20CD7312" w14:textId="77777777" w:rsidR="000324EC" w:rsidRPr="0013178E" w:rsidRDefault="000324EC" w:rsidP="00430A60">
      <w:pPr>
        <w:jc w:val="both"/>
        <w:rPr>
          <w:sz w:val="22"/>
          <w:szCs w:val="22"/>
          <w:lang w:val="hr-HR"/>
        </w:rPr>
      </w:pPr>
      <w:r w:rsidRPr="0013178E">
        <w:rPr>
          <w:sz w:val="22"/>
          <w:szCs w:val="22"/>
          <w:lang w:val="hr-HR"/>
        </w:rPr>
        <w:t>Za spisak svih ekscipijenasa, pogledati dio 6.1.</w:t>
      </w:r>
    </w:p>
    <w:p w14:paraId="04C434F6" w14:textId="77777777" w:rsidR="00E87B20" w:rsidRPr="0013178E" w:rsidRDefault="00E87B20" w:rsidP="004C6596">
      <w:pPr>
        <w:shd w:val="clear" w:color="auto" w:fill="FFFFFF"/>
        <w:tabs>
          <w:tab w:val="left" w:pos="0"/>
        </w:tabs>
        <w:jc w:val="both"/>
        <w:rPr>
          <w:bCs/>
          <w:color w:val="FF0000"/>
          <w:sz w:val="22"/>
          <w:szCs w:val="22"/>
          <w:lang w:val="hr-HR"/>
        </w:rPr>
      </w:pPr>
    </w:p>
    <w:p w14:paraId="7630766A" w14:textId="77777777" w:rsidR="00E87B20" w:rsidRPr="0013178E" w:rsidRDefault="00E87B20" w:rsidP="004C6596">
      <w:pPr>
        <w:shd w:val="clear" w:color="auto" w:fill="FFFFFF"/>
        <w:tabs>
          <w:tab w:val="left" w:pos="0"/>
        </w:tabs>
        <w:jc w:val="both"/>
        <w:rPr>
          <w:bCs/>
          <w:color w:val="FF0000"/>
          <w:sz w:val="22"/>
          <w:szCs w:val="22"/>
          <w:lang w:val="hr-HR"/>
        </w:rPr>
      </w:pPr>
    </w:p>
    <w:p w14:paraId="3C3BB16D" w14:textId="77777777" w:rsidR="00B400D8" w:rsidRPr="0013178E" w:rsidRDefault="00B400D8" w:rsidP="004C6596">
      <w:pPr>
        <w:widowControl/>
        <w:shd w:val="clear" w:color="auto" w:fill="FFFFFF"/>
        <w:tabs>
          <w:tab w:val="left" w:pos="360"/>
        </w:tabs>
        <w:autoSpaceDE/>
        <w:jc w:val="both"/>
        <w:rPr>
          <w:rFonts w:eastAsia="Lucida Sans Unicode"/>
          <w:b/>
          <w:bCs/>
          <w:spacing w:val="-11"/>
          <w:kern w:val="1"/>
          <w:sz w:val="22"/>
          <w:szCs w:val="22"/>
          <w:lang w:val="hr-HR"/>
        </w:rPr>
      </w:pPr>
      <w:r w:rsidRPr="0013178E">
        <w:rPr>
          <w:rFonts w:eastAsia="Lucida Sans Unicode"/>
          <w:b/>
          <w:bCs/>
          <w:spacing w:val="-11"/>
          <w:kern w:val="1"/>
          <w:sz w:val="22"/>
          <w:szCs w:val="22"/>
          <w:lang w:val="hr-HR"/>
        </w:rPr>
        <w:t>3.</w:t>
      </w:r>
      <w:r w:rsidRPr="0013178E">
        <w:rPr>
          <w:rFonts w:eastAsia="Lucida Sans Unicode"/>
          <w:b/>
          <w:bCs/>
          <w:spacing w:val="-11"/>
          <w:kern w:val="1"/>
          <w:sz w:val="22"/>
          <w:szCs w:val="22"/>
          <w:lang w:val="hr-HR"/>
        </w:rPr>
        <w:tab/>
        <w:t>FARMACEUTSKI OBLIK</w:t>
      </w:r>
    </w:p>
    <w:p w14:paraId="5912723F" w14:textId="77777777" w:rsidR="00E87B20" w:rsidRPr="0013178E" w:rsidRDefault="00E87B20" w:rsidP="004C6596">
      <w:pPr>
        <w:shd w:val="clear" w:color="auto" w:fill="FFFFFF"/>
        <w:tabs>
          <w:tab w:val="left" w:pos="0"/>
        </w:tabs>
        <w:jc w:val="both"/>
        <w:rPr>
          <w:bCs/>
          <w:color w:val="FF0000"/>
          <w:sz w:val="22"/>
          <w:szCs w:val="22"/>
          <w:lang w:val="hr-HR"/>
        </w:rPr>
      </w:pPr>
    </w:p>
    <w:p w14:paraId="33B5B7F3" w14:textId="2E1F94DF" w:rsidR="00B400D8" w:rsidRPr="0013178E" w:rsidRDefault="008402AD" w:rsidP="004C6596">
      <w:pPr>
        <w:shd w:val="clear" w:color="auto" w:fill="FFFFFF"/>
        <w:tabs>
          <w:tab w:val="left" w:pos="0"/>
        </w:tabs>
        <w:jc w:val="both"/>
        <w:rPr>
          <w:bCs/>
          <w:sz w:val="22"/>
          <w:szCs w:val="22"/>
          <w:lang w:val="hr-HR"/>
        </w:rPr>
      </w:pPr>
      <w:r w:rsidRPr="0013178E">
        <w:rPr>
          <w:bCs/>
          <w:sz w:val="22"/>
          <w:szCs w:val="22"/>
          <w:lang w:val="hr-HR"/>
        </w:rPr>
        <w:t>Prašak</w:t>
      </w:r>
      <w:r w:rsidR="00400BB2" w:rsidRPr="0013178E">
        <w:rPr>
          <w:bCs/>
          <w:sz w:val="22"/>
          <w:szCs w:val="22"/>
          <w:lang w:val="hr-HR"/>
        </w:rPr>
        <w:t xml:space="preserve"> </w:t>
      </w:r>
      <w:r w:rsidR="00B400D8" w:rsidRPr="0013178E">
        <w:rPr>
          <w:bCs/>
          <w:sz w:val="22"/>
          <w:szCs w:val="22"/>
          <w:lang w:val="hr-HR"/>
        </w:rPr>
        <w:t>i rastvarač za rastvor za injekciju</w:t>
      </w:r>
      <w:r w:rsidR="008862EB" w:rsidRPr="0013178E">
        <w:rPr>
          <w:bCs/>
          <w:sz w:val="22"/>
          <w:szCs w:val="22"/>
          <w:lang w:val="hr-HR"/>
        </w:rPr>
        <w:t>/</w:t>
      </w:r>
      <w:r w:rsidR="00897866" w:rsidRPr="0013178E">
        <w:rPr>
          <w:bCs/>
          <w:sz w:val="22"/>
          <w:szCs w:val="22"/>
          <w:lang w:val="hr-HR"/>
        </w:rPr>
        <w:t>infuziju</w:t>
      </w:r>
      <w:r w:rsidR="00B400D8" w:rsidRPr="0013178E">
        <w:rPr>
          <w:bCs/>
          <w:sz w:val="22"/>
          <w:szCs w:val="22"/>
          <w:lang w:val="hr-HR"/>
        </w:rPr>
        <w:t>.</w:t>
      </w:r>
    </w:p>
    <w:p w14:paraId="401F9E4D" w14:textId="77777777" w:rsidR="001C49DE" w:rsidRDefault="001C49DE" w:rsidP="0041008E">
      <w:pPr>
        <w:shd w:val="clear" w:color="auto" w:fill="FFFFFF"/>
        <w:tabs>
          <w:tab w:val="left" w:pos="0"/>
        </w:tabs>
        <w:jc w:val="both"/>
        <w:rPr>
          <w:bCs/>
          <w:sz w:val="22"/>
          <w:szCs w:val="22"/>
          <w:lang w:val="hr-HR"/>
        </w:rPr>
      </w:pPr>
    </w:p>
    <w:p w14:paraId="5D5EAFAE" w14:textId="32C81021" w:rsidR="00E87B20" w:rsidRPr="00430A60" w:rsidRDefault="0041008E" w:rsidP="0041008E">
      <w:pPr>
        <w:shd w:val="clear" w:color="auto" w:fill="FFFFFF"/>
        <w:tabs>
          <w:tab w:val="left" w:pos="0"/>
        </w:tabs>
        <w:jc w:val="both"/>
        <w:rPr>
          <w:bCs/>
          <w:sz w:val="22"/>
          <w:szCs w:val="22"/>
          <w:u w:val="single"/>
          <w:lang w:val="hr-HR"/>
        </w:rPr>
      </w:pPr>
      <w:r w:rsidRPr="00430A60">
        <w:rPr>
          <w:bCs/>
          <w:sz w:val="22"/>
          <w:szCs w:val="22"/>
          <w:u w:val="single"/>
          <w:lang w:val="hr-HR"/>
        </w:rPr>
        <w:t>Solu-Medrol 40 mg i 125 mg</w:t>
      </w:r>
    </w:p>
    <w:p w14:paraId="14868E37" w14:textId="77777777" w:rsidR="00347961" w:rsidRPr="0013178E" w:rsidRDefault="00347961" w:rsidP="004C6596">
      <w:pPr>
        <w:shd w:val="clear" w:color="auto" w:fill="FFFFFF"/>
        <w:tabs>
          <w:tab w:val="left" w:pos="0"/>
        </w:tabs>
        <w:jc w:val="both"/>
        <w:rPr>
          <w:bCs/>
          <w:sz w:val="22"/>
          <w:szCs w:val="22"/>
          <w:lang w:val="hr-HR"/>
        </w:rPr>
      </w:pPr>
      <w:r w:rsidRPr="0013178E">
        <w:rPr>
          <w:bCs/>
          <w:sz w:val="22"/>
          <w:szCs w:val="22"/>
          <w:lang w:val="hr-HR"/>
        </w:rPr>
        <w:t xml:space="preserve">Bijeli do bjeličast </w:t>
      </w:r>
      <w:r w:rsidR="000E02CD" w:rsidRPr="0013178E">
        <w:rPr>
          <w:bCs/>
          <w:sz w:val="22"/>
          <w:szCs w:val="22"/>
          <w:lang w:val="hr-HR"/>
        </w:rPr>
        <w:t>prašak</w:t>
      </w:r>
      <w:r w:rsidRPr="0013178E">
        <w:rPr>
          <w:bCs/>
          <w:sz w:val="22"/>
          <w:szCs w:val="22"/>
          <w:lang w:val="hr-HR"/>
        </w:rPr>
        <w:t xml:space="preserve"> </w:t>
      </w:r>
      <w:r w:rsidR="00897866" w:rsidRPr="0013178E">
        <w:rPr>
          <w:bCs/>
          <w:sz w:val="22"/>
          <w:szCs w:val="22"/>
          <w:lang w:val="hr-HR"/>
        </w:rPr>
        <w:t>u donjem dijel</w:t>
      </w:r>
      <w:r w:rsidR="00EF0D50" w:rsidRPr="0013178E">
        <w:rPr>
          <w:bCs/>
          <w:sz w:val="22"/>
          <w:szCs w:val="22"/>
          <w:lang w:val="hr-HR"/>
        </w:rPr>
        <w:t>u</w:t>
      </w:r>
      <w:r w:rsidR="00897866" w:rsidRPr="0013178E">
        <w:rPr>
          <w:bCs/>
          <w:sz w:val="22"/>
          <w:szCs w:val="22"/>
          <w:lang w:val="hr-HR"/>
        </w:rPr>
        <w:t xml:space="preserve"> bočice. </w:t>
      </w:r>
      <w:r w:rsidR="001940B9" w:rsidRPr="0013178E">
        <w:rPr>
          <w:bCs/>
          <w:sz w:val="22"/>
          <w:szCs w:val="22"/>
          <w:lang w:val="hr-HR"/>
        </w:rPr>
        <w:t>Bistar</w:t>
      </w:r>
      <w:r w:rsidRPr="0013178E">
        <w:rPr>
          <w:bCs/>
          <w:sz w:val="22"/>
          <w:szCs w:val="22"/>
          <w:lang w:val="hr-HR"/>
        </w:rPr>
        <w:t>, bezbojan rastvor</w:t>
      </w:r>
      <w:r w:rsidR="006B3D81" w:rsidRPr="0013178E">
        <w:rPr>
          <w:bCs/>
          <w:sz w:val="22"/>
          <w:szCs w:val="22"/>
          <w:lang w:val="hr-HR"/>
        </w:rPr>
        <w:t xml:space="preserve"> </w:t>
      </w:r>
      <w:r w:rsidR="00897866" w:rsidRPr="0013178E">
        <w:rPr>
          <w:bCs/>
          <w:sz w:val="22"/>
          <w:szCs w:val="22"/>
          <w:lang w:val="hr-HR"/>
        </w:rPr>
        <w:t>u gornjem dijelu bočice</w:t>
      </w:r>
      <w:r w:rsidRPr="0013178E">
        <w:rPr>
          <w:bCs/>
          <w:sz w:val="22"/>
          <w:szCs w:val="22"/>
          <w:lang w:val="hr-HR"/>
        </w:rPr>
        <w:t>.</w:t>
      </w:r>
    </w:p>
    <w:p w14:paraId="6C44EFC3" w14:textId="77777777" w:rsidR="001C49DE" w:rsidRDefault="001C49DE" w:rsidP="0041008E">
      <w:pPr>
        <w:shd w:val="clear" w:color="auto" w:fill="FFFFFF"/>
        <w:tabs>
          <w:tab w:val="left" w:pos="0"/>
        </w:tabs>
        <w:jc w:val="both"/>
        <w:rPr>
          <w:bCs/>
          <w:sz w:val="22"/>
          <w:szCs w:val="22"/>
          <w:lang w:val="hr-HR"/>
        </w:rPr>
      </w:pPr>
    </w:p>
    <w:p w14:paraId="090A8BF5" w14:textId="21A25934" w:rsidR="0041008E" w:rsidRPr="00430A60" w:rsidRDefault="0041008E" w:rsidP="0041008E">
      <w:pPr>
        <w:shd w:val="clear" w:color="auto" w:fill="FFFFFF"/>
        <w:tabs>
          <w:tab w:val="left" w:pos="0"/>
        </w:tabs>
        <w:jc w:val="both"/>
        <w:rPr>
          <w:bCs/>
          <w:sz w:val="22"/>
          <w:szCs w:val="22"/>
          <w:u w:val="single"/>
          <w:lang w:val="hr-HR"/>
        </w:rPr>
      </w:pPr>
      <w:r w:rsidRPr="00430A60">
        <w:rPr>
          <w:bCs/>
          <w:sz w:val="22"/>
          <w:szCs w:val="22"/>
          <w:u w:val="single"/>
          <w:lang w:val="hr-HR"/>
        </w:rPr>
        <w:t>Solu-Medrol 500 mg</w:t>
      </w:r>
    </w:p>
    <w:p w14:paraId="74A7DD6A" w14:textId="77777777" w:rsidR="00E87B20" w:rsidRPr="0013178E" w:rsidRDefault="0041008E" w:rsidP="004C6596">
      <w:pPr>
        <w:shd w:val="clear" w:color="auto" w:fill="FFFFFF"/>
        <w:tabs>
          <w:tab w:val="left" w:pos="0"/>
        </w:tabs>
        <w:jc w:val="both"/>
        <w:rPr>
          <w:bCs/>
          <w:sz w:val="22"/>
          <w:szCs w:val="22"/>
          <w:lang w:val="hr-HR"/>
        </w:rPr>
      </w:pPr>
      <w:r w:rsidRPr="0013178E">
        <w:rPr>
          <w:bCs/>
          <w:sz w:val="22"/>
          <w:szCs w:val="22"/>
          <w:lang w:val="hr-HR"/>
        </w:rPr>
        <w:t>Bijeli do bjeličast prašak u bočici. Bistar, bezbojan rastvor u bočici.</w:t>
      </w:r>
    </w:p>
    <w:p w14:paraId="66E61A2D" w14:textId="77777777" w:rsidR="0041008E" w:rsidRPr="0013178E" w:rsidRDefault="0041008E" w:rsidP="004C6596">
      <w:pPr>
        <w:shd w:val="clear" w:color="auto" w:fill="FFFFFF"/>
        <w:tabs>
          <w:tab w:val="left" w:pos="0"/>
        </w:tabs>
        <w:jc w:val="both"/>
        <w:rPr>
          <w:bCs/>
          <w:sz w:val="22"/>
          <w:szCs w:val="22"/>
          <w:lang w:val="hr-HR"/>
        </w:rPr>
      </w:pPr>
    </w:p>
    <w:p w14:paraId="24871521" w14:textId="77777777" w:rsidR="0071236A" w:rsidRPr="0013178E" w:rsidRDefault="0071236A" w:rsidP="004C6596">
      <w:pPr>
        <w:shd w:val="clear" w:color="auto" w:fill="FFFFFF"/>
        <w:tabs>
          <w:tab w:val="left" w:pos="0"/>
        </w:tabs>
        <w:jc w:val="both"/>
        <w:rPr>
          <w:bCs/>
          <w:sz w:val="22"/>
          <w:szCs w:val="22"/>
          <w:lang w:val="hr-HR"/>
        </w:rPr>
      </w:pPr>
    </w:p>
    <w:p w14:paraId="6D42523A" w14:textId="77777777" w:rsidR="00E40785" w:rsidRPr="0013178E" w:rsidRDefault="00E40785" w:rsidP="00E40785">
      <w:pPr>
        <w:tabs>
          <w:tab w:val="left" w:pos="-720"/>
          <w:tab w:val="left" w:pos="0"/>
        </w:tabs>
        <w:rPr>
          <w:sz w:val="22"/>
          <w:szCs w:val="22"/>
          <w:lang w:val="hr-HR"/>
        </w:rPr>
      </w:pPr>
      <w:r w:rsidRPr="0013178E">
        <w:rPr>
          <w:b/>
          <w:sz w:val="22"/>
          <w:szCs w:val="22"/>
          <w:lang w:val="hr-HR"/>
        </w:rPr>
        <w:t>4.</w:t>
      </w:r>
      <w:r w:rsidRPr="0013178E">
        <w:rPr>
          <w:sz w:val="22"/>
          <w:szCs w:val="22"/>
          <w:lang w:val="hr-HR"/>
        </w:rPr>
        <w:tab/>
      </w:r>
      <w:r w:rsidRPr="0013178E">
        <w:rPr>
          <w:b/>
          <w:sz w:val="22"/>
          <w:szCs w:val="22"/>
          <w:lang w:val="hr-HR"/>
        </w:rPr>
        <w:t>KLINIČKI PODACI</w:t>
      </w:r>
    </w:p>
    <w:p w14:paraId="2459609A" w14:textId="77777777" w:rsidR="00E40785" w:rsidRPr="0013178E" w:rsidRDefault="00E40785" w:rsidP="00E40785">
      <w:pPr>
        <w:tabs>
          <w:tab w:val="left" w:pos="-720"/>
        </w:tabs>
        <w:rPr>
          <w:sz w:val="22"/>
          <w:szCs w:val="22"/>
          <w:lang w:val="hr-HR"/>
        </w:rPr>
      </w:pPr>
    </w:p>
    <w:p w14:paraId="13DBAC38" w14:textId="77777777" w:rsidR="00E40785" w:rsidRPr="0013178E" w:rsidRDefault="00E40785" w:rsidP="00E40785">
      <w:pPr>
        <w:tabs>
          <w:tab w:val="left" w:pos="-720"/>
          <w:tab w:val="left" w:pos="0"/>
        </w:tabs>
        <w:ind w:left="720" w:hanging="720"/>
        <w:rPr>
          <w:sz w:val="22"/>
          <w:szCs w:val="22"/>
          <w:lang w:val="hr-HR"/>
        </w:rPr>
      </w:pPr>
      <w:r w:rsidRPr="0013178E">
        <w:rPr>
          <w:b/>
          <w:sz w:val="22"/>
          <w:szCs w:val="22"/>
          <w:lang w:val="hr-HR"/>
        </w:rPr>
        <w:t>4.1</w:t>
      </w:r>
      <w:r w:rsidRPr="0013178E">
        <w:rPr>
          <w:sz w:val="22"/>
          <w:szCs w:val="22"/>
          <w:lang w:val="hr-HR"/>
        </w:rPr>
        <w:tab/>
      </w:r>
      <w:r w:rsidRPr="0013178E">
        <w:rPr>
          <w:b/>
          <w:sz w:val="22"/>
          <w:szCs w:val="22"/>
          <w:lang w:val="hr-HR"/>
        </w:rPr>
        <w:t>Terapijske indikacije</w:t>
      </w:r>
    </w:p>
    <w:p w14:paraId="6D6AA3A0" w14:textId="77777777" w:rsidR="00E40785" w:rsidRPr="0013178E" w:rsidRDefault="00E40785" w:rsidP="00E40785">
      <w:pPr>
        <w:tabs>
          <w:tab w:val="left" w:pos="-720"/>
        </w:tabs>
        <w:rPr>
          <w:color w:val="FF0000"/>
          <w:sz w:val="22"/>
          <w:szCs w:val="22"/>
          <w:lang w:val="hr-HR"/>
        </w:rPr>
      </w:pPr>
    </w:p>
    <w:p w14:paraId="2F1435AD" w14:textId="77777777" w:rsidR="00E40785" w:rsidRPr="0013178E" w:rsidRDefault="0066774E" w:rsidP="00430A60">
      <w:pPr>
        <w:keepNext/>
        <w:overflowPunct w:val="0"/>
        <w:autoSpaceDN w:val="0"/>
        <w:adjustRightInd w:val="0"/>
        <w:jc w:val="both"/>
        <w:textAlignment w:val="baseline"/>
        <w:rPr>
          <w:sz w:val="22"/>
          <w:szCs w:val="22"/>
          <w:lang w:val="hr-HR"/>
        </w:rPr>
      </w:pPr>
      <w:r w:rsidRPr="0013178E">
        <w:rPr>
          <w:sz w:val="22"/>
          <w:szCs w:val="22"/>
          <w:lang w:val="hr-HR"/>
        </w:rPr>
        <w:lastRenderedPageBreak/>
        <w:t xml:space="preserve">Lijek </w:t>
      </w:r>
      <w:r w:rsidR="00E40785" w:rsidRPr="0013178E">
        <w:rPr>
          <w:sz w:val="22"/>
          <w:szCs w:val="22"/>
          <w:lang w:val="hr-HR"/>
        </w:rPr>
        <w:t xml:space="preserve">Solu-Medrol je indikovan u terapiji </w:t>
      </w:r>
      <w:r w:rsidR="00A5628A" w:rsidRPr="0013178E">
        <w:rPr>
          <w:sz w:val="22"/>
          <w:szCs w:val="22"/>
          <w:lang w:val="hr-HR"/>
        </w:rPr>
        <w:t xml:space="preserve">svih </w:t>
      </w:r>
      <w:r w:rsidR="00E40785" w:rsidRPr="0013178E">
        <w:rPr>
          <w:sz w:val="22"/>
          <w:szCs w:val="22"/>
          <w:lang w:val="hr-HR"/>
        </w:rPr>
        <w:t>stanja koja zahtijevaju brzo i intenzivno dejstvo kortikosteroida, kao što su:</w:t>
      </w:r>
    </w:p>
    <w:p w14:paraId="355BEDC3" w14:textId="77777777" w:rsidR="00E40785" w:rsidRPr="0013178E" w:rsidRDefault="00E40785" w:rsidP="00430A60">
      <w:pPr>
        <w:widowControl/>
        <w:numPr>
          <w:ilvl w:val="0"/>
          <w:numId w:val="23"/>
        </w:numPr>
        <w:tabs>
          <w:tab w:val="num" w:pos="567"/>
        </w:tabs>
        <w:suppressAutoHyphens w:val="0"/>
        <w:overflowPunct w:val="0"/>
        <w:autoSpaceDN w:val="0"/>
        <w:adjustRightInd w:val="0"/>
        <w:spacing w:before="120"/>
        <w:ind w:left="567" w:hanging="283"/>
        <w:jc w:val="both"/>
        <w:textAlignment w:val="baseline"/>
        <w:rPr>
          <w:sz w:val="22"/>
          <w:szCs w:val="22"/>
          <w:lang w:val="hr-HR"/>
        </w:rPr>
      </w:pPr>
      <w:r w:rsidRPr="0013178E">
        <w:rPr>
          <w:sz w:val="22"/>
          <w:szCs w:val="22"/>
          <w:u w:val="single"/>
          <w:lang w:val="hr-HR"/>
        </w:rPr>
        <w:t>Dermatološke bolesti</w:t>
      </w:r>
      <w:r w:rsidRPr="0013178E">
        <w:rPr>
          <w:sz w:val="22"/>
          <w:szCs w:val="22"/>
          <w:lang w:val="hr-HR"/>
        </w:rPr>
        <w:t>:</w:t>
      </w:r>
    </w:p>
    <w:p w14:paraId="22BD295C" w14:textId="77777777" w:rsidR="00E40785" w:rsidRPr="0013178E" w:rsidRDefault="00E40785" w:rsidP="00430A60">
      <w:pPr>
        <w:tabs>
          <w:tab w:val="num" w:pos="567"/>
        </w:tabs>
        <w:overflowPunct w:val="0"/>
        <w:autoSpaceDN w:val="0"/>
        <w:adjustRightInd w:val="0"/>
        <w:ind w:left="567" w:hanging="283"/>
        <w:jc w:val="both"/>
        <w:textAlignment w:val="baseline"/>
        <w:rPr>
          <w:sz w:val="22"/>
          <w:szCs w:val="22"/>
          <w:lang w:val="hr-HR"/>
        </w:rPr>
      </w:pPr>
      <w:r w:rsidRPr="0013178E">
        <w:rPr>
          <w:sz w:val="22"/>
          <w:szCs w:val="22"/>
          <w:lang w:val="hr-HR"/>
        </w:rPr>
        <w:tab/>
        <w:t>Teški multiformni eritem (Stevens-Johnsonov sindrom)</w:t>
      </w:r>
    </w:p>
    <w:p w14:paraId="4DE867E4" w14:textId="77777777" w:rsidR="00E40785" w:rsidRPr="0013178E" w:rsidRDefault="00E40785" w:rsidP="00430A60">
      <w:pPr>
        <w:widowControl/>
        <w:numPr>
          <w:ilvl w:val="0"/>
          <w:numId w:val="23"/>
        </w:numPr>
        <w:tabs>
          <w:tab w:val="num" w:pos="567"/>
        </w:tabs>
        <w:suppressAutoHyphens w:val="0"/>
        <w:overflowPunct w:val="0"/>
        <w:autoSpaceDN w:val="0"/>
        <w:adjustRightInd w:val="0"/>
        <w:ind w:left="567" w:hanging="283"/>
        <w:jc w:val="both"/>
        <w:textAlignment w:val="baseline"/>
        <w:rPr>
          <w:sz w:val="22"/>
          <w:szCs w:val="22"/>
          <w:lang w:val="hr-HR"/>
        </w:rPr>
      </w:pPr>
      <w:r w:rsidRPr="0013178E">
        <w:rPr>
          <w:sz w:val="22"/>
          <w:szCs w:val="22"/>
          <w:u w:val="single"/>
          <w:lang w:val="hr-HR"/>
        </w:rPr>
        <w:t>Alergijska stanja</w:t>
      </w:r>
      <w:r w:rsidRPr="0013178E">
        <w:rPr>
          <w:sz w:val="22"/>
          <w:szCs w:val="22"/>
          <w:lang w:val="hr-HR"/>
        </w:rPr>
        <w:t xml:space="preserve">: </w:t>
      </w:r>
    </w:p>
    <w:p w14:paraId="67E67BE1" w14:textId="1239EDED" w:rsidR="00E40785" w:rsidRPr="0013178E" w:rsidRDefault="00E40785" w:rsidP="00430A60">
      <w:pPr>
        <w:tabs>
          <w:tab w:val="num" w:pos="567"/>
        </w:tabs>
        <w:overflowPunct w:val="0"/>
        <w:autoSpaceDN w:val="0"/>
        <w:adjustRightInd w:val="0"/>
        <w:ind w:left="567" w:hanging="283"/>
        <w:jc w:val="both"/>
        <w:textAlignment w:val="baseline"/>
        <w:rPr>
          <w:sz w:val="22"/>
          <w:szCs w:val="22"/>
          <w:lang w:val="hr-HR"/>
        </w:rPr>
      </w:pPr>
      <w:r w:rsidRPr="0013178E">
        <w:rPr>
          <w:sz w:val="22"/>
          <w:szCs w:val="22"/>
          <w:lang w:val="hr-HR"/>
        </w:rPr>
        <w:tab/>
        <w:t>Bronhijalna astma, angioneurotski edem, anafilaksa</w:t>
      </w:r>
    </w:p>
    <w:p w14:paraId="102B4FB7" w14:textId="5369488E" w:rsidR="00E40785" w:rsidRPr="0013178E" w:rsidRDefault="00E40785" w:rsidP="00430A60">
      <w:pPr>
        <w:widowControl/>
        <w:numPr>
          <w:ilvl w:val="0"/>
          <w:numId w:val="23"/>
        </w:numPr>
        <w:tabs>
          <w:tab w:val="num" w:pos="567"/>
        </w:tabs>
        <w:suppressAutoHyphens w:val="0"/>
        <w:overflowPunct w:val="0"/>
        <w:autoSpaceDN w:val="0"/>
        <w:adjustRightInd w:val="0"/>
        <w:ind w:left="567" w:hanging="283"/>
        <w:jc w:val="both"/>
        <w:textAlignment w:val="baseline"/>
        <w:rPr>
          <w:sz w:val="22"/>
          <w:szCs w:val="22"/>
          <w:lang w:val="hr-HR"/>
        </w:rPr>
      </w:pPr>
      <w:r w:rsidRPr="0013178E">
        <w:rPr>
          <w:sz w:val="22"/>
          <w:szCs w:val="22"/>
          <w:u w:val="single"/>
          <w:lang w:val="hr-HR"/>
        </w:rPr>
        <w:t>Gastrointestinalne bolesti</w:t>
      </w:r>
      <w:r w:rsidRPr="0013178E">
        <w:rPr>
          <w:sz w:val="22"/>
          <w:szCs w:val="22"/>
          <w:lang w:val="hr-HR"/>
        </w:rPr>
        <w:t>:</w:t>
      </w:r>
    </w:p>
    <w:p w14:paraId="689DE550" w14:textId="77777777" w:rsidR="00E40785" w:rsidRPr="0013178E" w:rsidRDefault="00E40785" w:rsidP="00430A60">
      <w:pPr>
        <w:tabs>
          <w:tab w:val="num" w:pos="567"/>
        </w:tabs>
        <w:overflowPunct w:val="0"/>
        <w:autoSpaceDN w:val="0"/>
        <w:adjustRightInd w:val="0"/>
        <w:ind w:left="567" w:hanging="283"/>
        <w:jc w:val="both"/>
        <w:textAlignment w:val="baseline"/>
        <w:rPr>
          <w:sz w:val="22"/>
          <w:szCs w:val="22"/>
          <w:lang w:val="hr-HR"/>
        </w:rPr>
      </w:pPr>
      <w:r w:rsidRPr="0013178E">
        <w:rPr>
          <w:sz w:val="22"/>
          <w:szCs w:val="22"/>
          <w:lang w:val="hr-HR"/>
        </w:rPr>
        <w:tab/>
        <w:t>Ulcerativni kolitis, Kronova bolest</w:t>
      </w:r>
    </w:p>
    <w:p w14:paraId="0C7312FF" w14:textId="091156EA" w:rsidR="00E40785" w:rsidRPr="0013178E" w:rsidRDefault="00E40785" w:rsidP="00430A60">
      <w:pPr>
        <w:widowControl/>
        <w:numPr>
          <w:ilvl w:val="0"/>
          <w:numId w:val="23"/>
        </w:numPr>
        <w:tabs>
          <w:tab w:val="num" w:pos="567"/>
        </w:tabs>
        <w:suppressAutoHyphens w:val="0"/>
        <w:overflowPunct w:val="0"/>
        <w:autoSpaceDN w:val="0"/>
        <w:adjustRightInd w:val="0"/>
        <w:ind w:left="567" w:hanging="283"/>
        <w:jc w:val="both"/>
        <w:textAlignment w:val="baseline"/>
        <w:rPr>
          <w:sz w:val="22"/>
          <w:szCs w:val="22"/>
          <w:lang w:val="hr-HR"/>
        </w:rPr>
      </w:pPr>
      <w:r w:rsidRPr="0013178E">
        <w:rPr>
          <w:sz w:val="22"/>
          <w:szCs w:val="22"/>
          <w:u w:val="single"/>
          <w:lang w:val="hr-HR"/>
        </w:rPr>
        <w:t>Respiratorne bolesti</w:t>
      </w:r>
      <w:r w:rsidRPr="0013178E">
        <w:rPr>
          <w:sz w:val="22"/>
          <w:szCs w:val="22"/>
          <w:lang w:val="hr-HR"/>
        </w:rPr>
        <w:t>:</w:t>
      </w:r>
    </w:p>
    <w:p w14:paraId="35AC6773" w14:textId="77777777" w:rsidR="00E40785" w:rsidRPr="0013178E" w:rsidRDefault="00E40785" w:rsidP="00430A60">
      <w:pPr>
        <w:tabs>
          <w:tab w:val="num" w:pos="567"/>
        </w:tabs>
        <w:overflowPunct w:val="0"/>
        <w:autoSpaceDN w:val="0"/>
        <w:adjustRightInd w:val="0"/>
        <w:ind w:left="567" w:hanging="283"/>
        <w:jc w:val="both"/>
        <w:textAlignment w:val="baseline"/>
        <w:rPr>
          <w:sz w:val="22"/>
          <w:szCs w:val="22"/>
          <w:lang w:val="hr-HR"/>
        </w:rPr>
      </w:pPr>
      <w:r w:rsidRPr="0013178E">
        <w:rPr>
          <w:sz w:val="22"/>
          <w:szCs w:val="22"/>
          <w:lang w:val="hr-HR"/>
        </w:rPr>
        <w:tab/>
        <w:t>Aspiracija gastričnog sadržaja, fulminirajuća ili diseminirana tuberkuloza (sa odgovarajućom anti-tuberkuloznom hemoterapijom)</w:t>
      </w:r>
    </w:p>
    <w:p w14:paraId="32098410" w14:textId="77777777" w:rsidR="00E40785" w:rsidRPr="0013178E" w:rsidRDefault="00E40785" w:rsidP="00430A60">
      <w:pPr>
        <w:widowControl/>
        <w:numPr>
          <w:ilvl w:val="0"/>
          <w:numId w:val="23"/>
        </w:numPr>
        <w:tabs>
          <w:tab w:val="num" w:pos="567"/>
        </w:tabs>
        <w:suppressAutoHyphens w:val="0"/>
        <w:overflowPunct w:val="0"/>
        <w:autoSpaceDN w:val="0"/>
        <w:adjustRightInd w:val="0"/>
        <w:ind w:left="567" w:hanging="283"/>
        <w:jc w:val="both"/>
        <w:textAlignment w:val="baseline"/>
        <w:rPr>
          <w:sz w:val="22"/>
          <w:szCs w:val="22"/>
          <w:lang w:val="hr-HR"/>
        </w:rPr>
      </w:pPr>
      <w:r w:rsidRPr="0013178E">
        <w:rPr>
          <w:sz w:val="22"/>
          <w:szCs w:val="22"/>
          <w:u w:val="single"/>
          <w:lang w:val="hr-HR"/>
        </w:rPr>
        <w:t>Neurološki poremećaji</w:t>
      </w:r>
      <w:r w:rsidRPr="0013178E">
        <w:rPr>
          <w:sz w:val="22"/>
          <w:szCs w:val="22"/>
          <w:lang w:val="hr-HR"/>
        </w:rPr>
        <w:t>:</w:t>
      </w:r>
    </w:p>
    <w:p w14:paraId="321C391F" w14:textId="5C33D1A2" w:rsidR="00E40785" w:rsidRPr="0013178E" w:rsidRDefault="00E40785" w:rsidP="00430A60">
      <w:pPr>
        <w:tabs>
          <w:tab w:val="num" w:pos="567"/>
        </w:tabs>
        <w:overflowPunct w:val="0"/>
        <w:autoSpaceDN w:val="0"/>
        <w:adjustRightInd w:val="0"/>
        <w:ind w:left="567" w:hanging="283"/>
        <w:jc w:val="both"/>
        <w:textAlignment w:val="baseline"/>
        <w:rPr>
          <w:sz w:val="22"/>
          <w:szCs w:val="22"/>
          <w:lang w:val="hr-HR"/>
        </w:rPr>
      </w:pPr>
      <w:r w:rsidRPr="0013178E">
        <w:rPr>
          <w:sz w:val="22"/>
          <w:szCs w:val="22"/>
          <w:lang w:val="hr-HR"/>
        </w:rPr>
        <w:tab/>
        <w:t xml:space="preserve">Cerebralni edem kao posljedica tumora mozga, akutne egzacerbacije multiple skleroze </w:t>
      </w:r>
      <w:r w:rsidR="00E444E3">
        <w:rPr>
          <w:sz w:val="22"/>
          <w:szCs w:val="22"/>
          <w:lang w:val="hr-HR"/>
        </w:rPr>
        <w:t>koje se nadograđuju na osnovnu bolest</w:t>
      </w:r>
      <w:r w:rsidRPr="0013178E">
        <w:rPr>
          <w:sz w:val="22"/>
          <w:szCs w:val="22"/>
          <w:lang w:val="hr-HR"/>
        </w:rPr>
        <w:t xml:space="preserve"> remitentnog tipa. </w:t>
      </w:r>
    </w:p>
    <w:p w14:paraId="7FC835E5" w14:textId="794014FD" w:rsidR="00E40785" w:rsidRPr="0013178E" w:rsidRDefault="00E40785" w:rsidP="00430A60">
      <w:pPr>
        <w:widowControl/>
        <w:numPr>
          <w:ilvl w:val="0"/>
          <w:numId w:val="23"/>
        </w:numPr>
        <w:tabs>
          <w:tab w:val="num" w:pos="567"/>
        </w:tabs>
        <w:suppressAutoHyphens w:val="0"/>
        <w:overflowPunct w:val="0"/>
        <w:autoSpaceDN w:val="0"/>
        <w:adjustRightInd w:val="0"/>
        <w:ind w:left="567" w:hanging="283"/>
        <w:jc w:val="both"/>
        <w:textAlignment w:val="baseline"/>
        <w:rPr>
          <w:sz w:val="22"/>
          <w:szCs w:val="22"/>
          <w:lang w:val="hr-HR"/>
        </w:rPr>
      </w:pPr>
      <w:r w:rsidRPr="0013178E">
        <w:rPr>
          <w:sz w:val="22"/>
          <w:szCs w:val="22"/>
          <w:u w:val="single"/>
          <w:lang w:val="hr-HR"/>
        </w:rPr>
        <w:t>Drugo</w:t>
      </w:r>
      <w:r w:rsidRPr="0013178E">
        <w:rPr>
          <w:sz w:val="22"/>
          <w:szCs w:val="22"/>
          <w:lang w:val="hr-HR"/>
        </w:rPr>
        <w:t>:</w:t>
      </w:r>
    </w:p>
    <w:p w14:paraId="3EC89804" w14:textId="77777777" w:rsidR="00E40785" w:rsidRPr="0013178E" w:rsidRDefault="00E40785" w:rsidP="00430A60">
      <w:pPr>
        <w:tabs>
          <w:tab w:val="num" w:pos="567"/>
        </w:tabs>
        <w:overflowPunct w:val="0"/>
        <w:autoSpaceDN w:val="0"/>
        <w:adjustRightInd w:val="0"/>
        <w:ind w:left="567" w:hanging="283"/>
        <w:jc w:val="both"/>
        <w:textAlignment w:val="baseline"/>
        <w:rPr>
          <w:sz w:val="22"/>
          <w:szCs w:val="22"/>
          <w:lang w:val="hr-HR"/>
        </w:rPr>
      </w:pPr>
      <w:r w:rsidRPr="0013178E">
        <w:rPr>
          <w:sz w:val="22"/>
          <w:szCs w:val="22"/>
          <w:lang w:val="hr-HR"/>
        </w:rPr>
        <w:tab/>
        <w:t>Tuberkulozni meningitis (sa odgovarajućom anti-tuberkuloznom hemoterapijom), transplantacija.</w:t>
      </w:r>
    </w:p>
    <w:p w14:paraId="307C94D1" w14:textId="77777777" w:rsidR="00E40785" w:rsidRPr="0013178E" w:rsidRDefault="00E40785" w:rsidP="00430A60">
      <w:pPr>
        <w:tabs>
          <w:tab w:val="left" w:pos="-720"/>
        </w:tabs>
        <w:ind w:left="720"/>
        <w:jc w:val="both"/>
        <w:rPr>
          <w:color w:val="FF0000"/>
          <w:sz w:val="22"/>
          <w:szCs w:val="22"/>
          <w:lang w:val="hr-HR"/>
        </w:rPr>
      </w:pPr>
    </w:p>
    <w:p w14:paraId="3665D4B7" w14:textId="77777777" w:rsidR="00E40785" w:rsidRPr="0013178E" w:rsidRDefault="00E40785" w:rsidP="00E40785">
      <w:pPr>
        <w:tabs>
          <w:tab w:val="left" w:pos="-720"/>
          <w:tab w:val="left" w:pos="0"/>
        </w:tabs>
        <w:ind w:left="720" w:hanging="720"/>
        <w:rPr>
          <w:sz w:val="22"/>
          <w:szCs w:val="22"/>
          <w:lang w:val="hr-HR"/>
        </w:rPr>
      </w:pPr>
      <w:r w:rsidRPr="0013178E">
        <w:rPr>
          <w:b/>
          <w:sz w:val="22"/>
          <w:szCs w:val="22"/>
          <w:lang w:val="hr-HR"/>
        </w:rPr>
        <w:t>4.2</w:t>
      </w:r>
      <w:r w:rsidRPr="0013178E">
        <w:rPr>
          <w:sz w:val="22"/>
          <w:szCs w:val="22"/>
          <w:lang w:val="hr-HR"/>
        </w:rPr>
        <w:tab/>
      </w:r>
      <w:r w:rsidRPr="0013178E">
        <w:rPr>
          <w:b/>
          <w:sz w:val="22"/>
          <w:szCs w:val="22"/>
          <w:lang w:val="hr-HR"/>
        </w:rPr>
        <w:t>Doziranje i način primjene</w:t>
      </w:r>
    </w:p>
    <w:p w14:paraId="7B9E528F" w14:textId="77777777" w:rsidR="00E40785" w:rsidRPr="0013178E" w:rsidRDefault="00E40785" w:rsidP="00E40785">
      <w:pPr>
        <w:tabs>
          <w:tab w:val="left" w:pos="-720"/>
        </w:tabs>
        <w:rPr>
          <w:color w:val="FF0000"/>
          <w:sz w:val="22"/>
          <w:szCs w:val="22"/>
          <w:lang w:val="hr-HR"/>
        </w:rPr>
      </w:pPr>
    </w:p>
    <w:p w14:paraId="03D22F3D" w14:textId="77777777" w:rsidR="00E40785" w:rsidRDefault="00E40785" w:rsidP="00430A60">
      <w:pPr>
        <w:overflowPunct w:val="0"/>
        <w:autoSpaceDN w:val="0"/>
        <w:adjustRightInd w:val="0"/>
        <w:jc w:val="both"/>
        <w:textAlignment w:val="baseline"/>
        <w:rPr>
          <w:sz w:val="22"/>
          <w:szCs w:val="22"/>
          <w:u w:val="single"/>
          <w:lang w:val="hr-HR"/>
        </w:rPr>
      </w:pPr>
      <w:r w:rsidRPr="0013178E">
        <w:rPr>
          <w:sz w:val="22"/>
          <w:szCs w:val="22"/>
          <w:u w:val="single"/>
          <w:lang w:val="hr-HR"/>
        </w:rPr>
        <w:t>Doziranje</w:t>
      </w:r>
    </w:p>
    <w:p w14:paraId="7ED7E58E" w14:textId="77777777" w:rsidR="009175AD" w:rsidRPr="009A2F36" w:rsidRDefault="009175AD" w:rsidP="00430A60">
      <w:pPr>
        <w:jc w:val="both"/>
        <w:rPr>
          <w:sz w:val="22"/>
          <w:szCs w:val="22"/>
          <w:lang w:val="sr-Latn-RS" w:eastAsia="en-GB"/>
        </w:rPr>
      </w:pPr>
      <w:r w:rsidRPr="009A2F36">
        <w:rPr>
          <w:sz w:val="22"/>
          <w:szCs w:val="22"/>
          <w:lang w:val="sr-Latn-ME"/>
        </w:rPr>
        <w:t>Zahtjevi u pogledu doziranja razlikuju se od osobe do osobe i moraju se prilagoditi shodno bolesti za koju se pruža liječenje i njenoj težini, kao i reakciji pacijenta tokom cjelokupnog trajanja liječenja. U svakom pojedinačnom slučaju treba procijeniti rizike i koristi na osnovu trenutne situacije.</w:t>
      </w:r>
    </w:p>
    <w:p w14:paraId="3B8E727F" w14:textId="77777777" w:rsidR="009175AD" w:rsidRPr="009A2F36" w:rsidRDefault="009175AD" w:rsidP="00430A60">
      <w:pPr>
        <w:jc w:val="both"/>
        <w:rPr>
          <w:sz w:val="22"/>
          <w:szCs w:val="22"/>
          <w:lang w:val="sr-Latn-ME"/>
        </w:rPr>
      </w:pPr>
    </w:p>
    <w:p w14:paraId="62CB39FE" w14:textId="4C804C91" w:rsidR="009175AD" w:rsidRPr="009A2F36" w:rsidRDefault="0040314C" w:rsidP="00430A60">
      <w:pPr>
        <w:jc w:val="both"/>
        <w:rPr>
          <w:sz w:val="22"/>
          <w:szCs w:val="22"/>
          <w:lang w:val="sr-Latn-ME"/>
        </w:rPr>
      </w:pPr>
      <w:r>
        <w:rPr>
          <w:sz w:val="22"/>
          <w:szCs w:val="22"/>
          <w:lang w:val="sr-Latn-ME"/>
        </w:rPr>
        <w:t>Odgovarajuć</w:t>
      </w:r>
      <w:r w:rsidR="009175AD" w:rsidRPr="009A2F36">
        <w:rPr>
          <w:sz w:val="22"/>
          <w:szCs w:val="22"/>
          <w:lang w:val="sr-Latn-ME"/>
        </w:rPr>
        <w:t>u dozu održavanja treba odrediti tako što se početna doza lijeka smanjuje u malim koracima u odgovarajućim vremenskim intervalima dok se ne dostigne najmanja doza, koja će omogućiti da se održi odgovarajući klinički odgovor.</w:t>
      </w:r>
    </w:p>
    <w:p w14:paraId="297CA688" w14:textId="77777777" w:rsidR="009175AD" w:rsidRPr="009A2F36" w:rsidRDefault="009175AD" w:rsidP="00430A60">
      <w:pPr>
        <w:jc w:val="both"/>
        <w:rPr>
          <w:sz w:val="22"/>
          <w:szCs w:val="22"/>
          <w:lang w:val="sr-Latn-ME"/>
        </w:rPr>
      </w:pPr>
    </w:p>
    <w:p w14:paraId="2E0D8068" w14:textId="418A6B58" w:rsidR="009175AD" w:rsidRPr="009A2F36" w:rsidRDefault="009175AD" w:rsidP="00430A60">
      <w:pPr>
        <w:jc w:val="both"/>
        <w:rPr>
          <w:sz w:val="22"/>
          <w:szCs w:val="22"/>
          <w:lang w:val="sr-Latn-ME"/>
        </w:rPr>
      </w:pPr>
      <w:r w:rsidRPr="009A2F36">
        <w:rPr>
          <w:sz w:val="22"/>
          <w:szCs w:val="22"/>
          <w:lang w:val="sr-Latn-ME"/>
        </w:rPr>
        <w:t>Ukoliko nakon dugo</w:t>
      </w:r>
      <w:r w:rsidR="0035773E">
        <w:rPr>
          <w:sz w:val="22"/>
          <w:szCs w:val="22"/>
          <w:lang w:val="sr-Latn-ME"/>
        </w:rPr>
        <w:t>traj</w:t>
      </w:r>
      <w:r w:rsidRPr="009A2F36">
        <w:rPr>
          <w:sz w:val="22"/>
          <w:szCs w:val="22"/>
          <w:lang w:val="sr-Latn-ME"/>
        </w:rPr>
        <w:t xml:space="preserve">ne terapije treba prekinuti </w:t>
      </w:r>
      <w:r w:rsidR="0040314C">
        <w:rPr>
          <w:sz w:val="22"/>
          <w:szCs w:val="22"/>
          <w:lang w:val="sr-Latn-ME"/>
        </w:rPr>
        <w:t>primjenu</w:t>
      </w:r>
      <w:r w:rsidRPr="009A2F36">
        <w:rPr>
          <w:sz w:val="22"/>
          <w:szCs w:val="22"/>
          <w:lang w:val="sr-Latn-ME"/>
        </w:rPr>
        <w:t xml:space="preserve"> lijeka, to treba uraditi postepeno a ne naglo (vidjeti </w:t>
      </w:r>
      <w:r w:rsidR="009E76C5">
        <w:rPr>
          <w:sz w:val="22"/>
          <w:szCs w:val="22"/>
          <w:lang w:val="sr-Latn-ME"/>
        </w:rPr>
        <w:t>dio</w:t>
      </w:r>
      <w:r w:rsidRPr="009A2F36">
        <w:rPr>
          <w:sz w:val="22"/>
          <w:szCs w:val="22"/>
          <w:lang w:val="sr-Latn-ME"/>
        </w:rPr>
        <w:t xml:space="preserve"> 4.4).</w:t>
      </w:r>
    </w:p>
    <w:p w14:paraId="5703D6D1" w14:textId="77777777" w:rsidR="009175AD" w:rsidRPr="009A2F36" w:rsidRDefault="009175AD" w:rsidP="00430A60">
      <w:pPr>
        <w:jc w:val="both"/>
        <w:rPr>
          <w:sz w:val="22"/>
          <w:szCs w:val="22"/>
          <w:lang w:val="sr-Latn-ME"/>
        </w:rPr>
      </w:pPr>
    </w:p>
    <w:p w14:paraId="010E14EF" w14:textId="4955033D" w:rsidR="009175AD" w:rsidRPr="009A2F36" w:rsidRDefault="009175AD" w:rsidP="00430A60">
      <w:pPr>
        <w:overflowPunct w:val="0"/>
        <w:autoSpaceDN w:val="0"/>
        <w:adjustRightInd w:val="0"/>
        <w:jc w:val="both"/>
        <w:textAlignment w:val="baseline"/>
        <w:rPr>
          <w:sz w:val="22"/>
          <w:szCs w:val="22"/>
          <w:lang w:val="sr-Latn-ME"/>
        </w:rPr>
      </w:pPr>
      <w:r w:rsidRPr="009A2F36">
        <w:rPr>
          <w:sz w:val="22"/>
          <w:szCs w:val="22"/>
          <w:lang w:val="sr-Latn-ME"/>
        </w:rPr>
        <w:t>Nakon početnog kritičnog perioda, treba razmotriti mogućnost primjene injektabilnog lijeka dužeg djelovanja ili oralnog lijeka.</w:t>
      </w:r>
    </w:p>
    <w:p w14:paraId="121E6A34" w14:textId="77777777" w:rsidR="009175AD" w:rsidRPr="0013178E" w:rsidRDefault="009175AD" w:rsidP="00430A60">
      <w:pPr>
        <w:overflowPunct w:val="0"/>
        <w:autoSpaceDN w:val="0"/>
        <w:adjustRightInd w:val="0"/>
        <w:jc w:val="both"/>
        <w:textAlignment w:val="baseline"/>
        <w:rPr>
          <w:sz w:val="22"/>
          <w:szCs w:val="22"/>
          <w:lang w:val="hr-HR"/>
        </w:rPr>
      </w:pPr>
    </w:p>
    <w:p w14:paraId="316AF13B" w14:textId="2A3F9F5B" w:rsidR="00E40785" w:rsidRPr="0013178E" w:rsidRDefault="00E40785" w:rsidP="00430A60">
      <w:pPr>
        <w:overflowPunct w:val="0"/>
        <w:autoSpaceDN w:val="0"/>
        <w:adjustRightInd w:val="0"/>
        <w:jc w:val="both"/>
        <w:textAlignment w:val="baseline"/>
        <w:rPr>
          <w:sz w:val="22"/>
          <w:szCs w:val="22"/>
          <w:lang w:val="hr-HR"/>
        </w:rPr>
      </w:pPr>
      <w:r w:rsidRPr="0013178E">
        <w:rPr>
          <w:sz w:val="22"/>
          <w:szCs w:val="22"/>
          <w:lang w:val="hr-HR"/>
        </w:rPr>
        <w:t xml:space="preserve">Neželjena dejstva se mogu minimizirati primjenom najniže efektivne doze tokom najkraćeg vremenskog perioda (vidjeti </w:t>
      </w:r>
      <w:r w:rsidR="009E76C5">
        <w:rPr>
          <w:sz w:val="22"/>
          <w:szCs w:val="22"/>
          <w:lang w:val="hr-HR"/>
        </w:rPr>
        <w:t>dio</w:t>
      </w:r>
      <w:r w:rsidRPr="0013178E">
        <w:rPr>
          <w:sz w:val="22"/>
          <w:szCs w:val="22"/>
          <w:lang w:val="hr-HR"/>
        </w:rPr>
        <w:t xml:space="preserve"> 4.4). Kod pacijenata koji su na dijeti sa ograničenim unosom natrijuma ili tečnosti, potrebna je opreznost u pogledu brzine primjene.</w:t>
      </w:r>
    </w:p>
    <w:p w14:paraId="6EB53581" w14:textId="77777777" w:rsidR="00E40785" w:rsidRPr="0013178E" w:rsidRDefault="00E40785" w:rsidP="00430A60">
      <w:pPr>
        <w:overflowPunct w:val="0"/>
        <w:autoSpaceDN w:val="0"/>
        <w:adjustRightInd w:val="0"/>
        <w:jc w:val="both"/>
        <w:textAlignment w:val="baseline"/>
        <w:rPr>
          <w:color w:val="FF0000"/>
          <w:sz w:val="22"/>
          <w:szCs w:val="22"/>
          <w:lang w:val="hr-HR"/>
        </w:rPr>
      </w:pPr>
    </w:p>
    <w:p w14:paraId="38D2843C" w14:textId="77777777" w:rsidR="00E40785" w:rsidRPr="0013178E" w:rsidRDefault="00E40785" w:rsidP="00430A60">
      <w:pPr>
        <w:overflowPunct w:val="0"/>
        <w:autoSpaceDN w:val="0"/>
        <w:adjustRightInd w:val="0"/>
        <w:jc w:val="both"/>
        <w:textAlignment w:val="baseline"/>
        <w:rPr>
          <w:sz w:val="22"/>
          <w:szCs w:val="22"/>
          <w:lang w:val="hr-HR"/>
        </w:rPr>
      </w:pPr>
      <w:r w:rsidRPr="0013178E">
        <w:rPr>
          <w:sz w:val="22"/>
          <w:szCs w:val="22"/>
          <w:u w:val="single"/>
          <w:lang w:val="hr-HR"/>
        </w:rPr>
        <w:t>Primjena kod odraslih osoba</w:t>
      </w:r>
      <w:r w:rsidRPr="0013178E">
        <w:rPr>
          <w:sz w:val="22"/>
          <w:szCs w:val="22"/>
          <w:lang w:val="hr-HR"/>
        </w:rPr>
        <w:t xml:space="preserve"> </w:t>
      </w:r>
    </w:p>
    <w:p w14:paraId="7F27BAB3" w14:textId="166C9E1F" w:rsidR="00E40785" w:rsidRPr="0013178E" w:rsidRDefault="00E40785" w:rsidP="00430A60">
      <w:pPr>
        <w:overflowPunct w:val="0"/>
        <w:autoSpaceDN w:val="0"/>
        <w:adjustRightInd w:val="0"/>
        <w:jc w:val="both"/>
        <w:textAlignment w:val="baseline"/>
        <w:rPr>
          <w:sz w:val="22"/>
          <w:szCs w:val="22"/>
          <w:lang w:val="hr-HR"/>
        </w:rPr>
      </w:pPr>
      <w:r w:rsidRPr="0013178E">
        <w:rPr>
          <w:sz w:val="22"/>
          <w:szCs w:val="22"/>
          <w:lang w:val="hr-HR"/>
        </w:rPr>
        <w:t xml:space="preserve">Doziranje varira u zavisnosti od težine kliničke slike. Početna doza se kreće od 10 do 500 mg. U liječenju reakcija odbacivanja transplantata nakon transplantacije, potrebna dnevna doza može biti do 1 g. Iako doziranje i protokoli liječenja </w:t>
      </w:r>
      <w:r w:rsidR="009C2300" w:rsidRPr="0013178E">
        <w:rPr>
          <w:sz w:val="22"/>
          <w:szCs w:val="22"/>
          <w:lang w:val="hr-HR"/>
        </w:rPr>
        <w:t>koji</w:t>
      </w:r>
      <w:r w:rsidRPr="0013178E">
        <w:rPr>
          <w:sz w:val="22"/>
          <w:szCs w:val="22"/>
          <w:lang w:val="hr-HR"/>
        </w:rPr>
        <w:t xml:space="preserve"> primjen</w:t>
      </w:r>
      <w:r w:rsidR="009C2300" w:rsidRPr="0013178E">
        <w:rPr>
          <w:sz w:val="22"/>
          <w:szCs w:val="22"/>
          <w:lang w:val="hr-HR"/>
        </w:rPr>
        <w:t>juju</w:t>
      </w:r>
      <w:r w:rsidRPr="0013178E">
        <w:rPr>
          <w:sz w:val="22"/>
          <w:szCs w:val="22"/>
          <w:lang w:val="hr-HR"/>
        </w:rPr>
        <w:t xml:space="preserve"> metilprednizolon kod terapije reakcija odbacivanja tkiva</w:t>
      </w:r>
      <w:r w:rsidR="009C2300" w:rsidRPr="0013178E">
        <w:rPr>
          <w:sz w:val="22"/>
          <w:szCs w:val="22"/>
          <w:lang w:val="hr-HR"/>
        </w:rPr>
        <w:t xml:space="preserve"> variraju</w:t>
      </w:r>
      <w:r w:rsidRPr="0013178E">
        <w:rPr>
          <w:sz w:val="22"/>
          <w:szCs w:val="22"/>
          <w:lang w:val="hr-HR"/>
        </w:rPr>
        <w:t>, objavljena literatura podržava primjenu doza od 500 mg do 1 g kao najčešće primjenjivanih doza u akutnoj fazi odbacivanja. Terapiju ovim dozama treba limitirati na 48 do 72 sata, tj. samo dok se sta</w:t>
      </w:r>
      <w:r w:rsidR="00F376DC" w:rsidRPr="0013178E">
        <w:rPr>
          <w:sz w:val="22"/>
          <w:szCs w:val="22"/>
          <w:lang w:val="hr-HR"/>
        </w:rPr>
        <w:t xml:space="preserve">nje pacijenta ne stabilizuje, </w:t>
      </w:r>
      <w:r w:rsidRPr="0013178E">
        <w:rPr>
          <w:sz w:val="22"/>
          <w:szCs w:val="22"/>
          <w:lang w:val="hr-HR"/>
        </w:rPr>
        <w:t>obzirom</w:t>
      </w:r>
      <w:r w:rsidR="00F376DC" w:rsidRPr="0013178E">
        <w:rPr>
          <w:sz w:val="22"/>
          <w:szCs w:val="22"/>
          <w:lang w:val="hr-HR"/>
        </w:rPr>
        <w:t xml:space="preserve"> na to</w:t>
      </w:r>
      <w:r w:rsidRPr="0013178E">
        <w:rPr>
          <w:sz w:val="22"/>
          <w:szCs w:val="22"/>
          <w:lang w:val="hr-HR"/>
        </w:rPr>
        <w:t xml:space="preserve"> da duža primjena visokih doza kortikosteroida može da prouzrokuje ozbiljne neželjene </w:t>
      </w:r>
      <w:r w:rsidR="00C13300" w:rsidRPr="0013178E">
        <w:rPr>
          <w:sz w:val="22"/>
          <w:szCs w:val="22"/>
          <w:lang w:val="hr-HR"/>
        </w:rPr>
        <w:t xml:space="preserve">reakcije </w:t>
      </w:r>
      <w:r w:rsidRPr="0013178E">
        <w:rPr>
          <w:sz w:val="22"/>
          <w:szCs w:val="22"/>
          <w:lang w:val="hr-HR"/>
        </w:rPr>
        <w:t xml:space="preserve">(vidjeti </w:t>
      </w:r>
      <w:r w:rsidR="009E76C5">
        <w:rPr>
          <w:sz w:val="22"/>
          <w:szCs w:val="22"/>
          <w:lang w:val="hr-HR"/>
        </w:rPr>
        <w:t>djelove</w:t>
      </w:r>
      <w:r w:rsidRPr="0013178E">
        <w:rPr>
          <w:sz w:val="22"/>
          <w:szCs w:val="22"/>
          <w:lang w:val="hr-HR"/>
        </w:rPr>
        <w:t xml:space="preserve"> 4.4. i 4.8.).</w:t>
      </w:r>
    </w:p>
    <w:p w14:paraId="32325B1E" w14:textId="77777777" w:rsidR="00E40785" w:rsidRPr="0013178E" w:rsidRDefault="00E40785" w:rsidP="00430A60">
      <w:pPr>
        <w:overflowPunct w:val="0"/>
        <w:autoSpaceDN w:val="0"/>
        <w:adjustRightInd w:val="0"/>
        <w:jc w:val="both"/>
        <w:textAlignment w:val="baseline"/>
        <w:rPr>
          <w:color w:val="FF0000"/>
          <w:sz w:val="22"/>
          <w:szCs w:val="22"/>
          <w:lang w:val="hr-HR"/>
        </w:rPr>
      </w:pPr>
    </w:p>
    <w:p w14:paraId="50DE4B90" w14:textId="77777777" w:rsidR="00E40785" w:rsidRPr="0013178E" w:rsidRDefault="00E40785" w:rsidP="00430A60">
      <w:pPr>
        <w:overflowPunct w:val="0"/>
        <w:autoSpaceDN w:val="0"/>
        <w:adjustRightInd w:val="0"/>
        <w:jc w:val="both"/>
        <w:textAlignment w:val="baseline"/>
        <w:rPr>
          <w:sz w:val="22"/>
          <w:szCs w:val="22"/>
          <w:lang w:val="hr-HR"/>
        </w:rPr>
      </w:pPr>
      <w:r w:rsidRPr="0013178E">
        <w:rPr>
          <w:sz w:val="22"/>
          <w:szCs w:val="22"/>
          <w:u w:val="single"/>
          <w:lang w:val="hr-HR"/>
        </w:rPr>
        <w:t>Starije osobe</w:t>
      </w:r>
      <w:r w:rsidRPr="0013178E">
        <w:rPr>
          <w:sz w:val="22"/>
          <w:szCs w:val="22"/>
          <w:lang w:val="hr-HR"/>
        </w:rPr>
        <w:t xml:space="preserve"> </w:t>
      </w:r>
    </w:p>
    <w:p w14:paraId="7B05BFF5" w14:textId="65D1352E" w:rsidR="00E40785" w:rsidRPr="0013178E" w:rsidRDefault="00AC1006" w:rsidP="00430A60">
      <w:pPr>
        <w:overflowPunct w:val="0"/>
        <w:autoSpaceDN w:val="0"/>
        <w:adjustRightInd w:val="0"/>
        <w:jc w:val="both"/>
        <w:textAlignment w:val="baseline"/>
        <w:rPr>
          <w:sz w:val="22"/>
          <w:szCs w:val="22"/>
          <w:lang w:val="hr-HR"/>
        </w:rPr>
      </w:pPr>
      <w:r w:rsidRPr="0013178E">
        <w:rPr>
          <w:sz w:val="22"/>
          <w:szCs w:val="22"/>
          <w:lang w:val="hr-HR"/>
        </w:rPr>
        <w:t xml:space="preserve">Lijek </w:t>
      </w:r>
      <w:r w:rsidR="00E40785" w:rsidRPr="0013178E">
        <w:rPr>
          <w:sz w:val="22"/>
          <w:szCs w:val="22"/>
          <w:lang w:val="hr-HR"/>
        </w:rPr>
        <w:t xml:space="preserve">Solu-Medrol se prvenstveno upotrebljava u akutnim kratkoročnim stanjima. Nema podataka koji bi upućivali na potrebu za promjenom doze za starije. Liječenje starijih pacijenata treba planirati imajući u vidu ozbiljnije posljedice uobičajenih neželjenih efekata kortikosteroida u starijoj dobi, pa je potreban strogi klinički nadzor (vidjeti </w:t>
      </w:r>
      <w:r w:rsidR="009E76C5">
        <w:rPr>
          <w:sz w:val="22"/>
          <w:szCs w:val="22"/>
          <w:lang w:val="hr-HR"/>
        </w:rPr>
        <w:t>dio</w:t>
      </w:r>
      <w:r w:rsidR="00E40785" w:rsidRPr="0013178E">
        <w:rPr>
          <w:sz w:val="22"/>
          <w:szCs w:val="22"/>
          <w:lang w:val="hr-HR"/>
        </w:rPr>
        <w:t xml:space="preserve"> 4.4).</w:t>
      </w:r>
    </w:p>
    <w:p w14:paraId="26A20262" w14:textId="77777777" w:rsidR="00E40785" w:rsidRPr="0013178E" w:rsidRDefault="00E40785" w:rsidP="00430A60">
      <w:pPr>
        <w:overflowPunct w:val="0"/>
        <w:autoSpaceDN w:val="0"/>
        <w:adjustRightInd w:val="0"/>
        <w:jc w:val="both"/>
        <w:textAlignment w:val="baseline"/>
        <w:rPr>
          <w:color w:val="FF0000"/>
          <w:sz w:val="22"/>
          <w:szCs w:val="22"/>
          <w:lang w:val="hr-HR"/>
        </w:rPr>
      </w:pPr>
    </w:p>
    <w:p w14:paraId="30421E21" w14:textId="77777777" w:rsidR="00E40785" w:rsidRPr="0013178E" w:rsidRDefault="00E40785" w:rsidP="00430A60">
      <w:pPr>
        <w:overflowPunct w:val="0"/>
        <w:autoSpaceDN w:val="0"/>
        <w:adjustRightInd w:val="0"/>
        <w:jc w:val="both"/>
        <w:textAlignment w:val="baseline"/>
        <w:rPr>
          <w:sz w:val="22"/>
          <w:szCs w:val="22"/>
          <w:lang w:val="hr-HR"/>
        </w:rPr>
      </w:pPr>
      <w:r w:rsidRPr="0013178E">
        <w:rPr>
          <w:sz w:val="22"/>
          <w:szCs w:val="22"/>
          <w:lang w:val="hr-HR"/>
        </w:rPr>
        <w:t>Detaljne preporuke za doziranje za odrasle osobe su kako slijedi:</w:t>
      </w:r>
    </w:p>
    <w:p w14:paraId="738A9820" w14:textId="77777777" w:rsidR="00E40785" w:rsidRPr="0013178E" w:rsidRDefault="00E40785" w:rsidP="00E40785">
      <w:pPr>
        <w:overflowPunct w:val="0"/>
        <w:autoSpaceDN w:val="0"/>
        <w:adjustRightInd w:val="0"/>
        <w:textAlignment w:val="baseline"/>
        <w:rPr>
          <w:sz w:val="22"/>
          <w:szCs w:val="22"/>
          <w:lang w:val="hr-HR"/>
        </w:rPr>
      </w:pPr>
    </w:p>
    <w:p w14:paraId="26FAF00C" w14:textId="77777777" w:rsidR="00E40785" w:rsidRPr="0013178E" w:rsidRDefault="00E40785" w:rsidP="00430A60">
      <w:pPr>
        <w:overflowPunct w:val="0"/>
        <w:autoSpaceDN w:val="0"/>
        <w:adjustRightInd w:val="0"/>
        <w:jc w:val="both"/>
        <w:textAlignment w:val="baseline"/>
        <w:rPr>
          <w:sz w:val="22"/>
          <w:szCs w:val="22"/>
          <w:lang w:val="hr-HR"/>
        </w:rPr>
      </w:pPr>
      <w:r w:rsidRPr="0013178E">
        <w:rPr>
          <w:b/>
          <w:sz w:val="22"/>
          <w:szCs w:val="22"/>
          <w:lang w:val="hr-HR"/>
        </w:rPr>
        <w:t>Kod anafila</w:t>
      </w:r>
      <w:r w:rsidR="000D3287" w:rsidRPr="0013178E">
        <w:rPr>
          <w:b/>
          <w:sz w:val="22"/>
          <w:szCs w:val="22"/>
          <w:lang w:val="hr-HR"/>
        </w:rPr>
        <w:t>k</w:t>
      </w:r>
      <w:r w:rsidRPr="0013178E">
        <w:rPr>
          <w:b/>
          <w:sz w:val="22"/>
          <w:szCs w:val="22"/>
          <w:lang w:val="hr-HR"/>
        </w:rPr>
        <w:t>tičkih reakcija</w:t>
      </w:r>
      <w:r w:rsidRPr="0013178E">
        <w:rPr>
          <w:sz w:val="22"/>
          <w:szCs w:val="22"/>
          <w:lang w:val="hr-HR"/>
        </w:rPr>
        <w:t xml:space="preserve">, adrenalin ili noradrenalin treba prvo primijeniti za hitan hemodinamski efekat, </w:t>
      </w:r>
      <w:r w:rsidRPr="0013178E">
        <w:rPr>
          <w:sz w:val="22"/>
          <w:szCs w:val="22"/>
          <w:lang w:val="hr-HR"/>
        </w:rPr>
        <w:lastRenderedPageBreak/>
        <w:t xml:space="preserve">nakon čega slijedi intravenska injekcija </w:t>
      </w:r>
      <w:r w:rsidR="00157F5E" w:rsidRPr="0013178E">
        <w:rPr>
          <w:sz w:val="22"/>
          <w:szCs w:val="22"/>
          <w:lang w:val="hr-HR"/>
        </w:rPr>
        <w:t>lijeka Solu-Medrol</w:t>
      </w:r>
      <w:r w:rsidRPr="0013178E">
        <w:rPr>
          <w:sz w:val="22"/>
          <w:szCs w:val="22"/>
          <w:lang w:val="hr-HR"/>
        </w:rPr>
        <w:t xml:space="preserve"> (</w:t>
      </w:r>
      <w:r w:rsidR="00F3763F" w:rsidRPr="0013178E">
        <w:rPr>
          <w:bCs/>
          <w:sz w:val="22"/>
          <w:szCs w:val="22"/>
          <w:lang w:val="hr-HR"/>
        </w:rPr>
        <w:t>metilprednizolon natrijum sukcinat</w:t>
      </w:r>
      <w:r w:rsidRPr="0013178E">
        <w:rPr>
          <w:sz w:val="22"/>
          <w:szCs w:val="22"/>
          <w:lang w:val="hr-HR"/>
        </w:rPr>
        <w:t xml:space="preserve">) uz druge prihvaćene procedure. Postoje dokazi da kortikosteroidi, preko njihovog produženog hemodinamskog efekta, igraju ulogu u </w:t>
      </w:r>
      <w:r w:rsidR="000D3287" w:rsidRPr="0013178E">
        <w:rPr>
          <w:sz w:val="22"/>
          <w:szCs w:val="22"/>
          <w:lang w:val="hr-HR"/>
        </w:rPr>
        <w:t>sprječavanju</w:t>
      </w:r>
      <w:r w:rsidRPr="0013178E">
        <w:rPr>
          <w:sz w:val="22"/>
          <w:szCs w:val="22"/>
          <w:lang w:val="hr-HR"/>
        </w:rPr>
        <w:t xml:space="preserve"> ponavljanja napada akutnih anafilaktičkih reakcija.</w:t>
      </w:r>
    </w:p>
    <w:p w14:paraId="03D7CFE9" w14:textId="77777777" w:rsidR="00E40785" w:rsidRPr="0013178E" w:rsidRDefault="00E40785" w:rsidP="00430A60">
      <w:pPr>
        <w:overflowPunct w:val="0"/>
        <w:autoSpaceDN w:val="0"/>
        <w:adjustRightInd w:val="0"/>
        <w:jc w:val="both"/>
        <w:textAlignment w:val="baseline"/>
        <w:rPr>
          <w:sz w:val="22"/>
          <w:szCs w:val="22"/>
          <w:lang w:val="hr-HR"/>
        </w:rPr>
      </w:pPr>
    </w:p>
    <w:p w14:paraId="094FBF11" w14:textId="4463A8BB" w:rsidR="00E40785" w:rsidRPr="0013178E" w:rsidRDefault="00E40785" w:rsidP="00430A60">
      <w:pPr>
        <w:tabs>
          <w:tab w:val="left" w:pos="-662"/>
          <w:tab w:val="left" w:pos="-302"/>
          <w:tab w:val="left" w:pos="58"/>
          <w:tab w:val="left" w:pos="778"/>
          <w:tab w:val="left" w:pos="1498"/>
          <w:tab w:val="left" w:pos="2218"/>
          <w:tab w:val="left" w:pos="2938"/>
          <w:tab w:val="left" w:pos="3658"/>
          <w:tab w:val="left" w:pos="4378"/>
          <w:tab w:val="left" w:pos="5098"/>
          <w:tab w:val="left" w:pos="5818"/>
          <w:tab w:val="left" w:pos="6538"/>
          <w:tab w:val="left" w:pos="7258"/>
          <w:tab w:val="left" w:pos="7978"/>
          <w:tab w:val="left" w:pos="8698"/>
          <w:tab w:val="left" w:pos="9418"/>
          <w:tab w:val="left" w:pos="10138"/>
          <w:tab w:val="left" w:pos="10858"/>
          <w:tab w:val="left" w:pos="11578"/>
          <w:tab w:val="left" w:pos="12298"/>
          <w:tab w:val="left" w:pos="13018"/>
          <w:tab w:val="left" w:pos="13738"/>
          <w:tab w:val="left" w:pos="14458"/>
          <w:tab w:val="left" w:pos="15178"/>
          <w:tab w:val="left" w:pos="15898"/>
          <w:tab w:val="left" w:pos="16618"/>
          <w:tab w:val="left" w:pos="17338"/>
          <w:tab w:val="left" w:pos="18058"/>
        </w:tabs>
        <w:overflowPunct w:val="0"/>
        <w:autoSpaceDN w:val="0"/>
        <w:adjustRightInd w:val="0"/>
        <w:jc w:val="both"/>
        <w:textAlignment w:val="baseline"/>
        <w:rPr>
          <w:sz w:val="22"/>
          <w:szCs w:val="22"/>
          <w:lang w:val="hr-HR"/>
        </w:rPr>
      </w:pPr>
      <w:r w:rsidRPr="0013178E">
        <w:rPr>
          <w:b/>
          <w:sz w:val="22"/>
          <w:szCs w:val="22"/>
          <w:lang w:val="hr-HR"/>
        </w:rPr>
        <w:t>Kod reakcija preosjetljivosti</w:t>
      </w:r>
      <w:r w:rsidR="003D6FA0" w:rsidRPr="0013178E">
        <w:rPr>
          <w:b/>
          <w:sz w:val="22"/>
          <w:szCs w:val="22"/>
          <w:lang w:val="hr-HR"/>
        </w:rPr>
        <w:t>,</w:t>
      </w:r>
      <w:r w:rsidRPr="0013178E">
        <w:rPr>
          <w:b/>
          <w:sz w:val="22"/>
          <w:szCs w:val="22"/>
          <w:lang w:val="hr-HR"/>
        </w:rPr>
        <w:t xml:space="preserve"> </w:t>
      </w:r>
      <w:r w:rsidR="00157F5E" w:rsidRPr="0013178E">
        <w:rPr>
          <w:sz w:val="22"/>
          <w:szCs w:val="22"/>
          <w:lang w:val="hr-HR"/>
        </w:rPr>
        <w:t>lijek</w:t>
      </w:r>
      <w:r w:rsidR="00157F5E" w:rsidRPr="0013178E">
        <w:rPr>
          <w:b/>
          <w:sz w:val="22"/>
          <w:szCs w:val="22"/>
          <w:lang w:val="hr-HR"/>
        </w:rPr>
        <w:t xml:space="preserve"> </w:t>
      </w:r>
      <w:r w:rsidRPr="0013178E">
        <w:rPr>
          <w:sz w:val="22"/>
          <w:szCs w:val="22"/>
          <w:lang w:val="hr-HR"/>
        </w:rPr>
        <w:t>Solu</w:t>
      </w:r>
      <w:r w:rsidRPr="0013178E">
        <w:rPr>
          <w:sz w:val="22"/>
          <w:szCs w:val="22"/>
          <w:lang w:val="hr-HR"/>
        </w:rPr>
        <w:noBreakHyphen/>
        <w:t xml:space="preserve">Medrol osigurava smanjenje simptoma u roku od pola sata do 2 sata. Kod pacijenata sa astmom, </w:t>
      </w:r>
      <w:r w:rsidR="00157F5E" w:rsidRPr="0013178E">
        <w:rPr>
          <w:sz w:val="22"/>
          <w:szCs w:val="22"/>
          <w:lang w:val="hr-HR"/>
        </w:rPr>
        <w:t xml:space="preserve">lijek </w:t>
      </w:r>
      <w:r w:rsidRPr="0013178E">
        <w:rPr>
          <w:sz w:val="22"/>
          <w:szCs w:val="22"/>
          <w:lang w:val="hr-HR"/>
        </w:rPr>
        <w:t xml:space="preserve">Solu-Medrol se daje u dozi od 40 mg intravenski, što se može ponoviti u skladu sa odgovorom pacijenta. Kod nekih astmatičara, može biti korisno da se medicinski proizvod primjenjuje polako, putem intravenske injekcije, tokom nekoliko sati. </w:t>
      </w:r>
    </w:p>
    <w:p w14:paraId="5361A31A" w14:textId="77777777" w:rsidR="00E40785" w:rsidRPr="0013178E" w:rsidRDefault="00E40785" w:rsidP="00430A60">
      <w:pPr>
        <w:overflowPunct w:val="0"/>
        <w:autoSpaceDN w:val="0"/>
        <w:adjustRightInd w:val="0"/>
        <w:jc w:val="both"/>
        <w:textAlignment w:val="baseline"/>
        <w:rPr>
          <w:b/>
          <w:color w:val="FF0000"/>
          <w:sz w:val="22"/>
          <w:szCs w:val="22"/>
          <w:lang w:val="hr-HR"/>
        </w:rPr>
      </w:pPr>
    </w:p>
    <w:p w14:paraId="63BAF190" w14:textId="303238D1" w:rsidR="00E40785" w:rsidRPr="0013178E" w:rsidRDefault="00E40785" w:rsidP="00430A60">
      <w:pPr>
        <w:overflowPunct w:val="0"/>
        <w:autoSpaceDN w:val="0"/>
        <w:adjustRightInd w:val="0"/>
        <w:jc w:val="both"/>
        <w:textAlignment w:val="baseline"/>
        <w:rPr>
          <w:sz w:val="22"/>
          <w:szCs w:val="22"/>
          <w:lang w:val="hr-HR"/>
        </w:rPr>
      </w:pPr>
      <w:r w:rsidRPr="0013178E">
        <w:rPr>
          <w:b/>
          <w:sz w:val="22"/>
          <w:szCs w:val="22"/>
          <w:lang w:val="hr-HR"/>
        </w:rPr>
        <w:t>Kod reakcija odbacivanja transplanata nakon transplantacije</w:t>
      </w:r>
      <w:r w:rsidR="003D6FA0" w:rsidRPr="0013178E">
        <w:rPr>
          <w:b/>
          <w:sz w:val="22"/>
          <w:szCs w:val="22"/>
          <w:lang w:val="hr-HR"/>
        </w:rPr>
        <w:t>,</w:t>
      </w:r>
      <w:r w:rsidRPr="0013178E">
        <w:rPr>
          <w:sz w:val="22"/>
          <w:szCs w:val="22"/>
          <w:lang w:val="hr-HR"/>
        </w:rPr>
        <w:t xml:space="preserve"> korist</w:t>
      </w:r>
      <w:r w:rsidR="004C4A58" w:rsidRPr="0013178E">
        <w:rPr>
          <w:sz w:val="22"/>
          <w:szCs w:val="22"/>
          <w:lang w:val="hr-HR"/>
        </w:rPr>
        <w:t>e</w:t>
      </w:r>
      <w:r w:rsidRPr="0013178E">
        <w:rPr>
          <w:sz w:val="22"/>
          <w:szCs w:val="22"/>
          <w:lang w:val="hr-HR"/>
        </w:rPr>
        <w:t xml:space="preserve"> se </w:t>
      </w:r>
      <w:r w:rsidR="00611CD0" w:rsidRPr="0013178E">
        <w:rPr>
          <w:sz w:val="22"/>
          <w:szCs w:val="22"/>
          <w:lang w:val="hr-HR"/>
        </w:rPr>
        <w:t>doz</w:t>
      </w:r>
      <w:r w:rsidR="004C4A58" w:rsidRPr="0013178E">
        <w:rPr>
          <w:sz w:val="22"/>
          <w:szCs w:val="22"/>
          <w:lang w:val="hr-HR"/>
        </w:rPr>
        <w:t>e</w:t>
      </w:r>
      <w:r w:rsidR="00611CD0" w:rsidRPr="0013178E">
        <w:rPr>
          <w:sz w:val="22"/>
          <w:szCs w:val="22"/>
          <w:lang w:val="hr-HR"/>
        </w:rPr>
        <w:t xml:space="preserve"> </w:t>
      </w:r>
      <w:r w:rsidRPr="0013178E">
        <w:rPr>
          <w:sz w:val="22"/>
          <w:szCs w:val="22"/>
          <w:lang w:val="hr-HR"/>
        </w:rPr>
        <w:t>do 1 gram dnevno da bi se suzbila reakcija odbacivanja, dok se doze od 500</w:t>
      </w:r>
      <w:r w:rsidR="006D5EC9">
        <w:rPr>
          <w:sz w:val="22"/>
          <w:szCs w:val="22"/>
          <w:lang w:val="hr-HR"/>
        </w:rPr>
        <w:t> </w:t>
      </w:r>
      <w:r w:rsidRPr="0013178E">
        <w:rPr>
          <w:sz w:val="22"/>
          <w:szCs w:val="22"/>
          <w:lang w:val="hr-HR"/>
        </w:rPr>
        <w:t>mg do 1 grama obično koriste kod akutnog odbacivanja. Liječenje treba nastaviti samo dok se stanje pacijenta ne stabilizuje; obično ne duže od 48-72 sata.</w:t>
      </w:r>
    </w:p>
    <w:p w14:paraId="15D20858" w14:textId="77777777" w:rsidR="00E40785" w:rsidRPr="0013178E" w:rsidRDefault="00E40785" w:rsidP="00430A60">
      <w:pPr>
        <w:overflowPunct w:val="0"/>
        <w:autoSpaceDN w:val="0"/>
        <w:adjustRightInd w:val="0"/>
        <w:jc w:val="both"/>
        <w:textAlignment w:val="baseline"/>
        <w:rPr>
          <w:sz w:val="22"/>
          <w:szCs w:val="22"/>
          <w:lang w:val="hr-HR"/>
        </w:rPr>
      </w:pPr>
    </w:p>
    <w:p w14:paraId="3596C214" w14:textId="77777777" w:rsidR="00E40785" w:rsidRPr="0013178E" w:rsidRDefault="00E40785" w:rsidP="00430A60">
      <w:pPr>
        <w:overflowPunct w:val="0"/>
        <w:autoSpaceDN w:val="0"/>
        <w:adjustRightInd w:val="0"/>
        <w:jc w:val="both"/>
        <w:textAlignment w:val="baseline"/>
        <w:rPr>
          <w:sz w:val="22"/>
          <w:szCs w:val="22"/>
          <w:lang w:val="hr-HR"/>
        </w:rPr>
      </w:pPr>
      <w:r w:rsidRPr="0013178E">
        <w:rPr>
          <w:b/>
          <w:sz w:val="22"/>
          <w:szCs w:val="22"/>
          <w:lang w:val="hr-HR"/>
        </w:rPr>
        <w:t>Kod cerebralnih edema</w:t>
      </w:r>
      <w:r w:rsidRPr="0013178E">
        <w:rPr>
          <w:sz w:val="22"/>
          <w:szCs w:val="22"/>
          <w:lang w:val="hr-HR"/>
        </w:rPr>
        <w:t>, kortikosteroidi se koriste za smanjenje ili prevenciju cerebraln</w:t>
      </w:r>
      <w:r w:rsidR="00741CA3" w:rsidRPr="0013178E">
        <w:rPr>
          <w:sz w:val="22"/>
          <w:szCs w:val="22"/>
          <w:lang w:val="hr-HR"/>
        </w:rPr>
        <w:t>i</w:t>
      </w:r>
      <w:r w:rsidR="004A037A" w:rsidRPr="0013178E">
        <w:rPr>
          <w:sz w:val="22"/>
          <w:szCs w:val="22"/>
          <w:lang w:val="hr-HR"/>
        </w:rPr>
        <w:t>h</w:t>
      </w:r>
      <w:r w:rsidRPr="0013178E">
        <w:rPr>
          <w:sz w:val="22"/>
          <w:szCs w:val="22"/>
          <w:lang w:val="hr-HR"/>
        </w:rPr>
        <w:t xml:space="preserve"> edema koji s</w:t>
      </w:r>
      <w:r w:rsidR="004A037A" w:rsidRPr="0013178E">
        <w:rPr>
          <w:sz w:val="22"/>
          <w:szCs w:val="22"/>
          <w:lang w:val="hr-HR"/>
        </w:rPr>
        <w:t>u</w:t>
      </w:r>
      <w:r w:rsidRPr="0013178E">
        <w:rPr>
          <w:sz w:val="22"/>
          <w:szCs w:val="22"/>
          <w:lang w:val="hr-HR"/>
        </w:rPr>
        <w:t xml:space="preserve"> </w:t>
      </w:r>
      <w:r w:rsidR="00EB47F0" w:rsidRPr="0013178E">
        <w:rPr>
          <w:sz w:val="22"/>
          <w:szCs w:val="22"/>
          <w:lang w:val="hr-HR"/>
        </w:rPr>
        <w:t>povezani s</w:t>
      </w:r>
      <w:r w:rsidRPr="0013178E">
        <w:rPr>
          <w:sz w:val="22"/>
          <w:szCs w:val="22"/>
          <w:lang w:val="hr-HR"/>
        </w:rPr>
        <w:t>a tumor</w:t>
      </w:r>
      <w:r w:rsidR="00741CA3" w:rsidRPr="0013178E">
        <w:rPr>
          <w:sz w:val="22"/>
          <w:szCs w:val="22"/>
          <w:lang w:val="hr-HR"/>
        </w:rPr>
        <w:t>i</w:t>
      </w:r>
      <w:r w:rsidR="00EB47F0" w:rsidRPr="0013178E">
        <w:rPr>
          <w:sz w:val="22"/>
          <w:szCs w:val="22"/>
          <w:lang w:val="hr-HR"/>
        </w:rPr>
        <w:t>m</w:t>
      </w:r>
      <w:r w:rsidR="00741CA3" w:rsidRPr="0013178E">
        <w:rPr>
          <w:sz w:val="22"/>
          <w:szCs w:val="22"/>
          <w:lang w:val="hr-HR"/>
        </w:rPr>
        <w:t>a</w:t>
      </w:r>
      <w:r w:rsidRPr="0013178E">
        <w:rPr>
          <w:sz w:val="22"/>
          <w:szCs w:val="22"/>
          <w:lang w:val="hr-HR"/>
        </w:rPr>
        <w:t xml:space="preserve"> mozga (primarn</w:t>
      </w:r>
      <w:r w:rsidR="004A037A" w:rsidRPr="0013178E">
        <w:rPr>
          <w:sz w:val="22"/>
          <w:szCs w:val="22"/>
          <w:lang w:val="hr-HR"/>
        </w:rPr>
        <w:t>i</w:t>
      </w:r>
      <w:r w:rsidRPr="0013178E">
        <w:rPr>
          <w:sz w:val="22"/>
          <w:szCs w:val="22"/>
          <w:lang w:val="hr-HR"/>
        </w:rPr>
        <w:t xml:space="preserve"> ili metastatsk</w:t>
      </w:r>
      <w:r w:rsidR="004A037A" w:rsidRPr="0013178E">
        <w:rPr>
          <w:sz w:val="22"/>
          <w:szCs w:val="22"/>
          <w:lang w:val="hr-HR"/>
        </w:rPr>
        <w:t>i</w:t>
      </w:r>
      <w:r w:rsidRPr="0013178E">
        <w:rPr>
          <w:sz w:val="22"/>
          <w:szCs w:val="22"/>
          <w:lang w:val="hr-HR"/>
        </w:rPr>
        <w:t>).</w:t>
      </w:r>
    </w:p>
    <w:p w14:paraId="73A05640" w14:textId="77777777" w:rsidR="00E40785" w:rsidRPr="0013178E" w:rsidRDefault="00E40785" w:rsidP="00430A60">
      <w:pPr>
        <w:overflowPunct w:val="0"/>
        <w:autoSpaceDN w:val="0"/>
        <w:adjustRightInd w:val="0"/>
        <w:jc w:val="both"/>
        <w:textAlignment w:val="baseline"/>
        <w:rPr>
          <w:color w:val="FF0000"/>
          <w:sz w:val="22"/>
          <w:szCs w:val="22"/>
          <w:lang w:val="hr-HR"/>
        </w:rPr>
      </w:pPr>
    </w:p>
    <w:p w14:paraId="6919BF0C" w14:textId="77777777" w:rsidR="00E40785" w:rsidRPr="0013178E" w:rsidRDefault="00E40785" w:rsidP="00430A60">
      <w:pPr>
        <w:overflowPunct w:val="0"/>
        <w:autoSpaceDN w:val="0"/>
        <w:adjustRightInd w:val="0"/>
        <w:jc w:val="both"/>
        <w:textAlignment w:val="baseline"/>
        <w:rPr>
          <w:sz w:val="22"/>
          <w:szCs w:val="22"/>
          <w:lang w:val="hr-HR"/>
        </w:rPr>
      </w:pPr>
      <w:r w:rsidRPr="0013178E">
        <w:rPr>
          <w:sz w:val="22"/>
          <w:szCs w:val="22"/>
          <w:lang w:val="hr-HR"/>
        </w:rPr>
        <w:t>Kod pacijenata sa edem</w:t>
      </w:r>
      <w:r w:rsidR="004A037A" w:rsidRPr="0013178E">
        <w:rPr>
          <w:sz w:val="22"/>
          <w:szCs w:val="22"/>
          <w:lang w:val="hr-HR"/>
        </w:rPr>
        <w:t>i</w:t>
      </w:r>
      <w:r w:rsidRPr="0013178E">
        <w:rPr>
          <w:sz w:val="22"/>
          <w:szCs w:val="22"/>
          <w:lang w:val="hr-HR"/>
        </w:rPr>
        <w:t>m</w:t>
      </w:r>
      <w:r w:rsidR="004A037A" w:rsidRPr="0013178E">
        <w:rPr>
          <w:sz w:val="22"/>
          <w:szCs w:val="22"/>
          <w:lang w:val="hr-HR"/>
        </w:rPr>
        <w:t>a</w:t>
      </w:r>
      <w:r w:rsidRPr="0013178E">
        <w:rPr>
          <w:sz w:val="22"/>
          <w:szCs w:val="22"/>
          <w:lang w:val="hr-HR"/>
        </w:rPr>
        <w:t xml:space="preserve"> povezanim sa tumor</w:t>
      </w:r>
      <w:r w:rsidR="004A037A" w:rsidRPr="0013178E">
        <w:rPr>
          <w:sz w:val="22"/>
          <w:szCs w:val="22"/>
          <w:lang w:val="hr-HR"/>
        </w:rPr>
        <w:t>i</w:t>
      </w:r>
      <w:r w:rsidRPr="0013178E">
        <w:rPr>
          <w:sz w:val="22"/>
          <w:szCs w:val="22"/>
          <w:lang w:val="hr-HR"/>
        </w:rPr>
        <w:t>m</w:t>
      </w:r>
      <w:r w:rsidR="004A037A" w:rsidRPr="0013178E">
        <w:rPr>
          <w:sz w:val="22"/>
          <w:szCs w:val="22"/>
          <w:lang w:val="hr-HR"/>
        </w:rPr>
        <w:t>a</w:t>
      </w:r>
      <w:r w:rsidRPr="0013178E">
        <w:rPr>
          <w:sz w:val="22"/>
          <w:szCs w:val="22"/>
          <w:lang w:val="hr-HR"/>
        </w:rPr>
        <w:t>, smanjenje doze kortikosteroida izgleda da je važno da bi se izbjeglo povećanje intrakranijalnog pritiska. Ako se za vrijeme smanjenja doze javi edem mozga (uz isključenu mogućnost intrakranijalnog krvarenja), potrebno je ponovo uvesti veće i češće parenteralno doziranje. Pacijenti sa određenim malignim</w:t>
      </w:r>
      <w:r w:rsidR="00366AE0" w:rsidRPr="0013178E">
        <w:rPr>
          <w:sz w:val="22"/>
          <w:szCs w:val="22"/>
          <w:lang w:val="hr-HR"/>
        </w:rPr>
        <w:t xml:space="preserve"> bolestima</w:t>
      </w:r>
      <w:r w:rsidRPr="0013178E">
        <w:rPr>
          <w:sz w:val="22"/>
          <w:szCs w:val="22"/>
          <w:lang w:val="hr-HR"/>
        </w:rPr>
        <w:t xml:space="preserve"> mogu da se liječe oralnim kortikosteroidima mjesecima, ili čak doživotno. Slične ili višestruke doze mogu biti korisne za kontrolisanje edema mozga tokom radioterapije.</w:t>
      </w:r>
    </w:p>
    <w:p w14:paraId="1BC31B7C" w14:textId="77777777" w:rsidR="00E40785" w:rsidRPr="0013178E" w:rsidRDefault="00E40785" w:rsidP="00430A60">
      <w:pPr>
        <w:overflowPunct w:val="0"/>
        <w:autoSpaceDN w:val="0"/>
        <w:adjustRightInd w:val="0"/>
        <w:jc w:val="both"/>
        <w:textAlignment w:val="baseline"/>
        <w:rPr>
          <w:sz w:val="22"/>
          <w:szCs w:val="22"/>
          <w:lang w:val="hr-HR"/>
        </w:rPr>
      </w:pPr>
    </w:p>
    <w:p w14:paraId="27021BA5" w14:textId="77777777" w:rsidR="00E40785" w:rsidRPr="0013178E" w:rsidRDefault="00E40785" w:rsidP="00E40785">
      <w:pPr>
        <w:overflowPunct w:val="0"/>
        <w:autoSpaceDN w:val="0"/>
        <w:adjustRightInd w:val="0"/>
        <w:textAlignment w:val="baseline"/>
        <w:rPr>
          <w:sz w:val="22"/>
          <w:szCs w:val="22"/>
          <w:lang w:val="hr-HR"/>
        </w:rPr>
      </w:pPr>
      <w:r w:rsidRPr="0013178E">
        <w:rPr>
          <w:sz w:val="22"/>
          <w:szCs w:val="22"/>
          <w:lang w:val="hr-HR"/>
        </w:rPr>
        <w:t>Preporučeni režimi doziranja za edeme povezane sa tumorom mozga:</w:t>
      </w:r>
    </w:p>
    <w:p w14:paraId="16EB5A3E" w14:textId="77777777" w:rsidR="00E40785" w:rsidRPr="0013178E" w:rsidRDefault="00E40785" w:rsidP="00E40785">
      <w:pPr>
        <w:overflowPunct w:val="0"/>
        <w:autoSpaceDN w:val="0"/>
        <w:adjustRightInd w:val="0"/>
        <w:textAlignment w:val="baseline"/>
        <w:rPr>
          <w:color w:val="FF0000"/>
          <w:sz w:val="22"/>
          <w:szCs w:val="22"/>
          <w:lang w:val="hr-HR"/>
        </w:rPr>
      </w:pPr>
    </w:p>
    <w:p w14:paraId="5DF1B312" w14:textId="77777777" w:rsidR="00E40785" w:rsidRPr="0013178E" w:rsidRDefault="00E40785" w:rsidP="00E40785">
      <w:pPr>
        <w:tabs>
          <w:tab w:val="left" w:pos="-1080"/>
          <w:tab w:val="left" w:pos="-360"/>
          <w:tab w:val="left" w:pos="360"/>
          <w:tab w:val="left" w:pos="709"/>
          <w:tab w:val="left" w:pos="3211"/>
          <w:tab w:val="left" w:pos="4901"/>
          <w:tab w:val="left" w:pos="6274"/>
          <w:tab w:val="left" w:pos="8069"/>
          <w:tab w:val="left" w:pos="8640"/>
        </w:tabs>
        <w:overflowPunct w:val="0"/>
        <w:autoSpaceDN w:val="0"/>
        <w:adjustRightInd w:val="0"/>
        <w:ind w:right="-1192"/>
        <w:textAlignment w:val="baseline"/>
        <w:rPr>
          <w:sz w:val="22"/>
          <w:szCs w:val="22"/>
          <w:u w:val="single"/>
          <w:lang w:val="hr-HR"/>
        </w:rPr>
      </w:pPr>
      <w:r w:rsidRPr="0013178E">
        <w:rPr>
          <w:color w:val="FF0000"/>
          <w:sz w:val="22"/>
          <w:szCs w:val="22"/>
          <w:lang w:val="hr-HR"/>
        </w:rPr>
        <w:tab/>
      </w:r>
      <w:r w:rsidRPr="0013178E">
        <w:rPr>
          <w:color w:val="FF0000"/>
          <w:sz w:val="22"/>
          <w:szCs w:val="22"/>
          <w:lang w:val="hr-HR"/>
        </w:rPr>
        <w:tab/>
      </w:r>
      <w:r w:rsidRPr="0013178E">
        <w:rPr>
          <w:sz w:val="22"/>
          <w:szCs w:val="22"/>
          <w:u w:val="single"/>
          <w:lang w:val="hr-HR"/>
        </w:rPr>
        <w:t xml:space="preserve">Režim A           </w:t>
      </w:r>
      <w:r w:rsidRPr="0013178E">
        <w:rPr>
          <w:sz w:val="22"/>
          <w:szCs w:val="22"/>
          <w:lang w:val="hr-HR"/>
        </w:rPr>
        <w:tab/>
      </w:r>
      <w:r w:rsidRPr="0013178E">
        <w:rPr>
          <w:sz w:val="22"/>
          <w:szCs w:val="22"/>
          <w:u w:val="single"/>
          <w:lang w:val="hr-HR"/>
        </w:rPr>
        <w:t>Doza (mg)     Način primjene Interval (sati)</w:t>
      </w:r>
      <w:r w:rsidRPr="0013178E">
        <w:rPr>
          <w:sz w:val="22"/>
          <w:szCs w:val="22"/>
          <w:lang w:val="hr-HR"/>
        </w:rPr>
        <w:tab/>
      </w:r>
      <w:r w:rsidRPr="0013178E">
        <w:rPr>
          <w:sz w:val="22"/>
          <w:szCs w:val="22"/>
          <w:u w:val="single"/>
          <w:lang w:val="hr-HR"/>
        </w:rPr>
        <w:t>Trajanje</w:t>
      </w:r>
    </w:p>
    <w:p w14:paraId="1C6F9C5F" w14:textId="77777777" w:rsidR="00E40785" w:rsidRPr="0013178E" w:rsidRDefault="00E40785" w:rsidP="00E40785">
      <w:pPr>
        <w:tabs>
          <w:tab w:val="left" w:pos="-1080"/>
          <w:tab w:val="left" w:pos="-360"/>
          <w:tab w:val="left" w:pos="360"/>
          <w:tab w:val="left" w:pos="994"/>
          <w:tab w:val="left" w:pos="3211"/>
          <w:tab w:val="left" w:pos="4901"/>
          <w:tab w:val="left" w:pos="6274"/>
          <w:tab w:val="left" w:pos="8069"/>
          <w:tab w:val="left" w:pos="8640"/>
        </w:tabs>
        <w:overflowPunct w:val="0"/>
        <w:autoSpaceDN w:val="0"/>
        <w:adjustRightInd w:val="0"/>
        <w:ind w:right="-1192"/>
        <w:textAlignment w:val="baseline"/>
        <w:rPr>
          <w:sz w:val="22"/>
          <w:szCs w:val="22"/>
          <w:lang w:val="hr-HR"/>
        </w:rPr>
      </w:pPr>
      <w:r w:rsidRPr="0013178E">
        <w:rPr>
          <w:sz w:val="22"/>
          <w:szCs w:val="22"/>
          <w:lang w:val="hr-HR"/>
        </w:rPr>
        <w:tab/>
      </w:r>
      <w:r w:rsidRPr="0013178E">
        <w:rPr>
          <w:sz w:val="22"/>
          <w:szCs w:val="22"/>
          <w:lang w:val="hr-HR"/>
        </w:rPr>
        <w:tab/>
      </w:r>
      <w:r w:rsidRPr="0013178E">
        <w:rPr>
          <w:sz w:val="22"/>
          <w:szCs w:val="22"/>
          <w:lang w:val="hr-HR"/>
        </w:rPr>
        <w:tab/>
      </w:r>
      <w:r w:rsidRPr="0013178E">
        <w:rPr>
          <w:sz w:val="22"/>
          <w:szCs w:val="22"/>
          <w:lang w:val="hr-HR"/>
        </w:rPr>
        <w:tab/>
      </w:r>
      <w:r w:rsidRPr="0013178E">
        <w:rPr>
          <w:sz w:val="22"/>
          <w:szCs w:val="22"/>
          <w:lang w:val="hr-HR"/>
        </w:rPr>
        <w:tab/>
      </w:r>
      <w:r w:rsidRPr="0013178E">
        <w:rPr>
          <w:sz w:val="22"/>
          <w:szCs w:val="22"/>
          <w:lang w:val="hr-HR"/>
        </w:rPr>
        <w:tab/>
      </w:r>
    </w:p>
    <w:p w14:paraId="00CEB265" w14:textId="77777777" w:rsidR="00E40785" w:rsidRPr="0013178E" w:rsidRDefault="00E40785" w:rsidP="00E40785">
      <w:pPr>
        <w:tabs>
          <w:tab w:val="left" w:pos="-1080"/>
          <w:tab w:val="left" w:pos="-360"/>
          <w:tab w:val="left" w:pos="360"/>
          <w:tab w:val="left" w:pos="709"/>
          <w:tab w:val="left" w:pos="3211"/>
          <w:tab w:val="left" w:pos="4901"/>
          <w:tab w:val="left" w:pos="6274"/>
          <w:tab w:val="left" w:pos="6804"/>
          <w:tab w:val="left" w:pos="8640"/>
        </w:tabs>
        <w:overflowPunct w:val="0"/>
        <w:autoSpaceDN w:val="0"/>
        <w:adjustRightInd w:val="0"/>
        <w:ind w:right="-1192"/>
        <w:textAlignment w:val="baseline"/>
        <w:rPr>
          <w:sz w:val="22"/>
          <w:szCs w:val="22"/>
          <w:lang w:val="hr-HR"/>
        </w:rPr>
      </w:pPr>
      <w:r w:rsidRPr="0013178E">
        <w:rPr>
          <w:sz w:val="22"/>
          <w:szCs w:val="22"/>
          <w:lang w:val="hr-HR"/>
        </w:rPr>
        <w:tab/>
      </w:r>
      <w:r w:rsidRPr="0013178E">
        <w:rPr>
          <w:sz w:val="22"/>
          <w:szCs w:val="22"/>
          <w:lang w:val="hr-HR"/>
        </w:rPr>
        <w:tab/>
        <w:t>Prije operacije:</w:t>
      </w:r>
      <w:r w:rsidRPr="0013178E">
        <w:rPr>
          <w:sz w:val="22"/>
          <w:szCs w:val="22"/>
          <w:lang w:val="hr-HR"/>
        </w:rPr>
        <w:tab/>
        <w:t>20</w:t>
      </w:r>
      <w:r w:rsidRPr="0013178E">
        <w:rPr>
          <w:sz w:val="22"/>
          <w:szCs w:val="22"/>
          <w:lang w:val="hr-HR"/>
        </w:rPr>
        <w:tab/>
        <w:t>i.m.</w:t>
      </w:r>
      <w:r w:rsidRPr="0013178E">
        <w:rPr>
          <w:sz w:val="22"/>
          <w:szCs w:val="22"/>
          <w:lang w:val="hr-HR"/>
        </w:rPr>
        <w:tab/>
      </w:r>
      <w:r w:rsidRPr="0013178E">
        <w:rPr>
          <w:sz w:val="22"/>
          <w:szCs w:val="22"/>
          <w:lang w:val="hr-HR"/>
        </w:rPr>
        <w:tab/>
        <w:t>3</w:t>
      </w:r>
      <w:r w:rsidRPr="0013178E">
        <w:rPr>
          <w:sz w:val="22"/>
          <w:szCs w:val="22"/>
          <w:lang w:val="hr-HR"/>
        </w:rPr>
        <w:noBreakHyphen/>
        <w:t>6</w:t>
      </w:r>
    </w:p>
    <w:p w14:paraId="149E83EB" w14:textId="77777777" w:rsidR="00E40785" w:rsidRPr="0013178E" w:rsidRDefault="00E40785" w:rsidP="00E40785">
      <w:pPr>
        <w:tabs>
          <w:tab w:val="left" w:pos="-1080"/>
          <w:tab w:val="left" w:pos="-360"/>
          <w:tab w:val="left" w:pos="360"/>
          <w:tab w:val="left" w:pos="709"/>
          <w:tab w:val="left" w:pos="3211"/>
          <w:tab w:val="left" w:pos="4901"/>
          <w:tab w:val="left" w:pos="6274"/>
          <w:tab w:val="left" w:pos="6804"/>
          <w:tab w:val="left" w:pos="8640"/>
        </w:tabs>
        <w:overflowPunct w:val="0"/>
        <w:autoSpaceDN w:val="0"/>
        <w:adjustRightInd w:val="0"/>
        <w:ind w:right="-1192"/>
        <w:textAlignment w:val="baseline"/>
        <w:rPr>
          <w:sz w:val="22"/>
          <w:szCs w:val="22"/>
          <w:lang w:val="hr-HR"/>
        </w:rPr>
      </w:pPr>
      <w:r w:rsidRPr="0013178E">
        <w:rPr>
          <w:sz w:val="22"/>
          <w:szCs w:val="22"/>
          <w:lang w:val="hr-HR"/>
        </w:rPr>
        <w:tab/>
      </w:r>
      <w:r w:rsidRPr="0013178E">
        <w:rPr>
          <w:sz w:val="22"/>
          <w:szCs w:val="22"/>
          <w:lang w:val="hr-HR"/>
        </w:rPr>
        <w:tab/>
        <w:t>Tokom operacije:</w:t>
      </w:r>
      <w:r w:rsidRPr="0013178E">
        <w:rPr>
          <w:sz w:val="22"/>
          <w:szCs w:val="22"/>
          <w:lang w:val="hr-HR"/>
        </w:rPr>
        <w:tab/>
        <w:t>20 do 40</w:t>
      </w:r>
      <w:r w:rsidRPr="0013178E">
        <w:rPr>
          <w:sz w:val="22"/>
          <w:szCs w:val="22"/>
          <w:lang w:val="hr-HR"/>
        </w:rPr>
        <w:tab/>
        <w:t>i.v.</w:t>
      </w:r>
      <w:r w:rsidRPr="0013178E">
        <w:rPr>
          <w:sz w:val="22"/>
          <w:szCs w:val="22"/>
          <w:lang w:val="hr-HR"/>
        </w:rPr>
        <w:tab/>
      </w:r>
      <w:r w:rsidRPr="0013178E">
        <w:rPr>
          <w:sz w:val="22"/>
          <w:szCs w:val="22"/>
          <w:lang w:val="hr-HR"/>
        </w:rPr>
        <w:tab/>
        <w:t>svaki sat</w:t>
      </w:r>
    </w:p>
    <w:p w14:paraId="20377CD4" w14:textId="77777777" w:rsidR="00E40785" w:rsidRPr="0013178E" w:rsidRDefault="00E40785" w:rsidP="00E40785">
      <w:pPr>
        <w:tabs>
          <w:tab w:val="left" w:pos="-1080"/>
          <w:tab w:val="left" w:pos="-360"/>
          <w:tab w:val="left" w:pos="360"/>
          <w:tab w:val="left" w:pos="709"/>
          <w:tab w:val="left" w:pos="3211"/>
          <w:tab w:val="left" w:pos="4901"/>
          <w:tab w:val="left" w:pos="6274"/>
          <w:tab w:val="left" w:pos="6804"/>
          <w:tab w:val="left" w:pos="8640"/>
        </w:tabs>
        <w:overflowPunct w:val="0"/>
        <w:autoSpaceDN w:val="0"/>
        <w:adjustRightInd w:val="0"/>
        <w:ind w:right="-1192"/>
        <w:textAlignment w:val="baseline"/>
        <w:rPr>
          <w:sz w:val="22"/>
          <w:szCs w:val="22"/>
          <w:lang w:val="hr-HR"/>
        </w:rPr>
      </w:pPr>
      <w:r w:rsidRPr="0013178E">
        <w:rPr>
          <w:sz w:val="22"/>
          <w:szCs w:val="22"/>
          <w:lang w:val="hr-HR"/>
        </w:rPr>
        <w:tab/>
      </w:r>
      <w:r w:rsidRPr="0013178E">
        <w:rPr>
          <w:sz w:val="22"/>
          <w:szCs w:val="22"/>
          <w:lang w:val="hr-HR"/>
        </w:rPr>
        <w:tab/>
        <w:t>Nakon operacije:</w:t>
      </w:r>
      <w:r w:rsidRPr="0013178E">
        <w:rPr>
          <w:sz w:val="22"/>
          <w:szCs w:val="22"/>
          <w:lang w:val="hr-HR"/>
        </w:rPr>
        <w:tab/>
        <w:t>20</w:t>
      </w:r>
      <w:r w:rsidRPr="0013178E">
        <w:rPr>
          <w:sz w:val="22"/>
          <w:szCs w:val="22"/>
          <w:lang w:val="hr-HR"/>
        </w:rPr>
        <w:tab/>
        <w:t>i.m.</w:t>
      </w:r>
      <w:r w:rsidRPr="0013178E">
        <w:rPr>
          <w:sz w:val="22"/>
          <w:szCs w:val="22"/>
          <w:lang w:val="hr-HR"/>
        </w:rPr>
        <w:tab/>
        <w:t xml:space="preserve"> </w:t>
      </w:r>
      <w:r w:rsidRPr="0013178E">
        <w:rPr>
          <w:sz w:val="22"/>
          <w:szCs w:val="22"/>
          <w:lang w:val="hr-HR"/>
        </w:rPr>
        <w:tab/>
        <w:t>3</w:t>
      </w:r>
      <w:r w:rsidRPr="0013178E">
        <w:rPr>
          <w:sz w:val="22"/>
          <w:szCs w:val="22"/>
          <w:lang w:val="hr-HR"/>
        </w:rPr>
        <w:tab/>
        <w:t>24 sata</w:t>
      </w:r>
    </w:p>
    <w:p w14:paraId="0BBCA7AC" w14:textId="77777777" w:rsidR="00E40785" w:rsidRPr="0013178E" w:rsidRDefault="00E40785" w:rsidP="00E40785">
      <w:pPr>
        <w:tabs>
          <w:tab w:val="left" w:pos="-1080"/>
          <w:tab w:val="left" w:pos="-360"/>
          <w:tab w:val="left" w:pos="360"/>
          <w:tab w:val="left" w:pos="709"/>
          <w:tab w:val="left" w:pos="3211"/>
          <w:tab w:val="left" w:pos="4901"/>
          <w:tab w:val="left" w:pos="6274"/>
          <w:tab w:val="left" w:pos="6804"/>
          <w:tab w:val="left" w:pos="8640"/>
        </w:tabs>
        <w:overflowPunct w:val="0"/>
        <w:autoSpaceDN w:val="0"/>
        <w:adjustRightInd w:val="0"/>
        <w:ind w:right="-1192"/>
        <w:textAlignment w:val="baseline"/>
        <w:rPr>
          <w:sz w:val="22"/>
          <w:szCs w:val="22"/>
          <w:lang w:val="hr-HR"/>
        </w:rPr>
      </w:pPr>
      <w:r w:rsidRPr="0013178E">
        <w:rPr>
          <w:sz w:val="22"/>
          <w:szCs w:val="22"/>
          <w:lang w:val="hr-HR"/>
        </w:rPr>
        <w:tab/>
      </w:r>
      <w:r w:rsidRPr="0013178E">
        <w:rPr>
          <w:sz w:val="22"/>
          <w:szCs w:val="22"/>
          <w:lang w:val="hr-HR"/>
        </w:rPr>
        <w:tab/>
      </w:r>
      <w:r w:rsidRPr="0013178E">
        <w:rPr>
          <w:sz w:val="22"/>
          <w:szCs w:val="22"/>
          <w:lang w:val="hr-HR"/>
        </w:rPr>
        <w:tab/>
        <w:t>16</w:t>
      </w:r>
      <w:r w:rsidRPr="0013178E">
        <w:rPr>
          <w:sz w:val="22"/>
          <w:szCs w:val="22"/>
          <w:lang w:val="hr-HR"/>
        </w:rPr>
        <w:tab/>
        <w:t>i.m.</w:t>
      </w:r>
      <w:r w:rsidRPr="0013178E">
        <w:rPr>
          <w:sz w:val="22"/>
          <w:szCs w:val="22"/>
          <w:lang w:val="hr-HR"/>
        </w:rPr>
        <w:tab/>
      </w:r>
      <w:r w:rsidRPr="0013178E">
        <w:rPr>
          <w:sz w:val="22"/>
          <w:szCs w:val="22"/>
          <w:lang w:val="hr-HR"/>
        </w:rPr>
        <w:tab/>
        <w:t>3</w:t>
      </w:r>
      <w:r w:rsidRPr="0013178E">
        <w:rPr>
          <w:sz w:val="22"/>
          <w:szCs w:val="22"/>
          <w:lang w:val="hr-HR"/>
        </w:rPr>
        <w:tab/>
        <w:t>24 sata</w:t>
      </w:r>
    </w:p>
    <w:p w14:paraId="5F793ABA" w14:textId="77777777" w:rsidR="00E40785" w:rsidRPr="0013178E" w:rsidRDefault="00E40785" w:rsidP="00E40785">
      <w:pPr>
        <w:tabs>
          <w:tab w:val="left" w:pos="-1080"/>
          <w:tab w:val="left" w:pos="-360"/>
          <w:tab w:val="left" w:pos="360"/>
          <w:tab w:val="left" w:pos="709"/>
          <w:tab w:val="left" w:pos="3211"/>
          <w:tab w:val="left" w:pos="4901"/>
          <w:tab w:val="left" w:pos="6274"/>
          <w:tab w:val="left" w:pos="6804"/>
          <w:tab w:val="left" w:pos="8640"/>
        </w:tabs>
        <w:overflowPunct w:val="0"/>
        <w:autoSpaceDN w:val="0"/>
        <w:adjustRightInd w:val="0"/>
        <w:ind w:right="-1192"/>
        <w:textAlignment w:val="baseline"/>
        <w:rPr>
          <w:sz w:val="22"/>
          <w:szCs w:val="22"/>
          <w:lang w:val="hr-HR"/>
        </w:rPr>
      </w:pPr>
      <w:r w:rsidRPr="0013178E">
        <w:rPr>
          <w:sz w:val="22"/>
          <w:szCs w:val="22"/>
          <w:lang w:val="hr-HR"/>
        </w:rPr>
        <w:tab/>
      </w:r>
      <w:r w:rsidRPr="0013178E">
        <w:rPr>
          <w:sz w:val="22"/>
          <w:szCs w:val="22"/>
          <w:lang w:val="hr-HR"/>
        </w:rPr>
        <w:tab/>
      </w:r>
      <w:r w:rsidRPr="0013178E">
        <w:rPr>
          <w:sz w:val="22"/>
          <w:szCs w:val="22"/>
          <w:lang w:val="hr-HR"/>
        </w:rPr>
        <w:tab/>
        <w:t>12</w:t>
      </w:r>
      <w:r w:rsidRPr="0013178E">
        <w:rPr>
          <w:sz w:val="22"/>
          <w:szCs w:val="22"/>
          <w:lang w:val="hr-HR"/>
        </w:rPr>
        <w:tab/>
        <w:t>i.m.</w:t>
      </w:r>
      <w:r w:rsidRPr="0013178E">
        <w:rPr>
          <w:sz w:val="22"/>
          <w:szCs w:val="22"/>
          <w:lang w:val="hr-HR"/>
        </w:rPr>
        <w:tab/>
        <w:t xml:space="preserve"> </w:t>
      </w:r>
      <w:r w:rsidRPr="0013178E">
        <w:rPr>
          <w:sz w:val="22"/>
          <w:szCs w:val="22"/>
          <w:lang w:val="hr-HR"/>
        </w:rPr>
        <w:tab/>
        <w:t>3</w:t>
      </w:r>
      <w:r w:rsidRPr="0013178E">
        <w:rPr>
          <w:sz w:val="22"/>
          <w:szCs w:val="22"/>
          <w:lang w:val="hr-HR"/>
        </w:rPr>
        <w:tab/>
        <w:t>24 sata</w:t>
      </w:r>
    </w:p>
    <w:p w14:paraId="48CECD78" w14:textId="77777777" w:rsidR="00E40785" w:rsidRPr="0013178E" w:rsidRDefault="00E40785" w:rsidP="00E40785">
      <w:pPr>
        <w:tabs>
          <w:tab w:val="left" w:pos="-1080"/>
          <w:tab w:val="left" w:pos="-360"/>
          <w:tab w:val="left" w:pos="360"/>
          <w:tab w:val="left" w:pos="709"/>
          <w:tab w:val="left" w:pos="3211"/>
          <w:tab w:val="left" w:pos="4901"/>
          <w:tab w:val="left" w:pos="6274"/>
          <w:tab w:val="left" w:pos="6804"/>
          <w:tab w:val="left" w:pos="8640"/>
        </w:tabs>
        <w:overflowPunct w:val="0"/>
        <w:autoSpaceDN w:val="0"/>
        <w:adjustRightInd w:val="0"/>
        <w:ind w:right="-1192"/>
        <w:textAlignment w:val="baseline"/>
        <w:rPr>
          <w:sz w:val="22"/>
          <w:szCs w:val="22"/>
          <w:lang w:val="hr-HR"/>
        </w:rPr>
      </w:pPr>
      <w:r w:rsidRPr="0013178E">
        <w:rPr>
          <w:sz w:val="22"/>
          <w:szCs w:val="22"/>
          <w:lang w:val="hr-HR"/>
        </w:rPr>
        <w:tab/>
      </w:r>
      <w:r w:rsidRPr="0013178E">
        <w:rPr>
          <w:sz w:val="22"/>
          <w:szCs w:val="22"/>
          <w:lang w:val="hr-HR"/>
        </w:rPr>
        <w:tab/>
      </w:r>
      <w:r w:rsidRPr="0013178E">
        <w:rPr>
          <w:sz w:val="22"/>
          <w:szCs w:val="22"/>
          <w:lang w:val="hr-HR"/>
        </w:rPr>
        <w:tab/>
        <w:t>8</w:t>
      </w:r>
      <w:r w:rsidRPr="0013178E">
        <w:rPr>
          <w:sz w:val="22"/>
          <w:szCs w:val="22"/>
          <w:lang w:val="hr-HR"/>
        </w:rPr>
        <w:tab/>
        <w:t>i.m.</w:t>
      </w:r>
      <w:r w:rsidRPr="0013178E">
        <w:rPr>
          <w:sz w:val="22"/>
          <w:szCs w:val="22"/>
          <w:lang w:val="hr-HR"/>
        </w:rPr>
        <w:tab/>
      </w:r>
      <w:r w:rsidRPr="0013178E">
        <w:rPr>
          <w:sz w:val="22"/>
          <w:szCs w:val="22"/>
          <w:lang w:val="hr-HR"/>
        </w:rPr>
        <w:tab/>
        <w:t>3</w:t>
      </w:r>
      <w:r w:rsidRPr="0013178E">
        <w:rPr>
          <w:sz w:val="22"/>
          <w:szCs w:val="22"/>
          <w:lang w:val="hr-HR"/>
        </w:rPr>
        <w:tab/>
        <w:t>24 sata</w:t>
      </w:r>
    </w:p>
    <w:p w14:paraId="40AD594C" w14:textId="77777777" w:rsidR="00E40785" w:rsidRPr="0013178E" w:rsidRDefault="00E40785" w:rsidP="00E40785">
      <w:pPr>
        <w:tabs>
          <w:tab w:val="left" w:pos="-1080"/>
          <w:tab w:val="left" w:pos="-360"/>
          <w:tab w:val="left" w:pos="360"/>
          <w:tab w:val="left" w:pos="709"/>
          <w:tab w:val="left" w:pos="3211"/>
          <w:tab w:val="left" w:pos="4901"/>
          <w:tab w:val="left" w:pos="6274"/>
          <w:tab w:val="left" w:pos="6804"/>
          <w:tab w:val="left" w:pos="8640"/>
        </w:tabs>
        <w:overflowPunct w:val="0"/>
        <w:autoSpaceDN w:val="0"/>
        <w:adjustRightInd w:val="0"/>
        <w:ind w:right="-1192"/>
        <w:textAlignment w:val="baseline"/>
        <w:rPr>
          <w:sz w:val="22"/>
          <w:szCs w:val="22"/>
          <w:lang w:val="hr-HR"/>
        </w:rPr>
      </w:pPr>
      <w:r w:rsidRPr="0013178E">
        <w:rPr>
          <w:sz w:val="22"/>
          <w:szCs w:val="22"/>
          <w:lang w:val="hr-HR"/>
        </w:rPr>
        <w:tab/>
      </w:r>
      <w:r w:rsidRPr="0013178E">
        <w:rPr>
          <w:sz w:val="22"/>
          <w:szCs w:val="22"/>
          <w:lang w:val="hr-HR"/>
        </w:rPr>
        <w:tab/>
      </w:r>
      <w:r w:rsidRPr="0013178E">
        <w:rPr>
          <w:sz w:val="22"/>
          <w:szCs w:val="22"/>
          <w:lang w:val="hr-HR"/>
        </w:rPr>
        <w:tab/>
        <w:t>4</w:t>
      </w:r>
      <w:r w:rsidRPr="0013178E">
        <w:rPr>
          <w:sz w:val="22"/>
          <w:szCs w:val="22"/>
          <w:lang w:val="hr-HR"/>
        </w:rPr>
        <w:tab/>
        <w:t>i.m.</w:t>
      </w:r>
      <w:r w:rsidRPr="0013178E">
        <w:rPr>
          <w:sz w:val="22"/>
          <w:szCs w:val="22"/>
          <w:lang w:val="hr-HR"/>
        </w:rPr>
        <w:tab/>
      </w:r>
      <w:r w:rsidRPr="0013178E">
        <w:rPr>
          <w:sz w:val="22"/>
          <w:szCs w:val="22"/>
          <w:lang w:val="hr-HR"/>
        </w:rPr>
        <w:tab/>
        <w:t>3</w:t>
      </w:r>
      <w:r w:rsidRPr="0013178E">
        <w:rPr>
          <w:sz w:val="22"/>
          <w:szCs w:val="22"/>
          <w:lang w:val="hr-HR"/>
        </w:rPr>
        <w:tab/>
        <w:t>24 sata</w:t>
      </w:r>
    </w:p>
    <w:p w14:paraId="5547973E" w14:textId="77777777" w:rsidR="00E40785" w:rsidRPr="0013178E" w:rsidRDefault="00E40785" w:rsidP="00E40785">
      <w:pPr>
        <w:tabs>
          <w:tab w:val="left" w:pos="-1080"/>
          <w:tab w:val="left" w:pos="-360"/>
          <w:tab w:val="left" w:pos="360"/>
          <w:tab w:val="left" w:pos="709"/>
          <w:tab w:val="left" w:pos="3211"/>
          <w:tab w:val="left" w:pos="4901"/>
          <w:tab w:val="left" w:pos="6274"/>
          <w:tab w:val="left" w:pos="6804"/>
          <w:tab w:val="left" w:pos="8640"/>
        </w:tabs>
        <w:overflowPunct w:val="0"/>
        <w:autoSpaceDN w:val="0"/>
        <w:adjustRightInd w:val="0"/>
        <w:ind w:right="-1192"/>
        <w:textAlignment w:val="baseline"/>
        <w:rPr>
          <w:sz w:val="22"/>
          <w:szCs w:val="22"/>
          <w:lang w:val="hr-HR"/>
        </w:rPr>
      </w:pPr>
      <w:r w:rsidRPr="0013178E">
        <w:rPr>
          <w:sz w:val="22"/>
          <w:szCs w:val="22"/>
          <w:lang w:val="hr-HR"/>
        </w:rPr>
        <w:tab/>
      </w:r>
      <w:r w:rsidRPr="0013178E">
        <w:rPr>
          <w:sz w:val="22"/>
          <w:szCs w:val="22"/>
          <w:lang w:val="hr-HR"/>
        </w:rPr>
        <w:tab/>
      </w:r>
      <w:r w:rsidRPr="0013178E">
        <w:rPr>
          <w:sz w:val="22"/>
          <w:szCs w:val="22"/>
          <w:lang w:val="hr-HR"/>
        </w:rPr>
        <w:tab/>
        <w:t>4</w:t>
      </w:r>
      <w:r w:rsidRPr="0013178E">
        <w:rPr>
          <w:sz w:val="22"/>
          <w:szCs w:val="22"/>
          <w:lang w:val="hr-HR"/>
        </w:rPr>
        <w:tab/>
        <w:t>i.m.</w:t>
      </w:r>
      <w:r w:rsidRPr="0013178E">
        <w:rPr>
          <w:sz w:val="22"/>
          <w:szCs w:val="22"/>
          <w:lang w:val="hr-HR"/>
        </w:rPr>
        <w:tab/>
      </w:r>
      <w:r w:rsidRPr="0013178E">
        <w:rPr>
          <w:sz w:val="22"/>
          <w:szCs w:val="22"/>
          <w:lang w:val="hr-HR"/>
        </w:rPr>
        <w:tab/>
        <w:t>6</w:t>
      </w:r>
      <w:r w:rsidRPr="0013178E">
        <w:rPr>
          <w:sz w:val="22"/>
          <w:szCs w:val="22"/>
          <w:lang w:val="hr-HR"/>
        </w:rPr>
        <w:tab/>
        <w:t>24 sata</w:t>
      </w:r>
    </w:p>
    <w:p w14:paraId="36820F2C" w14:textId="77777777" w:rsidR="00E40785" w:rsidRPr="0013178E" w:rsidRDefault="00E40785" w:rsidP="00E40785">
      <w:pPr>
        <w:tabs>
          <w:tab w:val="left" w:pos="-1080"/>
          <w:tab w:val="left" w:pos="-360"/>
          <w:tab w:val="left" w:pos="360"/>
          <w:tab w:val="left" w:pos="709"/>
          <w:tab w:val="left" w:pos="3211"/>
          <w:tab w:val="left" w:pos="4901"/>
          <w:tab w:val="left" w:pos="6274"/>
          <w:tab w:val="left" w:pos="6804"/>
          <w:tab w:val="left" w:pos="8640"/>
        </w:tabs>
        <w:overflowPunct w:val="0"/>
        <w:autoSpaceDN w:val="0"/>
        <w:adjustRightInd w:val="0"/>
        <w:ind w:right="-1192"/>
        <w:textAlignment w:val="baseline"/>
        <w:rPr>
          <w:sz w:val="22"/>
          <w:szCs w:val="22"/>
          <w:lang w:val="hr-HR"/>
        </w:rPr>
      </w:pPr>
      <w:r w:rsidRPr="0013178E">
        <w:rPr>
          <w:sz w:val="22"/>
          <w:szCs w:val="22"/>
          <w:lang w:val="hr-HR"/>
        </w:rPr>
        <w:tab/>
      </w:r>
      <w:r w:rsidRPr="0013178E">
        <w:rPr>
          <w:sz w:val="22"/>
          <w:szCs w:val="22"/>
          <w:lang w:val="hr-HR"/>
        </w:rPr>
        <w:tab/>
      </w:r>
      <w:r w:rsidRPr="0013178E">
        <w:rPr>
          <w:sz w:val="22"/>
          <w:szCs w:val="22"/>
          <w:lang w:val="hr-HR"/>
        </w:rPr>
        <w:tab/>
        <w:t>4</w:t>
      </w:r>
      <w:r w:rsidRPr="0013178E">
        <w:rPr>
          <w:sz w:val="22"/>
          <w:szCs w:val="22"/>
          <w:lang w:val="hr-HR"/>
        </w:rPr>
        <w:tab/>
        <w:t>i.m.</w:t>
      </w:r>
      <w:r w:rsidRPr="0013178E">
        <w:rPr>
          <w:sz w:val="22"/>
          <w:szCs w:val="22"/>
          <w:lang w:val="hr-HR"/>
        </w:rPr>
        <w:tab/>
      </w:r>
      <w:r w:rsidRPr="0013178E">
        <w:rPr>
          <w:sz w:val="22"/>
          <w:szCs w:val="22"/>
          <w:lang w:val="hr-HR"/>
        </w:rPr>
        <w:tab/>
        <w:t>12</w:t>
      </w:r>
      <w:r w:rsidRPr="0013178E">
        <w:rPr>
          <w:sz w:val="22"/>
          <w:szCs w:val="22"/>
          <w:lang w:val="hr-HR"/>
        </w:rPr>
        <w:tab/>
        <w:t>24 sata</w:t>
      </w:r>
    </w:p>
    <w:p w14:paraId="368CE92C" w14:textId="77777777" w:rsidR="00E40785" w:rsidRPr="0013178E" w:rsidRDefault="00E40785" w:rsidP="00E40785">
      <w:pPr>
        <w:tabs>
          <w:tab w:val="left" w:pos="-1080"/>
          <w:tab w:val="left" w:pos="-360"/>
          <w:tab w:val="left" w:pos="360"/>
          <w:tab w:val="left" w:pos="709"/>
          <w:tab w:val="left" w:pos="3211"/>
          <w:tab w:val="left" w:pos="4901"/>
          <w:tab w:val="left" w:pos="6274"/>
          <w:tab w:val="left" w:pos="6804"/>
          <w:tab w:val="left" w:pos="8640"/>
        </w:tabs>
        <w:overflowPunct w:val="0"/>
        <w:autoSpaceDN w:val="0"/>
        <w:adjustRightInd w:val="0"/>
        <w:ind w:right="-1192"/>
        <w:textAlignment w:val="baseline"/>
        <w:rPr>
          <w:sz w:val="22"/>
          <w:szCs w:val="22"/>
          <w:lang w:val="hr-HR"/>
        </w:rPr>
      </w:pPr>
    </w:p>
    <w:p w14:paraId="56D9FCD2" w14:textId="77777777" w:rsidR="00E40785" w:rsidRPr="0013178E" w:rsidRDefault="00E40785" w:rsidP="00E40785">
      <w:pPr>
        <w:tabs>
          <w:tab w:val="left" w:pos="-1080"/>
          <w:tab w:val="left" w:pos="-360"/>
          <w:tab w:val="left" w:pos="360"/>
          <w:tab w:val="left" w:pos="709"/>
          <w:tab w:val="left" w:pos="3211"/>
          <w:tab w:val="left" w:pos="4901"/>
          <w:tab w:val="left" w:pos="6274"/>
          <w:tab w:val="left" w:pos="6804"/>
          <w:tab w:val="left" w:pos="8640"/>
        </w:tabs>
        <w:overflowPunct w:val="0"/>
        <w:autoSpaceDN w:val="0"/>
        <w:adjustRightInd w:val="0"/>
        <w:ind w:right="-1192"/>
        <w:textAlignment w:val="baseline"/>
        <w:rPr>
          <w:sz w:val="22"/>
          <w:szCs w:val="22"/>
          <w:lang w:val="hr-HR"/>
        </w:rPr>
      </w:pPr>
      <w:r w:rsidRPr="0013178E">
        <w:rPr>
          <w:sz w:val="22"/>
          <w:szCs w:val="22"/>
          <w:lang w:val="hr-HR"/>
        </w:rPr>
        <w:tab/>
      </w:r>
      <w:r w:rsidRPr="0013178E">
        <w:rPr>
          <w:sz w:val="22"/>
          <w:szCs w:val="22"/>
          <w:lang w:val="hr-HR"/>
        </w:rPr>
        <w:tab/>
      </w:r>
      <w:r w:rsidRPr="0013178E">
        <w:rPr>
          <w:sz w:val="22"/>
          <w:szCs w:val="22"/>
          <w:u w:val="single"/>
          <w:lang w:val="hr-HR"/>
        </w:rPr>
        <w:t xml:space="preserve">Režim B </w:t>
      </w:r>
      <w:r w:rsidRPr="0013178E">
        <w:rPr>
          <w:sz w:val="22"/>
          <w:szCs w:val="22"/>
          <w:lang w:val="hr-HR"/>
        </w:rPr>
        <w:tab/>
      </w:r>
      <w:r w:rsidRPr="0013178E">
        <w:rPr>
          <w:sz w:val="22"/>
          <w:szCs w:val="22"/>
          <w:u w:val="single"/>
          <w:lang w:val="hr-HR"/>
        </w:rPr>
        <w:t>Doza (mg)     Način primjene</w:t>
      </w:r>
      <w:r w:rsidRPr="0013178E">
        <w:rPr>
          <w:sz w:val="22"/>
          <w:szCs w:val="22"/>
          <w:lang w:val="hr-HR"/>
        </w:rPr>
        <w:tab/>
      </w:r>
      <w:r w:rsidRPr="0013178E">
        <w:rPr>
          <w:sz w:val="22"/>
          <w:szCs w:val="22"/>
          <w:u w:val="single"/>
          <w:lang w:val="hr-HR"/>
        </w:rPr>
        <w:t>Interval (sati)</w:t>
      </w:r>
      <w:r w:rsidRPr="0013178E">
        <w:rPr>
          <w:sz w:val="22"/>
          <w:szCs w:val="22"/>
          <w:lang w:val="hr-HR"/>
        </w:rPr>
        <w:tab/>
      </w:r>
      <w:r w:rsidRPr="0013178E">
        <w:rPr>
          <w:sz w:val="22"/>
          <w:szCs w:val="22"/>
          <w:u w:val="single"/>
          <w:lang w:val="hr-HR"/>
        </w:rPr>
        <w:t>Trajanje (dana)</w:t>
      </w:r>
    </w:p>
    <w:p w14:paraId="03C4FB34" w14:textId="77777777" w:rsidR="00E40785" w:rsidRPr="0013178E" w:rsidRDefault="00E40785" w:rsidP="00E40785">
      <w:pPr>
        <w:tabs>
          <w:tab w:val="left" w:pos="-1080"/>
          <w:tab w:val="left" w:pos="-360"/>
          <w:tab w:val="left" w:pos="360"/>
          <w:tab w:val="left" w:pos="709"/>
          <w:tab w:val="left" w:pos="3211"/>
          <w:tab w:val="left" w:pos="4901"/>
          <w:tab w:val="left" w:pos="6274"/>
          <w:tab w:val="left" w:pos="6804"/>
          <w:tab w:val="left" w:pos="8640"/>
        </w:tabs>
        <w:overflowPunct w:val="0"/>
        <w:autoSpaceDN w:val="0"/>
        <w:adjustRightInd w:val="0"/>
        <w:ind w:right="-1192"/>
        <w:textAlignment w:val="baseline"/>
        <w:rPr>
          <w:sz w:val="22"/>
          <w:szCs w:val="22"/>
          <w:lang w:val="hr-HR"/>
        </w:rPr>
      </w:pPr>
      <w:r w:rsidRPr="0013178E">
        <w:rPr>
          <w:sz w:val="22"/>
          <w:szCs w:val="22"/>
          <w:lang w:val="hr-HR"/>
        </w:rPr>
        <w:tab/>
      </w:r>
      <w:r w:rsidRPr="0013178E">
        <w:rPr>
          <w:sz w:val="22"/>
          <w:szCs w:val="22"/>
          <w:lang w:val="hr-HR"/>
        </w:rPr>
        <w:tab/>
      </w:r>
    </w:p>
    <w:p w14:paraId="36E5B77C" w14:textId="77777777" w:rsidR="00E40785" w:rsidRPr="0013178E" w:rsidRDefault="00E40785" w:rsidP="00E40785">
      <w:pPr>
        <w:tabs>
          <w:tab w:val="left" w:pos="-1080"/>
          <w:tab w:val="left" w:pos="-360"/>
          <w:tab w:val="left" w:pos="360"/>
          <w:tab w:val="left" w:pos="709"/>
          <w:tab w:val="left" w:pos="3211"/>
          <w:tab w:val="left" w:pos="4901"/>
          <w:tab w:val="left" w:pos="6274"/>
          <w:tab w:val="left" w:pos="6804"/>
          <w:tab w:val="left" w:pos="8640"/>
        </w:tabs>
        <w:overflowPunct w:val="0"/>
        <w:autoSpaceDN w:val="0"/>
        <w:adjustRightInd w:val="0"/>
        <w:ind w:right="-1192"/>
        <w:textAlignment w:val="baseline"/>
        <w:rPr>
          <w:sz w:val="22"/>
          <w:szCs w:val="22"/>
          <w:lang w:val="hr-HR"/>
        </w:rPr>
      </w:pPr>
      <w:r w:rsidRPr="0013178E">
        <w:rPr>
          <w:sz w:val="22"/>
          <w:szCs w:val="22"/>
          <w:lang w:val="hr-HR"/>
        </w:rPr>
        <w:tab/>
      </w:r>
      <w:r w:rsidRPr="0013178E">
        <w:rPr>
          <w:sz w:val="22"/>
          <w:szCs w:val="22"/>
          <w:lang w:val="hr-HR"/>
        </w:rPr>
        <w:tab/>
        <w:t>Prije operacije:</w:t>
      </w:r>
      <w:r w:rsidRPr="0013178E">
        <w:rPr>
          <w:sz w:val="22"/>
          <w:szCs w:val="22"/>
          <w:lang w:val="hr-HR"/>
        </w:rPr>
        <w:tab/>
        <w:t>40</w:t>
      </w:r>
      <w:r w:rsidRPr="0013178E">
        <w:rPr>
          <w:sz w:val="22"/>
          <w:szCs w:val="22"/>
          <w:lang w:val="hr-HR"/>
        </w:rPr>
        <w:tab/>
        <w:t>i.m.</w:t>
      </w:r>
      <w:r w:rsidRPr="0013178E">
        <w:rPr>
          <w:sz w:val="22"/>
          <w:szCs w:val="22"/>
          <w:lang w:val="hr-HR"/>
        </w:rPr>
        <w:tab/>
        <w:t xml:space="preserve"> </w:t>
      </w:r>
      <w:r w:rsidRPr="0013178E">
        <w:rPr>
          <w:sz w:val="22"/>
          <w:szCs w:val="22"/>
          <w:lang w:val="hr-HR"/>
        </w:rPr>
        <w:tab/>
        <w:t>6</w:t>
      </w:r>
      <w:r w:rsidRPr="0013178E">
        <w:rPr>
          <w:sz w:val="22"/>
          <w:szCs w:val="22"/>
          <w:lang w:val="hr-HR"/>
        </w:rPr>
        <w:tab/>
        <w:t>2</w:t>
      </w:r>
      <w:r w:rsidRPr="0013178E">
        <w:rPr>
          <w:sz w:val="22"/>
          <w:szCs w:val="22"/>
          <w:lang w:val="hr-HR"/>
        </w:rPr>
        <w:noBreakHyphen/>
        <w:t>3</w:t>
      </w:r>
    </w:p>
    <w:p w14:paraId="25BCCF5D" w14:textId="77777777" w:rsidR="00E40785" w:rsidRPr="0013178E" w:rsidRDefault="00E40785" w:rsidP="00E40785">
      <w:pPr>
        <w:tabs>
          <w:tab w:val="left" w:pos="-1080"/>
          <w:tab w:val="left" w:pos="-360"/>
          <w:tab w:val="left" w:pos="360"/>
          <w:tab w:val="left" w:pos="709"/>
          <w:tab w:val="left" w:pos="3211"/>
          <w:tab w:val="left" w:pos="4901"/>
          <w:tab w:val="left" w:pos="6274"/>
          <w:tab w:val="left" w:pos="6804"/>
          <w:tab w:val="left" w:pos="8640"/>
        </w:tabs>
        <w:overflowPunct w:val="0"/>
        <w:autoSpaceDN w:val="0"/>
        <w:adjustRightInd w:val="0"/>
        <w:ind w:right="-1192"/>
        <w:textAlignment w:val="baseline"/>
        <w:rPr>
          <w:sz w:val="22"/>
          <w:szCs w:val="22"/>
          <w:lang w:val="hr-HR"/>
        </w:rPr>
      </w:pPr>
      <w:r w:rsidRPr="0013178E">
        <w:rPr>
          <w:sz w:val="22"/>
          <w:szCs w:val="22"/>
          <w:lang w:val="hr-HR"/>
        </w:rPr>
        <w:tab/>
      </w:r>
      <w:r w:rsidRPr="0013178E">
        <w:rPr>
          <w:sz w:val="22"/>
          <w:szCs w:val="22"/>
          <w:lang w:val="hr-HR"/>
        </w:rPr>
        <w:tab/>
        <w:t>Nakon operacije:</w:t>
      </w:r>
      <w:r w:rsidRPr="0013178E">
        <w:rPr>
          <w:sz w:val="22"/>
          <w:szCs w:val="22"/>
          <w:lang w:val="hr-HR"/>
        </w:rPr>
        <w:tab/>
        <w:t>40</w:t>
      </w:r>
      <w:r w:rsidRPr="0013178E">
        <w:rPr>
          <w:sz w:val="22"/>
          <w:szCs w:val="22"/>
          <w:lang w:val="hr-HR"/>
        </w:rPr>
        <w:tab/>
        <w:t>i.m.</w:t>
      </w:r>
      <w:r w:rsidRPr="0013178E">
        <w:rPr>
          <w:sz w:val="22"/>
          <w:szCs w:val="22"/>
          <w:lang w:val="hr-HR"/>
        </w:rPr>
        <w:tab/>
        <w:t xml:space="preserve"> </w:t>
      </w:r>
      <w:r w:rsidRPr="0013178E">
        <w:rPr>
          <w:sz w:val="22"/>
          <w:szCs w:val="22"/>
          <w:lang w:val="hr-HR"/>
        </w:rPr>
        <w:tab/>
        <w:t>6</w:t>
      </w:r>
      <w:r w:rsidRPr="0013178E">
        <w:rPr>
          <w:sz w:val="22"/>
          <w:szCs w:val="22"/>
          <w:lang w:val="hr-HR"/>
        </w:rPr>
        <w:tab/>
        <w:t>3</w:t>
      </w:r>
      <w:r w:rsidRPr="0013178E">
        <w:rPr>
          <w:sz w:val="22"/>
          <w:szCs w:val="22"/>
          <w:lang w:val="hr-HR"/>
        </w:rPr>
        <w:noBreakHyphen/>
        <w:t>5</w:t>
      </w:r>
    </w:p>
    <w:p w14:paraId="576BE8EB" w14:textId="77777777" w:rsidR="00E40785" w:rsidRPr="0013178E" w:rsidRDefault="00E40785" w:rsidP="00E40785">
      <w:pPr>
        <w:tabs>
          <w:tab w:val="left" w:pos="-1080"/>
          <w:tab w:val="left" w:pos="-360"/>
          <w:tab w:val="left" w:pos="360"/>
          <w:tab w:val="left" w:pos="709"/>
          <w:tab w:val="left" w:pos="3211"/>
          <w:tab w:val="left" w:pos="4901"/>
          <w:tab w:val="left" w:pos="6274"/>
          <w:tab w:val="left" w:pos="6804"/>
          <w:tab w:val="left" w:pos="8640"/>
        </w:tabs>
        <w:overflowPunct w:val="0"/>
        <w:autoSpaceDN w:val="0"/>
        <w:adjustRightInd w:val="0"/>
        <w:ind w:right="-1192"/>
        <w:textAlignment w:val="baseline"/>
        <w:rPr>
          <w:sz w:val="22"/>
          <w:szCs w:val="22"/>
          <w:lang w:val="hr-HR"/>
        </w:rPr>
      </w:pPr>
      <w:r w:rsidRPr="0013178E">
        <w:rPr>
          <w:sz w:val="22"/>
          <w:szCs w:val="22"/>
          <w:lang w:val="hr-HR"/>
        </w:rPr>
        <w:tab/>
      </w:r>
      <w:r w:rsidRPr="0013178E">
        <w:rPr>
          <w:sz w:val="22"/>
          <w:szCs w:val="22"/>
          <w:lang w:val="hr-HR"/>
        </w:rPr>
        <w:tab/>
      </w:r>
      <w:r w:rsidRPr="0013178E">
        <w:rPr>
          <w:sz w:val="22"/>
          <w:szCs w:val="22"/>
          <w:lang w:val="hr-HR"/>
        </w:rPr>
        <w:tab/>
        <w:t>20</w:t>
      </w:r>
      <w:r w:rsidRPr="0013178E">
        <w:rPr>
          <w:sz w:val="22"/>
          <w:szCs w:val="22"/>
          <w:lang w:val="hr-HR"/>
        </w:rPr>
        <w:tab/>
        <w:t xml:space="preserve"> oralno</w:t>
      </w:r>
      <w:r w:rsidRPr="0013178E">
        <w:rPr>
          <w:sz w:val="22"/>
          <w:szCs w:val="22"/>
          <w:lang w:val="hr-HR"/>
        </w:rPr>
        <w:tab/>
        <w:t xml:space="preserve"> </w:t>
      </w:r>
      <w:r w:rsidRPr="0013178E">
        <w:rPr>
          <w:sz w:val="22"/>
          <w:szCs w:val="22"/>
          <w:lang w:val="hr-HR"/>
        </w:rPr>
        <w:tab/>
        <w:t>6</w:t>
      </w:r>
      <w:r w:rsidRPr="0013178E">
        <w:rPr>
          <w:sz w:val="22"/>
          <w:szCs w:val="22"/>
          <w:lang w:val="hr-HR"/>
        </w:rPr>
        <w:tab/>
        <w:t xml:space="preserve">  1</w:t>
      </w:r>
    </w:p>
    <w:p w14:paraId="61D359CF" w14:textId="77777777" w:rsidR="00E40785" w:rsidRPr="0013178E" w:rsidRDefault="00E40785" w:rsidP="00E40785">
      <w:pPr>
        <w:tabs>
          <w:tab w:val="left" w:pos="-1080"/>
          <w:tab w:val="left" w:pos="-360"/>
          <w:tab w:val="left" w:pos="360"/>
          <w:tab w:val="left" w:pos="709"/>
          <w:tab w:val="left" w:pos="3211"/>
          <w:tab w:val="left" w:pos="4901"/>
          <w:tab w:val="left" w:pos="6274"/>
          <w:tab w:val="left" w:pos="6804"/>
          <w:tab w:val="left" w:pos="8640"/>
        </w:tabs>
        <w:overflowPunct w:val="0"/>
        <w:autoSpaceDN w:val="0"/>
        <w:adjustRightInd w:val="0"/>
        <w:ind w:right="-1192"/>
        <w:textAlignment w:val="baseline"/>
        <w:rPr>
          <w:sz w:val="22"/>
          <w:szCs w:val="22"/>
          <w:lang w:val="hr-HR"/>
        </w:rPr>
      </w:pPr>
      <w:r w:rsidRPr="0013178E">
        <w:rPr>
          <w:sz w:val="22"/>
          <w:szCs w:val="22"/>
          <w:lang w:val="hr-HR"/>
        </w:rPr>
        <w:tab/>
      </w:r>
      <w:r w:rsidRPr="0013178E">
        <w:rPr>
          <w:sz w:val="22"/>
          <w:szCs w:val="22"/>
          <w:lang w:val="hr-HR"/>
        </w:rPr>
        <w:tab/>
      </w:r>
      <w:r w:rsidRPr="0013178E">
        <w:rPr>
          <w:sz w:val="22"/>
          <w:szCs w:val="22"/>
          <w:lang w:val="hr-HR"/>
        </w:rPr>
        <w:tab/>
        <w:t>12</w:t>
      </w:r>
      <w:r w:rsidRPr="0013178E">
        <w:rPr>
          <w:sz w:val="22"/>
          <w:szCs w:val="22"/>
          <w:lang w:val="hr-HR"/>
        </w:rPr>
        <w:tab/>
        <w:t xml:space="preserve"> oralno</w:t>
      </w:r>
      <w:r w:rsidRPr="0013178E">
        <w:rPr>
          <w:sz w:val="22"/>
          <w:szCs w:val="22"/>
          <w:lang w:val="hr-HR"/>
        </w:rPr>
        <w:tab/>
        <w:t xml:space="preserve"> </w:t>
      </w:r>
      <w:r w:rsidRPr="0013178E">
        <w:rPr>
          <w:sz w:val="22"/>
          <w:szCs w:val="22"/>
          <w:lang w:val="hr-HR"/>
        </w:rPr>
        <w:tab/>
        <w:t>6</w:t>
      </w:r>
      <w:r w:rsidRPr="0013178E">
        <w:rPr>
          <w:sz w:val="22"/>
          <w:szCs w:val="22"/>
          <w:lang w:val="hr-HR"/>
        </w:rPr>
        <w:tab/>
        <w:t xml:space="preserve">  1</w:t>
      </w:r>
    </w:p>
    <w:p w14:paraId="04293D42" w14:textId="77777777" w:rsidR="00E40785" w:rsidRPr="0013178E" w:rsidRDefault="00E40785" w:rsidP="00E40785">
      <w:pPr>
        <w:tabs>
          <w:tab w:val="left" w:pos="-1080"/>
          <w:tab w:val="left" w:pos="-360"/>
          <w:tab w:val="left" w:pos="360"/>
          <w:tab w:val="left" w:pos="709"/>
          <w:tab w:val="left" w:pos="3211"/>
          <w:tab w:val="left" w:pos="4901"/>
          <w:tab w:val="left" w:pos="6274"/>
          <w:tab w:val="left" w:pos="6804"/>
          <w:tab w:val="left" w:pos="8640"/>
        </w:tabs>
        <w:overflowPunct w:val="0"/>
        <w:autoSpaceDN w:val="0"/>
        <w:adjustRightInd w:val="0"/>
        <w:ind w:right="-1192"/>
        <w:textAlignment w:val="baseline"/>
        <w:rPr>
          <w:sz w:val="22"/>
          <w:szCs w:val="22"/>
          <w:lang w:val="hr-HR"/>
        </w:rPr>
      </w:pPr>
      <w:r w:rsidRPr="0013178E">
        <w:rPr>
          <w:sz w:val="22"/>
          <w:szCs w:val="22"/>
          <w:lang w:val="hr-HR"/>
        </w:rPr>
        <w:tab/>
      </w:r>
      <w:r w:rsidRPr="0013178E">
        <w:rPr>
          <w:sz w:val="22"/>
          <w:szCs w:val="22"/>
          <w:lang w:val="hr-HR"/>
        </w:rPr>
        <w:tab/>
      </w:r>
      <w:r w:rsidRPr="0013178E">
        <w:rPr>
          <w:sz w:val="22"/>
          <w:szCs w:val="22"/>
          <w:lang w:val="hr-HR"/>
        </w:rPr>
        <w:tab/>
        <w:t>8</w:t>
      </w:r>
      <w:r w:rsidRPr="0013178E">
        <w:rPr>
          <w:sz w:val="22"/>
          <w:szCs w:val="22"/>
          <w:lang w:val="hr-HR"/>
        </w:rPr>
        <w:tab/>
        <w:t xml:space="preserve"> oralno</w:t>
      </w:r>
      <w:r w:rsidRPr="0013178E">
        <w:rPr>
          <w:sz w:val="22"/>
          <w:szCs w:val="22"/>
          <w:lang w:val="hr-HR"/>
        </w:rPr>
        <w:tab/>
      </w:r>
      <w:r w:rsidRPr="0013178E">
        <w:rPr>
          <w:sz w:val="22"/>
          <w:szCs w:val="22"/>
          <w:lang w:val="hr-HR"/>
        </w:rPr>
        <w:tab/>
        <w:t>8</w:t>
      </w:r>
      <w:r w:rsidRPr="0013178E">
        <w:rPr>
          <w:sz w:val="22"/>
          <w:szCs w:val="22"/>
          <w:lang w:val="hr-HR"/>
        </w:rPr>
        <w:tab/>
        <w:t xml:space="preserve">  1</w:t>
      </w:r>
    </w:p>
    <w:p w14:paraId="3D1FC566" w14:textId="77777777" w:rsidR="00E40785" w:rsidRPr="0013178E" w:rsidRDefault="00E40785" w:rsidP="00E40785">
      <w:pPr>
        <w:tabs>
          <w:tab w:val="left" w:pos="-1080"/>
          <w:tab w:val="left" w:pos="-360"/>
          <w:tab w:val="left" w:pos="360"/>
          <w:tab w:val="left" w:pos="709"/>
          <w:tab w:val="left" w:pos="3211"/>
          <w:tab w:val="left" w:pos="4901"/>
          <w:tab w:val="left" w:pos="6274"/>
          <w:tab w:val="left" w:pos="6804"/>
          <w:tab w:val="left" w:pos="8640"/>
        </w:tabs>
        <w:overflowPunct w:val="0"/>
        <w:autoSpaceDN w:val="0"/>
        <w:adjustRightInd w:val="0"/>
        <w:ind w:right="-1192"/>
        <w:textAlignment w:val="baseline"/>
        <w:rPr>
          <w:sz w:val="22"/>
          <w:szCs w:val="22"/>
          <w:lang w:val="hr-HR"/>
        </w:rPr>
      </w:pPr>
      <w:r w:rsidRPr="0013178E">
        <w:rPr>
          <w:sz w:val="22"/>
          <w:szCs w:val="22"/>
          <w:lang w:val="hr-HR"/>
        </w:rPr>
        <w:tab/>
      </w:r>
      <w:r w:rsidRPr="0013178E">
        <w:rPr>
          <w:sz w:val="22"/>
          <w:szCs w:val="22"/>
          <w:lang w:val="hr-HR"/>
        </w:rPr>
        <w:tab/>
      </w:r>
      <w:r w:rsidRPr="0013178E">
        <w:rPr>
          <w:sz w:val="22"/>
          <w:szCs w:val="22"/>
          <w:lang w:val="hr-HR"/>
        </w:rPr>
        <w:tab/>
        <w:t>4</w:t>
      </w:r>
      <w:r w:rsidRPr="0013178E">
        <w:rPr>
          <w:sz w:val="22"/>
          <w:szCs w:val="22"/>
          <w:lang w:val="hr-HR"/>
        </w:rPr>
        <w:tab/>
        <w:t xml:space="preserve"> oralno</w:t>
      </w:r>
      <w:r w:rsidRPr="0013178E">
        <w:rPr>
          <w:sz w:val="22"/>
          <w:szCs w:val="22"/>
          <w:lang w:val="hr-HR"/>
        </w:rPr>
        <w:tab/>
      </w:r>
      <w:r w:rsidRPr="0013178E">
        <w:rPr>
          <w:sz w:val="22"/>
          <w:szCs w:val="22"/>
          <w:lang w:val="hr-HR"/>
        </w:rPr>
        <w:tab/>
        <w:t>12</w:t>
      </w:r>
      <w:r w:rsidRPr="0013178E">
        <w:rPr>
          <w:sz w:val="22"/>
          <w:szCs w:val="22"/>
          <w:lang w:val="hr-HR"/>
        </w:rPr>
        <w:tab/>
        <w:t xml:space="preserve">  1</w:t>
      </w:r>
    </w:p>
    <w:p w14:paraId="06E4AB48" w14:textId="77777777" w:rsidR="00E40785" w:rsidRPr="0013178E" w:rsidRDefault="00E40785" w:rsidP="00E40785">
      <w:pPr>
        <w:tabs>
          <w:tab w:val="left" w:pos="-1080"/>
          <w:tab w:val="left" w:pos="-360"/>
          <w:tab w:val="left" w:pos="360"/>
          <w:tab w:val="left" w:pos="709"/>
          <w:tab w:val="left" w:pos="3211"/>
          <w:tab w:val="left" w:pos="4901"/>
          <w:tab w:val="left" w:pos="6274"/>
          <w:tab w:val="left" w:pos="6804"/>
          <w:tab w:val="left" w:pos="8640"/>
        </w:tabs>
        <w:overflowPunct w:val="0"/>
        <w:autoSpaceDN w:val="0"/>
        <w:adjustRightInd w:val="0"/>
        <w:ind w:right="-1192"/>
        <w:textAlignment w:val="baseline"/>
        <w:rPr>
          <w:sz w:val="22"/>
          <w:szCs w:val="22"/>
          <w:lang w:val="hr-HR"/>
        </w:rPr>
      </w:pPr>
      <w:r w:rsidRPr="0013178E">
        <w:rPr>
          <w:sz w:val="22"/>
          <w:szCs w:val="22"/>
          <w:lang w:val="hr-HR"/>
        </w:rPr>
        <w:tab/>
      </w:r>
      <w:r w:rsidRPr="0013178E">
        <w:rPr>
          <w:sz w:val="22"/>
          <w:szCs w:val="22"/>
          <w:lang w:val="hr-HR"/>
        </w:rPr>
        <w:tab/>
      </w:r>
      <w:r w:rsidRPr="0013178E">
        <w:rPr>
          <w:sz w:val="22"/>
          <w:szCs w:val="22"/>
          <w:lang w:val="hr-HR"/>
        </w:rPr>
        <w:tab/>
        <w:t>4</w:t>
      </w:r>
      <w:r w:rsidRPr="0013178E">
        <w:rPr>
          <w:sz w:val="22"/>
          <w:szCs w:val="22"/>
          <w:lang w:val="hr-HR"/>
        </w:rPr>
        <w:tab/>
        <w:t xml:space="preserve"> oralno</w:t>
      </w:r>
      <w:r w:rsidRPr="0013178E">
        <w:rPr>
          <w:sz w:val="22"/>
          <w:szCs w:val="22"/>
          <w:lang w:val="hr-HR"/>
        </w:rPr>
        <w:tab/>
      </w:r>
      <w:r w:rsidRPr="0013178E">
        <w:rPr>
          <w:sz w:val="22"/>
          <w:szCs w:val="22"/>
          <w:lang w:val="hr-HR"/>
        </w:rPr>
        <w:tab/>
        <w:t xml:space="preserve">  </w:t>
      </w:r>
      <w:r w:rsidRPr="0013178E">
        <w:rPr>
          <w:sz w:val="22"/>
          <w:szCs w:val="22"/>
          <w:lang w:val="hr-HR"/>
        </w:rPr>
        <w:tab/>
        <w:t xml:space="preserve">  1</w:t>
      </w:r>
    </w:p>
    <w:p w14:paraId="0D8B98BD" w14:textId="77777777" w:rsidR="00E40785" w:rsidRPr="0013178E" w:rsidRDefault="00E40785" w:rsidP="00E40785">
      <w:pPr>
        <w:tabs>
          <w:tab w:val="left" w:pos="-1440"/>
          <w:tab w:val="left" w:pos="-720"/>
        </w:tabs>
        <w:overflowPunct w:val="0"/>
        <w:autoSpaceDN w:val="0"/>
        <w:adjustRightInd w:val="0"/>
        <w:ind w:right="-1192"/>
        <w:textAlignment w:val="baseline"/>
        <w:rPr>
          <w:sz w:val="22"/>
          <w:szCs w:val="22"/>
          <w:lang w:val="hr-HR"/>
        </w:rPr>
      </w:pPr>
    </w:p>
    <w:p w14:paraId="3F6F4B40" w14:textId="77777777" w:rsidR="00E40785" w:rsidRPr="0013178E" w:rsidRDefault="00E40785" w:rsidP="00E40785">
      <w:pPr>
        <w:tabs>
          <w:tab w:val="left" w:pos="-1440"/>
          <w:tab w:val="left" w:pos="-720"/>
        </w:tabs>
        <w:overflowPunct w:val="0"/>
        <w:autoSpaceDN w:val="0"/>
        <w:adjustRightInd w:val="0"/>
        <w:ind w:right="-1192"/>
        <w:textAlignment w:val="baseline"/>
        <w:rPr>
          <w:sz w:val="22"/>
          <w:szCs w:val="22"/>
          <w:lang w:val="hr-HR"/>
        </w:rPr>
      </w:pPr>
      <w:r w:rsidRPr="0013178E">
        <w:rPr>
          <w:sz w:val="22"/>
          <w:szCs w:val="22"/>
          <w:lang w:val="hr-HR"/>
        </w:rPr>
        <w:t>Cilj je prekinuti terapiju nakon ukupno 10 dana.</w:t>
      </w:r>
    </w:p>
    <w:p w14:paraId="2BA69FC2" w14:textId="77777777" w:rsidR="00E40785" w:rsidRPr="0013178E" w:rsidRDefault="00E40785" w:rsidP="00E40785">
      <w:pPr>
        <w:overflowPunct w:val="0"/>
        <w:autoSpaceDN w:val="0"/>
        <w:adjustRightInd w:val="0"/>
        <w:ind w:right="-1192"/>
        <w:textAlignment w:val="baseline"/>
        <w:rPr>
          <w:color w:val="FF0000"/>
          <w:sz w:val="22"/>
          <w:szCs w:val="22"/>
          <w:lang w:val="hr-HR"/>
        </w:rPr>
      </w:pPr>
    </w:p>
    <w:p w14:paraId="324B9039" w14:textId="11BA8484" w:rsidR="00E40785" w:rsidRPr="0013178E" w:rsidRDefault="00E40785" w:rsidP="00430A60">
      <w:pPr>
        <w:overflowPunct w:val="0"/>
        <w:autoSpaceDN w:val="0"/>
        <w:adjustRightInd w:val="0"/>
        <w:jc w:val="both"/>
        <w:textAlignment w:val="baseline"/>
        <w:rPr>
          <w:sz w:val="22"/>
          <w:szCs w:val="22"/>
          <w:lang w:val="hr-HR"/>
        </w:rPr>
      </w:pPr>
      <w:r w:rsidRPr="0013178E">
        <w:rPr>
          <w:sz w:val="22"/>
          <w:szCs w:val="22"/>
          <w:lang w:val="hr-HR"/>
        </w:rPr>
        <w:t xml:space="preserve">U liječenju </w:t>
      </w:r>
      <w:r w:rsidRPr="0013178E">
        <w:rPr>
          <w:b/>
          <w:sz w:val="22"/>
          <w:szCs w:val="22"/>
          <w:lang w:val="hr-HR"/>
        </w:rPr>
        <w:t>akutnih egzacerbacija multiple skleroze</w:t>
      </w:r>
      <w:r w:rsidRPr="0013178E">
        <w:rPr>
          <w:sz w:val="22"/>
          <w:szCs w:val="22"/>
          <w:lang w:val="hr-HR"/>
        </w:rPr>
        <w:t xml:space="preserve"> kod odraslih, preporučena doza je </w:t>
      </w:r>
      <w:r w:rsidR="0064057D" w:rsidRPr="0013178E">
        <w:rPr>
          <w:sz w:val="22"/>
          <w:szCs w:val="22"/>
          <w:lang w:val="hr-HR"/>
        </w:rPr>
        <w:t xml:space="preserve">500 mg dnevno ili </w:t>
      </w:r>
      <w:r w:rsidRPr="0013178E">
        <w:rPr>
          <w:sz w:val="22"/>
          <w:szCs w:val="22"/>
          <w:lang w:val="hr-HR"/>
        </w:rPr>
        <w:t xml:space="preserve">1 g dnevno tokom 3 </w:t>
      </w:r>
      <w:r w:rsidR="006D5EC9">
        <w:rPr>
          <w:sz w:val="22"/>
          <w:szCs w:val="22"/>
          <w:lang w:val="hr-HR"/>
        </w:rPr>
        <w:t xml:space="preserve">ili 5 </w:t>
      </w:r>
      <w:r w:rsidRPr="0013178E">
        <w:rPr>
          <w:sz w:val="22"/>
          <w:szCs w:val="22"/>
          <w:lang w:val="hr-HR"/>
        </w:rPr>
        <w:t xml:space="preserve">dana. </w:t>
      </w:r>
      <w:r w:rsidR="008B1670" w:rsidRPr="0013178E">
        <w:rPr>
          <w:sz w:val="22"/>
          <w:szCs w:val="22"/>
          <w:lang w:val="hr-HR"/>
        </w:rPr>
        <w:t xml:space="preserve">Lijek </w:t>
      </w:r>
      <w:r w:rsidRPr="0013178E">
        <w:rPr>
          <w:sz w:val="22"/>
          <w:szCs w:val="22"/>
          <w:lang w:val="hr-HR"/>
        </w:rPr>
        <w:t>Solu-Medrol treba dati u obliku intravenske infuzije najmanje 30 minuta.</w:t>
      </w:r>
    </w:p>
    <w:p w14:paraId="17E89DC5" w14:textId="77777777" w:rsidR="00E40785" w:rsidRPr="0013178E" w:rsidRDefault="00E40785" w:rsidP="00430A60">
      <w:pPr>
        <w:overflowPunct w:val="0"/>
        <w:autoSpaceDN w:val="0"/>
        <w:adjustRightInd w:val="0"/>
        <w:ind w:left="709"/>
        <w:jc w:val="both"/>
        <w:textAlignment w:val="baseline"/>
        <w:rPr>
          <w:sz w:val="22"/>
          <w:szCs w:val="22"/>
          <w:lang w:val="hr-HR"/>
        </w:rPr>
      </w:pPr>
    </w:p>
    <w:p w14:paraId="51F957D8" w14:textId="77777777" w:rsidR="00E40785" w:rsidRPr="0013178E" w:rsidRDefault="00E40785" w:rsidP="00430A60">
      <w:pPr>
        <w:overflowPunct w:val="0"/>
        <w:autoSpaceDN w:val="0"/>
        <w:adjustRightInd w:val="0"/>
        <w:jc w:val="both"/>
        <w:textAlignment w:val="baseline"/>
        <w:rPr>
          <w:sz w:val="22"/>
          <w:szCs w:val="22"/>
          <w:lang w:val="hr-HR"/>
        </w:rPr>
      </w:pPr>
      <w:r w:rsidRPr="0013178E">
        <w:rPr>
          <w:b/>
          <w:sz w:val="22"/>
          <w:szCs w:val="22"/>
          <w:lang w:val="hr-HR"/>
        </w:rPr>
        <w:t>Kod drugih indikacija</w:t>
      </w:r>
      <w:r w:rsidRPr="0013178E">
        <w:rPr>
          <w:sz w:val="22"/>
          <w:szCs w:val="22"/>
          <w:lang w:val="hr-HR"/>
        </w:rPr>
        <w:t xml:space="preserve">, početna doza varira od 10 do 500 mg, u zavisnosti od kliničkog stanja koje se liječi. Mogu biti potrebne veće doze za kratkoročno liječenje teških akutnih stanja. Početnu dozu do 250 mg treba dati intravenski u periodu od najmanje 5 minuta, dok doze veće od 250 mg treba dati intravenski u periodu od najmanje 30 minuta. Sljedeće doze se </w:t>
      </w:r>
      <w:r w:rsidR="00B678FE" w:rsidRPr="0013178E">
        <w:rPr>
          <w:sz w:val="22"/>
          <w:szCs w:val="22"/>
          <w:lang w:val="hr-HR"/>
        </w:rPr>
        <w:t xml:space="preserve">trebaju </w:t>
      </w:r>
      <w:r w:rsidRPr="0013178E">
        <w:rPr>
          <w:sz w:val="22"/>
          <w:szCs w:val="22"/>
          <w:lang w:val="hr-HR"/>
        </w:rPr>
        <w:t xml:space="preserve">primjenjivati intravenski ili intramuskularno u intervalima koji </w:t>
      </w:r>
      <w:r w:rsidRPr="0013178E">
        <w:rPr>
          <w:sz w:val="22"/>
          <w:szCs w:val="22"/>
          <w:lang w:val="hr-HR"/>
        </w:rPr>
        <w:lastRenderedPageBreak/>
        <w:t>zavise od terapijskog odgovora pacijenta i kliničkog stanja. Terapija kortikosteroidima je dodatak, a ne zamjena za konvencionalnu terapiju.</w:t>
      </w:r>
    </w:p>
    <w:p w14:paraId="65ABEC08" w14:textId="77777777" w:rsidR="00E40785" w:rsidRPr="0013178E" w:rsidRDefault="00E40785" w:rsidP="00E40785">
      <w:pPr>
        <w:overflowPunct w:val="0"/>
        <w:autoSpaceDN w:val="0"/>
        <w:adjustRightInd w:val="0"/>
        <w:textAlignment w:val="baseline"/>
        <w:rPr>
          <w:i/>
          <w:color w:val="FF0000"/>
          <w:sz w:val="22"/>
          <w:szCs w:val="22"/>
          <w:u w:val="single"/>
          <w:lang w:val="hr-HR"/>
        </w:rPr>
      </w:pPr>
    </w:p>
    <w:p w14:paraId="0F8AE4B2" w14:textId="77777777" w:rsidR="00E40785" w:rsidRPr="0013178E" w:rsidRDefault="00E40785" w:rsidP="00430A60">
      <w:pPr>
        <w:overflowPunct w:val="0"/>
        <w:autoSpaceDN w:val="0"/>
        <w:adjustRightInd w:val="0"/>
        <w:jc w:val="both"/>
        <w:textAlignment w:val="baseline"/>
        <w:rPr>
          <w:sz w:val="22"/>
          <w:szCs w:val="22"/>
          <w:lang w:val="hr-HR"/>
        </w:rPr>
      </w:pPr>
      <w:r w:rsidRPr="0013178E">
        <w:rPr>
          <w:i/>
          <w:sz w:val="22"/>
          <w:szCs w:val="22"/>
          <w:lang w:val="hr-HR"/>
        </w:rPr>
        <w:t>Pedijatrijska populacija:</w:t>
      </w:r>
      <w:r w:rsidRPr="0013178E">
        <w:rPr>
          <w:sz w:val="22"/>
          <w:szCs w:val="22"/>
          <w:lang w:val="hr-HR"/>
        </w:rPr>
        <w:t xml:space="preserve"> </w:t>
      </w:r>
    </w:p>
    <w:p w14:paraId="5E7448D2" w14:textId="77777777" w:rsidR="00E40785" w:rsidRPr="0013178E" w:rsidRDefault="00E40785" w:rsidP="00430A60">
      <w:pPr>
        <w:overflowPunct w:val="0"/>
        <w:autoSpaceDN w:val="0"/>
        <w:adjustRightInd w:val="0"/>
        <w:jc w:val="both"/>
        <w:textAlignment w:val="baseline"/>
        <w:rPr>
          <w:sz w:val="22"/>
          <w:szCs w:val="22"/>
          <w:lang w:val="hr-HR"/>
        </w:rPr>
      </w:pPr>
      <w:r w:rsidRPr="0013178E">
        <w:rPr>
          <w:sz w:val="22"/>
          <w:szCs w:val="22"/>
          <w:lang w:val="hr-HR"/>
        </w:rPr>
        <w:t>U terapiji stanja koja zahtijevaju visoke doze kortikosteroida, kao što su hematološke, reumatološke, renalne ili dermatološke bolesti, preporučene doze iznose 30 mg/kg dnevno do maksimalno 1</w:t>
      </w:r>
      <w:r w:rsidR="00B70EC5" w:rsidRPr="0013178E">
        <w:rPr>
          <w:sz w:val="22"/>
          <w:szCs w:val="22"/>
          <w:lang w:val="hr-HR"/>
        </w:rPr>
        <w:t xml:space="preserve"> </w:t>
      </w:r>
      <w:r w:rsidRPr="0013178E">
        <w:rPr>
          <w:sz w:val="22"/>
          <w:szCs w:val="22"/>
          <w:lang w:val="hr-HR"/>
        </w:rPr>
        <w:t xml:space="preserve">g dnevno. Ovo doziranje se, kao pulsna terapija svaki ili svaki drugi dan, može ponoviti do tri puta. U liječenju reakcija odbacivanja transplantata nakon transplantacije, preporučuje se doziranje 10–20 mg/kg dnevno tokom 3 dana, do maksimalno 1 gram dnevno. U liječenju </w:t>
      </w:r>
      <w:r w:rsidR="000F6D60" w:rsidRPr="0013178E">
        <w:rPr>
          <w:sz w:val="22"/>
          <w:szCs w:val="22"/>
          <w:lang w:val="hr-HR"/>
        </w:rPr>
        <w:t>astmatičn</w:t>
      </w:r>
      <w:r w:rsidR="00741CA3" w:rsidRPr="0013178E">
        <w:rPr>
          <w:sz w:val="22"/>
          <w:szCs w:val="22"/>
          <w:lang w:val="hr-HR"/>
        </w:rPr>
        <w:t>og</w:t>
      </w:r>
      <w:r w:rsidR="000F6D60" w:rsidRPr="0013178E">
        <w:rPr>
          <w:sz w:val="22"/>
          <w:szCs w:val="22"/>
          <w:lang w:val="hr-HR"/>
        </w:rPr>
        <w:t xml:space="preserve"> stanja</w:t>
      </w:r>
      <w:r w:rsidRPr="0013178E">
        <w:rPr>
          <w:sz w:val="22"/>
          <w:szCs w:val="22"/>
          <w:lang w:val="hr-HR"/>
        </w:rPr>
        <w:t>, preporučuje se doziranje od 1 do 4 mg/kg dnevno tokom 1–3 dana.</w:t>
      </w:r>
    </w:p>
    <w:p w14:paraId="2E1A770F" w14:textId="77777777" w:rsidR="00E40785" w:rsidRPr="0013178E" w:rsidRDefault="00E40785" w:rsidP="00430A60">
      <w:pPr>
        <w:overflowPunct w:val="0"/>
        <w:autoSpaceDN w:val="0"/>
        <w:adjustRightInd w:val="0"/>
        <w:jc w:val="both"/>
        <w:textAlignment w:val="baseline"/>
        <w:rPr>
          <w:color w:val="FF0000"/>
          <w:sz w:val="22"/>
          <w:szCs w:val="22"/>
          <w:lang w:val="hr-HR"/>
        </w:rPr>
      </w:pPr>
    </w:p>
    <w:p w14:paraId="48563AF6" w14:textId="77777777" w:rsidR="00E40785" w:rsidRPr="0013178E" w:rsidRDefault="00E40785" w:rsidP="00430A60">
      <w:pPr>
        <w:overflowPunct w:val="0"/>
        <w:autoSpaceDN w:val="0"/>
        <w:adjustRightInd w:val="0"/>
        <w:jc w:val="both"/>
        <w:textAlignment w:val="baseline"/>
        <w:rPr>
          <w:sz w:val="22"/>
          <w:szCs w:val="22"/>
          <w:u w:val="single"/>
          <w:lang w:val="hr-HR"/>
        </w:rPr>
      </w:pPr>
      <w:r w:rsidRPr="0013178E">
        <w:rPr>
          <w:sz w:val="22"/>
          <w:szCs w:val="22"/>
          <w:u w:val="single"/>
          <w:lang w:val="hr-HR"/>
        </w:rPr>
        <w:t>Način primjene</w:t>
      </w:r>
    </w:p>
    <w:p w14:paraId="2F20D845" w14:textId="77777777" w:rsidR="00E40785" w:rsidRPr="0013178E" w:rsidRDefault="00E40785" w:rsidP="00430A60">
      <w:pPr>
        <w:overflowPunct w:val="0"/>
        <w:autoSpaceDN w:val="0"/>
        <w:adjustRightInd w:val="0"/>
        <w:jc w:val="both"/>
        <w:textAlignment w:val="baseline"/>
        <w:rPr>
          <w:color w:val="FF0000"/>
          <w:sz w:val="22"/>
          <w:szCs w:val="22"/>
          <w:lang w:val="hr-HR"/>
        </w:rPr>
      </w:pPr>
    </w:p>
    <w:p w14:paraId="1A158DEF" w14:textId="61D50CF7" w:rsidR="00E40785" w:rsidRPr="0013178E" w:rsidRDefault="008B1670" w:rsidP="00430A60">
      <w:pPr>
        <w:overflowPunct w:val="0"/>
        <w:autoSpaceDN w:val="0"/>
        <w:adjustRightInd w:val="0"/>
        <w:jc w:val="both"/>
        <w:textAlignment w:val="baseline"/>
        <w:rPr>
          <w:sz w:val="22"/>
          <w:szCs w:val="22"/>
          <w:lang w:val="hr-HR"/>
        </w:rPr>
      </w:pPr>
      <w:r w:rsidRPr="0013178E">
        <w:rPr>
          <w:sz w:val="22"/>
          <w:szCs w:val="22"/>
          <w:lang w:val="hr-HR"/>
        </w:rPr>
        <w:t xml:space="preserve">Lijek </w:t>
      </w:r>
      <w:r w:rsidR="00E40785" w:rsidRPr="0013178E">
        <w:rPr>
          <w:sz w:val="22"/>
          <w:szCs w:val="22"/>
          <w:lang w:val="hr-HR"/>
        </w:rPr>
        <w:t xml:space="preserve">Solu-Medrol se može primijeniti intravenski ili intramuskularno, </w:t>
      </w:r>
      <w:r w:rsidR="000D4C4D" w:rsidRPr="0013178E">
        <w:rPr>
          <w:sz w:val="22"/>
          <w:szCs w:val="22"/>
          <w:lang w:val="hr-HR"/>
        </w:rPr>
        <w:t xml:space="preserve">pri čemu je </w:t>
      </w:r>
      <w:r w:rsidR="00E40785" w:rsidRPr="0013178E">
        <w:rPr>
          <w:sz w:val="22"/>
          <w:szCs w:val="22"/>
          <w:lang w:val="hr-HR"/>
        </w:rPr>
        <w:t>u hitnim stanjima najbolje primijeniti</w:t>
      </w:r>
      <w:r w:rsidR="00085A69" w:rsidRPr="0013178E">
        <w:rPr>
          <w:sz w:val="22"/>
          <w:szCs w:val="22"/>
          <w:lang w:val="hr-HR"/>
        </w:rPr>
        <w:t xml:space="preserve"> ga</w:t>
      </w:r>
      <w:r w:rsidR="00E40785" w:rsidRPr="0013178E">
        <w:rPr>
          <w:sz w:val="22"/>
          <w:szCs w:val="22"/>
          <w:lang w:val="hr-HR"/>
        </w:rPr>
        <w:t xml:space="preserve"> intravenski tokom odgovarajućeg vremenskog perioda. Velike doze (&gt; 250 mg) treba dati intravenski tokom perioda od najmanje 30 minuta. Doze do 250 mg treba dati intravenski tokom perioda od najmanje 5 minuta.</w:t>
      </w:r>
    </w:p>
    <w:p w14:paraId="47F2CC83" w14:textId="77777777" w:rsidR="00E40785" w:rsidRPr="0013178E" w:rsidRDefault="00E40785" w:rsidP="00430A60">
      <w:pPr>
        <w:overflowPunct w:val="0"/>
        <w:autoSpaceDN w:val="0"/>
        <w:adjustRightInd w:val="0"/>
        <w:jc w:val="both"/>
        <w:textAlignment w:val="baseline"/>
        <w:rPr>
          <w:b/>
          <w:sz w:val="22"/>
          <w:szCs w:val="22"/>
          <w:lang w:val="hr-HR"/>
        </w:rPr>
      </w:pPr>
    </w:p>
    <w:p w14:paraId="489C8A64" w14:textId="62C7CA02" w:rsidR="00E40785" w:rsidRPr="0013178E" w:rsidRDefault="00E40785" w:rsidP="00430A60">
      <w:pPr>
        <w:overflowPunct w:val="0"/>
        <w:autoSpaceDN w:val="0"/>
        <w:adjustRightInd w:val="0"/>
        <w:jc w:val="both"/>
        <w:textAlignment w:val="baseline"/>
        <w:rPr>
          <w:sz w:val="22"/>
          <w:szCs w:val="22"/>
          <w:lang w:val="hr-HR"/>
        </w:rPr>
      </w:pPr>
      <w:r w:rsidRPr="0013178E">
        <w:rPr>
          <w:sz w:val="22"/>
          <w:szCs w:val="22"/>
          <w:lang w:val="hr-HR"/>
        </w:rPr>
        <w:t>Za intravensku infuziju</w:t>
      </w:r>
      <w:r w:rsidR="003D6FA0" w:rsidRPr="0013178E">
        <w:rPr>
          <w:sz w:val="22"/>
          <w:szCs w:val="22"/>
          <w:lang w:val="hr-HR"/>
        </w:rPr>
        <w:t>,</w:t>
      </w:r>
      <w:r w:rsidRPr="0013178E">
        <w:rPr>
          <w:sz w:val="22"/>
          <w:szCs w:val="22"/>
          <w:lang w:val="hr-HR"/>
        </w:rPr>
        <w:t xml:space="preserve"> početni pripremljeni rastvor se može razblažiti u 5% rastvoru glukoze; 0,9% (9 mg/m</w:t>
      </w:r>
      <w:r w:rsidR="00536537" w:rsidRPr="0013178E">
        <w:rPr>
          <w:sz w:val="22"/>
          <w:szCs w:val="22"/>
          <w:lang w:val="hr-HR"/>
        </w:rPr>
        <w:t>l</w:t>
      </w:r>
      <w:r w:rsidRPr="0013178E">
        <w:rPr>
          <w:sz w:val="22"/>
          <w:szCs w:val="22"/>
          <w:lang w:val="hr-HR"/>
        </w:rPr>
        <w:t xml:space="preserve">) rastvoru natrijum hlorida ili izotoničnom 5% rastvoru glukoze i natrijum hlorida. Da bi se izbjegli problemi </w:t>
      </w:r>
      <w:r w:rsidR="0061789A" w:rsidRPr="0013178E">
        <w:rPr>
          <w:sz w:val="22"/>
          <w:szCs w:val="22"/>
          <w:lang w:val="hr-HR"/>
        </w:rPr>
        <w:t>in</w:t>
      </w:r>
      <w:r w:rsidRPr="0013178E">
        <w:rPr>
          <w:sz w:val="22"/>
          <w:szCs w:val="22"/>
          <w:lang w:val="hr-HR"/>
        </w:rPr>
        <w:t>kompatibil</w:t>
      </w:r>
      <w:r w:rsidR="0061789A" w:rsidRPr="0013178E">
        <w:rPr>
          <w:sz w:val="22"/>
          <w:szCs w:val="22"/>
          <w:lang w:val="hr-HR"/>
        </w:rPr>
        <w:t>nosti</w:t>
      </w:r>
      <w:r w:rsidRPr="0013178E">
        <w:rPr>
          <w:sz w:val="22"/>
          <w:szCs w:val="22"/>
          <w:lang w:val="hr-HR"/>
        </w:rPr>
        <w:t xml:space="preserve"> sa ostalim ljekovima, lijek Solu-Medrol treba davati odvojeno samo u spomenutim rastvorima.</w:t>
      </w:r>
    </w:p>
    <w:p w14:paraId="3875FF23" w14:textId="77777777" w:rsidR="00E40785" w:rsidRPr="0013178E" w:rsidRDefault="00E40785" w:rsidP="00430A60">
      <w:pPr>
        <w:overflowPunct w:val="0"/>
        <w:autoSpaceDN w:val="0"/>
        <w:adjustRightInd w:val="0"/>
        <w:jc w:val="both"/>
        <w:textAlignment w:val="baseline"/>
        <w:rPr>
          <w:color w:val="FF0000"/>
          <w:sz w:val="22"/>
          <w:szCs w:val="22"/>
          <w:lang w:val="hr-HR"/>
        </w:rPr>
      </w:pPr>
    </w:p>
    <w:p w14:paraId="21C9AF45" w14:textId="019561F2" w:rsidR="00E40785" w:rsidRPr="0013178E" w:rsidRDefault="00E40785" w:rsidP="00430A60">
      <w:pPr>
        <w:overflowPunct w:val="0"/>
        <w:autoSpaceDN w:val="0"/>
        <w:adjustRightInd w:val="0"/>
        <w:jc w:val="both"/>
        <w:textAlignment w:val="baseline"/>
        <w:rPr>
          <w:sz w:val="22"/>
          <w:szCs w:val="22"/>
          <w:lang w:val="hr-HR"/>
        </w:rPr>
      </w:pPr>
      <w:r w:rsidRPr="0013178E">
        <w:rPr>
          <w:sz w:val="22"/>
          <w:szCs w:val="22"/>
          <w:lang w:val="hr-HR"/>
        </w:rPr>
        <w:t xml:space="preserve">Parenteralne preparate, ukoliko je to moguće, treba vizuelno provjeriti na prisustvo </w:t>
      </w:r>
      <w:r w:rsidR="00081A0D" w:rsidRPr="0013178E">
        <w:rPr>
          <w:sz w:val="22"/>
          <w:szCs w:val="22"/>
          <w:lang w:val="hr-HR"/>
        </w:rPr>
        <w:t xml:space="preserve">stranih </w:t>
      </w:r>
      <w:r w:rsidRPr="0013178E">
        <w:rPr>
          <w:sz w:val="22"/>
          <w:szCs w:val="22"/>
          <w:lang w:val="hr-HR"/>
        </w:rPr>
        <w:t>čestica i</w:t>
      </w:r>
      <w:r w:rsidR="00081A0D" w:rsidRPr="0013178E">
        <w:rPr>
          <w:sz w:val="22"/>
          <w:szCs w:val="22"/>
          <w:lang w:val="hr-HR"/>
        </w:rPr>
        <w:t>li</w:t>
      </w:r>
      <w:r w:rsidRPr="0013178E">
        <w:rPr>
          <w:sz w:val="22"/>
          <w:szCs w:val="22"/>
          <w:lang w:val="hr-HR"/>
        </w:rPr>
        <w:t xml:space="preserve"> promjenu boje rastvora prije primjene.</w:t>
      </w:r>
    </w:p>
    <w:p w14:paraId="51559D77" w14:textId="77777777" w:rsidR="00E40785" w:rsidRPr="0013178E" w:rsidRDefault="00E40785" w:rsidP="00430A60">
      <w:pPr>
        <w:overflowPunct w:val="0"/>
        <w:autoSpaceDN w:val="0"/>
        <w:adjustRightInd w:val="0"/>
        <w:jc w:val="both"/>
        <w:textAlignment w:val="baseline"/>
        <w:rPr>
          <w:sz w:val="22"/>
          <w:szCs w:val="22"/>
          <w:lang w:val="hr-HR"/>
        </w:rPr>
      </w:pPr>
    </w:p>
    <w:p w14:paraId="5C86CF4C" w14:textId="3B7A8695" w:rsidR="00E40785" w:rsidRPr="0013178E" w:rsidRDefault="00E40785" w:rsidP="00E40785">
      <w:pPr>
        <w:overflowPunct w:val="0"/>
        <w:autoSpaceDN w:val="0"/>
        <w:adjustRightInd w:val="0"/>
        <w:textAlignment w:val="baseline"/>
        <w:rPr>
          <w:sz w:val="22"/>
          <w:szCs w:val="22"/>
          <w:lang w:val="hr-HR"/>
        </w:rPr>
      </w:pPr>
      <w:r w:rsidRPr="0013178E">
        <w:rPr>
          <w:sz w:val="22"/>
          <w:szCs w:val="22"/>
          <w:lang w:val="hr-HR"/>
        </w:rPr>
        <w:t xml:space="preserve">Za uputstva o rekonstituciji i razblaživanju </w:t>
      </w:r>
      <w:r w:rsidR="00292CE7" w:rsidRPr="0013178E">
        <w:rPr>
          <w:sz w:val="22"/>
          <w:szCs w:val="22"/>
          <w:lang w:val="hr-HR"/>
        </w:rPr>
        <w:t>lijeka</w:t>
      </w:r>
      <w:r w:rsidRPr="0013178E">
        <w:rPr>
          <w:sz w:val="22"/>
          <w:szCs w:val="22"/>
          <w:lang w:val="hr-HR"/>
        </w:rPr>
        <w:t xml:space="preserve"> prije upotrebe, vidjeti </w:t>
      </w:r>
      <w:r w:rsidR="009E76C5">
        <w:rPr>
          <w:sz w:val="22"/>
          <w:szCs w:val="22"/>
          <w:lang w:val="hr-HR"/>
        </w:rPr>
        <w:t>dio</w:t>
      </w:r>
      <w:r w:rsidRPr="0013178E">
        <w:rPr>
          <w:sz w:val="22"/>
          <w:szCs w:val="22"/>
          <w:lang w:val="hr-HR"/>
        </w:rPr>
        <w:t xml:space="preserve"> 6.6.</w:t>
      </w:r>
    </w:p>
    <w:p w14:paraId="3ACB741F" w14:textId="77777777" w:rsidR="00E40785" w:rsidRPr="0013178E" w:rsidRDefault="00E40785" w:rsidP="00E40785">
      <w:pPr>
        <w:ind w:left="720"/>
        <w:rPr>
          <w:color w:val="FF0000"/>
          <w:sz w:val="22"/>
          <w:szCs w:val="22"/>
          <w:lang w:val="hr-HR"/>
        </w:rPr>
      </w:pPr>
    </w:p>
    <w:p w14:paraId="2A32971D" w14:textId="77777777" w:rsidR="00E40785" w:rsidRPr="0013178E" w:rsidRDefault="00E40785" w:rsidP="00E40785">
      <w:pPr>
        <w:ind w:left="709" w:hanging="709"/>
        <w:rPr>
          <w:sz w:val="22"/>
          <w:szCs w:val="22"/>
          <w:lang w:val="hr-HR"/>
        </w:rPr>
      </w:pPr>
      <w:r w:rsidRPr="0013178E">
        <w:rPr>
          <w:b/>
          <w:sz w:val="22"/>
          <w:szCs w:val="22"/>
          <w:lang w:val="hr-HR"/>
        </w:rPr>
        <w:t>4.3</w:t>
      </w:r>
      <w:r w:rsidRPr="0013178E">
        <w:rPr>
          <w:sz w:val="22"/>
          <w:szCs w:val="22"/>
          <w:lang w:val="hr-HR"/>
        </w:rPr>
        <w:tab/>
      </w:r>
      <w:r w:rsidRPr="0013178E">
        <w:rPr>
          <w:b/>
          <w:sz w:val="22"/>
          <w:szCs w:val="22"/>
          <w:lang w:val="hr-HR"/>
        </w:rPr>
        <w:t>Kontraindikacije</w:t>
      </w:r>
    </w:p>
    <w:p w14:paraId="71DC02CE" w14:textId="77777777" w:rsidR="00E40785" w:rsidRPr="0013178E" w:rsidRDefault="00E40785" w:rsidP="00E40785">
      <w:pPr>
        <w:ind w:left="720"/>
        <w:rPr>
          <w:color w:val="FF0000"/>
          <w:sz w:val="22"/>
          <w:szCs w:val="22"/>
          <w:lang w:val="hr-HR"/>
        </w:rPr>
      </w:pPr>
    </w:p>
    <w:p w14:paraId="20649FC9" w14:textId="77777777" w:rsidR="00E40785" w:rsidRPr="0013178E" w:rsidRDefault="00860ACA" w:rsidP="00430A60">
      <w:pPr>
        <w:overflowPunct w:val="0"/>
        <w:autoSpaceDN w:val="0"/>
        <w:adjustRightInd w:val="0"/>
        <w:jc w:val="both"/>
        <w:textAlignment w:val="baseline"/>
        <w:rPr>
          <w:sz w:val="22"/>
          <w:szCs w:val="22"/>
          <w:lang w:val="hr-HR"/>
        </w:rPr>
      </w:pPr>
      <w:r w:rsidRPr="0013178E">
        <w:rPr>
          <w:sz w:val="22"/>
          <w:szCs w:val="22"/>
          <w:lang w:val="hr-HR"/>
        </w:rPr>
        <w:t xml:space="preserve">Lijek </w:t>
      </w:r>
      <w:r w:rsidR="00E40785" w:rsidRPr="0013178E">
        <w:rPr>
          <w:sz w:val="22"/>
          <w:szCs w:val="22"/>
          <w:lang w:val="hr-HR"/>
        </w:rPr>
        <w:t>Solu-Medrol je kontraindikovan:</w:t>
      </w:r>
    </w:p>
    <w:p w14:paraId="4F529ABD" w14:textId="6689D8AB" w:rsidR="00E40785" w:rsidRPr="00430A60" w:rsidRDefault="00E40785" w:rsidP="00430A60">
      <w:pPr>
        <w:pStyle w:val="ListParagraph"/>
        <w:widowControl/>
        <w:numPr>
          <w:ilvl w:val="0"/>
          <w:numId w:val="36"/>
        </w:numPr>
        <w:tabs>
          <w:tab w:val="left" w:pos="0"/>
        </w:tabs>
        <w:suppressAutoHyphens w:val="0"/>
        <w:overflowPunct w:val="0"/>
        <w:autoSpaceDN w:val="0"/>
        <w:adjustRightInd w:val="0"/>
        <w:jc w:val="both"/>
        <w:textAlignment w:val="baseline"/>
        <w:rPr>
          <w:sz w:val="22"/>
          <w:szCs w:val="22"/>
          <w:lang w:val="hr-HR"/>
        </w:rPr>
      </w:pPr>
      <w:r w:rsidRPr="00430A60">
        <w:rPr>
          <w:sz w:val="22"/>
          <w:szCs w:val="22"/>
          <w:lang w:val="hr-HR"/>
        </w:rPr>
        <w:t xml:space="preserve">kod poznate preosjetljivosti na aktivnu supstancu ili na neku od pomoćnih supstanci navedenih u </w:t>
      </w:r>
      <w:r w:rsidR="009E76C5" w:rsidRPr="00430A60">
        <w:rPr>
          <w:sz w:val="22"/>
          <w:szCs w:val="22"/>
          <w:lang w:val="hr-HR"/>
        </w:rPr>
        <w:t>dijelu</w:t>
      </w:r>
      <w:r w:rsidRPr="00430A60">
        <w:rPr>
          <w:sz w:val="22"/>
          <w:szCs w:val="22"/>
          <w:lang w:val="hr-HR"/>
        </w:rPr>
        <w:t xml:space="preserve"> 6.1</w:t>
      </w:r>
    </w:p>
    <w:p w14:paraId="67DA229F" w14:textId="759F2387" w:rsidR="00F95168" w:rsidRPr="00430A60" w:rsidRDefault="00F95168" w:rsidP="00430A60">
      <w:pPr>
        <w:pStyle w:val="ListParagraph"/>
        <w:widowControl/>
        <w:numPr>
          <w:ilvl w:val="0"/>
          <w:numId w:val="36"/>
        </w:numPr>
        <w:tabs>
          <w:tab w:val="left" w:pos="0"/>
        </w:tabs>
        <w:suppressAutoHyphens w:val="0"/>
        <w:overflowPunct w:val="0"/>
        <w:autoSpaceDN w:val="0"/>
        <w:adjustRightInd w:val="0"/>
        <w:jc w:val="both"/>
        <w:textAlignment w:val="baseline"/>
        <w:rPr>
          <w:sz w:val="22"/>
          <w:szCs w:val="22"/>
          <w:lang w:val="hr-HR"/>
        </w:rPr>
      </w:pPr>
      <w:r w:rsidRPr="00430A60">
        <w:rPr>
          <w:sz w:val="22"/>
          <w:szCs w:val="22"/>
          <w:lang w:val="hr-HR"/>
        </w:rPr>
        <w:t>u sistemskim gljivičnim infekcijama ukoliko nije primijenjena specifična antiinfektivna terapija</w:t>
      </w:r>
      <w:r>
        <w:rPr>
          <w:sz w:val="22"/>
          <w:szCs w:val="22"/>
          <w:lang w:val="hr-HR"/>
        </w:rPr>
        <w:t xml:space="preserve"> kao i</w:t>
      </w:r>
      <w:r w:rsidRPr="00430A60">
        <w:rPr>
          <w:sz w:val="22"/>
          <w:szCs w:val="22"/>
          <w:lang w:val="hr-HR"/>
        </w:rPr>
        <w:t xml:space="preserve"> kod cerebralnog edema u malariji</w:t>
      </w:r>
    </w:p>
    <w:p w14:paraId="420CA4EF" w14:textId="77777777" w:rsidR="00E40785" w:rsidRPr="00430A60" w:rsidRDefault="00E40785" w:rsidP="00430A60">
      <w:pPr>
        <w:pStyle w:val="ListParagraph"/>
        <w:widowControl/>
        <w:numPr>
          <w:ilvl w:val="0"/>
          <w:numId w:val="36"/>
        </w:numPr>
        <w:tabs>
          <w:tab w:val="left" w:pos="0"/>
        </w:tabs>
        <w:suppressAutoHyphens w:val="0"/>
        <w:overflowPunct w:val="0"/>
        <w:autoSpaceDN w:val="0"/>
        <w:adjustRightInd w:val="0"/>
        <w:jc w:val="both"/>
        <w:textAlignment w:val="baseline"/>
        <w:rPr>
          <w:sz w:val="22"/>
          <w:szCs w:val="22"/>
          <w:lang w:val="hr-HR"/>
        </w:rPr>
      </w:pPr>
      <w:r w:rsidRPr="00430A60">
        <w:rPr>
          <w:sz w:val="22"/>
          <w:szCs w:val="22"/>
          <w:lang w:val="hr-HR"/>
        </w:rPr>
        <w:t xml:space="preserve">za intratekalni način primjene </w:t>
      </w:r>
    </w:p>
    <w:p w14:paraId="7A204D45" w14:textId="77777777" w:rsidR="00E40785" w:rsidRPr="00430A60" w:rsidRDefault="00E40785" w:rsidP="00430A60">
      <w:pPr>
        <w:pStyle w:val="ListParagraph"/>
        <w:widowControl/>
        <w:numPr>
          <w:ilvl w:val="0"/>
          <w:numId w:val="36"/>
        </w:numPr>
        <w:tabs>
          <w:tab w:val="left" w:pos="0"/>
        </w:tabs>
        <w:suppressAutoHyphens w:val="0"/>
        <w:overflowPunct w:val="0"/>
        <w:autoSpaceDN w:val="0"/>
        <w:adjustRightInd w:val="0"/>
        <w:jc w:val="both"/>
        <w:textAlignment w:val="baseline"/>
        <w:rPr>
          <w:sz w:val="22"/>
          <w:szCs w:val="22"/>
          <w:lang w:val="hr-HR"/>
        </w:rPr>
      </w:pPr>
      <w:r w:rsidRPr="00430A60">
        <w:rPr>
          <w:sz w:val="22"/>
          <w:szCs w:val="22"/>
          <w:lang w:val="hr-HR"/>
        </w:rPr>
        <w:t xml:space="preserve">za epiduralni način primjene </w:t>
      </w:r>
    </w:p>
    <w:p w14:paraId="44415836" w14:textId="13206E6B" w:rsidR="00E40785" w:rsidRPr="00430A60" w:rsidRDefault="00E40785" w:rsidP="00430A60">
      <w:pPr>
        <w:pStyle w:val="ListParagraph"/>
        <w:widowControl/>
        <w:numPr>
          <w:ilvl w:val="0"/>
          <w:numId w:val="36"/>
        </w:numPr>
        <w:tabs>
          <w:tab w:val="left" w:pos="0"/>
        </w:tabs>
        <w:suppressAutoHyphens w:val="0"/>
        <w:overflowPunct w:val="0"/>
        <w:autoSpaceDN w:val="0"/>
        <w:adjustRightInd w:val="0"/>
        <w:jc w:val="both"/>
        <w:textAlignment w:val="baseline"/>
        <w:rPr>
          <w:sz w:val="22"/>
          <w:szCs w:val="22"/>
          <w:lang w:val="hr-HR"/>
        </w:rPr>
      </w:pPr>
      <w:r w:rsidRPr="00430A60">
        <w:rPr>
          <w:sz w:val="22"/>
          <w:szCs w:val="22"/>
          <w:lang w:val="hr-HR"/>
        </w:rPr>
        <w:t>kod primjene živih ili živih atenuisanih vakcina kod pacijenata na imunosupresivnim dozama kortikosteroida</w:t>
      </w:r>
      <w:r w:rsidR="003D6FA0" w:rsidRPr="00430A60">
        <w:rPr>
          <w:sz w:val="22"/>
          <w:szCs w:val="22"/>
          <w:lang w:val="hr-HR"/>
        </w:rPr>
        <w:t>.</w:t>
      </w:r>
    </w:p>
    <w:p w14:paraId="62E85454" w14:textId="136FE7BB" w:rsidR="00E40785" w:rsidRPr="0013178E" w:rsidRDefault="00E40785" w:rsidP="00E40785">
      <w:pPr>
        <w:ind w:left="709"/>
        <w:rPr>
          <w:sz w:val="22"/>
          <w:szCs w:val="22"/>
          <w:lang w:val="hr-HR"/>
        </w:rPr>
      </w:pPr>
    </w:p>
    <w:p w14:paraId="4719A3E2" w14:textId="77777777" w:rsidR="003D6FA0" w:rsidRPr="0013178E" w:rsidRDefault="003D6FA0" w:rsidP="00E40785">
      <w:pPr>
        <w:ind w:left="709"/>
        <w:rPr>
          <w:sz w:val="22"/>
          <w:szCs w:val="22"/>
          <w:lang w:val="hr-HR"/>
        </w:rPr>
      </w:pPr>
    </w:p>
    <w:p w14:paraId="05F8175A" w14:textId="77777777" w:rsidR="00E40785" w:rsidRPr="0013178E" w:rsidRDefault="00E40785" w:rsidP="00E40785">
      <w:pPr>
        <w:ind w:left="709" w:hanging="709"/>
        <w:rPr>
          <w:sz w:val="22"/>
          <w:szCs w:val="22"/>
          <w:lang w:val="hr-HR"/>
        </w:rPr>
      </w:pPr>
      <w:r w:rsidRPr="0013178E">
        <w:rPr>
          <w:b/>
          <w:sz w:val="22"/>
          <w:szCs w:val="22"/>
          <w:lang w:val="hr-HR"/>
        </w:rPr>
        <w:t>4.4</w:t>
      </w:r>
      <w:r w:rsidRPr="0013178E">
        <w:rPr>
          <w:sz w:val="22"/>
          <w:szCs w:val="22"/>
          <w:lang w:val="hr-HR"/>
        </w:rPr>
        <w:tab/>
      </w:r>
      <w:r w:rsidRPr="0013178E">
        <w:rPr>
          <w:b/>
          <w:sz w:val="22"/>
          <w:szCs w:val="22"/>
          <w:lang w:val="hr-HR"/>
        </w:rPr>
        <w:t>Posebna upozorenja i mjere opreza pri upotrebi lijeka</w:t>
      </w:r>
    </w:p>
    <w:p w14:paraId="19A47C57" w14:textId="77777777" w:rsidR="00E40785" w:rsidRPr="0013178E" w:rsidRDefault="00E40785" w:rsidP="00E40785">
      <w:pPr>
        <w:ind w:left="720"/>
        <w:rPr>
          <w:color w:val="FF0000"/>
          <w:sz w:val="22"/>
          <w:szCs w:val="22"/>
          <w:lang w:val="hr-HR"/>
        </w:rPr>
      </w:pPr>
    </w:p>
    <w:p w14:paraId="5642C243" w14:textId="77777777" w:rsidR="00E40785" w:rsidRPr="0013178E" w:rsidRDefault="00E40785" w:rsidP="00430A60">
      <w:pPr>
        <w:numPr>
          <w:ilvl w:val="12"/>
          <w:numId w:val="0"/>
        </w:numPr>
        <w:overflowPunct w:val="0"/>
        <w:autoSpaceDN w:val="0"/>
        <w:adjustRightInd w:val="0"/>
        <w:spacing w:before="60"/>
        <w:jc w:val="both"/>
        <w:textAlignment w:val="baseline"/>
        <w:rPr>
          <w:sz w:val="22"/>
          <w:szCs w:val="22"/>
          <w:lang w:val="hr-HR"/>
        </w:rPr>
      </w:pPr>
      <w:r w:rsidRPr="0013178E">
        <w:rPr>
          <w:sz w:val="22"/>
          <w:szCs w:val="22"/>
          <w:lang w:val="hr-HR"/>
        </w:rPr>
        <w:t xml:space="preserve">1. Uputstvo za upotrebu može se naći u pakovanju. </w:t>
      </w:r>
    </w:p>
    <w:p w14:paraId="5A236811" w14:textId="25F21EB9" w:rsidR="00E40785" w:rsidRPr="0013178E" w:rsidRDefault="00E40785" w:rsidP="00430A60">
      <w:pPr>
        <w:overflowPunct w:val="0"/>
        <w:autoSpaceDN w:val="0"/>
        <w:adjustRightInd w:val="0"/>
        <w:spacing w:before="60"/>
        <w:ind w:firstLine="15"/>
        <w:jc w:val="both"/>
        <w:textAlignment w:val="baseline"/>
        <w:rPr>
          <w:sz w:val="22"/>
          <w:szCs w:val="22"/>
          <w:lang w:val="hr-HR"/>
        </w:rPr>
      </w:pPr>
      <w:r w:rsidRPr="0013178E">
        <w:rPr>
          <w:sz w:val="22"/>
          <w:szCs w:val="22"/>
          <w:lang w:val="hr-HR"/>
        </w:rPr>
        <w:t xml:space="preserve">2. Neželjena dejstva se mogu minimizirati primjenom najniže efektivne doze tokom najkraćeg </w:t>
      </w:r>
      <w:r w:rsidR="009722B5" w:rsidRPr="0013178E">
        <w:rPr>
          <w:sz w:val="22"/>
          <w:szCs w:val="22"/>
          <w:lang w:val="hr-HR"/>
        </w:rPr>
        <w:t xml:space="preserve">mogućeg </w:t>
      </w:r>
      <w:r w:rsidRPr="0013178E">
        <w:rPr>
          <w:sz w:val="22"/>
          <w:szCs w:val="22"/>
          <w:lang w:val="hr-HR"/>
        </w:rPr>
        <w:t xml:space="preserve">vremenskog perioda. Potrebno je češće praćenje pacijenta da bi se titrirala doza na pojedinačnoj osnovi (vidjeti </w:t>
      </w:r>
      <w:r w:rsidR="009E76C5">
        <w:rPr>
          <w:sz w:val="22"/>
          <w:szCs w:val="22"/>
          <w:lang w:val="hr-HR"/>
        </w:rPr>
        <w:t>dio</w:t>
      </w:r>
      <w:r w:rsidRPr="0013178E">
        <w:rPr>
          <w:sz w:val="22"/>
          <w:szCs w:val="22"/>
          <w:lang w:val="hr-HR"/>
        </w:rPr>
        <w:t xml:space="preserve"> 4.2).</w:t>
      </w:r>
    </w:p>
    <w:p w14:paraId="1B5C4B50" w14:textId="77777777" w:rsidR="00E40785" w:rsidRPr="0013178E" w:rsidRDefault="00E40785" w:rsidP="00430A60">
      <w:pPr>
        <w:numPr>
          <w:ilvl w:val="12"/>
          <w:numId w:val="0"/>
        </w:numPr>
        <w:overflowPunct w:val="0"/>
        <w:autoSpaceDN w:val="0"/>
        <w:adjustRightInd w:val="0"/>
        <w:jc w:val="both"/>
        <w:textAlignment w:val="baseline"/>
        <w:rPr>
          <w:color w:val="FF0000"/>
          <w:sz w:val="22"/>
          <w:szCs w:val="22"/>
          <w:lang w:val="hr-HR"/>
        </w:rPr>
      </w:pPr>
    </w:p>
    <w:p w14:paraId="3EC20E8F" w14:textId="77777777" w:rsidR="00E40785" w:rsidRPr="0013178E" w:rsidRDefault="00E40785" w:rsidP="00430A60">
      <w:pPr>
        <w:numPr>
          <w:ilvl w:val="12"/>
          <w:numId w:val="0"/>
        </w:numPr>
        <w:overflowPunct w:val="0"/>
        <w:autoSpaceDN w:val="0"/>
        <w:adjustRightInd w:val="0"/>
        <w:jc w:val="both"/>
        <w:textAlignment w:val="baseline"/>
        <w:rPr>
          <w:b/>
          <w:sz w:val="22"/>
          <w:szCs w:val="22"/>
          <w:lang w:val="hr-HR"/>
        </w:rPr>
      </w:pPr>
      <w:r w:rsidRPr="0013178E">
        <w:rPr>
          <w:b/>
          <w:sz w:val="22"/>
          <w:szCs w:val="22"/>
          <w:lang w:val="hr-HR"/>
        </w:rPr>
        <w:t>Imunosupresivni efekti/povećana sklonost infekcijama</w:t>
      </w:r>
    </w:p>
    <w:p w14:paraId="35B55D44" w14:textId="76902D40" w:rsidR="00E40785" w:rsidRPr="0013178E" w:rsidRDefault="00E40785" w:rsidP="00430A60">
      <w:pPr>
        <w:numPr>
          <w:ilvl w:val="12"/>
          <w:numId w:val="0"/>
        </w:numPr>
        <w:overflowPunct w:val="0"/>
        <w:autoSpaceDN w:val="0"/>
        <w:adjustRightInd w:val="0"/>
        <w:jc w:val="both"/>
        <w:textAlignment w:val="baseline"/>
        <w:rPr>
          <w:sz w:val="22"/>
          <w:szCs w:val="22"/>
          <w:lang w:val="hr-HR"/>
        </w:rPr>
      </w:pPr>
      <w:r w:rsidRPr="0013178E">
        <w:rPr>
          <w:sz w:val="22"/>
          <w:szCs w:val="22"/>
          <w:lang w:val="hr-HR"/>
        </w:rPr>
        <w:t xml:space="preserve">Primjena kortikosteroida može maskirati neke znakove infekcije, a nove infekcije se mogu javiti u toku njihove primjene. Supresija inflamatornog odgovora i imunih funkcija povećava osjetljivost na gljivične, virusne i bakterijske infekcije, kao i na ozbiljnost takvih infekcija. Klinička slika takvih infekcija često može biti atipična i može </w:t>
      </w:r>
      <w:r w:rsidR="00207BAF" w:rsidRPr="0013178E">
        <w:rPr>
          <w:sz w:val="22"/>
          <w:szCs w:val="22"/>
          <w:lang w:val="hr-HR"/>
        </w:rPr>
        <w:t xml:space="preserve">brzo </w:t>
      </w:r>
      <w:r w:rsidRPr="0013178E">
        <w:rPr>
          <w:sz w:val="22"/>
          <w:szCs w:val="22"/>
          <w:lang w:val="hr-HR"/>
        </w:rPr>
        <w:t>dostići napredni stadijum prije nego što se dijagnostikuje.</w:t>
      </w:r>
    </w:p>
    <w:p w14:paraId="09C7C0F7" w14:textId="77777777" w:rsidR="00E40785" w:rsidRPr="0013178E" w:rsidRDefault="00E40785" w:rsidP="00430A60">
      <w:pPr>
        <w:numPr>
          <w:ilvl w:val="12"/>
          <w:numId w:val="0"/>
        </w:numPr>
        <w:overflowPunct w:val="0"/>
        <w:autoSpaceDN w:val="0"/>
        <w:adjustRightInd w:val="0"/>
        <w:jc w:val="both"/>
        <w:textAlignment w:val="baseline"/>
        <w:rPr>
          <w:color w:val="FF0000"/>
          <w:sz w:val="22"/>
          <w:szCs w:val="22"/>
          <w:lang w:val="hr-HR"/>
        </w:rPr>
      </w:pPr>
    </w:p>
    <w:p w14:paraId="4F426D3D" w14:textId="77777777" w:rsidR="00E40785" w:rsidRPr="0013178E" w:rsidRDefault="00E40785" w:rsidP="00430A60">
      <w:pPr>
        <w:numPr>
          <w:ilvl w:val="12"/>
          <w:numId w:val="0"/>
        </w:numPr>
        <w:overflowPunct w:val="0"/>
        <w:autoSpaceDN w:val="0"/>
        <w:adjustRightInd w:val="0"/>
        <w:jc w:val="both"/>
        <w:textAlignment w:val="baseline"/>
        <w:rPr>
          <w:sz w:val="22"/>
          <w:szCs w:val="22"/>
          <w:lang w:val="hr-HR"/>
        </w:rPr>
      </w:pPr>
      <w:r w:rsidRPr="0013178E">
        <w:rPr>
          <w:sz w:val="22"/>
          <w:szCs w:val="22"/>
          <w:lang w:val="hr-HR"/>
        </w:rPr>
        <w:t xml:space="preserve">Pojavu varičele treba ozbiljno uzeti u obzir, jer ova inače blaga bolest može biti fatalna kod imunosupresivnih </w:t>
      </w:r>
      <w:r w:rsidRPr="0013178E">
        <w:rPr>
          <w:sz w:val="22"/>
          <w:szCs w:val="22"/>
          <w:lang w:val="hr-HR"/>
        </w:rPr>
        <w:lastRenderedPageBreak/>
        <w:t xml:space="preserve">pacijenata. Pacijente (ili roditelje djece) za koje se </w:t>
      </w:r>
      <w:r w:rsidR="008233D2" w:rsidRPr="0013178E">
        <w:rPr>
          <w:sz w:val="22"/>
          <w:szCs w:val="22"/>
          <w:lang w:val="hr-HR"/>
        </w:rPr>
        <w:t xml:space="preserve">ne zna </w:t>
      </w:r>
      <w:r w:rsidRPr="0013178E">
        <w:rPr>
          <w:sz w:val="22"/>
          <w:szCs w:val="22"/>
          <w:lang w:val="hr-HR"/>
        </w:rPr>
        <w:t>pouzdano da su preležali varičelu, treba savjetovati da izbjegavaju lični kontakt sa oboljelima od varičele ili herpes zostera, a ukoliko do njega ipak dođe, treba odmah da se obrate ljekaru. Neimunim pacijentima koji su bili izloženi virusu i koji primaju sistemske kortikosteroide, ili koji su ih koristili u prethodna tri mjeseca, treba dati pasivnu imunizaciju varičela-zoster imunoglobulinom (VZIG). Pasivna imunizacija treba da bude primijenjena u toku 10 dana od izlaganja varičeli. Ukoliko se dijagnoza varičele potvrdi, bolest zahtijeva specijalističku njegu i urgentnu terapiju. Ne treba prekidati terapiju kortikosteroidima, a može biti i potrebno povećanje doze.</w:t>
      </w:r>
    </w:p>
    <w:p w14:paraId="4265AF20" w14:textId="77777777" w:rsidR="00E40785" w:rsidRPr="0013178E" w:rsidRDefault="00E40785" w:rsidP="00E40785">
      <w:pPr>
        <w:numPr>
          <w:ilvl w:val="12"/>
          <w:numId w:val="0"/>
        </w:numPr>
        <w:overflowPunct w:val="0"/>
        <w:autoSpaceDN w:val="0"/>
        <w:adjustRightInd w:val="0"/>
        <w:textAlignment w:val="baseline"/>
        <w:rPr>
          <w:sz w:val="22"/>
          <w:szCs w:val="22"/>
          <w:lang w:val="hr-HR"/>
        </w:rPr>
      </w:pPr>
    </w:p>
    <w:p w14:paraId="51FC4307" w14:textId="77777777" w:rsidR="00E40785" w:rsidRPr="0013178E" w:rsidRDefault="00E40785" w:rsidP="00430A60">
      <w:pPr>
        <w:numPr>
          <w:ilvl w:val="12"/>
          <w:numId w:val="0"/>
        </w:numPr>
        <w:overflowPunct w:val="0"/>
        <w:autoSpaceDN w:val="0"/>
        <w:adjustRightInd w:val="0"/>
        <w:jc w:val="both"/>
        <w:textAlignment w:val="baseline"/>
        <w:rPr>
          <w:sz w:val="22"/>
          <w:szCs w:val="22"/>
          <w:lang w:val="hr-HR"/>
        </w:rPr>
      </w:pPr>
      <w:r w:rsidRPr="0013178E">
        <w:rPr>
          <w:sz w:val="22"/>
          <w:szCs w:val="22"/>
          <w:lang w:val="hr-HR"/>
        </w:rPr>
        <w:t>Treba izbjegavati sve mogućnosti infekcije boginja. Ako se to dogodi, treba odmah potražiti medicinski savjet. Možda će biti potrebna profilaksa intramuskularnim imunoglobulinom.</w:t>
      </w:r>
    </w:p>
    <w:p w14:paraId="55A44CAB" w14:textId="77777777" w:rsidR="00E40785" w:rsidRPr="0013178E" w:rsidRDefault="00E40785" w:rsidP="00430A60">
      <w:pPr>
        <w:numPr>
          <w:ilvl w:val="12"/>
          <w:numId w:val="0"/>
        </w:numPr>
        <w:overflowPunct w:val="0"/>
        <w:autoSpaceDN w:val="0"/>
        <w:adjustRightInd w:val="0"/>
        <w:jc w:val="both"/>
        <w:textAlignment w:val="baseline"/>
        <w:rPr>
          <w:sz w:val="22"/>
          <w:szCs w:val="22"/>
          <w:lang w:val="hr-HR"/>
        </w:rPr>
      </w:pPr>
    </w:p>
    <w:p w14:paraId="1B1E0FE5" w14:textId="77777777" w:rsidR="00E40785" w:rsidRPr="0013178E" w:rsidRDefault="00E40785" w:rsidP="00430A60">
      <w:pPr>
        <w:numPr>
          <w:ilvl w:val="12"/>
          <w:numId w:val="0"/>
        </w:numPr>
        <w:overflowPunct w:val="0"/>
        <w:autoSpaceDN w:val="0"/>
        <w:adjustRightInd w:val="0"/>
        <w:jc w:val="both"/>
        <w:textAlignment w:val="baseline"/>
        <w:rPr>
          <w:sz w:val="22"/>
          <w:szCs w:val="22"/>
          <w:lang w:val="hr-HR"/>
        </w:rPr>
      </w:pPr>
      <w:r w:rsidRPr="0013178E">
        <w:rPr>
          <w:sz w:val="22"/>
          <w:szCs w:val="22"/>
          <w:lang w:val="hr-HR"/>
        </w:rPr>
        <w:t>Pacijenti sa oslabljenim imunim odgovorom ne bi trebalo da primaju žive vakcine, a reakcija formiranja antitijela na druge vakcine može biti smanjena.</w:t>
      </w:r>
    </w:p>
    <w:p w14:paraId="6B547A83" w14:textId="77777777" w:rsidR="00E40785" w:rsidRPr="0013178E" w:rsidRDefault="00E40785" w:rsidP="00430A60">
      <w:pPr>
        <w:numPr>
          <w:ilvl w:val="12"/>
          <w:numId w:val="0"/>
        </w:numPr>
        <w:overflowPunct w:val="0"/>
        <w:autoSpaceDN w:val="0"/>
        <w:adjustRightInd w:val="0"/>
        <w:jc w:val="both"/>
        <w:textAlignment w:val="baseline"/>
        <w:rPr>
          <w:color w:val="FF0000"/>
          <w:sz w:val="22"/>
          <w:szCs w:val="22"/>
          <w:lang w:val="hr-HR"/>
        </w:rPr>
      </w:pPr>
    </w:p>
    <w:p w14:paraId="22ECE7E1" w14:textId="77777777" w:rsidR="00E40785" w:rsidRPr="0013178E" w:rsidRDefault="00E40785" w:rsidP="00430A60">
      <w:pPr>
        <w:numPr>
          <w:ilvl w:val="12"/>
          <w:numId w:val="0"/>
        </w:numPr>
        <w:overflowPunct w:val="0"/>
        <w:autoSpaceDN w:val="0"/>
        <w:adjustRightInd w:val="0"/>
        <w:jc w:val="both"/>
        <w:textAlignment w:val="baseline"/>
        <w:rPr>
          <w:sz w:val="22"/>
          <w:szCs w:val="22"/>
          <w:lang w:val="hr-HR"/>
        </w:rPr>
      </w:pPr>
      <w:r w:rsidRPr="0013178E">
        <w:rPr>
          <w:sz w:val="22"/>
          <w:szCs w:val="22"/>
          <w:lang w:val="hr-HR"/>
        </w:rPr>
        <w:t xml:space="preserve">Primjena </w:t>
      </w:r>
      <w:r w:rsidR="009B04F3" w:rsidRPr="0013178E">
        <w:rPr>
          <w:sz w:val="22"/>
          <w:szCs w:val="22"/>
          <w:lang w:val="hr-HR"/>
        </w:rPr>
        <w:t xml:space="preserve">lijeka </w:t>
      </w:r>
      <w:r w:rsidRPr="0013178E">
        <w:rPr>
          <w:sz w:val="22"/>
          <w:szCs w:val="22"/>
          <w:lang w:val="hr-HR"/>
        </w:rPr>
        <w:t>Solu-Medrol u aktivnoj tuberkulozi treba da bude ograničena na slučajeve fulminantne ili diseminovane tuberkuloze, kada se kortikosteroidi koriste u kombinaciji sa adekvatnom antituberkuloznom terapijom. Ako su kortikosteroidi indikovani kod pacijenata sa latentnom tuberkulozom ili pozitivnim tuberkulinskom testom, potrebno je pažljivo posmatranje pošto se bolest može reaktivirati. Ti pacijenti treba da primaju hemoprofilaksu tokom produžene terapije kortikosteroidima.</w:t>
      </w:r>
    </w:p>
    <w:p w14:paraId="758878FA" w14:textId="77777777" w:rsidR="00E40785" w:rsidRPr="0013178E" w:rsidRDefault="00E40785" w:rsidP="00430A60">
      <w:pPr>
        <w:numPr>
          <w:ilvl w:val="12"/>
          <w:numId w:val="0"/>
        </w:numPr>
        <w:overflowPunct w:val="0"/>
        <w:autoSpaceDN w:val="0"/>
        <w:adjustRightInd w:val="0"/>
        <w:jc w:val="both"/>
        <w:textAlignment w:val="baseline"/>
        <w:rPr>
          <w:sz w:val="22"/>
          <w:szCs w:val="22"/>
          <w:lang w:val="hr-HR"/>
        </w:rPr>
      </w:pPr>
    </w:p>
    <w:p w14:paraId="0F9611A6" w14:textId="10C63E2F" w:rsidR="00E40785" w:rsidRPr="0013178E" w:rsidRDefault="00E40785" w:rsidP="00430A60">
      <w:pPr>
        <w:numPr>
          <w:ilvl w:val="12"/>
          <w:numId w:val="0"/>
        </w:numPr>
        <w:overflowPunct w:val="0"/>
        <w:autoSpaceDN w:val="0"/>
        <w:adjustRightInd w:val="0"/>
        <w:jc w:val="both"/>
        <w:textAlignment w:val="baseline"/>
        <w:rPr>
          <w:sz w:val="22"/>
          <w:szCs w:val="22"/>
          <w:lang w:val="hr-HR"/>
        </w:rPr>
      </w:pPr>
      <w:r w:rsidRPr="0013178E">
        <w:rPr>
          <w:sz w:val="22"/>
          <w:szCs w:val="22"/>
          <w:lang w:val="hr-HR"/>
        </w:rPr>
        <w:t>Kaposijev sarkom prijavljen je kod pacijenata na terapiji kortikosteroidima. Prekid terapije kortikosteroidima može dovesti do kliničke remisije.</w:t>
      </w:r>
    </w:p>
    <w:p w14:paraId="0B2FC67B" w14:textId="77777777" w:rsidR="00E40785" w:rsidRPr="0013178E" w:rsidRDefault="00E40785" w:rsidP="00430A60">
      <w:pPr>
        <w:numPr>
          <w:ilvl w:val="12"/>
          <w:numId w:val="0"/>
        </w:numPr>
        <w:overflowPunct w:val="0"/>
        <w:autoSpaceDN w:val="0"/>
        <w:adjustRightInd w:val="0"/>
        <w:jc w:val="both"/>
        <w:textAlignment w:val="baseline"/>
        <w:rPr>
          <w:color w:val="FF0000"/>
          <w:sz w:val="22"/>
          <w:szCs w:val="22"/>
          <w:lang w:val="hr-HR"/>
        </w:rPr>
      </w:pPr>
    </w:p>
    <w:p w14:paraId="42DE0080" w14:textId="77777777" w:rsidR="00E40785" w:rsidRPr="0013178E" w:rsidRDefault="00E40785" w:rsidP="00430A60">
      <w:pPr>
        <w:numPr>
          <w:ilvl w:val="12"/>
          <w:numId w:val="0"/>
        </w:numPr>
        <w:overflowPunct w:val="0"/>
        <w:autoSpaceDN w:val="0"/>
        <w:adjustRightInd w:val="0"/>
        <w:jc w:val="both"/>
        <w:textAlignment w:val="baseline"/>
        <w:rPr>
          <w:sz w:val="22"/>
          <w:szCs w:val="22"/>
          <w:lang w:val="hr-HR"/>
        </w:rPr>
      </w:pPr>
      <w:r w:rsidRPr="0013178E">
        <w:rPr>
          <w:sz w:val="22"/>
          <w:szCs w:val="22"/>
          <w:lang w:val="hr-HR"/>
        </w:rPr>
        <w:t xml:space="preserve">Uloga kortikosteroida u terapiji septičnog šoka je bila </w:t>
      </w:r>
      <w:r w:rsidR="000042D7" w:rsidRPr="0013178E">
        <w:rPr>
          <w:sz w:val="22"/>
          <w:szCs w:val="22"/>
          <w:lang w:val="hr-HR"/>
        </w:rPr>
        <w:t>kontradiktorna</w:t>
      </w:r>
      <w:r w:rsidRPr="0013178E">
        <w:rPr>
          <w:sz w:val="22"/>
          <w:szCs w:val="22"/>
          <w:lang w:val="hr-HR"/>
        </w:rPr>
        <w:t>, jer su početne studije pokazivale i korisne i štetne efekte. Novije studije pokazuju da primjena kortikosteroida u dodatnoj terapiji može biti korisna kod pacijenata sa utvrđenim septičnim šokom koji ispoljavaju znakove adrenalne insuficijencije. Međutim, ne preporučuje se njihova rutinska upotreba u terapiji septičnog šoka, sistematski pregled studija sa kratkotrajnom primjenom kortikosteroida u visokim dozama ne podržava njihovu upotrebu. Međutim, meta-analize, kao i pregledni članci, ukazuju na to da duža primjena (5–11 dana) kortikosteroida u niskim dozama smanjenje mortalitet, posebno kod pacijenata sa vazopresorno zavisnim septičnim šokom.</w:t>
      </w:r>
    </w:p>
    <w:p w14:paraId="59C60198" w14:textId="77777777" w:rsidR="00E40785" w:rsidRPr="0013178E" w:rsidRDefault="00E40785" w:rsidP="00E40785">
      <w:pPr>
        <w:numPr>
          <w:ilvl w:val="12"/>
          <w:numId w:val="0"/>
        </w:numPr>
        <w:overflowPunct w:val="0"/>
        <w:autoSpaceDN w:val="0"/>
        <w:adjustRightInd w:val="0"/>
        <w:textAlignment w:val="baseline"/>
        <w:rPr>
          <w:sz w:val="22"/>
          <w:szCs w:val="22"/>
          <w:u w:val="single"/>
          <w:lang w:val="hr-HR"/>
        </w:rPr>
      </w:pPr>
    </w:p>
    <w:p w14:paraId="1C380EEB" w14:textId="77777777" w:rsidR="00E40785" w:rsidRPr="0013178E" w:rsidRDefault="00E40785" w:rsidP="00430A60">
      <w:pPr>
        <w:numPr>
          <w:ilvl w:val="12"/>
          <w:numId w:val="0"/>
        </w:numPr>
        <w:overflowPunct w:val="0"/>
        <w:autoSpaceDN w:val="0"/>
        <w:adjustRightInd w:val="0"/>
        <w:spacing w:before="60"/>
        <w:jc w:val="both"/>
        <w:textAlignment w:val="baseline"/>
        <w:rPr>
          <w:rFonts w:eastAsia="Verdana"/>
          <w:b/>
          <w:bCs/>
          <w:sz w:val="22"/>
          <w:szCs w:val="22"/>
          <w:lang w:val="hr-HR"/>
        </w:rPr>
      </w:pPr>
      <w:r w:rsidRPr="0013178E">
        <w:rPr>
          <w:b/>
          <w:sz w:val="22"/>
          <w:szCs w:val="22"/>
          <w:lang w:val="hr-HR"/>
        </w:rPr>
        <w:t>Efekti na imuni sistem</w:t>
      </w:r>
    </w:p>
    <w:p w14:paraId="2DA11A06" w14:textId="77777777" w:rsidR="00E40785" w:rsidRPr="0013178E" w:rsidRDefault="00E40785" w:rsidP="00430A60">
      <w:pPr>
        <w:numPr>
          <w:ilvl w:val="12"/>
          <w:numId w:val="0"/>
        </w:numPr>
        <w:shd w:val="clear" w:color="auto" w:fill="FFFFFF"/>
        <w:overflowPunct w:val="0"/>
        <w:autoSpaceDN w:val="0"/>
        <w:adjustRightInd w:val="0"/>
        <w:spacing w:before="60"/>
        <w:jc w:val="both"/>
        <w:textAlignment w:val="baseline"/>
        <w:rPr>
          <w:rFonts w:eastAsia="Verdana"/>
          <w:bCs/>
          <w:sz w:val="22"/>
          <w:szCs w:val="22"/>
          <w:u w:val="single"/>
          <w:lang w:val="hr-HR"/>
        </w:rPr>
      </w:pPr>
      <w:r w:rsidRPr="0013178E">
        <w:rPr>
          <w:sz w:val="22"/>
          <w:szCs w:val="22"/>
          <w:lang w:val="hr-HR"/>
        </w:rPr>
        <w:t>Mogu se pojaviti alergijske reakcije. Nakon terapije kortikosteroidima primijećene su rijetke kožne reakcije i anafilaktičke/anafilaktoidne reakcije (kao što je bronhospazam). Ljekari koji koriste lijek moraju biti spremni za takvu mogućnost. Prije primjene treba preduzeti odgovarajuće mjere predostrožnosti, naročito ako pacijent ima istoriju alergija na ljekove.</w:t>
      </w:r>
    </w:p>
    <w:p w14:paraId="797B2C5E" w14:textId="1DAA31DB" w:rsidR="00E40785" w:rsidRPr="0013178E" w:rsidRDefault="00E40785" w:rsidP="00430A60">
      <w:pPr>
        <w:numPr>
          <w:ilvl w:val="12"/>
          <w:numId w:val="0"/>
        </w:numPr>
        <w:overflowPunct w:val="0"/>
        <w:autoSpaceDN w:val="0"/>
        <w:adjustRightInd w:val="0"/>
        <w:jc w:val="both"/>
        <w:textAlignment w:val="baseline"/>
        <w:rPr>
          <w:rFonts w:eastAsia="Verdana"/>
          <w:bCs/>
          <w:color w:val="FF0000"/>
          <w:sz w:val="22"/>
          <w:szCs w:val="22"/>
          <w:lang w:val="hr-HR"/>
        </w:rPr>
      </w:pPr>
    </w:p>
    <w:p w14:paraId="25476AEA" w14:textId="77777777" w:rsidR="003D6FA0" w:rsidRPr="0013178E" w:rsidRDefault="003D6FA0" w:rsidP="00430A60">
      <w:pPr>
        <w:numPr>
          <w:ilvl w:val="12"/>
          <w:numId w:val="0"/>
        </w:numPr>
        <w:overflowPunct w:val="0"/>
        <w:autoSpaceDN w:val="0"/>
        <w:adjustRightInd w:val="0"/>
        <w:jc w:val="both"/>
        <w:textAlignment w:val="baseline"/>
        <w:rPr>
          <w:rFonts w:eastAsia="Verdana"/>
          <w:bCs/>
          <w:color w:val="FF0000"/>
          <w:sz w:val="22"/>
          <w:szCs w:val="22"/>
          <w:lang w:val="hr-HR"/>
        </w:rPr>
      </w:pPr>
    </w:p>
    <w:p w14:paraId="056200F9" w14:textId="77777777" w:rsidR="00E40785" w:rsidRPr="0013178E" w:rsidRDefault="00E40785" w:rsidP="00430A60">
      <w:pPr>
        <w:numPr>
          <w:ilvl w:val="12"/>
          <w:numId w:val="0"/>
        </w:numPr>
        <w:overflowPunct w:val="0"/>
        <w:autoSpaceDN w:val="0"/>
        <w:adjustRightInd w:val="0"/>
        <w:jc w:val="both"/>
        <w:textAlignment w:val="baseline"/>
        <w:rPr>
          <w:b/>
          <w:sz w:val="22"/>
          <w:szCs w:val="22"/>
          <w:lang w:val="hr-HR"/>
        </w:rPr>
      </w:pPr>
      <w:r w:rsidRPr="0013178E">
        <w:rPr>
          <w:b/>
          <w:sz w:val="22"/>
          <w:szCs w:val="22"/>
          <w:lang w:val="hr-HR"/>
        </w:rPr>
        <w:t>Endokrini efekti</w:t>
      </w:r>
    </w:p>
    <w:p w14:paraId="1BCBF673" w14:textId="2A7220C7" w:rsidR="00E40785" w:rsidRPr="0013178E" w:rsidRDefault="00E40785" w:rsidP="00430A60">
      <w:pPr>
        <w:numPr>
          <w:ilvl w:val="12"/>
          <w:numId w:val="0"/>
        </w:numPr>
        <w:overflowPunct w:val="0"/>
        <w:autoSpaceDN w:val="0"/>
        <w:adjustRightInd w:val="0"/>
        <w:jc w:val="both"/>
        <w:textAlignment w:val="baseline"/>
        <w:rPr>
          <w:sz w:val="22"/>
          <w:szCs w:val="22"/>
          <w:lang w:val="hr-HR"/>
        </w:rPr>
      </w:pPr>
      <w:r w:rsidRPr="0013178E">
        <w:rPr>
          <w:sz w:val="22"/>
          <w:szCs w:val="22"/>
          <w:lang w:val="hr-HR"/>
        </w:rPr>
        <w:t>Kod pacijenata na dugotrajnoj primjeni kortikosteroida neophodna je pažljiva klinička procjena potrebe za povećanjem doze kortikosteroida prije, tokom i poslije stresne situacije (npr. hirurška procedura), na osnovu prethodne doze i trajanja tretmana, kao i vrste i trajanja operacije.</w:t>
      </w:r>
    </w:p>
    <w:p w14:paraId="7ABA50C5" w14:textId="77777777" w:rsidR="00E40785" w:rsidRPr="0013178E" w:rsidRDefault="00E40785" w:rsidP="00430A60">
      <w:pPr>
        <w:numPr>
          <w:ilvl w:val="12"/>
          <w:numId w:val="0"/>
        </w:numPr>
        <w:overflowPunct w:val="0"/>
        <w:autoSpaceDN w:val="0"/>
        <w:adjustRightInd w:val="0"/>
        <w:jc w:val="both"/>
        <w:textAlignment w:val="baseline"/>
        <w:rPr>
          <w:sz w:val="22"/>
          <w:szCs w:val="22"/>
          <w:lang w:val="hr-HR"/>
        </w:rPr>
      </w:pPr>
    </w:p>
    <w:p w14:paraId="58B9A235" w14:textId="77777777" w:rsidR="00E40785" w:rsidRPr="0013178E" w:rsidRDefault="00E40785" w:rsidP="00430A60">
      <w:pPr>
        <w:numPr>
          <w:ilvl w:val="12"/>
          <w:numId w:val="0"/>
        </w:numPr>
        <w:overflowPunct w:val="0"/>
        <w:autoSpaceDN w:val="0"/>
        <w:adjustRightInd w:val="0"/>
        <w:jc w:val="both"/>
        <w:textAlignment w:val="baseline"/>
        <w:rPr>
          <w:sz w:val="22"/>
          <w:szCs w:val="22"/>
          <w:lang w:val="hr-HR"/>
        </w:rPr>
      </w:pPr>
      <w:r w:rsidRPr="0013178E">
        <w:rPr>
          <w:sz w:val="22"/>
          <w:szCs w:val="22"/>
          <w:lang w:val="hr-HR"/>
        </w:rPr>
        <w:t>Farmakološke doze kortikosteroida koje se daju duže vrijeme mogu dovesti do supresije osovine hipotalamus-hipofiza-adrenalna žlijezda (HPA) (sekundarne adrenokortikalne insuficijencije). Stepen i trajanje adrenokortikalne insuficijencije razlikuje se od pacijenta do pacijenta i zavisi od doze, učestalosti, vremena primjene, kao i trajanja terapije glukokortikoidima. Efekat može biti smanjen primjenom terapije svakih 48 sati.</w:t>
      </w:r>
    </w:p>
    <w:p w14:paraId="6490A2D8" w14:textId="77777777" w:rsidR="00E40785" w:rsidRPr="0013178E" w:rsidRDefault="00E40785" w:rsidP="00430A60">
      <w:pPr>
        <w:numPr>
          <w:ilvl w:val="12"/>
          <w:numId w:val="0"/>
        </w:numPr>
        <w:overflowPunct w:val="0"/>
        <w:autoSpaceDN w:val="0"/>
        <w:adjustRightInd w:val="0"/>
        <w:jc w:val="both"/>
        <w:textAlignment w:val="baseline"/>
        <w:rPr>
          <w:sz w:val="22"/>
          <w:szCs w:val="22"/>
          <w:lang w:val="hr-HR"/>
        </w:rPr>
      </w:pPr>
    </w:p>
    <w:p w14:paraId="1BC41F46" w14:textId="77777777" w:rsidR="00E40785" w:rsidRPr="0013178E" w:rsidRDefault="00E40785" w:rsidP="00430A60">
      <w:pPr>
        <w:numPr>
          <w:ilvl w:val="12"/>
          <w:numId w:val="0"/>
        </w:numPr>
        <w:overflowPunct w:val="0"/>
        <w:autoSpaceDN w:val="0"/>
        <w:adjustRightInd w:val="0"/>
        <w:jc w:val="both"/>
        <w:textAlignment w:val="baseline"/>
        <w:rPr>
          <w:sz w:val="22"/>
          <w:szCs w:val="22"/>
          <w:lang w:val="hr-HR"/>
        </w:rPr>
      </w:pPr>
      <w:r w:rsidRPr="0013178E">
        <w:rPr>
          <w:sz w:val="22"/>
          <w:szCs w:val="22"/>
          <w:lang w:val="hr-HR"/>
        </w:rPr>
        <w:t>Ako se primjena glukokortikoida naglo prekine, akutna adrenalna insuficijencija može dovesti do fatalnog ishoda.</w:t>
      </w:r>
    </w:p>
    <w:p w14:paraId="4DF07BFF" w14:textId="77777777" w:rsidR="00E40785" w:rsidRPr="0013178E" w:rsidRDefault="00E40785" w:rsidP="00430A60">
      <w:pPr>
        <w:numPr>
          <w:ilvl w:val="12"/>
          <w:numId w:val="0"/>
        </w:numPr>
        <w:overflowPunct w:val="0"/>
        <w:autoSpaceDN w:val="0"/>
        <w:adjustRightInd w:val="0"/>
        <w:jc w:val="both"/>
        <w:textAlignment w:val="baseline"/>
        <w:rPr>
          <w:color w:val="FF0000"/>
          <w:sz w:val="22"/>
          <w:szCs w:val="22"/>
          <w:lang w:val="hr-HR"/>
        </w:rPr>
      </w:pPr>
    </w:p>
    <w:p w14:paraId="1DD1CEFD" w14:textId="77777777" w:rsidR="00E40785" w:rsidRPr="0013178E" w:rsidRDefault="00E40785" w:rsidP="00430A60">
      <w:pPr>
        <w:numPr>
          <w:ilvl w:val="12"/>
          <w:numId w:val="0"/>
        </w:numPr>
        <w:overflowPunct w:val="0"/>
        <w:autoSpaceDN w:val="0"/>
        <w:adjustRightInd w:val="0"/>
        <w:jc w:val="both"/>
        <w:textAlignment w:val="baseline"/>
        <w:rPr>
          <w:sz w:val="22"/>
          <w:szCs w:val="22"/>
          <w:lang w:val="hr-HR"/>
        </w:rPr>
      </w:pPr>
      <w:r w:rsidRPr="0013178E">
        <w:rPr>
          <w:sz w:val="22"/>
          <w:szCs w:val="22"/>
          <w:lang w:val="hr-HR"/>
        </w:rPr>
        <w:t xml:space="preserve">Kod pacijenata koji su primali više od fizioloških doza sistemskih kortikosteroida (približno 6 mg metilprednizolona) duže od tri sedmice, terapija se ne smije naglo prekinuti. </w:t>
      </w:r>
    </w:p>
    <w:p w14:paraId="14FE823A" w14:textId="77777777" w:rsidR="00E40785" w:rsidRPr="0013178E" w:rsidRDefault="00E40785" w:rsidP="00430A60">
      <w:pPr>
        <w:numPr>
          <w:ilvl w:val="12"/>
          <w:numId w:val="0"/>
        </w:numPr>
        <w:overflowPunct w:val="0"/>
        <w:autoSpaceDN w:val="0"/>
        <w:adjustRightInd w:val="0"/>
        <w:jc w:val="both"/>
        <w:textAlignment w:val="baseline"/>
        <w:rPr>
          <w:sz w:val="22"/>
          <w:szCs w:val="22"/>
          <w:lang w:val="hr-HR"/>
        </w:rPr>
      </w:pPr>
    </w:p>
    <w:p w14:paraId="02D69509" w14:textId="77777777" w:rsidR="00E40785" w:rsidRPr="0013178E" w:rsidRDefault="00E40785" w:rsidP="00430A60">
      <w:pPr>
        <w:numPr>
          <w:ilvl w:val="12"/>
          <w:numId w:val="0"/>
        </w:numPr>
        <w:overflowPunct w:val="0"/>
        <w:autoSpaceDN w:val="0"/>
        <w:adjustRightInd w:val="0"/>
        <w:jc w:val="both"/>
        <w:textAlignment w:val="baseline"/>
        <w:rPr>
          <w:sz w:val="22"/>
          <w:szCs w:val="22"/>
          <w:lang w:val="hr-HR"/>
        </w:rPr>
      </w:pPr>
      <w:r w:rsidRPr="0013178E">
        <w:rPr>
          <w:sz w:val="22"/>
          <w:szCs w:val="22"/>
          <w:lang w:val="hr-HR"/>
        </w:rPr>
        <w:t xml:space="preserve">Metoda redukcije doze u velikoj mjeri zavisi od tipa bolesti i vjerovatnoće recidiva kako se smanjuje sistemska </w:t>
      </w:r>
      <w:r w:rsidRPr="0013178E">
        <w:rPr>
          <w:sz w:val="22"/>
          <w:szCs w:val="22"/>
          <w:lang w:val="hr-HR"/>
        </w:rPr>
        <w:lastRenderedPageBreak/>
        <w:t>doza kortikosteroida. Klinička procjena bolesti je neophodna tokom ovog perioda. Ako je vjerovatnoća da će se bolest ponovo javiti tokom perioda smanjenja doze, ali postoji nesigurnost u vezi sa supresijom osovine hipotalamus-hipofiza-adrenalna žlijezda, sistemska doza kortikosteroida može se brzo smanjiti na fiziološke doze. Kada se dostigne doza od 6 mg metilprednizolona na dan, smanjenje doze treba da bude sporije da bi se osovina hipotalamus-hipofiza-adrenalna žlijezda mogla oporaviti.</w:t>
      </w:r>
    </w:p>
    <w:p w14:paraId="7D2022F4" w14:textId="77777777" w:rsidR="00E40785" w:rsidRPr="0013178E" w:rsidRDefault="00E40785" w:rsidP="00430A60">
      <w:pPr>
        <w:numPr>
          <w:ilvl w:val="12"/>
          <w:numId w:val="0"/>
        </w:numPr>
        <w:overflowPunct w:val="0"/>
        <w:autoSpaceDN w:val="0"/>
        <w:adjustRightInd w:val="0"/>
        <w:jc w:val="both"/>
        <w:textAlignment w:val="baseline"/>
        <w:rPr>
          <w:color w:val="FF0000"/>
          <w:sz w:val="22"/>
          <w:szCs w:val="22"/>
          <w:lang w:val="hr-HR"/>
        </w:rPr>
      </w:pPr>
    </w:p>
    <w:p w14:paraId="54E9DCAF" w14:textId="204C52B7" w:rsidR="00E40785" w:rsidRPr="0013178E" w:rsidRDefault="00E40785" w:rsidP="00430A60">
      <w:pPr>
        <w:numPr>
          <w:ilvl w:val="12"/>
          <w:numId w:val="0"/>
        </w:numPr>
        <w:overflowPunct w:val="0"/>
        <w:autoSpaceDN w:val="0"/>
        <w:adjustRightInd w:val="0"/>
        <w:jc w:val="both"/>
        <w:textAlignment w:val="baseline"/>
        <w:rPr>
          <w:sz w:val="22"/>
          <w:szCs w:val="22"/>
          <w:lang w:val="hr-HR"/>
        </w:rPr>
      </w:pPr>
      <w:r w:rsidRPr="0013178E">
        <w:rPr>
          <w:sz w:val="22"/>
          <w:szCs w:val="22"/>
          <w:lang w:val="hr-HR"/>
        </w:rPr>
        <w:t xml:space="preserve">Naglo prekidanje sistemske kortikosteroidne terapije koja je trajala do tri </w:t>
      </w:r>
      <w:r w:rsidR="00E31228" w:rsidRPr="0013178E">
        <w:rPr>
          <w:sz w:val="22"/>
          <w:szCs w:val="22"/>
          <w:lang w:val="hr-HR"/>
        </w:rPr>
        <w:t>nedjelj</w:t>
      </w:r>
      <w:r w:rsidRPr="0013178E">
        <w:rPr>
          <w:sz w:val="22"/>
          <w:szCs w:val="22"/>
          <w:lang w:val="hr-HR"/>
        </w:rPr>
        <w:t xml:space="preserve">e je prihvatljivo ako se smatra da je vjerovatno da se bolest neće vratiti. Nagli prekid terapije u dozama do 32 mg </w:t>
      </w:r>
      <w:r w:rsidR="000D29C9" w:rsidRPr="0013178E">
        <w:rPr>
          <w:sz w:val="22"/>
          <w:szCs w:val="22"/>
          <w:lang w:val="hr-HR"/>
        </w:rPr>
        <w:t xml:space="preserve">metilprednizolona </w:t>
      </w:r>
      <w:r w:rsidRPr="0013178E">
        <w:rPr>
          <w:sz w:val="22"/>
          <w:szCs w:val="22"/>
          <w:lang w:val="hr-HR"/>
        </w:rPr>
        <w:t>dnevno tokom tri nedjelje vjerovatno neće dovesti do klinički značajne supresije osovine hipotalamus-hipofiza-adrenalna žlijezda kod većine pacijenata. Kod sljedećih grupa pacijenata, postepeno prekidanje sistemske terapije kortikosteroidima treba razmotriti čak i poslije perioda od tri nedjelje ili manje:</w:t>
      </w:r>
    </w:p>
    <w:p w14:paraId="2AC401AA" w14:textId="77777777" w:rsidR="00E40785" w:rsidRPr="0013178E" w:rsidRDefault="00E40785" w:rsidP="00430A60">
      <w:pPr>
        <w:widowControl/>
        <w:numPr>
          <w:ilvl w:val="0"/>
          <w:numId w:val="25"/>
        </w:numPr>
        <w:tabs>
          <w:tab w:val="clear" w:pos="1440"/>
        </w:tabs>
        <w:suppressAutoHyphens w:val="0"/>
        <w:overflowPunct w:val="0"/>
        <w:autoSpaceDN w:val="0"/>
        <w:adjustRightInd w:val="0"/>
        <w:spacing w:before="60"/>
        <w:ind w:left="709"/>
        <w:jc w:val="both"/>
        <w:textAlignment w:val="baseline"/>
        <w:rPr>
          <w:sz w:val="22"/>
          <w:szCs w:val="22"/>
          <w:lang w:val="hr-HR"/>
        </w:rPr>
      </w:pPr>
      <w:r w:rsidRPr="0013178E">
        <w:rPr>
          <w:sz w:val="22"/>
          <w:szCs w:val="22"/>
          <w:lang w:val="hr-HR"/>
        </w:rPr>
        <w:t xml:space="preserve">Pacijenti koji su imali ponavljane cikluse sistemske terapije kortikosteroidima, posebno ako </w:t>
      </w:r>
      <w:r w:rsidR="00DC6119" w:rsidRPr="0013178E">
        <w:rPr>
          <w:sz w:val="22"/>
          <w:szCs w:val="22"/>
          <w:lang w:val="hr-HR"/>
        </w:rPr>
        <w:t>je terapij</w:t>
      </w:r>
      <w:r w:rsidR="00B526D8" w:rsidRPr="0013178E">
        <w:rPr>
          <w:sz w:val="22"/>
          <w:szCs w:val="22"/>
          <w:lang w:val="hr-HR"/>
        </w:rPr>
        <w:t>a</w:t>
      </w:r>
      <w:r w:rsidR="00DC6119" w:rsidRPr="0013178E">
        <w:rPr>
          <w:sz w:val="22"/>
          <w:szCs w:val="22"/>
          <w:lang w:val="hr-HR"/>
        </w:rPr>
        <w:t xml:space="preserve"> trajala</w:t>
      </w:r>
      <w:r w:rsidRPr="0013178E">
        <w:rPr>
          <w:sz w:val="22"/>
          <w:szCs w:val="22"/>
          <w:lang w:val="hr-HR"/>
        </w:rPr>
        <w:t xml:space="preserve"> duže od tri nedjelje</w:t>
      </w:r>
    </w:p>
    <w:p w14:paraId="3C80934D" w14:textId="77777777" w:rsidR="00E40785" w:rsidRPr="0013178E" w:rsidRDefault="00E40785" w:rsidP="00430A60">
      <w:pPr>
        <w:widowControl/>
        <w:numPr>
          <w:ilvl w:val="0"/>
          <w:numId w:val="25"/>
        </w:numPr>
        <w:tabs>
          <w:tab w:val="clear" w:pos="1440"/>
        </w:tabs>
        <w:suppressAutoHyphens w:val="0"/>
        <w:overflowPunct w:val="0"/>
        <w:autoSpaceDN w:val="0"/>
        <w:adjustRightInd w:val="0"/>
        <w:spacing w:before="60"/>
        <w:ind w:left="709"/>
        <w:jc w:val="both"/>
        <w:textAlignment w:val="baseline"/>
        <w:rPr>
          <w:sz w:val="22"/>
          <w:szCs w:val="22"/>
          <w:lang w:val="hr-HR"/>
        </w:rPr>
      </w:pPr>
      <w:r w:rsidRPr="0013178E">
        <w:rPr>
          <w:sz w:val="22"/>
          <w:szCs w:val="22"/>
          <w:lang w:val="hr-HR"/>
        </w:rPr>
        <w:t>Kada je propisan kratak ciklus terapije u roku od jedne godine od prekida dugotrajne terapije (mjeseci ili godine)</w:t>
      </w:r>
    </w:p>
    <w:p w14:paraId="2B9FC1D2" w14:textId="77777777" w:rsidR="00E40785" w:rsidRPr="0013178E" w:rsidRDefault="00E40785" w:rsidP="00430A60">
      <w:pPr>
        <w:widowControl/>
        <w:numPr>
          <w:ilvl w:val="0"/>
          <w:numId w:val="25"/>
        </w:numPr>
        <w:tabs>
          <w:tab w:val="clear" w:pos="1440"/>
        </w:tabs>
        <w:suppressAutoHyphens w:val="0"/>
        <w:overflowPunct w:val="0"/>
        <w:autoSpaceDN w:val="0"/>
        <w:adjustRightInd w:val="0"/>
        <w:spacing w:before="60"/>
        <w:ind w:left="709"/>
        <w:jc w:val="both"/>
        <w:textAlignment w:val="baseline"/>
        <w:rPr>
          <w:sz w:val="22"/>
          <w:szCs w:val="22"/>
          <w:lang w:val="hr-HR"/>
        </w:rPr>
      </w:pPr>
      <w:r w:rsidRPr="0013178E">
        <w:rPr>
          <w:sz w:val="22"/>
          <w:szCs w:val="22"/>
          <w:lang w:val="hr-HR"/>
        </w:rPr>
        <w:t>Pacijenti koji imaju druge rizike od adrenokortikalne insuficijencije, osim egzogene terapije kortikosteroidima</w:t>
      </w:r>
    </w:p>
    <w:p w14:paraId="2ADB6EC1" w14:textId="77777777" w:rsidR="00E40785" w:rsidRPr="0013178E" w:rsidRDefault="00E40785" w:rsidP="00430A60">
      <w:pPr>
        <w:widowControl/>
        <w:numPr>
          <w:ilvl w:val="0"/>
          <w:numId w:val="25"/>
        </w:numPr>
        <w:tabs>
          <w:tab w:val="clear" w:pos="1440"/>
        </w:tabs>
        <w:suppressAutoHyphens w:val="0"/>
        <w:overflowPunct w:val="0"/>
        <w:autoSpaceDN w:val="0"/>
        <w:adjustRightInd w:val="0"/>
        <w:spacing w:before="60"/>
        <w:ind w:left="709"/>
        <w:jc w:val="both"/>
        <w:textAlignment w:val="baseline"/>
        <w:rPr>
          <w:sz w:val="22"/>
          <w:szCs w:val="22"/>
          <w:lang w:val="hr-HR"/>
        </w:rPr>
      </w:pPr>
      <w:r w:rsidRPr="0013178E">
        <w:rPr>
          <w:sz w:val="22"/>
          <w:szCs w:val="22"/>
          <w:lang w:val="hr-HR"/>
        </w:rPr>
        <w:t>Pacijenti koji primaju sistemske doze kortikosteroida veće od 32 mg metilprednizolona dnevno</w:t>
      </w:r>
    </w:p>
    <w:p w14:paraId="3F34B74F" w14:textId="77777777" w:rsidR="00E40785" w:rsidRPr="0013178E" w:rsidRDefault="00E40785" w:rsidP="00430A60">
      <w:pPr>
        <w:widowControl/>
        <w:numPr>
          <w:ilvl w:val="0"/>
          <w:numId w:val="25"/>
        </w:numPr>
        <w:tabs>
          <w:tab w:val="clear" w:pos="1440"/>
        </w:tabs>
        <w:suppressAutoHyphens w:val="0"/>
        <w:overflowPunct w:val="0"/>
        <w:autoSpaceDN w:val="0"/>
        <w:adjustRightInd w:val="0"/>
        <w:spacing w:before="60"/>
        <w:ind w:left="709"/>
        <w:jc w:val="both"/>
        <w:textAlignment w:val="baseline"/>
        <w:rPr>
          <w:sz w:val="22"/>
          <w:szCs w:val="22"/>
          <w:lang w:val="hr-HR"/>
        </w:rPr>
      </w:pPr>
      <w:r w:rsidRPr="0013178E">
        <w:rPr>
          <w:sz w:val="22"/>
          <w:szCs w:val="22"/>
          <w:lang w:val="hr-HR"/>
        </w:rPr>
        <w:t>Pacijenti koji uzastopno uzimaju doze uveče.</w:t>
      </w:r>
    </w:p>
    <w:p w14:paraId="64691954" w14:textId="77777777" w:rsidR="00E40785" w:rsidRPr="0013178E" w:rsidRDefault="00E40785" w:rsidP="00430A60">
      <w:pPr>
        <w:overflowPunct w:val="0"/>
        <w:autoSpaceDN w:val="0"/>
        <w:adjustRightInd w:val="0"/>
        <w:spacing w:before="60"/>
        <w:ind w:left="1080"/>
        <w:jc w:val="both"/>
        <w:textAlignment w:val="baseline"/>
        <w:rPr>
          <w:color w:val="FF0000"/>
          <w:sz w:val="22"/>
          <w:szCs w:val="22"/>
          <w:lang w:val="hr-HR"/>
        </w:rPr>
      </w:pPr>
    </w:p>
    <w:p w14:paraId="2EFD9E3B" w14:textId="77777777" w:rsidR="00E40785" w:rsidRPr="0013178E" w:rsidRDefault="00E40785" w:rsidP="00430A60">
      <w:pPr>
        <w:overflowPunct w:val="0"/>
        <w:autoSpaceDN w:val="0"/>
        <w:adjustRightInd w:val="0"/>
        <w:spacing w:before="60"/>
        <w:jc w:val="both"/>
        <w:textAlignment w:val="baseline"/>
        <w:rPr>
          <w:sz w:val="22"/>
          <w:szCs w:val="22"/>
          <w:lang w:val="hr-HR"/>
        </w:rPr>
      </w:pPr>
      <w:r w:rsidRPr="0013178E">
        <w:rPr>
          <w:sz w:val="22"/>
          <w:szCs w:val="22"/>
          <w:lang w:val="hr-HR"/>
        </w:rPr>
        <w:t>Pacijenti treba da nose karticu za liječenje kortikosteroidima, koja sadrži uputstva o mjerama predostrožnosti koje treba preduzeti da bi se rizik smanjio na minimum i daje informacije o ljekaru koji je propisao kortikosteroide, vrsti lijeka, dozi i trajanju liječenja.</w:t>
      </w:r>
    </w:p>
    <w:p w14:paraId="52AC1ACB" w14:textId="77777777" w:rsidR="00E40785" w:rsidRPr="0013178E" w:rsidRDefault="00E40785" w:rsidP="00430A60">
      <w:pPr>
        <w:numPr>
          <w:ilvl w:val="12"/>
          <w:numId w:val="0"/>
        </w:numPr>
        <w:overflowPunct w:val="0"/>
        <w:autoSpaceDN w:val="0"/>
        <w:adjustRightInd w:val="0"/>
        <w:jc w:val="both"/>
        <w:textAlignment w:val="baseline"/>
        <w:rPr>
          <w:sz w:val="22"/>
          <w:szCs w:val="22"/>
          <w:lang w:val="hr-HR"/>
        </w:rPr>
      </w:pPr>
    </w:p>
    <w:p w14:paraId="2F8CC406" w14:textId="77777777" w:rsidR="00E40785" w:rsidRPr="0013178E" w:rsidRDefault="00E40785" w:rsidP="00430A60">
      <w:pPr>
        <w:numPr>
          <w:ilvl w:val="12"/>
          <w:numId w:val="0"/>
        </w:numPr>
        <w:overflowPunct w:val="0"/>
        <w:autoSpaceDN w:val="0"/>
        <w:adjustRightInd w:val="0"/>
        <w:jc w:val="both"/>
        <w:textAlignment w:val="baseline"/>
        <w:rPr>
          <w:sz w:val="22"/>
          <w:szCs w:val="22"/>
          <w:lang w:val="hr-HR"/>
        </w:rPr>
      </w:pPr>
      <w:r w:rsidRPr="0013178E">
        <w:rPr>
          <w:sz w:val="22"/>
          <w:szCs w:val="22"/>
          <w:lang w:val="hr-HR"/>
        </w:rPr>
        <w:t>Sekundarna adrenokortikalna insuficijencija indukovana lijekom može se minimizirati postepenim smanjenjem doze. Ova vrsta relativne insuficijencije može da traje mjesecima nakon prekida terapije. Iz tog razloga, hormonsku terapiju treba obnoviti u bilo kojoj situaciji pojave stresa tokom tog perioda.</w:t>
      </w:r>
    </w:p>
    <w:p w14:paraId="4648F1B2" w14:textId="77777777" w:rsidR="00E40785" w:rsidRPr="0013178E" w:rsidRDefault="00E40785" w:rsidP="00430A60">
      <w:pPr>
        <w:numPr>
          <w:ilvl w:val="12"/>
          <w:numId w:val="0"/>
        </w:numPr>
        <w:overflowPunct w:val="0"/>
        <w:autoSpaceDN w:val="0"/>
        <w:adjustRightInd w:val="0"/>
        <w:jc w:val="both"/>
        <w:textAlignment w:val="baseline"/>
        <w:rPr>
          <w:sz w:val="22"/>
          <w:szCs w:val="22"/>
          <w:lang w:val="hr-HR"/>
        </w:rPr>
      </w:pPr>
    </w:p>
    <w:p w14:paraId="776D197F" w14:textId="10FDFE5A" w:rsidR="00E40785" w:rsidRPr="0013178E" w:rsidRDefault="00E40785" w:rsidP="00430A60">
      <w:pPr>
        <w:numPr>
          <w:ilvl w:val="12"/>
          <w:numId w:val="0"/>
        </w:numPr>
        <w:overflowPunct w:val="0"/>
        <w:autoSpaceDN w:val="0"/>
        <w:adjustRightInd w:val="0"/>
        <w:jc w:val="both"/>
        <w:textAlignment w:val="baseline"/>
        <w:rPr>
          <w:sz w:val="22"/>
          <w:szCs w:val="22"/>
          <w:lang w:val="hr-HR"/>
        </w:rPr>
      </w:pPr>
      <w:r w:rsidRPr="0013178E">
        <w:rPr>
          <w:sz w:val="22"/>
          <w:szCs w:val="22"/>
          <w:lang w:val="hr-HR"/>
        </w:rPr>
        <w:t>„Sindrom povlačenja“</w:t>
      </w:r>
      <w:r w:rsidR="00DB1914" w:rsidRPr="0013178E">
        <w:rPr>
          <w:sz w:val="22"/>
          <w:szCs w:val="22"/>
          <w:lang w:val="hr-HR"/>
        </w:rPr>
        <w:t xml:space="preserve"> steroida</w:t>
      </w:r>
      <w:r w:rsidRPr="0013178E">
        <w:rPr>
          <w:sz w:val="22"/>
          <w:szCs w:val="22"/>
          <w:lang w:val="hr-HR"/>
        </w:rPr>
        <w:t xml:space="preserve">, naizgled nepovezan sa adrenokortikalnom insuficijencijom, može se takođe javiti pri naglom prekidu </w:t>
      </w:r>
      <w:r w:rsidR="005F5586" w:rsidRPr="0013178E">
        <w:rPr>
          <w:sz w:val="22"/>
          <w:szCs w:val="22"/>
          <w:lang w:val="hr-HR"/>
        </w:rPr>
        <w:t xml:space="preserve">terapije </w:t>
      </w:r>
      <w:r w:rsidRPr="0013178E">
        <w:rPr>
          <w:sz w:val="22"/>
          <w:szCs w:val="22"/>
          <w:lang w:val="hr-HR"/>
        </w:rPr>
        <w:t>glukokortikoid</w:t>
      </w:r>
      <w:r w:rsidR="005F5586" w:rsidRPr="0013178E">
        <w:rPr>
          <w:sz w:val="22"/>
          <w:szCs w:val="22"/>
          <w:lang w:val="hr-HR"/>
        </w:rPr>
        <w:t>im</w:t>
      </w:r>
      <w:r w:rsidRPr="0013178E">
        <w:rPr>
          <w:sz w:val="22"/>
          <w:szCs w:val="22"/>
          <w:lang w:val="hr-HR"/>
        </w:rPr>
        <w:t xml:space="preserve">a. Taj sindrom uključuje simptome kao što su anoreksija, mučnina, povraćanje, letargija, glavobolja, groznica, bol u zglobovima, ljuštenje kože, mijalgija, gubitak tjelesne </w:t>
      </w:r>
      <w:r w:rsidR="000C1851">
        <w:rPr>
          <w:sz w:val="22"/>
          <w:szCs w:val="22"/>
          <w:lang w:val="hr-HR"/>
        </w:rPr>
        <w:t>mase</w:t>
      </w:r>
      <w:r w:rsidR="000C1851" w:rsidRPr="0013178E">
        <w:rPr>
          <w:sz w:val="22"/>
          <w:szCs w:val="22"/>
          <w:lang w:val="hr-HR"/>
        </w:rPr>
        <w:t xml:space="preserve"> </w:t>
      </w:r>
      <w:r w:rsidRPr="0013178E">
        <w:rPr>
          <w:sz w:val="22"/>
          <w:szCs w:val="22"/>
          <w:lang w:val="hr-HR"/>
        </w:rPr>
        <w:t xml:space="preserve">i/ili hipotenzija. Smatra se da ta dejstva nastaju </w:t>
      </w:r>
      <w:r w:rsidR="00E76A06" w:rsidRPr="0013178E">
        <w:rPr>
          <w:sz w:val="22"/>
          <w:szCs w:val="22"/>
          <w:lang w:val="hr-HR"/>
        </w:rPr>
        <w:t>usl</w:t>
      </w:r>
      <w:r w:rsidR="000D3287" w:rsidRPr="0013178E">
        <w:rPr>
          <w:sz w:val="22"/>
          <w:szCs w:val="22"/>
          <w:lang w:val="hr-HR"/>
        </w:rPr>
        <w:t>ed</w:t>
      </w:r>
      <w:r w:rsidRPr="0013178E">
        <w:rPr>
          <w:sz w:val="22"/>
          <w:szCs w:val="22"/>
          <w:lang w:val="hr-HR"/>
        </w:rPr>
        <w:t xml:space="preserve"> nagle promjene u koncentraciji glukokortikoida, a ne </w:t>
      </w:r>
      <w:r w:rsidR="00E76A06" w:rsidRPr="0013178E">
        <w:rPr>
          <w:sz w:val="22"/>
          <w:szCs w:val="22"/>
          <w:lang w:val="hr-HR"/>
        </w:rPr>
        <w:t>usl</w:t>
      </w:r>
      <w:r w:rsidR="000D3287" w:rsidRPr="0013178E">
        <w:rPr>
          <w:sz w:val="22"/>
          <w:szCs w:val="22"/>
          <w:lang w:val="hr-HR"/>
        </w:rPr>
        <w:t>ed</w:t>
      </w:r>
      <w:r w:rsidRPr="0013178E">
        <w:rPr>
          <w:sz w:val="22"/>
          <w:szCs w:val="22"/>
          <w:lang w:val="hr-HR"/>
        </w:rPr>
        <w:t xml:space="preserve"> niskih koncentracija kortikosteroida.</w:t>
      </w:r>
    </w:p>
    <w:p w14:paraId="2F780331" w14:textId="77777777" w:rsidR="00E40785" w:rsidRPr="0013178E" w:rsidRDefault="00E40785" w:rsidP="00430A60">
      <w:pPr>
        <w:numPr>
          <w:ilvl w:val="12"/>
          <w:numId w:val="0"/>
        </w:numPr>
        <w:overflowPunct w:val="0"/>
        <w:autoSpaceDN w:val="0"/>
        <w:adjustRightInd w:val="0"/>
        <w:jc w:val="both"/>
        <w:textAlignment w:val="baseline"/>
        <w:rPr>
          <w:sz w:val="22"/>
          <w:szCs w:val="22"/>
          <w:lang w:val="hr-HR"/>
        </w:rPr>
      </w:pPr>
    </w:p>
    <w:p w14:paraId="2A1F3190" w14:textId="2B0DEE74" w:rsidR="00E40785" w:rsidRPr="0013178E" w:rsidRDefault="00E40785" w:rsidP="00430A60">
      <w:pPr>
        <w:numPr>
          <w:ilvl w:val="12"/>
          <w:numId w:val="0"/>
        </w:numPr>
        <w:overflowPunct w:val="0"/>
        <w:autoSpaceDN w:val="0"/>
        <w:adjustRightInd w:val="0"/>
        <w:jc w:val="both"/>
        <w:textAlignment w:val="baseline"/>
        <w:rPr>
          <w:sz w:val="22"/>
          <w:szCs w:val="22"/>
          <w:lang w:val="hr-HR"/>
        </w:rPr>
      </w:pPr>
      <w:r w:rsidRPr="0013178E">
        <w:rPr>
          <w:sz w:val="22"/>
          <w:szCs w:val="22"/>
          <w:lang w:val="hr-HR"/>
        </w:rPr>
        <w:t xml:space="preserve">Pošto glukokortikoidi mogu izazvati ili pogoršati Kušingov sindrom, treba </w:t>
      </w:r>
      <w:r w:rsidR="00E32513" w:rsidRPr="0013178E">
        <w:rPr>
          <w:sz w:val="22"/>
          <w:szCs w:val="22"/>
          <w:lang w:val="hr-HR"/>
        </w:rPr>
        <w:t xml:space="preserve">ih </w:t>
      </w:r>
      <w:r w:rsidRPr="0013178E">
        <w:rPr>
          <w:sz w:val="22"/>
          <w:szCs w:val="22"/>
          <w:lang w:val="hr-HR"/>
        </w:rPr>
        <w:t xml:space="preserve">izbjegavati kod pacijenata sa Kušingovom bolešću. </w:t>
      </w:r>
    </w:p>
    <w:p w14:paraId="09BD3516" w14:textId="77777777" w:rsidR="00E40785" w:rsidRPr="0013178E" w:rsidRDefault="00E40785" w:rsidP="00430A60">
      <w:pPr>
        <w:overflowPunct w:val="0"/>
        <w:autoSpaceDN w:val="0"/>
        <w:adjustRightInd w:val="0"/>
        <w:jc w:val="both"/>
        <w:textAlignment w:val="baseline"/>
        <w:rPr>
          <w:sz w:val="22"/>
          <w:szCs w:val="22"/>
          <w:lang w:val="hr-HR"/>
        </w:rPr>
      </w:pPr>
    </w:p>
    <w:p w14:paraId="3AAA4351" w14:textId="77777777" w:rsidR="00E40785" w:rsidRDefault="00E40785" w:rsidP="00430A60">
      <w:pPr>
        <w:overflowPunct w:val="0"/>
        <w:autoSpaceDN w:val="0"/>
        <w:adjustRightInd w:val="0"/>
        <w:jc w:val="both"/>
        <w:textAlignment w:val="baseline"/>
        <w:rPr>
          <w:sz w:val="22"/>
          <w:szCs w:val="22"/>
          <w:lang w:val="hr-HR"/>
        </w:rPr>
      </w:pPr>
      <w:r w:rsidRPr="0013178E">
        <w:rPr>
          <w:sz w:val="22"/>
          <w:szCs w:val="22"/>
          <w:lang w:val="hr-HR"/>
        </w:rPr>
        <w:t>Dejstvo kortikosteroida pojačano je kod pacijenata sa hipotireozom. Izlučivanje hormona štitne žlijezde može biti inhibirano, što može pogoršati hipotireozu, tako da je potrebna opreznost kod pacijenata sa hipotireozom.</w:t>
      </w:r>
    </w:p>
    <w:p w14:paraId="4E9BCE10" w14:textId="77777777" w:rsidR="000E0B5A" w:rsidRDefault="000E0B5A" w:rsidP="00430A60">
      <w:pPr>
        <w:overflowPunct w:val="0"/>
        <w:autoSpaceDN w:val="0"/>
        <w:adjustRightInd w:val="0"/>
        <w:jc w:val="both"/>
        <w:textAlignment w:val="baseline"/>
        <w:rPr>
          <w:sz w:val="22"/>
          <w:szCs w:val="22"/>
          <w:lang w:val="hr-HR"/>
        </w:rPr>
      </w:pPr>
    </w:p>
    <w:p w14:paraId="60EDCD85" w14:textId="7F73FD36" w:rsidR="000E0B5A" w:rsidRPr="00721116" w:rsidRDefault="000E0B5A" w:rsidP="00430A60">
      <w:pPr>
        <w:spacing w:after="140"/>
        <w:jc w:val="both"/>
        <w:rPr>
          <w:color w:val="000000"/>
          <w:sz w:val="22"/>
          <w:szCs w:val="22"/>
          <w:lang w:val="hr-HR"/>
        </w:rPr>
      </w:pPr>
      <w:bookmarkStart w:id="0" w:name="_Hlk179789828"/>
      <w:r w:rsidRPr="00721116">
        <w:rPr>
          <w:color w:val="000000"/>
          <w:sz w:val="22"/>
          <w:szCs w:val="22"/>
          <w:lang w:val="hr-HR"/>
        </w:rPr>
        <w:t>Tirotoksična periodična paraliza (TPP) može se javiti kod pacijenata sa hipertireozom i hipokalemijom izazvanom metilprednizolonom. Na TPP se mora posumnjati kod pacijenata liječenih metilprednizolonom koji pokazuju znakove ili simptome mišićne slabosti, posebno kod pacijenata s hipertireozom. Ako se sumnja na TPP, nivoi kalijuma u krvi moraju se odmah pratiti i adekvatno upravljati kako bi se osiguralo uspostavljanje normalnih nivoa kalijuma u krvi.</w:t>
      </w:r>
      <w:bookmarkEnd w:id="0"/>
    </w:p>
    <w:p w14:paraId="30E5485A" w14:textId="77777777" w:rsidR="00E40785" w:rsidRPr="0013178E" w:rsidRDefault="00E40785" w:rsidP="00430A60">
      <w:pPr>
        <w:overflowPunct w:val="0"/>
        <w:autoSpaceDN w:val="0"/>
        <w:adjustRightInd w:val="0"/>
        <w:jc w:val="both"/>
        <w:textAlignment w:val="baseline"/>
        <w:rPr>
          <w:sz w:val="22"/>
          <w:szCs w:val="22"/>
          <w:lang w:val="hr-HR"/>
        </w:rPr>
      </w:pPr>
    </w:p>
    <w:p w14:paraId="67157AF0" w14:textId="77777777" w:rsidR="00E40785" w:rsidRPr="0013178E" w:rsidRDefault="00E40785" w:rsidP="00430A60">
      <w:pPr>
        <w:numPr>
          <w:ilvl w:val="12"/>
          <w:numId w:val="0"/>
        </w:numPr>
        <w:overflowPunct w:val="0"/>
        <w:autoSpaceDN w:val="0"/>
        <w:adjustRightInd w:val="0"/>
        <w:jc w:val="both"/>
        <w:textAlignment w:val="baseline"/>
        <w:rPr>
          <w:b/>
          <w:sz w:val="22"/>
          <w:szCs w:val="22"/>
          <w:lang w:val="hr-HR"/>
        </w:rPr>
      </w:pPr>
      <w:r w:rsidRPr="0013178E">
        <w:rPr>
          <w:b/>
          <w:sz w:val="22"/>
          <w:szCs w:val="22"/>
          <w:lang w:val="hr-HR"/>
        </w:rPr>
        <w:t>Metabolizam i ishrana</w:t>
      </w:r>
    </w:p>
    <w:p w14:paraId="3E1A25A6" w14:textId="7760374D" w:rsidR="00E40785" w:rsidRPr="0013178E" w:rsidRDefault="00E40785" w:rsidP="00430A60">
      <w:pPr>
        <w:numPr>
          <w:ilvl w:val="12"/>
          <w:numId w:val="0"/>
        </w:numPr>
        <w:overflowPunct w:val="0"/>
        <w:autoSpaceDN w:val="0"/>
        <w:adjustRightInd w:val="0"/>
        <w:jc w:val="both"/>
        <w:textAlignment w:val="baseline"/>
        <w:rPr>
          <w:i/>
          <w:sz w:val="22"/>
          <w:szCs w:val="22"/>
          <w:lang w:val="hr-HR"/>
        </w:rPr>
      </w:pPr>
      <w:r w:rsidRPr="0013178E">
        <w:rPr>
          <w:sz w:val="22"/>
          <w:szCs w:val="22"/>
          <w:lang w:val="hr-HR"/>
        </w:rPr>
        <w:t xml:space="preserve">Kortikosteroidi, uključujući metilprednizolon, mogu povisiti koncentraciju glukoze u krvi, pogoršati već postojeći dijabetes i tako predisponirati pacijente koji su na dugotrajnoj terapiji kortikosteroidima nastanku </w:t>
      </w:r>
      <w:r w:rsidR="000D3287" w:rsidRPr="0013178E">
        <w:rPr>
          <w:sz w:val="22"/>
          <w:szCs w:val="22"/>
          <w:lang w:val="hr-HR"/>
        </w:rPr>
        <w:t>dijabetes</w:t>
      </w:r>
      <w:r w:rsidRPr="0013178E">
        <w:rPr>
          <w:sz w:val="22"/>
          <w:szCs w:val="22"/>
          <w:lang w:val="hr-HR"/>
        </w:rPr>
        <w:t xml:space="preserve"> melitusa.</w:t>
      </w:r>
    </w:p>
    <w:p w14:paraId="0C2330B1" w14:textId="77777777" w:rsidR="00E40785" w:rsidRPr="0013178E" w:rsidRDefault="00E40785" w:rsidP="00E40785">
      <w:pPr>
        <w:numPr>
          <w:ilvl w:val="12"/>
          <w:numId w:val="0"/>
        </w:numPr>
        <w:overflowPunct w:val="0"/>
        <w:autoSpaceDN w:val="0"/>
        <w:adjustRightInd w:val="0"/>
        <w:textAlignment w:val="baseline"/>
        <w:rPr>
          <w:i/>
          <w:color w:val="FF0000"/>
          <w:sz w:val="22"/>
          <w:szCs w:val="22"/>
          <w:lang w:val="hr-HR"/>
        </w:rPr>
      </w:pPr>
    </w:p>
    <w:p w14:paraId="3D0FB28B" w14:textId="77777777" w:rsidR="00E40785" w:rsidRPr="0013178E" w:rsidRDefault="00E40785" w:rsidP="00430A60">
      <w:pPr>
        <w:numPr>
          <w:ilvl w:val="12"/>
          <w:numId w:val="0"/>
        </w:numPr>
        <w:overflowPunct w:val="0"/>
        <w:autoSpaceDN w:val="0"/>
        <w:adjustRightInd w:val="0"/>
        <w:jc w:val="both"/>
        <w:textAlignment w:val="baseline"/>
        <w:rPr>
          <w:b/>
          <w:sz w:val="22"/>
          <w:szCs w:val="22"/>
          <w:lang w:val="hr-HR"/>
        </w:rPr>
      </w:pPr>
      <w:r w:rsidRPr="0013178E">
        <w:rPr>
          <w:b/>
          <w:sz w:val="22"/>
          <w:szCs w:val="22"/>
          <w:lang w:val="hr-HR"/>
        </w:rPr>
        <w:t>Psihijatrijski efekti</w:t>
      </w:r>
    </w:p>
    <w:p w14:paraId="1E4159D6" w14:textId="77777777" w:rsidR="00E40785" w:rsidRPr="0013178E" w:rsidRDefault="00E40785" w:rsidP="00430A60">
      <w:pPr>
        <w:overflowPunct w:val="0"/>
        <w:autoSpaceDN w:val="0"/>
        <w:adjustRightInd w:val="0"/>
        <w:jc w:val="both"/>
        <w:textAlignment w:val="baseline"/>
        <w:rPr>
          <w:sz w:val="22"/>
          <w:szCs w:val="22"/>
          <w:lang w:val="hr-HR"/>
        </w:rPr>
      </w:pPr>
      <w:r w:rsidRPr="0013178E">
        <w:rPr>
          <w:sz w:val="22"/>
          <w:szCs w:val="22"/>
          <w:lang w:val="hr-HR"/>
        </w:rPr>
        <w:t xml:space="preserve">Za vrijeme kortikosteroidne terapije može doći do euforije, insomnije, promjene raspoloženja, poremećaja </w:t>
      </w:r>
      <w:r w:rsidRPr="0013178E">
        <w:rPr>
          <w:sz w:val="22"/>
          <w:szCs w:val="22"/>
          <w:lang w:val="hr-HR"/>
        </w:rPr>
        <w:lastRenderedPageBreak/>
        <w:t xml:space="preserve">ličnosti, teške depresije i izraženih psihotičnih manifestacija. Takođe, postojeća emotivna labilnost ili psihotično ponašanje može biti pojačano. </w:t>
      </w:r>
    </w:p>
    <w:p w14:paraId="4C202A54" w14:textId="77777777" w:rsidR="00E40785" w:rsidRPr="0013178E" w:rsidRDefault="00E40785" w:rsidP="00430A60">
      <w:pPr>
        <w:numPr>
          <w:ilvl w:val="12"/>
          <w:numId w:val="0"/>
        </w:numPr>
        <w:overflowPunct w:val="0"/>
        <w:autoSpaceDN w:val="0"/>
        <w:adjustRightInd w:val="0"/>
        <w:jc w:val="both"/>
        <w:textAlignment w:val="baseline"/>
        <w:rPr>
          <w:b/>
          <w:sz w:val="22"/>
          <w:szCs w:val="22"/>
          <w:lang w:val="hr-HR"/>
        </w:rPr>
      </w:pPr>
    </w:p>
    <w:p w14:paraId="0904AC37" w14:textId="4B2A441B" w:rsidR="00E40785" w:rsidRPr="0013178E" w:rsidRDefault="00E40785" w:rsidP="00430A60">
      <w:pPr>
        <w:overflowPunct w:val="0"/>
        <w:autoSpaceDN w:val="0"/>
        <w:adjustRightInd w:val="0"/>
        <w:jc w:val="both"/>
        <w:textAlignment w:val="baseline"/>
        <w:rPr>
          <w:sz w:val="22"/>
          <w:szCs w:val="22"/>
          <w:lang w:val="hr-HR"/>
        </w:rPr>
      </w:pPr>
      <w:r w:rsidRPr="0013178E">
        <w:rPr>
          <w:sz w:val="22"/>
          <w:szCs w:val="22"/>
          <w:lang w:val="hr-HR"/>
        </w:rPr>
        <w:t xml:space="preserve">Treba upozoriti pacijente i/ili njihove njegovatelje da primjena sistemskih steroida može dovesti to ozbiljnih psihijatrijskih neželjenih reakcija (vidjeti </w:t>
      </w:r>
      <w:r w:rsidR="009E76C5">
        <w:rPr>
          <w:sz w:val="22"/>
          <w:szCs w:val="22"/>
          <w:lang w:val="hr-HR"/>
        </w:rPr>
        <w:t>dio</w:t>
      </w:r>
      <w:r w:rsidRPr="0013178E">
        <w:rPr>
          <w:sz w:val="22"/>
          <w:szCs w:val="22"/>
          <w:lang w:val="hr-HR"/>
        </w:rPr>
        <w:t xml:space="preserve"> 4.8</w:t>
      </w:r>
      <w:r w:rsidR="007D674B">
        <w:rPr>
          <w:sz w:val="22"/>
          <w:szCs w:val="22"/>
          <w:lang w:val="hr-HR"/>
        </w:rPr>
        <w:t>.</w:t>
      </w:r>
      <w:r w:rsidRPr="0013178E">
        <w:rPr>
          <w:sz w:val="22"/>
          <w:szCs w:val="22"/>
          <w:lang w:val="hr-HR"/>
        </w:rPr>
        <w:t xml:space="preserve">). Simptomi se obično javljaju prvih nekoliko dana od početka terapije. Većina reakcija se povlači nakon smanjenja doze ili prekida primjene, mada može biti potrebno posebno liječenje. Treba ohrabriti pacijente/njihove njegovatelje da se obrate ljekaru ukoliko se pojave psihološki simptomi, naročito kod sumnje na depresivne misli ili suicidalne ideje. Pacijente/njihove njegovatelje treba upozoriti na moguće psihijatrijske poremećaje koji se mogu javiti za vrijeme ili odmah nakon smanjenja doze/povlačenja sistemskih steroida. </w:t>
      </w:r>
    </w:p>
    <w:p w14:paraId="134F6957" w14:textId="77777777" w:rsidR="00E40785" w:rsidRPr="0013178E" w:rsidRDefault="00E40785" w:rsidP="00430A60">
      <w:pPr>
        <w:overflowPunct w:val="0"/>
        <w:autoSpaceDN w:val="0"/>
        <w:adjustRightInd w:val="0"/>
        <w:jc w:val="both"/>
        <w:textAlignment w:val="baseline"/>
        <w:rPr>
          <w:color w:val="FF0000"/>
          <w:sz w:val="22"/>
          <w:szCs w:val="22"/>
          <w:lang w:val="hr-HR"/>
        </w:rPr>
      </w:pPr>
    </w:p>
    <w:p w14:paraId="6888DA49" w14:textId="77777777" w:rsidR="00E40785" w:rsidRPr="0013178E" w:rsidRDefault="00E40785" w:rsidP="00430A60">
      <w:pPr>
        <w:overflowPunct w:val="0"/>
        <w:autoSpaceDN w:val="0"/>
        <w:adjustRightInd w:val="0"/>
        <w:jc w:val="both"/>
        <w:textAlignment w:val="baseline"/>
        <w:rPr>
          <w:sz w:val="22"/>
          <w:szCs w:val="22"/>
          <w:lang w:val="hr-HR"/>
        </w:rPr>
      </w:pPr>
      <w:r w:rsidRPr="0013178E">
        <w:rPr>
          <w:sz w:val="22"/>
          <w:szCs w:val="22"/>
          <w:lang w:val="hr-HR"/>
        </w:rPr>
        <w:t xml:space="preserve">Poseban oprez je neophodan kada se razmatra primjena kortikosteroida kod pacijenata sa postojećom ili pozitivnom anamnezom teških afektivnih poremećaja. Ovdje spadaju manične ili manično-depresivne bolesti ili prethodna steroidna psihoza. </w:t>
      </w:r>
    </w:p>
    <w:p w14:paraId="652B1EC0" w14:textId="77777777" w:rsidR="00E40785" w:rsidRPr="0013178E" w:rsidRDefault="00E40785" w:rsidP="00430A60">
      <w:pPr>
        <w:overflowPunct w:val="0"/>
        <w:autoSpaceDN w:val="0"/>
        <w:adjustRightInd w:val="0"/>
        <w:jc w:val="both"/>
        <w:textAlignment w:val="baseline"/>
        <w:rPr>
          <w:sz w:val="22"/>
          <w:szCs w:val="22"/>
          <w:lang w:val="hr-HR"/>
        </w:rPr>
      </w:pPr>
    </w:p>
    <w:p w14:paraId="42478BBC" w14:textId="77777777" w:rsidR="00E40785" w:rsidRPr="0013178E" w:rsidRDefault="00E40785" w:rsidP="00430A60">
      <w:pPr>
        <w:numPr>
          <w:ilvl w:val="12"/>
          <w:numId w:val="0"/>
        </w:numPr>
        <w:overflowPunct w:val="0"/>
        <w:autoSpaceDN w:val="0"/>
        <w:adjustRightInd w:val="0"/>
        <w:jc w:val="both"/>
        <w:textAlignment w:val="baseline"/>
        <w:rPr>
          <w:b/>
          <w:sz w:val="22"/>
          <w:szCs w:val="22"/>
          <w:lang w:val="hr-HR"/>
        </w:rPr>
      </w:pPr>
      <w:r w:rsidRPr="0013178E">
        <w:rPr>
          <w:b/>
          <w:sz w:val="22"/>
          <w:szCs w:val="22"/>
          <w:lang w:val="hr-HR"/>
        </w:rPr>
        <w:t>Efekti na nervni sistem</w:t>
      </w:r>
    </w:p>
    <w:p w14:paraId="4DC878EC" w14:textId="77777777" w:rsidR="00E40785" w:rsidRPr="0013178E" w:rsidRDefault="00E40785" w:rsidP="00430A60">
      <w:pPr>
        <w:overflowPunct w:val="0"/>
        <w:autoSpaceDN w:val="0"/>
        <w:adjustRightInd w:val="0"/>
        <w:jc w:val="both"/>
        <w:textAlignment w:val="baseline"/>
        <w:rPr>
          <w:sz w:val="22"/>
          <w:szCs w:val="22"/>
          <w:lang w:val="hr-HR"/>
        </w:rPr>
      </w:pPr>
      <w:r w:rsidRPr="0013178E">
        <w:rPr>
          <w:sz w:val="22"/>
          <w:szCs w:val="22"/>
          <w:lang w:val="hr-HR"/>
        </w:rPr>
        <w:t>Kortikosteroide treba koristiti sa oprezom kod pacijenata sa konvulzivnim poremećajima.</w:t>
      </w:r>
    </w:p>
    <w:p w14:paraId="1ED3D678" w14:textId="77777777" w:rsidR="00E40785" w:rsidRPr="0013178E" w:rsidRDefault="00E40785" w:rsidP="00430A60">
      <w:pPr>
        <w:overflowPunct w:val="0"/>
        <w:autoSpaceDN w:val="0"/>
        <w:adjustRightInd w:val="0"/>
        <w:jc w:val="both"/>
        <w:textAlignment w:val="baseline"/>
        <w:rPr>
          <w:sz w:val="22"/>
          <w:szCs w:val="22"/>
          <w:lang w:val="hr-HR"/>
        </w:rPr>
      </w:pPr>
    </w:p>
    <w:p w14:paraId="3FD7802D" w14:textId="65BCA7EE" w:rsidR="00E40785" w:rsidRPr="0013178E" w:rsidRDefault="00E40785" w:rsidP="00430A60">
      <w:pPr>
        <w:overflowPunct w:val="0"/>
        <w:autoSpaceDN w:val="0"/>
        <w:adjustRightInd w:val="0"/>
        <w:jc w:val="both"/>
        <w:textAlignment w:val="baseline"/>
        <w:rPr>
          <w:sz w:val="22"/>
          <w:szCs w:val="22"/>
          <w:lang w:val="hr-HR"/>
        </w:rPr>
      </w:pPr>
      <w:r w:rsidRPr="0013178E">
        <w:rPr>
          <w:sz w:val="22"/>
          <w:szCs w:val="22"/>
          <w:lang w:val="hr-HR"/>
        </w:rPr>
        <w:t xml:space="preserve">Kortikosteroide treba primjenjivati sa oprezom kod pacijenata sa miastenijom gravis. (Takođe vidjeti podatke o miopatijama u </w:t>
      </w:r>
      <w:r w:rsidR="009E76C5">
        <w:rPr>
          <w:sz w:val="22"/>
          <w:szCs w:val="22"/>
          <w:lang w:val="hr-HR"/>
        </w:rPr>
        <w:t>dijelu</w:t>
      </w:r>
      <w:r w:rsidRPr="0013178E">
        <w:rPr>
          <w:sz w:val="22"/>
          <w:szCs w:val="22"/>
          <w:lang w:val="hr-HR"/>
        </w:rPr>
        <w:t xml:space="preserve"> koji se odnosi na Poremećaje mišićno-skeletnog sistema). </w:t>
      </w:r>
    </w:p>
    <w:p w14:paraId="495D1C3C" w14:textId="77777777" w:rsidR="00E40785" w:rsidRPr="0013178E" w:rsidRDefault="00E40785" w:rsidP="00430A60">
      <w:pPr>
        <w:overflowPunct w:val="0"/>
        <w:autoSpaceDN w:val="0"/>
        <w:adjustRightInd w:val="0"/>
        <w:jc w:val="both"/>
        <w:textAlignment w:val="baseline"/>
        <w:rPr>
          <w:sz w:val="22"/>
          <w:szCs w:val="22"/>
          <w:lang w:val="hr-HR"/>
        </w:rPr>
      </w:pPr>
    </w:p>
    <w:p w14:paraId="1410F421" w14:textId="3FDEECE0" w:rsidR="00E40785" w:rsidRPr="0013178E" w:rsidRDefault="00E40785" w:rsidP="00430A60">
      <w:pPr>
        <w:numPr>
          <w:ilvl w:val="12"/>
          <w:numId w:val="0"/>
        </w:numPr>
        <w:overflowPunct w:val="0"/>
        <w:autoSpaceDN w:val="0"/>
        <w:adjustRightInd w:val="0"/>
        <w:jc w:val="both"/>
        <w:textAlignment w:val="baseline"/>
        <w:rPr>
          <w:sz w:val="22"/>
          <w:szCs w:val="22"/>
          <w:lang w:val="hr-HR"/>
        </w:rPr>
      </w:pPr>
      <w:r w:rsidRPr="0013178E">
        <w:rPr>
          <w:sz w:val="22"/>
          <w:szCs w:val="22"/>
          <w:lang w:val="hr-HR"/>
        </w:rPr>
        <w:t>Iako su kontrolisana klinička ispitivanja pokazala da su kortikosteroidi efikasni prilikom akutnih egzacerbacija multiple skleroze, nijesu pokazala da kortikosteroidi utiču na</w:t>
      </w:r>
      <w:r w:rsidR="00B465F2" w:rsidRPr="0013178E">
        <w:rPr>
          <w:sz w:val="22"/>
          <w:szCs w:val="22"/>
          <w:lang w:val="hr-HR"/>
        </w:rPr>
        <w:t xml:space="preserve"> </w:t>
      </w:r>
      <w:r w:rsidR="007D69E3" w:rsidRPr="0013178E">
        <w:rPr>
          <w:sz w:val="22"/>
          <w:szCs w:val="22"/>
          <w:lang w:val="hr-HR"/>
        </w:rPr>
        <w:t>krajnji</w:t>
      </w:r>
      <w:r w:rsidRPr="0013178E">
        <w:rPr>
          <w:sz w:val="22"/>
          <w:szCs w:val="22"/>
          <w:lang w:val="hr-HR"/>
        </w:rPr>
        <w:t xml:space="preserve"> ishod ili prirodni tok bolesti. Ispitivanja su pokazala da su potrebne relativno visoke doze kortikosteroida za značajniji efekat.</w:t>
      </w:r>
    </w:p>
    <w:p w14:paraId="697250A8" w14:textId="77777777" w:rsidR="00E40785" w:rsidRPr="0013178E" w:rsidRDefault="00E40785" w:rsidP="00430A60">
      <w:pPr>
        <w:overflowPunct w:val="0"/>
        <w:autoSpaceDN w:val="0"/>
        <w:adjustRightInd w:val="0"/>
        <w:jc w:val="both"/>
        <w:textAlignment w:val="baseline"/>
        <w:rPr>
          <w:color w:val="FF0000"/>
          <w:sz w:val="22"/>
          <w:szCs w:val="22"/>
          <w:lang w:val="hr-HR"/>
        </w:rPr>
      </w:pPr>
    </w:p>
    <w:p w14:paraId="618D1F7C" w14:textId="2E35A551" w:rsidR="00E40785" w:rsidRPr="0013178E" w:rsidRDefault="00E40785" w:rsidP="00430A60">
      <w:pPr>
        <w:numPr>
          <w:ilvl w:val="12"/>
          <w:numId w:val="0"/>
        </w:numPr>
        <w:overflowPunct w:val="0"/>
        <w:autoSpaceDN w:val="0"/>
        <w:adjustRightInd w:val="0"/>
        <w:jc w:val="both"/>
        <w:textAlignment w:val="baseline"/>
        <w:rPr>
          <w:spacing w:val="-4"/>
          <w:sz w:val="22"/>
          <w:szCs w:val="22"/>
          <w:lang w:val="hr-HR"/>
        </w:rPr>
      </w:pPr>
      <w:r w:rsidRPr="0013178E">
        <w:rPr>
          <w:spacing w:val="-4"/>
          <w:sz w:val="22"/>
          <w:szCs w:val="22"/>
          <w:lang w:val="hr-HR"/>
        </w:rPr>
        <w:t xml:space="preserve">Ozbiljni medicinski događaji prijavljeni su prilikom intratekalne/epiduralne primjene lijeka (vidjeti </w:t>
      </w:r>
      <w:r w:rsidR="009E76C5">
        <w:rPr>
          <w:spacing w:val="-4"/>
          <w:sz w:val="22"/>
          <w:szCs w:val="22"/>
          <w:lang w:val="hr-HR"/>
        </w:rPr>
        <w:t>dio</w:t>
      </w:r>
      <w:r w:rsidRPr="0013178E">
        <w:rPr>
          <w:spacing w:val="-4"/>
          <w:sz w:val="22"/>
          <w:szCs w:val="22"/>
          <w:lang w:val="hr-HR"/>
        </w:rPr>
        <w:t xml:space="preserve"> 4.8). </w:t>
      </w:r>
    </w:p>
    <w:p w14:paraId="7DFDCBCF" w14:textId="77777777" w:rsidR="00E40785" w:rsidRPr="0013178E" w:rsidRDefault="00E40785" w:rsidP="00430A60">
      <w:pPr>
        <w:numPr>
          <w:ilvl w:val="12"/>
          <w:numId w:val="0"/>
        </w:numPr>
        <w:overflowPunct w:val="0"/>
        <w:autoSpaceDN w:val="0"/>
        <w:adjustRightInd w:val="0"/>
        <w:jc w:val="both"/>
        <w:textAlignment w:val="baseline"/>
        <w:rPr>
          <w:sz w:val="22"/>
          <w:szCs w:val="22"/>
          <w:lang w:val="hr-HR"/>
        </w:rPr>
      </w:pPr>
    </w:p>
    <w:p w14:paraId="0C80B665" w14:textId="77777777" w:rsidR="00E40785" w:rsidRPr="0013178E" w:rsidRDefault="00E40785" w:rsidP="00430A60">
      <w:pPr>
        <w:numPr>
          <w:ilvl w:val="12"/>
          <w:numId w:val="0"/>
        </w:numPr>
        <w:overflowPunct w:val="0"/>
        <w:autoSpaceDN w:val="0"/>
        <w:adjustRightInd w:val="0"/>
        <w:jc w:val="both"/>
        <w:textAlignment w:val="baseline"/>
        <w:rPr>
          <w:sz w:val="22"/>
          <w:szCs w:val="22"/>
          <w:lang w:val="hr-HR"/>
        </w:rPr>
      </w:pPr>
      <w:r w:rsidRPr="0013178E">
        <w:rPr>
          <w:sz w:val="22"/>
          <w:szCs w:val="22"/>
          <w:lang w:val="hr-HR"/>
        </w:rPr>
        <w:t>Bilo je izvještaja o nastanku epiduralne lipomatoze kod pacijenata koji uzimaju kortikosteroide, tipično pri dugotrajnoj upotrebi visokih doza.</w:t>
      </w:r>
    </w:p>
    <w:p w14:paraId="40E1ED46" w14:textId="77777777" w:rsidR="00E40785" w:rsidRPr="0013178E" w:rsidRDefault="00E40785" w:rsidP="00E40785">
      <w:pPr>
        <w:numPr>
          <w:ilvl w:val="12"/>
          <w:numId w:val="0"/>
        </w:numPr>
        <w:overflowPunct w:val="0"/>
        <w:autoSpaceDN w:val="0"/>
        <w:adjustRightInd w:val="0"/>
        <w:textAlignment w:val="baseline"/>
        <w:rPr>
          <w:sz w:val="22"/>
          <w:szCs w:val="22"/>
          <w:u w:val="single"/>
          <w:lang w:val="hr-HR"/>
        </w:rPr>
      </w:pPr>
    </w:p>
    <w:p w14:paraId="36587331" w14:textId="77777777" w:rsidR="00E40785" w:rsidRPr="0013178E" w:rsidRDefault="00E40785" w:rsidP="00430A60">
      <w:pPr>
        <w:numPr>
          <w:ilvl w:val="12"/>
          <w:numId w:val="0"/>
        </w:numPr>
        <w:overflowPunct w:val="0"/>
        <w:autoSpaceDN w:val="0"/>
        <w:adjustRightInd w:val="0"/>
        <w:jc w:val="both"/>
        <w:textAlignment w:val="baseline"/>
        <w:rPr>
          <w:b/>
          <w:sz w:val="22"/>
          <w:szCs w:val="22"/>
          <w:lang w:val="hr-HR"/>
        </w:rPr>
      </w:pPr>
      <w:r w:rsidRPr="0013178E">
        <w:rPr>
          <w:b/>
          <w:sz w:val="22"/>
          <w:szCs w:val="22"/>
          <w:lang w:val="hr-HR"/>
        </w:rPr>
        <w:t>Okularni efekti</w:t>
      </w:r>
    </w:p>
    <w:p w14:paraId="7A47F3B1" w14:textId="230C018E" w:rsidR="00351A03" w:rsidRPr="0013178E" w:rsidRDefault="008B50F6" w:rsidP="00430A60">
      <w:pPr>
        <w:overflowPunct w:val="0"/>
        <w:autoSpaceDN w:val="0"/>
        <w:adjustRightInd w:val="0"/>
        <w:jc w:val="both"/>
        <w:textAlignment w:val="baseline"/>
        <w:rPr>
          <w:sz w:val="22"/>
          <w:szCs w:val="22"/>
          <w:lang w:val="hr-HR"/>
        </w:rPr>
      </w:pPr>
      <w:r w:rsidRPr="0013178E">
        <w:rPr>
          <w:sz w:val="22"/>
          <w:szCs w:val="22"/>
          <w:lang w:val="hr-HR"/>
        </w:rPr>
        <w:t xml:space="preserve">Mogu se </w:t>
      </w:r>
      <w:r w:rsidR="009B3505" w:rsidRPr="0013178E">
        <w:rPr>
          <w:sz w:val="22"/>
          <w:szCs w:val="22"/>
          <w:lang w:val="hr-HR"/>
        </w:rPr>
        <w:t xml:space="preserve">pojaviti </w:t>
      </w:r>
      <w:r w:rsidRPr="0013178E">
        <w:rPr>
          <w:sz w:val="22"/>
          <w:szCs w:val="22"/>
          <w:lang w:val="hr-HR"/>
        </w:rPr>
        <w:t>poremećaji</w:t>
      </w:r>
      <w:r w:rsidR="00EF0C7D" w:rsidRPr="0013178E">
        <w:rPr>
          <w:sz w:val="22"/>
          <w:szCs w:val="22"/>
          <w:lang w:val="hr-HR"/>
        </w:rPr>
        <w:t xml:space="preserve"> vida uz </w:t>
      </w:r>
      <w:r w:rsidR="00A7031D" w:rsidRPr="0013178E">
        <w:rPr>
          <w:sz w:val="22"/>
          <w:szCs w:val="22"/>
          <w:lang w:val="hr-HR"/>
        </w:rPr>
        <w:t>sistemsku</w:t>
      </w:r>
      <w:r w:rsidR="00EF0C7D" w:rsidRPr="0013178E">
        <w:rPr>
          <w:sz w:val="22"/>
          <w:szCs w:val="22"/>
          <w:lang w:val="hr-HR"/>
        </w:rPr>
        <w:t xml:space="preserve"> i lokalnu primjenu kortikosteroida. Ako se pacijentu javljaju simptomi kao što su </w:t>
      </w:r>
      <w:r w:rsidRPr="0013178E">
        <w:rPr>
          <w:sz w:val="22"/>
          <w:szCs w:val="22"/>
          <w:lang w:val="hr-HR"/>
        </w:rPr>
        <w:t>zamućen</w:t>
      </w:r>
      <w:r w:rsidR="00EF0C7D" w:rsidRPr="0013178E">
        <w:rPr>
          <w:sz w:val="22"/>
          <w:szCs w:val="22"/>
          <w:lang w:val="hr-HR"/>
        </w:rPr>
        <w:t xml:space="preserve"> vid ili drugi poremećaji vida, treba razmotriti mogućnost upućivanja </w:t>
      </w:r>
      <w:r w:rsidR="00A7031D" w:rsidRPr="0013178E">
        <w:rPr>
          <w:sz w:val="22"/>
          <w:szCs w:val="22"/>
          <w:lang w:val="hr-HR"/>
        </w:rPr>
        <w:t xml:space="preserve">pacijenta </w:t>
      </w:r>
      <w:r w:rsidR="00EF0C7D" w:rsidRPr="0013178E">
        <w:rPr>
          <w:sz w:val="22"/>
          <w:szCs w:val="22"/>
          <w:lang w:val="hr-HR"/>
        </w:rPr>
        <w:t>oftalmolog</w:t>
      </w:r>
      <w:r w:rsidR="00A7031D" w:rsidRPr="0013178E">
        <w:rPr>
          <w:sz w:val="22"/>
          <w:szCs w:val="22"/>
          <w:lang w:val="hr-HR"/>
        </w:rPr>
        <w:t>u</w:t>
      </w:r>
      <w:r w:rsidR="00EF0C7D" w:rsidRPr="0013178E">
        <w:rPr>
          <w:sz w:val="22"/>
          <w:szCs w:val="22"/>
          <w:lang w:val="hr-HR"/>
        </w:rPr>
        <w:t xml:space="preserve"> radi procjene mogućih uzroka koji mogu uključivati katarakt</w:t>
      </w:r>
      <w:r w:rsidR="000A51AC" w:rsidRPr="0013178E">
        <w:rPr>
          <w:sz w:val="22"/>
          <w:szCs w:val="22"/>
          <w:lang w:val="hr-HR"/>
        </w:rPr>
        <w:t>e</w:t>
      </w:r>
      <w:r w:rsidR="00EF0C7D" w:rsidRPr="0013178E">
        <w:rPr>
          <w:sz w:val="22"/>
          <w:szCs w:val="22"/>
          <w:lang w:val="hr-HR"/>
        </w:rPr>
        <w:t xml:space="preserve">, glaukom ili rijetke bolesti kao što je centralna serozna horioretinopatija (CSCR) koja je </w:t>
      </w:r>
      <w:r w:rsidR="008D0281" w:rsidRPr="0013178E">
        <w:rPr>
          <w:sz w:val="22"/>
          <w:szCs w:val="22"/>
          <w:lang w:val="hr-HR"/>
        </w:rPr>
        <w:t>prijavljena</w:t>
      </w:r>
      <w:r w:rsidR="00EF0C7D" w:rsidRPr="0013178E">
        <w:rPr>
          <w:sz w:val="22"/>
          <w:szCs w:val="22"/>
          <w:lang w:val="hr-HR"/>
        </w:rPr>
        <w:t xml:space="preserve"> nakon </w:t>
      </w:r>
      <w:r w:rsidRPr="0013178E">
        <w:rPr>
          <w:sz w:val="22"/>
          <w:szCs w:val="22"/>
          <w:lang w:val="hr-HR"/>
        </w:rPr>
        <w:t>sistemske</w:t>
      </w:r>
      <w:r w:rsidR="00EF0C7D" w:rsidRPr="0013178E">
        <w:rPr>
          <w:sz w:val="22"/>
          <w:szCs w:val="22"/>
          <w:lang w:val="hr-HR"/>
        </w:rPr>
        <w:t xml:space="preserve"> i </w:t>
      </w:r>
      <w:r w:rsidR="00A7031D" w:rsidRPr="0013178E">
        <w:rPr>
          <w:sz w:val="22"/>
          <w:szCs w:val="22"/>
          <w:lang w:val="hr-HR"/>
        </w:rPr>
        <w:t>l</w:t>
      </w:r>
      <w:r w:rsidRPr="0013178E">
        <w:rPr>
          <w:sz w:val="22"/>
          <w:szCs w:val="22"/>
          <w:lang w:val="hr-HR"/>
        </w:rPr>
        <w:t>okalne primjene</w:t>
      </w:r>
      <w:r w:rsidR="00EF0C7D" w:rsidRPr="0013178E">
        <w:rPr>
          <w:sz w:val="22"/>
          <w:szCs w:val="22"/>
          <w:lang w:val="hr-HR"/>
        </w:rPr>
        <w:t xml:space="preserve"> kortikosteroida. </w:t>
      </w:r>
      <w:r w:rsidR="003312DC" w:rsidRPr="0013178E">
        <w:rPr>
          <w:sz w:val="22"/>
          <w:szCs w:val="22"/>
          <w:lang w:val="hr-HR"/>
        </w:rPr>
        <w:t>C</w:t>
      </w:r>
      <w:r w:rsidR="00EF0C7D" w:rsidRPr="0013178E">
        <w:rPr>
          <w:sz w:val="22"/>
          <w:szCs w:val="22"/>
          <w:lang w:val="hr-HR"/>
        </w:rPr>
        <w:t>entraln</w:t>
      </w:r>
      <w:r w:rsidR="003312DC" w:rsidRPr="0013178E">
        <w:rPr>
          <w:sz w:val="22"/>
          <w:szCs w:val="22"/>
          <w:lang w:val="hr-HR"/>
        </w:rPr>
        <w:t>a</w:t>
      </w:r>
      <w:r w:rsidR="00EF0C7D" w:rsidRPr="0013178E">
        <w:rPr>
          <w:sz w:val="22"/>
          <w:szCs w:val="22"/>
          <w:lang w:val="hr-HR"/>
        </w:rPr>
        <w:t xml:space="preserve"> serozn</w:t>
      </w:r>
      <w:r w:rsidR="003312DC" w:rsidRPr="0013178E">
        <w:rPr>
          <w:sz w:val="22"/>
          <w:szCs w:val="22"/>
          <w:lang w:val="hr-HR"/>
        </w:rPr>
        <w:t>a</w:t>
      </w:r>
      <w:r w:rsidR="00EF0C7D" w:rsidRPr="0013178E">
        <w:rPr>
          <w:sz w:val="22"/>
          <w:szCs w:val="22"/>
          <w:lang w:val="hr-HR"/>
        </w:rPr>
        <w:t xml:space="preserve"> horioretinopatij</w:t>
      </w:r>
      <w:r w:rsidR="003312DC" w:rsidRPr="0013178E">
        <w:rPr>
          <w:sz w:val="22"/>
          <w:szCs w:val="22"/>
          <w:lang w:val="hr-HR"/>
        </w:rPr>
        <w:t>a</w:t>
      </w:r>
      <w:r w:rsidR="00EF0C7D" w:rsidRPr="0013178E">
        <w:rPr>
          <w:sz w:val="22"/>
          <w:szCs w:val="22"/>
          <w:lang w:val="hr-HR"/>
        </w:rPr>
        <w:t xml:space="preserve"> može dovesti do </w:t>
      </w:r>
      <w:r w:rsidR="00576D7E" w:rsidRPr="0013178E">
        <w:rPr>
          <w:sz w:val="22"/>
          <w:szCs w:val="22"/>
          <w:lang w:val="hr-HR"/>
        </w:rPr>
        <w:t>ablacije retine</w:t>
      </w:r>
      <w:r w:rsidR="00EF0C7D" w:rsidRPr="0013178E">
        <w:rPr>
          <w:sz w:val="22"/>
          <w:szCs w:val="22"/>
          <w:lang w:val="hr-HR"/>
        </w:rPr>
        <w:t>.</w:t>
      </w:r>
    </w:p>
    <w:p w14:paraId="355CC5C9" w14:textId="77777777" w:rsidR="00EF0C7D" w:rsidRPr="0013178E" w:rsidRDefault="00EF0C7D" w:rsidP="00430A60">
      <w:pPr>
        <w:overflowPunct w:val="0"/>
        <w:autoSpaceDN w:val="0"/>
        <w:adjustRightInd w:val="0"/>
        <w:jc w:val="both"/>
        <w:textAlignment w:val="baseline"/>
        <w:rPr>
          <w:sz w:val="22"/>
          <w:szCs w:val="22"/>
          <w:lang w:val="hr-HR"/>
        </w:rPr>
      </w:pPr>
    </w:p>
    <w:p w14:paraId="431C8CDB" w14:textId="228B2736" w:rsidR="00E40785" w:rsidRPr="0013178E" w:rsidRDefault="00E40785" w:rsidP="00430A60">
      <w:pPr>
        <w:overflowPunct w:val="0"/>
        <w:autoSpaceDN w:val="0"/>
        <w:adjustRightInd w:val="0"/>
        <w:jc w:val="both"/>
        <w:textAlignment w:val="baseline"/>
        <w:rPr>
          <w:sz w:val="22"/>
          <w:szCs w:val="22"/>
          <w:lang w:val="hr-HR"/>
        </w:rPr>
      </w:pPr>
      <w:r w:rsidRPr="0013178E">
        <w:rPr>
          <w:sz w:val="22"/>
          <w:szCs w:val="22"/>
          <w:lang w:val="hr-HR"/>
        </w:rPr>
        <w:t xml:space="preserve">Neophodno je rutinsko praćenje glaukoma (ili </w:t>
      </w:r>
      <w:r w:rsidR="001939B6" w:rsidRPr="0013178E">
        <w:rPr>
          <w:sz w:val="22"/>
          <w:szCs w:val="22"/>
          <w:lang w:val="hr-HR"/>
        </w:rPr>
        <w:t xml:space="preserve">ako postoji </w:t>
      </w:r>
      <w:r w:rsidRPr="0013178E">
        <w:rPr>
          <w:sz w:val="22"/>
          <w:szCs w:val="22"/>
          <w:lang w:val="hr-HR"/>
        </w:rPr>
        <w:t>porodičn</w:t>
      </w:r>
      <w:r w:rsidR="001939B6" w:rsidRPr="0013178E">
        <w:rPr>
          <w:sz w:val="22"/>
          <w:szCs w:val="22"/>
          <w:lang w:val="hr-HR"/>
        </w:rPr>
        <w:t>a</w:t>
      </w:r>
      <w:r w:rsidRPr="0013178E">
        <w:rPr>
          <w:sz w:val="22"/>
          <w:szCs w:val="22"/>
          <w:lang w:val="hr-HR"/>
        </w:rPr>
        <w:t xml:space="preserve"> anamnez</w:t>
      </w:r>
      <w:r w:rsidR="001939B6" w:rsidRPr="0013178E">
        <w:rPr>
          <w:sz w:val="22"/>
          <w:szCs w:val="22"/>
          <w:lang w:val="hr-HR"/>
        </w:rPr>
        <w:t>a</w:t>
      </w:r>
      <w:r w:rsidRPr="0013178E">
        <w:rPr>
          <w:sz w:val="22"/>
          <w:szCs w:val="22"/>
          <w:lang w:val="hr-HR"/>
        </w:rPr>
        <w:t xml:space="preserve"> glaukoma) i očnog herpes simpleksa jer postoji rizik od perforacije rožnjače. </w:t>
      </w:r>
    </w:p>
    <w:p w14:paraId="3954896C" w14:textId="77777777" w:rsidR="00E40785" w:rsidRPr="0013178E" w:rsidRDefault="00E40785" w:rsidP="00430A60">
      <w:pPr>
        <w:overflowPunct w:val="0"/>
        <w:autoSpaceDN w:val="0"/>
        <w:adjustRightInd w:val="0"/>
        <w:jc w:val="both"/>
        <w:textAlignment w:val="baseline"/>
        <w:rPr>
          <w:color w:val="FF0000"/>
          <w:sz w:val="22"/>
          <w:szCs w:val="22"/>
          <w:lang w:val="hr-HR"/>
        </w:rPr>
      </w:pPr>
    </w:p>
    <w:p w14:paraId="7B28C23B" w14:textId="77777777" w:rsidR="00E40785" w:rsidRPr="0013178E" w:rsidRDefault="00E40785" w:rsidP="00430A60">
      <w:pPr>
        <w:overflowPunct w:val="0"/>
        <w:autoSpaceDN w:val="0"/>
        <w:adjustRightInd w:val="0"/>
        <w:jc w:val="both"/>
        <w:textAlignment w:val="baseline"/>
        <w:rPr>
          <w:sz w:val="22"/>
          <w:szCs w:val="22"/>
          <w:lang w:val="hr-HR"/>
        </w:rPr>
      </w:pPr>
      <w:r w:rsidRPr="0013178E">
        <w:rPr>
          <w:sz w:val="22"/>
          <w:szCs w:val="22"/>
          <w:lang w:val="hr-HR"/>
        </w:rPr>
        <w:t xml:space="preserve">Produžena primjena kortikosteroida može izazvati posteriornu subkapsularnu kataraktu i nuklearnu kataraktu (naročito kod djece), egzoftalmus i glaukom sa posljedičnim oštećenjem očnog živca. </w:t>
      </w:r>
    </w:p>
    <w:p w14:paraId="65B05501" w14:textId="77777777" w:rsidR="00E40785" w:rsidRPr="0013178E" w:rsidRDefault="00E40785" w:rsidP="00430A60">
      <w:pPr>
        <w:overflowPunct w:val="0"/>
        <w:autoSpaceDN w:val="0"/>
        <w:adjustRightInd w:val="0"/>
        <w:jc w:val="both"/>
        <w:textAlignment w:val="baseline"/>
        <w:rPr>
          <w:sz w:val="22"/>
          <w:szCs w:val="22"/>
          <w:lang w:val="hr-HR"/>
        </w:rPr>
      </w:pPr>
    </w:p>
    <w:p w14:paraId="38BA0611" w14:textId="77777777" w:rsidR="00E40785" w:rsidRPr="0013178E" w:rsidRDefault="00E40785" w:rsidP="00430A60">
      <w:pPr>
        <w:overflowPunct w:val="0"/>
        <w:autoSpaceDN w:val="0"/>
        <w:adjustRightInd w:val="0"/>
        <w:jc w:val="both"/>
        <w:textAlignment w:val="baseline"/>
        <w:rPr>
          <w:sz w:val="22"/>
          <w:szCs w:val="22"/>
          <w:lang w:val="hr-HR"/>
        </w:rPr>
      </w:pPr>
      <w:r w:rsidRPr="0013178E">
        <w:rPr>
          <w:sz w:val="22"/>
          <w:szCs w:val="22"/>
          <w:lang w:val="hr-HR"/>
        </w:rPr>
        <w:t>Kortikosteroidi mogu povećati incidenciju gljivičnih i virusnih sekundarnih infekcija oka.</w:t>
      </w:r>
    </w:p>
    <w:p w14:paraId="538799EF" w14:textId="4A8CB219" w:rsidR="00E40785" w:rsidRPr="0013178E" w:rsidRDefault="00E40785" w:rsidP="00430A60">
      <w:pPr>
        <w:numPr>
          <w:ilvl w:val="12"/>
          <w:numId w:val="0"/>
        </w:numPr>
        <w:overflowPunct w:val="0"/>
        <w:autoSpaceDN w:val="0"/>
        <w:adjustRightInd w:val="0"/>
        <w:jc w:val="both"/>
        <w:textAlignment w:val="baseline"/>
        <w:rPr>
          <w:color w:val="FF0000"/>
          <w:sz w:val="22"/>
          <w:szCs w:val="22"/>
          <w:lang w:val="hr-HR"/>
        </w:rPr>
      </w:pPr>
    </w:p>
    <w:p w14:paraId="12994DCA" w14:textId="77777777" w:rsidR="003D6FA0" w:rsidRPr="0013178E" w:rsidRDefault="003D6FA0" w:rsidP="00E40785">
      <w:pPr>
        <w:numPr>
          <w:ilvl w:val="12"/>
          <w:numId w:val="0"/>
        </w:numPr>
        <w:overflowPunct w:val="0"/>
        <w:autoSpaceDN w:val="0"/>
        <w:adjustRightInd w:val="0"/>
        <w:textAlignment w:val="baseline"/>
        <w:rPr>
          <w:color w:val="FF0000"/>
          <w:sz w:val="22"/>
          <w:szCs w:val="22"/>
          <w:lang w:val="hr-HR"/>
        </w:rPr>
      </w:pPr>
    </w:p>
    <w:p w14:paraId="142944E9" w14:textId="77777777" w:rsidR="00E40785" w:rsidRPr="0013178E" w:rsidRDefault="00E40785" w:rsidP="00430A60">
      <w:pPr>
        <w:numPr>
          <w:ilvl w:val="12"/>
          <w:numId w:val="0"/>
        </w:numPr>
        <w:overflowPunct w:val="0"/>
        <w:autoSpaceDN w:val="0"/>
        <w:adjustRightInd w:val="0"/>
        <w:jc w:val="both"/>
        <w:textAlignment w:val="baseline"/>
        <w:rPr>
          <w:b/>
          <w:sz w:val="22"/>
          <w:szCs w:val="22"/>
          <w:lang w:val="hr-HR"/>
        </w:rPr>
      </w:pPr>
      <w:r w:rsidRPr="0013178E">
        <w:rPr>
          <w:b/>
          <w:sz w:val="22"/>
          <w:szCs w:val="22"/>
          <w:lang w:val="hr-HR"/>
        </w:rPr>
        <w:t>Kardijalni efekti</w:t>
      </w:r>
    </w:p>
    <w:p w14:paraId="0E456561" w14:textId="27205A01" w:rsidR="00E40785" w:rsidRPr="0013178E" w:rsidRDefault="00E40785">
      <w:pPr>
        <w:jc w:val="both"/>
        <w:rPr>
          <w:sz w:val="22"/>
          <w:szCs w:val="22"/>
          <w:lang w:val="hr-HR"/>
        </w:rPr>
      </w:pPr>
      <w:r w:rsidRPr="0013178E">
        <w:rPr>
          <w:sz w:val="22"/>
          <w:szCs w:val="22"/>
          <w:lang w:val="hr-HR"/>
        </w:rPr>
        <w:t>Neželjena dejstva glukokortikoida na kardiovaskularni sistem, kao što su dislipidemija i hipertenzija, mogu predisponirati pacijente s</w:t>
      </w:r>
      <w:r w:rsidR="003001A9" w:rsidRPr="0013178E">
        <w:rPr>
          <w:sz w:val="22"/>
          <w:szCs w:val="22"/>
          <w:lang w:val="hr-HR"/>
        </w:rPr>
        <w:t>a</w:t>
      </w:r>
      <w:r w:rsidRPr="0013178E">
        <w:rPr>
          <w:sz w:val="22"/>
          <w:szCs w:val="22"/>
          <w:lang w:val="hr-HR"/>
        </w:rPr>
        <w:t xml:space="preserve"> postojećim faktorima rizika od kardiovaskularnih bolesti za dodatne kardiovaskularne komplikacije pri dugotrajnoj primjeni visokih doza i produženih režima liječenja. Shodno tome, kortikosteroide kod takvih pacijenata treba koristiti razumno, a </w:t>
      </w:r>
      <w:r w:rsidR="0091587F" w:rsidRPr="0013178E">
        <w:rPr>
          <w:sz w:val="22"/>
          <w:szCs w:val="22"/>
          <w:lang w:val="hr-HR"/>
        </w:rPr>
        <w:t xml:space="preserve">posebnu </w:t>
      </w:r>
      <w:r w:rsidRPr="0013178E">
        <w:rPr>
          <w:sz w:val="22"/>
          <w:szCs w:val="22"/>
          <w:lang w:val="hr-HR"/>
        </w:rPr>
        <w:t>pažnju treba usmjeriti na promjenu rizika i, ako je potrebno, uvesti dodatno praćenje rada srca. Primjena lijeka u niskim dozama i svakog dugog dana može smanjiti incidenciju komplikacija kortikosteroidne terapije.</w:t>
      </w:r>
    </w:p>
    <w:p w14:paraId="174EFFB3" w14:textId="77777777" w:rsidR="00E40785" w:rsidRPr="0013178E" w:rsidRDefault="00E40785" w:rsidP="00430A60">
      <w:pPr>
        <w:numPr>
          <w:ilvl w:val="12"/>
          <w:numId w:val="0"/>
        </w:numPr>
        <w:overflowPunct w:val="0"/>
        <w:autoSpaceDN w:val="0"/>
        <w:adjustRightInd w:val="0"/>
        <w:jc w:val="both"/>
        <w:textAlignment w:val="baseline"/>
        <w:rPr>
          <w:color w:val="FF0000"/>
          <w:sz w:val="22"/>
          <w:szCs w:val="22"/>
          <w:lang w:val="hr-HR"/>
        </w:rPr>
      </w:pPr>
    </w:p>
    <w:p w14:paraId="4CB4381D" w14:textId="77777777" w:rsidR="00E40785" w:rsidRPr="0013178E" w:rsidRDefault="00E40785" w:rsidP="00430A60">
      <w:pPr>
        <w:numPr>
          <w:ilvl w:val="12"/>
          <w:numId w:val="0"/>
        </w:numPr>
        <w:overflowPunct w:val="0"/>
        <w:autoSpaceDN w:val="0"/>
        <w:adjustRightInd w:val="0"/>
        <w:jc w:val="both"/>
        <w:textAlignment w:val="baseline"/>
        <w:rPr>
          <w:sz w:val="22"/>
          <w:szCs w:val="22"/>
          <w:lang w:val="hr-HR"/>
        </w:rPr>
      </w:pPr>
      <w:r w:rsidRPr="0013178E">
        <w:rPr>
          <w:sz w:val="22"/>
          <w:szCs w:val="22"/>
          <w:lang w:val="hr-HR"/>
        </w:rPr>
        <w:t xml:space="preserve">Zabilježeni su slučajevi srčanih aritmija i/ili cirkulatornog kolapsa i/ili srčanog aresta nakon brze intravenske primjene velikih doza </w:t>
      </w:r>
      <w:r w:rsidR="00F3763F" w:rsidRPr="0013178E">
        <w:rPr>
          <w:bCs/>
          <w:sz w:val="22"/>
          <w:szCs w:val="22"/>
          <w:lang w:val="hr-HR"/>
        </w:rPr>
        <w:t>metilprednizolon natrijum sukcinata</w:t>
      </w:r>
      <w:r w:rsidR="00F3763F" w:rsidRPr="0013178E">
        <w:rPr>
          <w:sz w:val="22"/>
          <w:szCs w:val="22"/>
          <w:lang w:val="hr-HR"/>
        </w:rPr>
        <w:t xml:space="preserve"> </w:t>
      </w:r>
      <w:r w:rsidRPr="0013178E">
        <w:rPr>
          <w:sz w:val="22"/>
          <w:szCs w:val="22"/>
          <w:lang w:val="hr-HR"/>
        </w:rPr>
        <w:t xml:space="preserve">(više od 500 mg primijenjeno tokom perioda kraćeg </w:t>
      </w:r>
      <w:r w:rsidRPr="0013178E">
        <w:rPr>
          <w:sz w:val="22"/>
          <w:szCs w:val="22"/>
          <w:lang w:val="hr-HR"/>
        </w:rPr>
        <w:lastRenderedPageBreak/>
        <w:t xml:space="preserve">od 10 minuta). Za vrijeme ili nakon primjene velikih doza </w:t>
      </w:r>
      <w:r w:rsidR="00F3763F" w:rsidRPr="0013178E">
        <w:rPr>
          <w:bCs/>
          <w:sz w:val="22"/>
          <w:szCs w:val="22"/>
          <w:lang w:val="hr-HR"/>
        </w:rPr>
        <w:t>metilprednizolon natrijum sukcinata</w:t>
      </w:r>
      <w:r w:rsidR="00F3763F" w:rsidRPr="0013178E">
        <w:rPr>
          <w:sz w:val="22"/>
          <w:szCs w:val="22"/>
          <w:lang w:val="hr-HR"/>
        </w:rPr>
        <w:t xml:space="preserve"> </w:t>
      </w:r>
      <w:r w:rsidRPr="0013178E">
        <w:rPr>
          <w:sz w:val="22"/>
          <w:szCs w:val="22"/>
          <w:lang w:val="hr-HR"/>
        </w:rPr>
        <w:t>zabilježena je bradikardija koja ne mora zavisiti od brzine ili trajanja infuzije.</w:t>
      </w:r>
    </w:p>
    <w:p w14:paraId="38D99251" w14:textId="77777777" w:rsidR="00E40785" w:rsidRPr="0013178E" w:rsidRDefault="00E40785" w:rsidP="00430A60">
      <w:pPr>
        <w:numPr>
          <w:ilvl w:val="12"/>
          <w:numId w:val="0"/>
        </w:numPr>
        <w:overflowPunct w:val="0"/>
        <w:autoSpaceDN w:val="0"/>
        <w:adjustRightInd w:val="0"/>
        <w:jc w:val="both"/>
        <w:textAlignment w:val="baseline"/>
        <w:rPr>
          <w:sz w:val="22"/>
          <w:szCs w:val="22"/>
          <w:lang w:val="hr-HR"/>
        </w:rPr>
      </w:pPr>
    </w:p>
    <w:p w14:paraId="0DCF08D7" w14:textId="4F6BFA70" w:rsidR="00E40785" w:rsidRPr="0013178E" w:rsidRDefault="006C4FB7" w:rsidP="00430A60">
      <w:pPr>
        <w:numPr>
          <w:ilvl w:val="12"/>
          <w:numId w:val="0"/>
        </w:numPr>
        <w:overflowPunct w:val="0"/>
        <w:autoSpaceDN w:val="0"/>
        <w:adjustRightInd w:val="0"/>
        <w:jc w:val="both"/>
        <w:textAlignment w:val="baseline"/>
        <w:rPr>
          <w:sz w:val="22"/>
          <w:szCs w:val="22"/>
          <w:lang w:val="hr-HR"/>
        </w:rPr>
      </w:pPr>
      <w:r w:rsidRPr="0013178E">
        <w:rPr>
          <w:sz w:val="22"/>
          <w:szCs w:val="22"/>
          <w:lang w:val="hr-HR"/>
        </w:rPr>
        <w:t>K</w:t>
      </w:r>
      <w:r w:rsidR="00E40785" w:rsidRPr="0013178E">
        <w:rPr>
          <w:sz w:val="22"/>
          <w:szCs w:val="22"/>
          <w:lang w:val="hr-HR"/>
        </w:rPr>
        <w:t>ortikosteroide</w:t>
      </w:r>
      <w:r w:rsidRPr="0013178E">
        <w:rPr>
          <w:sz w:val="22"/>
          <w:szCs w:val="22"/>
          <w:lang w:val="hr-HR"/>
        </w:rPr>
        <w:t xml:space="preserve"> za sistemsku </w:t>
      </w:r>
      <w:r w:rsidR="00EA6CA5" w:rsidRPr="0013178E">
        <w:rPr>
          <w:sz w:val="22"/>
          <w:szCs w:val="22"/>
          <w:lang w:val="hr-HR"/>
        </w:rPr>
        <w:t>upotrebu</w:t>
      </w:r>
      <w:r w:rsidR="00E40785" w:rsidRPr="0013178E">
        <w:rPr>
          <w:sz w:val="22"/>
          <w:szCs w:val="22"/>
          <w:lang w:val="hr-HR"/>
        </w:rPr>
        <w:t xml:space="preserve"> treba primjenjivati uz oprez, i to samo u krajnjoj nuždi, u sluča</w:t>
      </w:r>
      <w:r w:rsidR="0083354F" w:rsidRPr="0013178E">
        <w:rPr>
          <w:sz w:val="22"/>
          <w:szCs w:val="22"/>
          <w:lang w:val="hr-HR"/>
        </w:rPr>
        <w:t>jevima kongestivne srčane insuficijencije</w:t>
      </w:r>
      <w:r w:rsidR="00E40785" w:rsidRPr="0013178E">
        <w:rPr>
          <w:sz w:val="22"/>
          <w:szCs w:val="22"/>
          <w:lang w:val="hr-HR"/>
        </w:rPr>
        <w:t>.</w:t>
      </w:r>
    </w:p>
    <w:p w14:paraId="5A92EAA8" w14:textId="77777777" w:rsidR="00E40785" w:rsidRPr="0013178E" w:rsidRDefault="00E40785" w:rsidP="00430A60">
      <w:pPr>
        <w:numPr>
          <w:ilvl w:val="12"/>
          <w:numId w:val="0"/>
        </w:numPr>
        <w:overflowPunct w:val="0"/>
        <w:autoSpaceDN w:val="0"/>
        <w:adjustRightInd w:val="0"/>
        <w:jc w:val="both"/>
        <w:textAlignment w:val="baseline"/>
        <w:rPr>
          <w:color w:val="FF0000"/>
          <w:sz w:val="22"/>
          <w:szCs w:val="22"/>
          <w:lang w:val="hr-HR"/>
        </w:rPr>
      </w:pPr>
    </w:p>
    <w:p w14:paraId="514124F8" w14:textId="5B13CF9E" w:rsidR="00E40785" w:rsidRPr="0013178E" w:rsidRDefault="00E40785" w:rsidP="00430A60">
      <w:pPr>
        <w:numPr>
          <w:ilvl w:val="12"/>
          <w:numId w:val="0"/>
        </w:numPr>
        <w:overflowPunct w:val="0"/>
        <w:autoSpaceDN w:val="0"/>
        <w:adjustRightInd w:val="0"/>
        <w:jc w:val="both"/>
        <w:textAlignment w:val="baseline"/>
        <w:rPr>
          <w:sz w:val="22"/>
          <w:szCs w:val="22"/>
          <w:lang w:val="hr-HR"/>
        </w:rPr>
      </w:pPr>
      <w:r w:rsidRPr="0013178E">
        <w:rPr>
          <w:sz w:val="22"/>
          <w:szCs w:val="22"/>
          <w:lang w:val="hr-HR"/>
        </w:rPr>
        <w:t xml:space="preserve">Zbog poremećaja elektrolita izazvanih steroidima gubitka kalijuma (vidjeti </w:t>
      </w:r>
      <w:r w:rsidR="009E76C5">
        <w:rPr>
          <w:sz w:val="22"/>
          <w:szCs w:val="22"/>
          <w:lang w:val="hr-HR"/>
        </w:rPr>
        <w:t>dio</w:t>
      </w:r>
      <w:r w:rsidRPr="0013178E">
        <w:rPr>
          <w:sz w:val="22"/>
          <w:szCs w:val="22"/>
          <w:lang w:val="hr-HR"/>
        </w:rPr>
        <w:t xml:space="preserve"> 4.8), treba posebnu pažnju posvetiti </w:t>
      </w:r>
      <w:r w:rsidR="00445ECD" w:rsidRPr="0013178E">
        <w:rPr>
          <w:sz w:val="22"/>
          <w:szCs w:val="22"/>
          <w:lang w:val="hr-HR"/>
        </w:rPr>
        <w:t xml:space="preserve">primjeni </w:t>
      </w:r>
      <w:r w:rsidRPr="0013178E">
        <w:rPr>
          <w:sz w:val="22"/>
          <w:szCs w:val="22"/>
          <w:lang w:val="hr-HR"/>
        </w:rPr>
        <w:t>kortikosteroida kod pacijenata koji primaju kardioaktivne ljekove kao što je digoksin.</w:t>
      </w:r>
    </w:p>
    <w:p w14:paraId="4B341430" w14:textId="77777777" w:rsidR="00E40785" w:rsidRPr="0013178E" w:rsidRDefault="00E40785" w:rsidP="00430A60">
      <w:pPr>
        <w:numPr>
          <w:ilvl w:val="12"/>
          <w:numId w:val="0"/>
        </w:numPr>
        <w:overflowPunct w:val="0"/>
        <w:autoSpaceDN w:val="0"/>
        <w:adjustRightInd w:val="0"/>
        <w:jc w:val="both"/>
        <w:textAlignment w:val="baseline"/>
        <w:rPr>
          <w:sz w:val="22"/>
          <w:szCs w:val="22"/>
          <w:lang w:val="hr-HR"/>
        </w:rPr>
      </w:pPr>
    </w:p>
    <w:p w14:paraId="27F743F7" w14:textId="77777777" w:rsidR="00E40785" w:rsidRPr="0013178E" w:rsidRDefault="00E40785" w:rsidP="00430A60">
      <w:pPr>
        <w:numPr>
          <w:ilvl w:val="12"/>
          <w:numId w:val="0"/>
        </w:numPr>
        <w:overflowPunct w:val="0"/>
        <w:autoSpaceDN w:val="0"/>
        <w:adjustRightInd w:val="0"/>
        <w:jc w:val="both"/>
        <w:textAlignment w:val="baseline"/>
        <w:rPr>
          <w:sz w:val="22"/>
          <w:szCs w:val="22"/>
          <w:lang w:val="hr-HR"/>
        </w:rPr>
      </w:pPr>
      <w:r w:rsidRPr="0013178E">
        <w:rPr>
          <w:sz w:val="22"/>
          <w:szCs w:val="22"/>
          <w:lang w:val="hr-HR"/>
        </w:rPr>
        <w:t>Posebna pažnja je potrebna kada se razmatra upotreba sistemskih kortikosteroida kod pacijenata sa nedavnim infarktom miokarda (prijavljena je ruptura miokarda), a potrebno je i rutinsko praćenje pacijenta.</w:t>
      </w:r>
    </w:p>
    <w:p w14:paraId="53F71BFE" w14:textId="77777777" w:rsidR="00E40785" w:rsidRPr="0013178E" w:rsidRDefault="00E40785" w:rsidP="00E40785">
      <w:pPr>
        <w:numPr>
          <w:ilvl w:val="12"/>
          <w:numId w:val="0"/>
        </w:numPr>
        <w:overflowPunct w:val="0"/>
        <w:autoSpaceDN w:val="0"/>
        <w:adjustRightInd w:val="0"/>
        <w:textAlignment w:val="baseline"/>
        <w:rPr>
          <w:color w:val="FF0000"/>
          <w:sz w:val="22"/>
          <w:szCs w:val="22"/>
          <w:u w:val="single"/>
          <w:lang w:val="hr-HR"/>
        </w:rPr>
      </w:pPr>
    </w:p>
    <w:p w14:paraId="49F9C121" w14:textId="77777777" w:rsidR="00E40785" w:rsidRPr="0013178E" w:rsidRDefault="00E40785" w:rsidP="00430A60">
      <w:pPr>
        <w:numPr>
          <w:ilvl w:val="12"/>
          <w:numId w:val="0"/>
        </w:numPr>
        <w:overflowPunct w:val="0"/>
        <w:autoSpaceDN w:val="0"/>
        <w:adjustRightInd w:val="0"/>
        <w:jc w:val="both"/>
        <w:textAlignment w:val="baseline"/>
        <w:rPr>
          <w:b/>
          <w:sz w:val="22"/>
          <w:szCs w:val="22"/>
          <w:lang w:val="hr-HR"/>
        </w:rPr>
      </w:pPr>
      <w:r w:rsidRPr="0013178E">
        <w:rPr>
          <w:b/>
          <w:sz w:val="22"/>
          <w:szCs w:val="22"/>
          <w:lang w:val="hr-HR"/>
        </w:rPr>
        <w:t>Vaskularni efekti</w:t>
      </w:r>
    </w:p>
    <w:p w14:paraId="0D72F15F" w14:textId="77777777" w:rsidR="00E40785" w:rsidRPr="0013178E" w:rsidRDefault="00E40785" w:rsidP="00430A60">
      <w:pPr>
        <w:numPr>
          <w:ilvl w:val="12"/>
          <w:numId w:val="0"/>
        </w:numPr>
        <w:overflowPunct w:val="0"/>
        <w:autoSpaceDN w:val="0"/>
        <w:adjustRightInd w:val="0"/>
        <w:jc w:val="both"/>
        <w:textAlignment w:val="baseline"/>
        <w:rPr>
          <w:bCs/>
          <w:sz w:val="22"/>
          <w:szCs w:val="22"/>
          <w:lang w:val="hr-HR"/>
        </w:rPr>
      </w:pPr>
      <w:r w:rsidRPr="0013178E">
        <w:rPr>
          <w:sz w:val="22"/>
          <w:szCs w:val="22"/>
          <w:lang w:val="hr-HR"/>
        </w:rPr>
        <w:t xml:space="preserve">Tokom primjene kortikosteroida prijavljena je tromboza, uključujući vensku tromboemboliju. Stoga je kortikosteroide potrebno primjenjivati sa oprezom kod pacijenata koji imaju ili su predisponirani za tromboembolijske poremećaje. </w:t>
      </w:r>
    </w:p>
    <w:p w14:paraId="0DA28FF3" w14:textId="77777777" w:rsidR="00E40785" w:rsidRPr="0013178E" w:rsidRDefault="00E40785" w:rsidP="00430A60">
      <w:pPr>
        <w:numPr>
          <w:ilvl w:val="12"/>
          <w:numId w:val="0"/>
        </w:numPr>
        <w:overflowPunct w:val="0"/>
        <w:autoSpaceDN w:val="0"/>
        <w:adjustRightInd w:val="0"/>
        <w:jc w:val="both"/>
        <w:textAlignment w:val="baseline"/>
        <w:rPr>
          <w:bCs/>
          <w:sz w:val="22"/>
          <w:szCs w:val="22"/>
          <w:lang w:val="hr-HR"/>
        </w:rPr>
      </w:pPr>
    </w:p>
    <w:p w14:paraId="307906DD" w14:textId="77777777" w:rsidR="00E40785" w:rsidRPr="0013178E" w:rsidRDefault="00E40785" w:rsidP="00430A60">
      <w:pPr>
        <w:numPr>
          <w:ilvl w:val="12"/>
          <w:numId w:val="0"/>
        </w:numPr>
        <w:overflowPunct w:val="0"/>
        <w:autoSpaceDN w:val="0"/>
        <w:adjustRightInd w:val="0"/>
        <w:jc w:val="both"/>
        <w:textAlignment w:val="baseline"/>
        <w:rPr>
          <w:bCs/>
          <w:sz w:val="22"/>
          <w:szCs w:val="22"/>
          <w:lang w:val="hr-HR"/>
        </w:rPr>
      </w:pPr>
      <w:r w:rsidRPr="0013178E">
        <w:rPr>
          <w:sz w:val="22"/>
          <w:szCs w:val="22"/>
          <w:lang w:val="hr-HR"/>
        </w:rPr>
        <w:t xml:space="preserve">Potreban je oprez prilikom </w:t>
      </w:r>
      <w:r w:rsidR="00A52C29" w:rsidRPr="0013178E">
        <w:rPr>
          <w:sz w:val="22"/>
          <w:szCs w:val="22"/>
          <w:lang w:val="hr-HR"/>
        </w:rPr>
        <w:t xml:space="preserve">primjene </w:t>
      </w:r>
      <w:r w:rsidRPr="0013178E">
        <w:rPr>
          <w:sz w:val="22"/>
          <w:szCs w:val="22"/>
          <w:lang w:val="hr-HR"/>
        </w:rPr>
        <w:t>kortikosteroida kod pacijenata koji imaju predispozicije za razvoj tromboflebitisa.</w:t>
      </w:r>
    </w:p>
    <w:p w14:paraId="2E091EDC" w14:textId="77777777" w:rsidR="00E40785" w:rsidRPr="0013178E" w:rsidRDefault="00E40785" w:rsidP="00430A60">
      <w:pPr>
        <w:numPr>
          <w:ilvl w:val="12"/>
          <w:numId w:val="0"/>
        </w:numPr>
        <w:overflowPunct w:val="0"/>
        <w:autoSpaceDN w:val="0"/>
        <w:adjustRightInd w:val="0"/>
        <w:jc w:val="both"/>
        <w:textAlignment w:val="baseline"/>
        <w:rPr>
          <w:bCs/>
          <w:sz w:val="22"/>
          <w:szCs w:val="22"/>
          <w:lang w:val="hr-HR"/>
        </w:rPr>
      </w:pPr>
    </w:p>
    <w:p w14:paraId="2EF197D8" w14:textId="77777777" w:rsidR="00E40785" w:rsidRPr="0013178E" w:rsidRDefault="00E40785" w:rsidP="00430A60">
      <w:pPr>
        <w:numPr>
          <w:ilvl w:val="12"/>
          <w:numId w:val="0"/>
        </w:numPr>
        <w:overflowPunct w:val="0"/>
        <w:autoSpaceDN w:val="0"/>
        <w:adjustRightInd w:val="0"/>
        <w:jc w:val="both"/>
        <w:textAlignment w:val="baseline"/>
        <w:rPr>
          <w:bCs/>
          <w:sz w:val="22"/>
          <w:szCs w:val="22"/>
          <w:lang w:val="hr-HR"/>
        </w:rPr>
      </w:pPr>
      <w:r w:rsidRPr="0013178E">
        <w:rPr>
          <w:sz w:val="22"/>
          <w:szCs w:val="22"/>
          <w:lang w:val="hr-HR"/>
        </w:rPr>
        <w:t xml:space="preserve">Steroide treba </w:t>
      </w:r>
      <w:r w:rsidR="00A52C29" w:rsidRPr="0013178E">
        <w:rPr>
          <w:sz w:val="22"/>
          <w:szCs w:val="22"/>
          <w:lang w:val="hr-HR"/>
        </w:rPr>
        <w:t xml:space="preserve">primjenjivati </w:t>
      </w:r>
      <w:r w:rsidRPr="0013178E">
        <w:rPr>
          <w:sz w:val="22"/>
          <w:szCs w:val="22"/>
          <w:lang w:val="hr-HR"/>
        </w:rPr>
        <w:t>uz oprez kod pacijenata sa hipertenzijom.</w:t>
      </w:r>
    </w:p>
    <w:p w14:paraId="055AFC9C" w14:textId="77777777" w:rsidR="00E40785" w:rsidRPr="0013178E" w:rsidRDefault="00E40785" w:rsidP="00430A60">
      <w:pPr>
        <w:numPr>
          <w:ilvl w:val="12"/>
          <w:numId w:val="0"/>
        </w:numPr>
        <w:overflowPunct w:val="0"/>
        <w:autoSpaceDN w:val="0"/>
        <w:adjustRightInd w:val="0"/>
        <w:jc w:val="both"/>
        <w:textAlignment w:val="baseline"/>
        <w:rPr>
          <w:i/>
          <w:color w:val="FF0000"/>
          <w:sz w:val="22"/>
          <w:szCs w:val="22"/>
          <w:lang w:val="hr-HR"/>
        </w:rPr>
      </w:pPr>
    </w:p>
    <w:p w14:paraId="0E99968F" w14:textId="77777777" w:rsidR="00E40785" w:rsidRPr="0013178E" w:rsidRDefault="00E40785" w:rsidP="00430A60">
      <w:pPr>
        <w:numPr>
          <w:ilvl w:val="12"/>
          <w:numId w:val="0"/>
        </w:numPr>
        <w:overflowPunct w:val="0"/>
        <w:autoSpaceDN w:val="0"/>
        <w:adjustRightInd w:val="0"/>
        <w:jc w:val="both"/>
        <w:textAlignment w:val="baseline"/>
        <w:rPr>
          <w:b/>
          <w:sz w:val="22"/>
          <w:szCs w:val="22"/>
          <w:lang w:val="hr-HR"/>
        </w:rPr>
      </w:pPr>
      <w:r w:rsidRPr="0013178E">
        <w:rPr>
          <w:b/>
          <w:sz w:val="22"/>
          <w:szCs w:val="22"/>
          <w:lang w:val="hr-HR"/>
        </w:rPr>
        <w:t>Gastrointestinalni efekti</w:t>
      </w:r>
    </w:p>
    <w:p w14:paraId="3531B408" w14:textId="77777777" w:rsidR="00E40785" w:rsidRPr="0013178E" w:rsidRDefault="00E40785" w:rsidP="00430A60">
      <w:pPr>
        <w:numPr>
          <w:ilvl w:val="12"/>
          <w:numId w:val="0"/>
        </w:numPr>
        <w:overflowPunct w:val="0"/>
        <w:autoSpaceDN w:val="0"/>
        <w:adjustRightInd w:val="0"/>
        <w:jc w:val="both"/>
        <w:textAlignment w:val="baseline"/>
        <w:rPr>
          <w:i/>
          <w:sz w:val="22"/>
          <w:szCs w:val="22"/>
          <w:lang w:val="hr-HR"/>
        </w:rPr>
      </w:pPr>
      <w:r w:rsidRPr="0013178E">
        <w:rPr>
          <w:sz w:val="22"/>
          <w:szCs w:val="22"/>
          <w:lang w:val="hr-HR"/>
        </w:rPr>
        <w:t xml:space="preserve">Visoke doze kortikosteroida mogu izazvati akutni pankreatitis. </w:t>
      </w:r>
    </w:p>
    <w:p w14:paraId="4ED466B4" w14:textId="77777777" w:rsidR="00E40785" w:rsidRPr="0013178E" w:rsidRDefault="00E40785" w:rsidP="00430A60">
      <w:pPr>
        <w:overflowPunct w:val="0"/>
        <w:autoSpaceDN w:val="0"/>
        <w:adjustRightInd w:val="0"/>
        <w:jc w:val="both"/>
        <w:textAlignment w:val="baseline"/>
        <w:rPr>
          <w:sz w:val="22"/>
          <w:szCs w:val="22"/>
          <w:lang w:val="hr-HR"/>
        </w:rPr>
      </w:pPr>
    </w:p>
    <w:p w14:paraId="4574F263" w14:textId="77777777" w:rsidR="00E40785" w:rsidRPr="0013178E" w:rsidRDefault="00E40785" w:rsidP="00430A60">
      <w:pPr>
        <w:overflowPunct w:val="0"/>
        <w:autoSpaceDN w:val="0"/>
        <w:adjustRightInd w:val="0"/>
        <w:jc w:val="both"/>
        <w:textAlignment w:val="baseline"/>
        <w:rPr>
          <w:sz w:val="22"/>
          <w:szCs w:val="22"/>
          <w:lang w:val="hr-HR"/>
        </w:rPr>
      </w:pPr>
      <w:r w:rsidRPr="0013178E">
        <w:rPr>
          <w:sz w:val="22"/>
          <w:szCs w:val="22"/>
          <w:lang w:val="hr-HR"/>
        </w:rPr>
        <w:t>Terapija glukokortikoidima može maskirati simptome peptičkog ulkusa, pa perforacija ili krvarenje mogu nastati bez značajnog bola. Terapija glukokortikoidima može maskirati peritonitis ili druge znake ili simptome povezane s gastrointestinalnim poremećajima, kao što su perforacija, opstrukcija ili pankreatitis. Rizik od razvoja gastrointestinalnih ulkusa povećava se kada se kortikosteroidi kombinuju sa nesteroidnim antiinflamatornim ljekovima (NSAIL).</w:t>
      </w:r>
    </w:p>
    <w:p w14:paraId="3283A87E" w14:textId="77777777" w:rsidR="00E40785" w:rsidRPr="0013178E" w:rsidRDefault="00E40785" w:rsidP="00430A60">
      <w:pPr>
        <w:overflowPunct w:val="0"/>
        <w:autoSpaceDN w:val="0"/>
        <w:adjustRightInd w:val="0"/>
        <w:jc w:val="both"/>
        <w:textAlignment w:val="baseline"/>
        <w:rPr>
          <w:sz w:val="22"/>
          <w:szCs w:val="22"/>
          <w:lang w:val="hr-HR"/>
        </w:rPr>
      </w:pPr>
    </w:p>
    <w:p w14:paraId="7FE3AC28" w14:textId="5B7AC07D" w:rsidR="00E40785" w:rsidRPr="0013178E" w:rsidRDefault="00E40785" w:rsidP="00430A60">
      <w:pPr>
        <w:overflowPunct w:val="0"/>
        <w:autoSpaceDN w:val="0"/>
        <w:adjustRightInd w:val="0"/>
        <w:jc w:val="both"/>
        <w:textAlignment w:val="baseline"/>
        <w:rPr>
          <w:sz w:val="22"/>
          <w:szCs w:val="22"/>
          <w:lang w:val="hr-HR"/>
        </w:rPr>
      </w:pPr>
      <w:r w:rsidRPr="0013178E">
        <w:rPr>
          <w:sz w:val="22"/>
          <w:szCs w:val="22"/>
          <w:lang w:val="hr-HR"/>
        </w:rPr>
        <w:t xml:space="preserve">Kortikosteroidi se takođe moraju </w:t>
      </w:r>
      <w:r w:rsidR="00E5138F" w:rsidRPr="0013178E">
        <w:rPr>
          <w:sz w:val="22"/>
          <w:szCs w:val="22"/>
          <w:lang w:val="hr-HR"/>
        </w:rPr>
        <w:t xml:space="preserve">primjenjivati </w:t>
      </w:r>
      <w:r w:rsidRPr="0013178E">
        <w:rPr>
          <w:sz w:val="22"/>
          <w:szCs w:val="22"/>
          <w:lang w:val="hr-HR"/>
        </w:rPr>
        <w:t>sa oprezom kod pacijenata sa nespecifičnim ulceroznim kolitisom koji je osjetljiv na perforaciju creva, apscese ili druge piogene infekcije. Potreban je oprez kod novoformiranih intestinalnih anastomoza</w:t>
      </w:r>
      <w:r w:rsidR="00F445E6" w:rsidRPr="0013178E">
        <w:rPr>
          <w:sz w:val="22"/>
          <w:szCs w:val="22"/>
          <w:lang w:val="hr-HR"/>
        </w:rPr>
        <w:t xml:space="preserve">, </w:t>
      </w:r>
      <w:r w:rsidRPr="0013178E">
        <w:rPr>
          <w:sz w:val="22"/>
          <w:szCs w:val="22"/>
          <w:lang w:val="hr-HR"/>
        </w:rPr>
        <w:t>divertikularn</w:t>
      </w:r>
      <w:r w:rsidR="00A861F9" w:rsidRPr="0013178E">
        <w:rPr>
          <w:sz w:val="22"/>
          <w:szCs w:val="22"/>
          <w:lang w:val="hr-HR"/>
        </w:rPr>
        <w:t>e</w:t>
      </w:r>
      <w:r w:rsidRPr="0013178E">
        <w:rPr>
          <w:sz w:val="22"/>
          <w:szCs w:val="22"/>
          <w:lang w:val="hr-HR"/>
        </w:rPr>
        <w:t xml:space="preserve"> bolest</w:t>
      </w:r>
      <w:r w:rsidR="00A861F9" w:rsidRPr="0013178E">
        <w:rPr>
          <w:sz w:val="22"/>
          <w:szCs w:val="22"/>
          <w:lang w:val="hr-HR"/>
        </w:rPr>
        <w:t>i</w:t>
      </w:r>
      <w:r w:rsidRPr="0013178E">
        <w:rPr>
          <w:sz w:val="22"/>
          <w:szCs w:val="22"/>
          <w:lang w:val="hr-HR"/>
        </w:rPr>
        <w:t xml:space="preserve"> i aktivn</w:t>
      </w:r>
      <w:r w:rsidR="00A861F9" w:rsidRPr="0013178E">
        <w:rPr>
          <w:sz w:val="22"/>
          <w:szCs w:val="22"/>
          <w:lang w:val="hr-HR"/>
        </w:rPr>
        <w:t>og</w:t>
      </w:r>
      <w:r w:rsidRPr="0013178E">
        <w:rPr>
          <w:sz w:val="22"/>
          <w:szCs w:val="22"/>
          <w:lang w:val="hr-HR"/>
        </w:rPr>
        <w:t xml:space="preserve"> ili latentn</w:t>
      </w:r>
      <w:r w:rsidR="00A861F9" w:rsidRPr="0013178E">
        <w:rPr>
          <w:sz w:val="22"/>
          <w:szCs w:val="22"/>
          <w:lang w:val="hr-HR"/>
        </w:rPr>
        <w:t>og</w:t>
      </w:r>
      <w:r w:rsidRPr="0013178E">
        <w:rPr>
          <w:sz w:val="22"/>
          <w:szCs w:val="22"/>
          <w:lang w:val="hr-HR"/>
        </w:rPr>
        <w:t xml:space="preserve"> peptičn</w:t>
      </w:r>
      <w:r w:rsidR="00A861F9" w:rsidRPr="0013178E">
        <w:rPr>
          <w:sz w:val="22"/>
          <w:szCs w:val="22"/>
          <w:lang w:val="hr-HR"/>
        </w:rPr>
        <w:t>og</w:t>
      </w:r>
      <w:r w:rsidRPr="0013178E">
        <w:rPr>
          <w:sz w:val="22"/>
          <w:szCs w:val="22"/>
          <w:lang w:val="hr-HR"/>
        </w:rPr>
        <w:t xml:space="preserve"> ulkus</w:t>
      </w:r>
      <w:r w:rsidR="00A861F9" w:rsidRPr="0013178E">
        <w:rPr>
          <w:sz w:val="22"/>
          <w:szCs w:val="22"/>
          <w:lang w:val="hr-HR"/>
        </w:rPr>
        <w:t>a</w:t>
      </w:r>
      <w:r w:rsidRPr="0013178E">
        <w:rPr>
          <w:sz w:val="22"/>
          <w:szCs w:val="22"/>
          <w:lang w:val="hr-HR"/>
        </w:rPr>
        <w:t>.</w:t>
      </w:r>
    </w:p>
    <w:p w14:paraId="5C50782F" w14:textId="77777777" w:rsidR="00E40785" w:rsidRPr="0013178E" w:rsidRDefault="00E40785" w:rsidP="00430A60">
      <w:pPr>
        <w:overflowPunct w:val="0"/>
        <w:autoSpaceDN w:val="0"/>
        <w:adjustRightInd w:val="0"/>
        <w:jc w:val="both"/>
        <w:textAlignment w:val="baseline"/>
        <w:rPr>
          <w:color w:val="FF0000"/>
          <w:sz w:val="22"/>
          <w:szCs w:val="22"/>
          <w:lang w:val="hr-HR"/>
        </w:rPr>
      </w:pPr>
    </w:p>
    <w:p w14:paraId="161F9472" w14:textId="77777777" w:rsidR="00E40785" w:rsidRPr="0013178E" w:rsidRDefault="00E40785" w:rsidP="00430A60">
      <w:pPr>
        <w:overflowPunct w:val="0"/>
        <w:autoSpaceDN w:val="0"/>
        <w:adjustRightInd w:val="0"/>
        <w:jc w:val="both"/>
        <w:textAlignment w:val="baseline"/>
        <w:rPr>
          <w:b/>
          <w:sz w:val="22"/>
          <w:szCs w:val="22"/>
          <w:lang w:val="hr-HR"/>
        </w:rPr>
      </w:pPr>
      <w:r w:rsidRPr="0013178E">
        <w:rPr>
          <w:b/>
          <w:sz w:val="22"/>
          <w:szCs w:val="22"/>
          <w:lang w:val="hr-HR"/>
        </w:rPr>
        <w:t>Efekti na jetru i žučnu kesicu</w:t>
      </w:r>
    </w:p>
    <w:p w14:paraId="548E8612" w14:textId="36571897" w:rsidR="00E40785" w:rsidRPr="0013178E" w:rsidRDefault="00E40785">
      <w:pPr>
        <w:numPr>
          <w:ilvl w:val="12"/>
          <w:numId w:val="0"/>
        </w:numPr>
        <w:overflowPunct w:val="0"/>
        <w:autoSpaceDN w:val="0"/>
        <w:adjustRightInd w:val="0"/>
        <w:spacing w:before="60"/>
        <w:jc w:val="both"/>
        <w:textAlignment w:val="baseline"/>
        <w:rPr>
          <w:bCs/>
          <w:sz w:val="22"/>
          <w:szCs w:val="22"/>
          <w:lang w:val="hr-HR"/>
        </w:rPr>
      </w:pPr>
      <w:r w:rsidRPr="0013178E">
        <w:rPr>
          <w:sz w:val="22"/>
          <w:szCs w:val="22"/>
          <w:lang w:val="hr-HR"/>
        </w:rPr>
        <w:t xml:space="preserve">Oštećenje jetre izazvano </w:t>
      </w:r>
      <w:r w:rsidR="000D3287" w:rsidRPr="0013178E">
        <w:rPr>
          <w:sz w:val="22"/>
          <w:szCs w:val="22"/>
          <w:lang w:val="hr-HR"/>
        </w:rPr>
        <w:t>uslijed</w:t>
      </w:r>
      <w:r w:rsidRPr="0013178E">
        <w:rPr>
          <w:sz w:val="22"/>
          <w:szCs w:val="22"/>
          <w:lang w:val="hr-HR"/>
        </w:rPr>
        <w:t xml:space="preserve"> lijeka, uključujući akutni hepatitis ili povećanje </w:t>
      </w:r>
      <w:r w:rsidR="00B921F5" w:rsidRPr="0013178E">
        <w:rPr>
          <w:sz w:val="22"/>
          <w:szCs w:val="22"/>
          <w:lang w:val="hr-HR"/>
        </w:rPr>
        <w:t xml:space="preserve">vrijednosti </w:t>
      </w:r>
      <w:r w:rsidRPr="0013178E">
        <w:rPr>
          <w:sz w:val="22"/>
          <w:szCs w:val="22"/>
          <w:lang w:val="hr-HR"/>
        </w:rPr>
        <w:t>jetrenih enzima, može biti rezultat primjene cikličnog pulsiranja IV metilprednizolona (obično kod početne doze veće ili jednake 1 g/dan). Vrijeme do početka može biti nekoliko nedjelja ili duže. U većini slučajeva</w:t>
      </w:r>
      <w:r w:rsidR="00F445E6" w:rsidRPr="0013178E">
        <w:rPr>
          <w:sz w:val="22"/>
          <w:szCs w:val="22"/>
          <w:lang w:val="hr-HR"/>
        </w:rPr>
        <w:t>,</w:t>
      </w:r>
      <w:r w:rsidRPr="0013178E">
        <w:rPr>
          <w:sz w:val="22"/>
          <w:szCs w:val="22"/>
          <w:lang w:val="hr-HR"/>
        </w:rPr>
        <w:t xml:space="preserve"> primijećeno je povlačenje neželjenih događaja nakon prekida terapije. Neophodno je odgovarajuće praćenje.</w:t>
      </w:r>
    </w:p>
    <w:p w14:paraId="7ABA4444" w14:textId="77777777" w:rsidR="00E40785" w:rsidRPr="0013178E" w:rsidRDefault="00E40785">
      <w:pPr>
        <w:numPr>
          <w:ilvl w:val="12"/>
          <w:numId w:val="0"/>
        </w:numPr>
        <w:overflowPunct w:val="0"/>
        <w:autoSpaceDN w:val="0"/>
        <w:adjustRightInd w:val="0"/>
        <w:spacing w:before="60"/>
        <w:jc w:val="both"/>
        <w:textAlignment w:val="baseline"/>
        <w:rPr>
          <w:bCs/>
          <w:sz w:val="22"/>
          <w:szCs w:val="22"/>
          <w:lang w:val="hr-HR"/>
        </w:rPr>
      </w:pPr>
    </w:p>
    <w:p w14:paraId="56D9DBD7" w14:textId="77777777" w:rsidR="00E40785" w:rsidRPr="0013178E" w:rsidRDefault="00E40785" w:rsidP="00430A60">
      <w:pPr>
        <w:overflowPunct w:val="0"/>
        <w:autoSpaceDN w:val="0"/>
        <w:adjustRightInd w:val="0"/>
        <w:jc w:val="both"/>
        <w:textAlignment w:val="baseline"/>
        <w:rPr>
          <w:sz w:val="22"/>
          <w:szCs w:val="22"/>
          <w:lang w:val="hr-HR"/>
        </w:rPr>
      </w:pPr>
      <w:r w:rsidRPr="0013178E">
        <w:rPr>
          <w:sz w:val="22"/>
          <w:szCs w:val="22"/>
          <w:lang w:val="hr-HR"/>
        </w:rPr>
        <w:t xml:space="preserve">Posebna pažnja je potrebna kada se razmatra upotreba sistemskih kortikosteroida kod pacijenata sa slučajem otkazivanja jetre ili ciroze, a potrebno je i rutinsko praćenje pacijenta. </w:t>
      </w:r>
    </w:p>
    <w:p w14:paraId="7ED399BF" w14:textId="77777777" w:rsidR="00E40785" w:rsidRPr="0013178E" w:rsidRDefault="00E40785" w:rsidP="00E40785">
      <w:pPr>
        <w:overflowPunct w:val="0"/>
        <w:autoSpaceDN w:val="0"/>
        <w:adjustRightInd w:val="0"/>
        <w:textAlignment w:val="baseline"/>
        <w:rPr>
          <w:b/>
          <w:iCs/>
          <w:sz w:val="22"/>
          <w:szCs w:val="22"/>
          <w:lang w:val="hr-HR"/>
        </w:rPr>
      </w:pPr>
    </w:p>
    <w:p w14:paraId="16BE4201" w14:textId="77777777" w:rsidR="00E40785" w:rsidRPr="0013178E" w:rsidRDefault="00E40785" w:rsidP="00E40785">
      <w:pPr>
        <w:overflowPunct w:val="0"/>
        <w:autoSpaceDN w:val="0"/>
        <w:adjustRightInd w:val="0"/>
        <w:textAlignment w:val="baseline"/>
        <w:rPr>
          <w:b/>
          <w:sz w:val="22"/>
          <w:szCs w:val="22"/>
          <w:lang w:val="hr-HR"/>
        </w:rPr>
      </w:pPr>
      <w:r w:rsidRPr="0013178E">
        <w:rPr>
          <w:b/>
          <w:sz w:val="22"/>
          <w:szCs w:val="22"/>
          <w:lang w:val="hr-HR"/>
        </w:rPr>
        <w:t>Mišićno-skeletni efekti</w:t>
      </w:r>
    </w:p>
    <w:p w14:paraId="1BF6DF88" w14:textId="77777777" w:rsidR="00E40785" w:rsidRPr="0013178E" w:rsidRDefault="00E40785" w:rsidP="00430A60">
      <w:pPr>
        <w:overflowPunct w:val="0"/>
        <w:autoSpaceDN w:val="0"/>
        <w:adjustRightInd w:val="0"/>
        <w:jc w:val="both"/>
        <w:textAlignment w:val="baseline"/>
        <w:rPr>
          <w:sz w:val="22"/>
          <w:szCs w:val="22"/>
          <w:lang w:val="hr-HR"/>
        </w:rPr>
      </w:pPr>
      <w:r w:rsidRPr="0013178E">
        <w:rPr>
          <w:sz w:val="22"/>
          <w:szCs w:val="22"/>
          <w:lang w:val="hr-HR"/>
        </w:rPr>
        <w:t>Akutna miopatija je zabilježena pri visokim dozama kortikosteroida, najčešće kod pacijenata sa poremećajem neuromuskularne transmisije (npr. miastenija gravis) ili kod pacijenata koji istovremeno primaju antiholinergike, kao što su neuromuskularni blokatori (npr. pankuronijum). Ta akutna miopatija je generalizovana i može uključivati očne i respiratorne mišiće i za posljedicu imati kvadriparezu. Može se javiti povećanje kreatin kinaze.</w:t>
      </w:r>
    </w:p>
    <w:p w14:paraId="68EA1C9A" w14:textId="77777777" w:rsidR="00E40785" w:rsidRPr="0013178E" w:rsidRDefault="00E40785" w:rsidP="00430A60">
      <w:pPr>
        <w:overflowPunct w:val="0"/>
        <w:autoSpaceDN w:val="0"/>
        <w:adjustRightInd w:val="0"/>
        <w:jc w:val="both"/>
        <w:textAlignment w:val="baseline"/>
        <w:rPr>
          <w:sz w:val="22"/>
          <w:szCs w:val="22"/>
          <w:lang w:val="hr-HR"/>
        </w:rPr>
      </w:pPr>
      <w:r w:rsidRPr="0013178E">
        <w:rPr>
          <w:sz w:val="22"/>
          <w:szCs w:val="22"/>
          <w:lang w:val="hr-HR"/>
        </w:rPr>
        <w:t>Kliničko poboljšanje ili oporavak nakon prekida kortikosteroidne terapije, nastaje nakon nekoliko nedjelja ili godina.</w:t>
      </w:r>
    </w:p>
    <w:p w14:paraId="7858229F" w14:textId="77777777" w:rsidR="00E40785" w:rsidRPr="0013178E" w:rsidRDefault="00E40785" w:rsidP="00430A60">
      <w:pPr>
        <w:overflowPunct w:val="0"/>
        <w:autoSpaceDN w:val="0"/>
        <w:adjustRightInd w:val="0"/>
        <w:jc w:val="both"/>
        <w:textAlignment w:val="baseline"/>
        <w:rPr>
          <w:sz w:val="22"/>
          <w:szCs w:val="22"/>
          <w:lang w:val="hr-HR"/>
        </w:rPr>
      </w:pPr>
    </w:p>
    <w:p w14:paraId="6835366E" w14:textId="5ECCDBA2" w:rsidR="00E40785" w:rsidRPr="0013178E" w:rsidRDefault="00E40785" w:rsidP="00430A60">
      <w:pPr>
        <w:overflowPunct w:val="0"/>
        <w:autoSpaceDN w:val="0"/>
        <w:adjustRightInd w:val="0"/>
        <w:jc w:val="both"/>
        <w:textAlignment w:val="baseline"/>
        <w:rPr>
          <w:sz w:val="22"/>
          <w:szCs w:val="22"/>
          <w:lang w:val="hr-HR"/>
        </w:rPr>
      </w:pPr>
      <w:r w:rsidRPr="0013178E">
        <w:rPr>
          <w:sz w:val="22"/>
          <w:szCs w:val="22"/>
          <w:lang w:val="hr-HR"/>
        </w:rPr>
        <w:t>Posebna pažnja je potrebna kada se razmatra upotreba sistemskih kortikosteroida kod pacijenata sa prethodn</w:t>
      </w:r>
      <w:r w:rsidR="004B7AEA" w:rsidRPr="0013178E">
        <w:rPr>
          <w:sz w:val="22"/>
          <w:szCs w:val="22"/>
          <w:lang w:val="hr-HR"/>
        </w:rPr>
        <w:t>i</w:t>
      </w:r>
      <w:r w:rsidRPr="0013178E">
        <w:rPr>
          <w:sz w:val="22"/>
          <w:szCs w:val="22"/>
          <w:lang w:val="hr-HR"/>
        </w:rPr>
        <w:t>m miopatij</w:t>
      </w:r>
      <w:r w:rsidR="004B7AEA" w:rsidRPr="0013178E">
        <w:rPr>
          <w:sz w:val="22"/>
          <w:szCs w:val="22"/>
          <w:lang w:val="hr-HR"/>
        </w:rPr>
        <w:t>a</w:t>
      </w:r>
      <w:r w:rsidRPr="0013178E">
        <w:rPr>
          <w:sz w:val="22"/>
          <w:szCs w:val="22"/>
          <w:lang w:val="hr-HR"/>
        </w:rPr>
        <w:t>m</w:t>
      </w:r>
      <w:r w:rsidR="004B7AEA" w:rsidRPr="0013178E">
        <w:rPr>
          <w:sz w:val="22"/>
          <w:szCs w:val="22"/>
          <w:lang w:val="hr-HR"/>
        </w:rPr>
        <w:t>a</w:t>
      </w:r>
      <w:r w:rsidRPr="0013178E">
        <w:rPr>
          <w:sz w:val="22"/>
          <w:szCs w:val="22"/>
          <w:lang w:val="hr-HR"/>
        </w:rPr>
        <w:t xml:space="preserve"> izazvan</w:t>
      </w:r>
      <w:r w:rsidR="004B7AEA" w:rsidRPr="0013178E">
        <w:rPr>
          <w:sz w:val="22"/>
          <w:szCs w:val="22"/>
          <w:lang w:val="hr-HR"/>
        </w:rPr>
        <w:t>i</w:t>
      </w:r>
      <w:r w:rsidRPr="0013178E">
        <w:rPr>
          <w:sz w:val="22"/>
          <w:szCs w:val="22"/>
          <w:lang w:val="hr-HR"/>
        </w:rPr>
        <w:t>m kortikosteroidima, koji zatim zahtijevaju pojačano kliničko praćenje.</w:t>
      </w:r>
    </w:p>
    <w:p w14:paraId="5C75FFC9" w14:textId="77777777" w:rsidR="00E40785" w:rsidRPr="0013178E" w:rsidRDefault="00E40785" w:rsidP="00E40785">
      <w:pPr>
        <w:overflowPunct w:val="0"/>
        <w:autoSpaceDN w:val="0"/>
        <w:adjustRightInd w:val="0"/>
        <w:textAlignment w:val="baseline"/>
        <w:rPr>
          <w:sz w:val="22"/>
          <w:szCs w:val="22"/>
          <w:lang w:val="hr-HR"/>
        </w:rPr>
      </w:pPr>
    </w:p>
    <w:p w14:paraId="35E2BC74" w14:textId="77777777" w:rsidR="00E40785" w:rsidRPr="0013178E" w:rsidRDefault="00E40785" w:rsidP="00E40785">
      <w:pPr>
        <w:overflowPunct w:val="0"/>
        <w:autoSpaceDN w:val="0"/>
        <w:adjustRightInd w:val="0"/>
        <w:textAlignment w:val="baseline"/>
        <w:rPr>
          <w:sz w:val="22"/>
          <w:szCs w:val="22"/>
          <w:lang w:val="hr-HR"/>
        </w:rPr>
      </w:pPr>
      <w:r w:rsidRPr="0013178E">
        <w:rPr>
          <w:sz w:val="22"/>
          <w:szCs w:val="22"/>
          <w:lang w:val="hr-HR"/>
        </w:rPr>
        <w:lastRenderedPageBreak/>
        <w:t>Osteoporoza je neželjeni događaj povezan sa dugotrajnom primjenom visokih doza glukokortikoida (poseban rizik za žene u postmenopauzi), i potrebno je rutinsko praćenje pacijenta.</w:t>
      </w:r>
    </w:p>
    <w:p w14:paraId="56648056" w14:textId="77777777" w:rsidR="00E40785" w:rsidRPr="0013178E" w:rsidRDefault="00E40785" w:rsidP="00E40785">
      <w:pPr>
        <w:overflowPunct w:val="0"/>
        <w:autoSpaceDN w:val="0"/>
        <w:adjustRightInd w:val="0"/>
        <w:textAlignment w:val="baseline"/>
        <w:rPr>
          <w:i/>
          <w:sz w:val="22"/>
          <w:szCs w:val="22"/>
          <w:lang w:val="hr-HR"/>
        </w:rPr>
      </w:pPr>
    </w:p>
    <w:p w14:paraId="689C470B" w14:textId="77777777" w:rsidR="00E40785" w:rsidRPr="0013178E" w:rsidRDefault="00E40785" w:rsidP="00430A60">
      <w:pPr>
        <w:overflowPunct w:val="0"/>
        <w:autoSpaceDN w:val="0"/>
        <w:adjustRightInd w:val="0"/>
        <w:jc w:val="both"/>
        <w:textAlignment w:val="baseline"/>
        <w:rPr>
          <w:b/>
          <w:sz w:val="22"/>
          <w:szCs w:val="22"/>
          <w:lang w:val="hr-HR"/>
        </w:rPr>
      </w:pPr>
      <w:r w:rsidRPr="0013178E">
        <w:rPr>
          <w:b/>
          <w:sz w:val="22"/>
          <w:szCs w:val="22"/>
          <w:lang w:val="hr-HR"/>
        </w:rPr>
        <w:t>Poremećaji bubrega i urinarnog trakta</w:t>
      </w:r>
    </w:p>
    <w:p w14:paraId="4E5E6F1A" w14:textId="094B0E09" w:rsidR="00C24054" w:rsidRPr="0013178E" w:rsidRDefault="00C24054" w:rsidP="00430A60">
      <w:pPr>
        <w:overflowPunct w:val="0"/>
        <w:autoSpaceDN w:val="0"/>
        <w:adjustRightInd w:val="0"/>
        <w:jc w:val="both"/>
        <w:textAlignment w:val="baseline"/>
        <w:rPr>
          <w:sz w:val="22"/>
          <w:szCs w:val="22"/>
          <w:lang w:val="hr-HR"/>
        </w:rPr>
      </w:pPr>
      <w:r w:rsidRPr="0013178E">
        <w:rPr>
          <w:sz w:val="22"/>
          <w:szCs w:val="22"/>
          <w:lang w:val="hr-HR"/>
        </w:rPr>
        <w:t xml:space="preserve">Potreban je oprez kod pacijenata sa sistemskom sklerozom jer je kod </w:t>
      </w:r>
      <w:r w:rsidR="00D15E0E" w:rsidRPr="0013178E">
        <w:rPr>
          <w:sz w:val="22"/>
          <w:szCs w:val="22"/>
          <w:lang w:val="hr-HR"/>
        </w:rPr>
        <w:t xml:space="preserve">primjene </w:t>
      </w:r>
      <w:r w:rsidRPr="0013178E">
        <w:rPr>
          <w:sz w:val="22"/>
          <w:szCs w:val="22"/>
          <w:lang w:val="hr-HR"/>
        </w:rPr>
        <w:t>kortikosteroida</w:t>
      </w:r>
      <w:r w:rsidR="003312DC" w:rsidRPr="0013178E">
        <w:rPr>
          <w:sz w:val="22"/>
          <w:szCs w:val="22"/>
          <w:lang w:val="hr-HR"/>
        </w:rPr>
        <w:t>, uključujući metilprednizolon,</w:t>
      </w:r>
      <w:r w:rsidRPr="0013178E">
        <w:rPr>
          <w:sz w:val="22"/>
          <w:szCs w:val="22"/>
          <w:lang w:val="hr-HR"/>
        </w:rPr>
        <w:t xml:space="preserve"> uočena povećana incidencija </w:t>
      </w:r>
      <w:r w:rsidR="00501DA5" w:rsidRPr="0013178E">
        <w:rPr>
          <w:sz w:val="22"/>
          <w:szCs w:val="22"/>
          <w:lang w:val="hr-HR"/>
        </w:rPr>
        <w:t xml:space="preserve">sklerodermne </w:t>
      </w:r>
      <w:r w:rsidRPr="0013178E">
        <w:rPr>
          <w:sz w:val="22"/>
          <w:szCs w:val="22"/>
          <w:lang w:val="hr-HR"/>
        </w:rPr>
        <w:t>bubrežne krize</w:t>
      </w:r>
      <w:r w:rsidR="005C601A" w:rsidRPr="0013178E">
        <w:rPr>
          <w:sz w:val="22"/>
          <w:szCs w:val="22"/>
          <w:lang w:val="hr-HR"/>
        </w:rPr>
        <w:t>.</w:t>
      </w:r>
    </w:p>
    <w:p w14:paraId="17D906D3" w14:textId="77777777" w:rsidR="005C601A" w:rsidRPr="0013178E" w:rsidRDefault="005C601A" w:rsidP="00430A60">
      <w:pPr>
        <w:overflowPunct w:val="0"/>
        <w:autoSpaceDN w:val="0"/>
        <w:adjustRightInd w:val="0"/>
        <w:jc w:val="both"/>
        <w:textAlignment w:val="baseline"/>
        <w:rPr>
          <w:sz w:val="22"/>
          <w:szCs w:val="22"/>
          <w:lang w:val="hr-HR"/>
        </w:rPr>
      </w:pPr>
    </w:p>
    <w:p w14:paraId="7BE77FFA" w14:textId="259DA51D" w:rsidR="00E40785" w:rsidRPr="0013178E" w:rsidRDefault="00E40785" w:rsidP="00430A60">
      <w:pPr>
        <w:overflowPunct w:val="0"/>
        <w:autoSpaceDN w:val="0"/>
        <w:adjustRightInd w:val="0"/>
        <w:jc w:val="both"/>
        <w:textAlignment w:val="baseline"/>
        <w:rPr>
          <w:sz w:val="22"/>
          <w:szCs w:val="22"/>
          <w:lang w:val="hr-HR"/>
        </w:rPr>
      </w:pPr>
      <w:r w:rsidRPr="0013178E">
        <w:rPr>
          <w:sz w:val="22"/>
          <w:szCs w:val="22"/>
          <w:lang w:val="hr-HR"/>
        </w:rPr>
        <w:t>Posebna pažnja je potrebna kada se razmatra upotreba sistemskih kortikosteroida kod pacijenata sa slučajem otkazivanja bubrega a potrebno je i rutinsko praćenje pacijenta.</w:t>
      </w:r>
    </w:p>
    <w:p w14:paraId="7B2583EA" w14:textId="77777777" w:rsidR="00E40785" w:rsidRPr="0013178E" w:rsidRDefault="00E40785" w:rsidP="00430A60">
      <w:pPr>
        <w:overflowPunct w:val="0"/>
        <w:autoSpaceDN w:val="0"/>
        <w:adjustRightInd w:val="0"/>
        <w:jc w:val="both"/>
        <w:textAlignment w:val="baseline"/>
        <w:rPr>
          <w:sz w:val="22"/>
          <w:szCs w:val="22"/>
          <w:lang w:val="hr-HR"/>
        </w:rPr>
      </w:pPr>
    </w:p>
    <w:p w14:paraId="6942B000" w14:textId="77777777" w:rsidR="00E40785" w:rsidRPr="0013178E" w:rsidRDefault="00E40785" w:rsidP="00430A60">
      <w:pPr>
        <w:overflowPunct w:val="0"/>
        <w:autoSpaceDN w:val="0"/>
        <w:adjustRightInd w:val="0"/>
        <w:jc w:val="both"/>
        <w:textAlignment w:val="baseline"/>
        <w:rPr>
          <w:b/>
          <w:sz w:val="22"/>
          <w:szCs w:val="22"/>
          <w:lang w:val="hr-HR"/>
        </w:rPr>
      </w:pPr>
      <w:r w:rsidRPr="0013178E">
        <w:rPr>
          <w:b/>
          <w:sz w:val="22"/>
          <w:szCs w:val="22"/>
          <w:lang w:val="hr-HR"/>
        </w:rPr>
        <w:t>Ispitivanja</w:t>
      </w:r>
    </w:p>
    <w:p w14:paraId="3E66E3EA" w14:textId="77777777" w:rsidR="00E40785" w:rsidRPr="0013178E" w:rsidRDefault="00E40785" w:rsidP="00430A60">
      <w:pPr>
        <w:overflowPunct w:val="0"/>
        <w:autoSpaceDN w:val="0"/>
        <w:adjustRightInd w:val="0"/>
        <w:jc w:val="both"/>
        <w:textAlignment w:val="baseline"/>
        <w:rPr>
          <w:sz w:val="22"/>
          <w:szCs w:val="22"/>
          <w:lang w:val="hr-HR"/>
        </w:rPr>
      </w:pPr>
      <w:r w:rsidRPr="0013178E">
        <w:rPr>
          <w:sz w:val="22"/>
          <w:szCs w:val="22"/>
          <w:lang w:val="hr-HR"/>
        </w:rPr>
        <w:t>Prosječne i visoke doze hidrokortizona ili kortizona mogu uzrokovati porast krvnog pritiska, retenciju soli i tečnosti, kao i povećanu ekskreciju kalijuma. Manje je vjerovatno da će se ti efekti javiti prilikom primjene sintetskih derivata, osim ako su primijenjeni u visokim dozama. Može biti potrebno ograničiti unos soli i kalijuma u ishrani. Svi kortikosteroidi povećavaju ekskreciju kalcijuma.</w:t>
      </w:r>
    </w:p>
    <w:p w14:paraId="0C4261C6" w14:textId="77777777" w:rsidR="00E40785" w:rsidRPr="0013178E" w:rsidRDefault="00E40785" w:rsidP="00430A60">
      <w:pPr>
        <w:overflowPunct w:val="0"/>
        <w:autoSpaceDN w:val="0"/>
        <w:adjustRightInd w:val="0"/>
        <w:jc w:val="both"/>
        <w:textAlignment w:val="baseline"/>
        <w:rPr>
          <w:color w:val="FF0000"/>
          <w:sz w:val="22"/>
          <w:szCs w:val="22"/>
          <w:lang w:val="hr-HR"/>
        </w:rPr>
      </w:pPr>
    </w:p>
    <w:p w14:paraId="69ADB3A2" w14:textId="77777777" w:rsidR="00E40785" w:rsidRPr="0013178E" w:rsidRDefault="00E40785" w:rsidP="00430A60">
      <w:pPr>
        <w:overflowPunct w:val="0"/>
        <w:autoSpaceDN w:val="0"/>
        <w:adjustRightInd w:val="0"/>
        <w:jc w:val="both"/>
        <w:textAlignment w:val="baseline"/>
        <w:rPr>
          <w:b/>
          <w:sz w:val="22"/>
          <w:szCs w:val="22"/>
          <w:lang w:val="hr-HR"/>
        </w:rPr>
      </w:pPr>
      <w:r w:rsidRPr="0013178E">
        <w:rPr>
          <w:b/>
          <w:sz w:val="22"/>
          <w:szCs w:val="22"/>
          <w:lang w:val="hr-HR"/>
        </w:rPr>
        <w:t>Povrede, trovanja i komplikacije procedura</w:t>
      </w:r>
    </w:p>
    <w:p w14:paraId="47D12B5D" w14:textId="77777777" w:rsidR="00E40785" w:rsidRPr="0013178E" w:rsidRDefault="00E40785" w:rsidP="00430A60">
      <w:pPr>
        <w:spacing w:after="240"/>
        <w:jc w:val="both"/>
        <w:rPr>
          <w:sz w:val="22"/>
          <w:szCs w:val="22"/>
          <w:lang w:val="hr-HR"/>
        </w:rPr>
      </w:pPr>
      <w:r w:rsidRPr="0013178E">
        <w:rPr>
          <w:sz w:val="22"/>
          <w:szCs w:val="22"/>
          <w:lang w:val="hr-HR"/>
        </w:rPr>
        <w:t>Kortikosteroidi za sistemsku primjenu nijesu indikovani i stoga se ne smiju primjenjivati za liječenje traumatskih povreda mozga. Jedno multicentrično ispitivanje pokazalo je porast mortaliteta 2 nedjelje i 6 mjeseci nakon povrede kod pacijenata k</w:t>
      </w:r>
      <w:r w:rsidR="0060712B" w:rsidRPr="0013178E">
        <w:rPr>
          <w:sz w:val="22"/>
          <w:szCs w:val="22"/>
          <w:lang w:val="hr-HR"/>
        </w:rPr>
        <w:t xml:space="preserve">oji su primili metilprednizolon natrijum </w:t>
      </w:r>
      <w:r w:rsidRPr="0013178E">
        <w:rPr>
          <w:sz w:val="22"/>
          <w:szCs w:val="22"/>
          <w:lang w:val="hr-HR"/>
        </w:rPr>
        <w:t xml:space="preserve">sukcinat u odnosu na </w:t>
      </w:r>
      <w:r w:rsidR="00C76F6F" w:rsidRPr="0013178E">
        <w:rPr>
          <w:sz w:val="22"/>
          <w:szCs w:val="22"/>
          <w:lang w:val="hr-HR"/>
        </w:rPr>
        <w:t xml:space="preserve">grupu koja je primala </w:t>
      </w:r>
      <w:r w:rsidRPr="0013178E">
        <w:rPr>
          <w:sz w:val="22"/>
          <w:szCs w:val="22"/>
          <w:lang w:val="hr-HR"/>
        </w:rPr>
        <w:t xml:space="preserve">placebo. Nije utvrđena uzročna povezanost sa </w:t>
      </w:r>
      <w:r w:rsidR="0060712B" w:rsidRPr="0013178E">
        <w:rPr>
          <w:bCs/>
          <w:sz w:val="22"/>
          <w:szCs w:val="22"/>
          <w:lang w:val="hr-HR"/>
        </w:rPr>
        <w:t>metilprednizolon natrijum sukcinatom</w:t>
      </w:r>
      <w:r w:rsidRPr="0013178E">
        <w:rPr>
          <w:sz w:val="22"/>
          <w:szCs w:val="22"/>
          <w:lang w:val="hr-HR"/>
        </w:rPr>
        <w:t>.</w:t>
      </w:r>
    </w:p>
    <w:p w14:paraId="3E795CA3" w14:textId="77777777" w:rsidR="00E40785" w:rsidRPr="0013178E" w:rsidRDefault="00E40785" w:rsidP="00430A60">
      <w:pPr>
        <w:overflowPunct w:val="0"/>
        <w:autoSpaceDN w:val="0"/>
        <w:adjustRightInd w:val="0"/>
        <w:jc w:val="both"/>
        <w:textAlignment w:val="baseline"/>
        <w:rPr>
          <w:b/>
          <w:sz w:val="22"/>
          <w:szCs w:val="22"/>
          <w:lang w:val="hr-HR"/>
        </w:rPr>
      </w:pPr>
      <w:r w:rsidRPr="0013178E">
        <w:rPr>
          <w:b/>
          <w:sz w:val="22"/>
          <w:szCs w:val="22"/>
          <w:lang w:val="hr-HR"/>
        </w:rPr>
        <w:t>Drugo</w:t>
      </w:r>
    </w:p>
    <w:p w14:paraId="50E3A87D" w14:textId="2BD42313" w:rsidR="00E40785" w:rsidRPr="0013178E" w:rsidRDefault="00E40785" w:rsidP="00430A60">
      <w:pPr>
        <w:overflowPunct w:val="0"/>
        <w:autoSpaceDN w:val="0"/>
        <w:adjustRightInd w:val="0"/>
        <w:jc w:val="both"/>
        <w:textAlignment w:val="baseline"/>
        <w:rPr>
          <w:sz w:val="22"/>
          <w:szCs w:val="22"/>
          <w:lang w:val="hr-HR"/>
        </w:rPr>
      </w:pPr>
      <w:r w:rsidRPr="0013178E">
        <w:rPr>
          <w:sz w:val="22"/>
          <w:szCs w:val="22"/>
          <w:lang w:val="hr-HR"/>
        </w:rPr>
        <w:t>Budući da komplikacije liječenja glukokortikoidima zavise od veličine doze i trajanja terapije, odnos rizik/korist mora biti pažljivo određen u svakom pojedinačnom slučaju kada je u pitanju doza i trajanje terapije. Treba koristiti najnižu moguću doza kortikosteroida za kontrolu stanja pod terapijom i kada je moguće smanjenje doze, ono treba da bude postepeno</w:t>
      </w:r>
      <w:r w:rsidR="00A861F9" w:rsidRPr="0013178E">
        <w:rPr>
          <w:sz w:val="22"/>
          <w:szCs w:val="22"/>
          <w:lang w:val="hr-HR"/>
        </w:rPr>
        <w:t>.</w:t>
      </w:r>
    </w:p>
    <w:p w14:paraId="48C3A3FE" w14:textId="77777777" w:rsidR="00E40785" w:rsidRPr="0013178E" w:rsidRDefault="00E40785" w:rsidP="00430A60">
      <w:pPr>
        <w:overflowPunct w:val="0"/>
        <w:autoSpaceDN w:val="0"/>
        <w:adjustRightInd w:val="0"/>
        <w:jc w:val="both"/>
        <w:textAlignment w:val="baseline"/>
        <w:rPr>
          <w:sz w:val="22"/>
          <w:szCs w:val="22"/>
          <w:lang w:val="hr-HR"/>
        </w:rPr>
      </w:pPr>
    </w:p>
    <w:p w14:paraId="14772649" w14:textId="2210CD45" w:rsidR="00E40785" w:rsidRPr="0013178E" w:rsidRDefault="00E40785" w:rsidP="00430A60">
      <w:pPr>
        <w:numPr>
          <w:ilvl w:val="12"/>
          <w:numId w:val="0"/>
        </w:numPr>
        <w:overflowPunct w:val="0"/>
        <w:autoSpaceDN w:val="0"/>
        <w:adjustRightInd w:val="0"/>
        <w:jc w:val="both"/>
        <w:textAlignment w:val="baseline"/>
        <w:rPr>
          <w:sz w:val="22"/>
          <w:szCs w:val="22"/>
          <w:lang w:val="hr-HR"/>
        </w:rPr>
      </w:pPr>
      <w:r w:rsidRPr="0013178E">
        <w:rPr>
          <w:sz w:val="22"/>
          <w:szCs w:val="22"/>
          <w:lang w:val="hr-HR"/>
        </w:rPr>
        <w:t xml:space="preserve">Očekuje se da istovremena primjena inhibitora CYP3A, uključujući i ljekove koji sadrže cobicistat, povećava rizik od sistemskih neželjenih reakcija. Tu kombinaciju treba izbjegavati, osim ako korist premašuje povećani rizik od nuspojava vezanih za sistemske kortikosteroide, u kom slučaju pacijente treba pratiti zbog </w:t>
      </w:r>
      <w:r w:rsidR="00886155" w:rsidRPr="0013178E">
        <w:rPr>
          <w:sz w:val="22"/>
          <w:szCs w:val="22"/>
          <w:lang w:val="hr-HR"/>
        </w:rPr>
        <w:t xml:space="preserve">sistemskih </w:t>
      </w:r>
      <w:r w:rsidRPr="0013178E">
        <w:rPr>
          <w:sz w:val="22"/>
          <w:szCs w:val="22"/>
          <w:lang w:val="hr-HR"/>
        </w:rPr>
        <w:t xml:space="preserve">nuspojava vezanih za kortikosteroide (vidjeti </w:t>
      </w:r>
      <w:r w:rsidR="009E76C5">
        <w:rPr>
          <w:sz w:val="22"/>
          <w:szCs w:val="22"/>
          <w:lang w:val="hr-HR"/>
        </w:rPr>
        <w:t>dio</w:t>
      </w:r>
      <w:r w:rsidRPr="0013178E">
        <w:rPr>
          <w:sz w:val="22"/>
          <w:szCs w:val="22"/>
          <w:lang w:val="hr-HR"/>
        </w:rPr>
        <w:t xml:space="preserve"> 4.5).</w:t>
      </w:r>
    </w:p>
    <w:p w14:paraId="3A047E49" w14:textId="77777777" w:rsidR="00E40785" w:rsidRPr="0013178E" w:rsidRDefault="00E40785" w:rsidP="00430A60">
      <w:pPr>
        <w:numPr>
          <w:ilvl w:val="12"/>
          <w:numId w:val="0"/>
        </w:numPr>
        <w:overflowPunct w:val="0"/>
        <w:autoSpaceDN w:val="0"/>
        <w:adjustRightInd w:val="0"/>
        <w:jc w:val="both"/>
        <w:textAlignment w:val="baseline"/>
        <w:rPr>
          <w:sz w:val="22"/>
          <w:szCs w:val="22"/>
          <w:u w:val="single"/>
          <w:lang w:val="hr-HR"/>
        </w:rPr>
      </w:pPr>
    </w:p>
    <w:p w14:paraId="596D8019" w14:textId="799FA6FB" w:rsidR="00E40785" w:rsidRPr="0013178E" w:rsidRDefault="00E40785" w:rsidP="00430A60">
      <w:pPr>
        <w:numPr>
          <w:ilvl w:val="12"/>
          <w:numId w:val="0"/>
        </w:numPr>
        <w:overflowPunct w:val="0"/>
        <w:autoSpaceDN w:val="0"/>
        <w:adjustRightInd w:val="0"/>
        <w:jc w:val="both"/>
        <w:textAlignment w:val="baseline"/>
        <w:rPr>
          <w:sz w:val="22"/>
          <w:szCs w:val="22"/>
          <w:lang w:val="hr-HR"/>
        </w:rPr>
      </w:pPr>
      <w:r w:rsidRPr="0013178E">
        <w:rPr>
          <w:sz w:val="22"/>
          <w:szCs w:val="22"/>
          <w:lang w:val="hr-HR"/>
        </w:rPr>
        <w:t xml:space="preserve">Aspirin i nesteroidne antiinflamatorne ljekove treba oprezno koristiti u kombinaciji sa kortikosteroidima (vidjeti </w:t>
      </w:r>
      <w:r w:rsidR="009E76C5">
        <w:rPr>
          <w:sz w:val="22"/>
          <w:szCs w:val="22"/>
          <w:lang w:val="hr-HR"/>
        </w:rPr>
        <w:t>dio</w:t>
      </w:r>
      <w:r w:rsidRPr="0013178E">
        <w:rPr>
          <w:sz w:val="22"/>
          <w:szCs w:val="22"/>
          <w:lang w:val="hr-HR"/>
        </w:rPr>
        <w:t xml:space="preserve"> 4.5).</w:t>
      </w:r>
    </w:p>
    <w:p w14:paraId="58D82728" w14:textId="77777777" w:rsidR="00E40785" w:rsidRPr="0013178E" w:rsidRDefault="00E40785" w:rsidP="00430A60">
      <w:pPr>
        <w:numPr>
          <w:ilvl w:val="12"/>
          <w:numId w:val="0"/>
        </w:numPr>
        <w:overflowPunct w:val="0"/>
        <w:autoSpaceDN w:val="0"/>
        <w:adjustRightInd w:val="0"/>
        <w:jc w:val="both"/>
        <w:textAlignment w:val="baseline"/>
        <w:rPr>
          <w:sz w:val="22"/>
          <w:szCs w:val="22"/>
          <w:lang w:val="hr-HR"/>
        </w:rPr>
      </w:pPr>
    </w:p>
    <w:p w14:paraId="77630ED5" w14:textId="0C806440" w:rsidR="00E40785" w:rsidRDefault="00E40785" w:rsidP="00430A60">
      <w:pPr>
        <w:numPr>
          <w:ilvl w:val="12"/>
          <w:numId w:val="0"/>
        </w:numPr>
        <w:overflowPunct w:val="0"/>
        <w:autoSpaceDN w:val="0"/>
        <w:adjustRightInd w:val="0"/>
        <w:jc w:val="both"/>
        <w:textAlignment w:val="baseline"/>
        <w:rPr>
          <w:sz w:val="22"/>
          <w:szCs w:val="22"/>
          <w:lang w:val="hr-HR"/>
        </w:rPr>
      </w:pPr>
      <w:r w:rsidRPr="0013178E">
        <w:rPr>
          <w:sz w:val="22"/>
          <w:szCs w:val="22"/>
          <w:lang w:val="hr-HR"/>
        </w:rPr>
        <w:t>Feohromocitomska kriza, koja može biti fatalna, prijavljena je nakon primjene sistemskih kortikosteroida. Kortikosteroid</w:t>
      </w:r>
      <w:r w:rsidR="0001325C" w:rsidRPr="0013178E">
        <w:rPr>
          <w:sz w:val="22"/>
          <w:szCs w:val="22"/>
          <w:lang w:val="hr-HR"/>
        </w:rPr>
        <w:t>i</w:t>
      </w:r>
      <w:r w:rsidRPr="0013178E">
        <w:rPr>
          <w:sz w:val="22"/>
          <w:szCs w:val="22"/>
          <w:lang w:val="hr-HR"/>
        </w:rPr>
        <w:t xml:space="preserve">e </w:t>
      </w:r>
      <w:r w:rsidR="0001325C" w:rsidRPr="0013178E">
        <w:rPr>
          <w:sz w:val="22"/>
          <w:szCs w:val="22"/>
          <w:lang w:val="hr-HR"/>
        </w:rPr>
        <w:t>se smiju</w:t>
      </w:r>
      <w:r w:rsidRPr="0013178E">
        <w:rPr>
          <w:sz w:val="22"/>
          <w:szCs w:val="22"/>
          <w:lang w:val="hr-HR"/>
        </w:rPr>
        <w:t xml:space="preserve"> davati samo nakon odgovarajuće procjene rizika/korist kod pacijenata sa sumnjom ili potvrđenim feohromocitomom.</w:t>
      </w:r>
    </w:p>
    <w:p w14:paraId="4B4432E8" w14:textId="77777777" w:rsidR="009175AD" w:rsidRDefault="009175AD" w:rsidP="00E40785">
      <w:pPr>
        <w:numPr>
          <w:ilvl w:val="12"/>
          <w:numId w:val="0"/>
        </w:numPr>
        <w:overflowPunct w:val="0"/>
        <w:autoSpaceDN w:val="0"/>
        <w:adjustRightInd w:val="0"/>
        <w:textAlignment w:val="baseline"/>
        <w:rPr>
          <w:sz w:val="22"/>
          <w:szCs w:val="22"/>
          <w:lang w:val="hr-HR"/>
        </w:rPr>
      </w:pPr>
    </w:p>
    <w:p w14:paraId="3D6DC20A" w14:textId="3EA92B5C" w:rsidR="009175AD" w:rsidRPr="006D5EC9" w:rsidRDefault="009175AD" w:rsidP="00430A60">
      <w:pPr>
        <w:numPr>
          <w:ilvl w:val="12"/>
          <w:numId w:val="0"/>
        </w:numPr>
        <w:overflowPunct w:val="0"/>
        <w:autoSpaceDN w:val="0"/>
        <w:adjustRightInd w:val="0"/>
        <w:jc w:val="both"/>
        <w:textAlignment w:val="baseline"/>
        <w:rPr>
          <w:sz w:val="22"/>
          <w:szCs w:val="22"/>
          <w:u w:val="single"/>
          <w:lang w:val="hr-HR"/>
        </w:rPr>
      </w:pPr>
      <w:r w:rsidRPr="006D5EC9">
        <w:rPr>
          <w:sz w:val="22"/>
          <w:szCs w:val="22"/>
          <w:lang w:val="sr-Latn-ME"/>
        </w:rPr>
        <w:t xml:space="preserve">Slučajevi sindroma </w:t>
      </w:r>
      <w:r w:rsidR="0040314C">
        <w:rPr>
          <w:sz w:val="22"/>
          <w:szCs w:val="22"/>
          <w:lang w:val="sr-Latn-ME"/>
        </w:rPr>
        <w:t>lize tumora</w:t>
      </w:r>
      <w:r w:rsidRPr="006D5EC9">
        <w:rPr>
          <w:sz w:val="22"/>
          <w:szCs w:val="22"/>
          <w:lang w:val="sr-Latn-ME"/>
        </w:rPr>
        <w:t xml:space="preserve"> (engl. </w:t>
      </w:r>
      <w:r w:rsidRPr="001F5A32">
        <w:rPr>
          <w:i/>
          <w:iCs/>
          <w:sz w:val="22"/>
          <w:szCs w:val="22"/>
          <w:lang w:val="hr-HR"/>
        </w:rPr>
        <w:t>tumour lysis syndrome</w:t>
      </w:r>
      <w:r w:rsidRPr="006D5EC9">
        <w:rPr>
          <w:sz w:val="22"/>
          <w:szCs w:val="22"/>
          <w:lang w:val="sr-Latn-ME"/>
        </w:rPr>
        <w:t xml:space="preserve">, TLS) prijavljeni su nakon stavljanja lijeka </w:t>
      </w:r>
      <w:r w:rsidR="00EE7D97">
        <w:rPr>
          <w:sz w:val="22"/>
          <w:szCs w:val="22"/>
          <w:lang w:val="sr-Latn-ME"/>
        </w:rPr>
        <w:t>u promet</w:t>
      </w:r>
      <w:r w:rsidRPr="006D5EC9">
        <w:rPr>
          <w:sz w:val="22"/>
          <w:szCs w:val="22"/>
          <w:lang w:val="sr-Latn-ME"/>
        </w:rPr>
        <w:t xml:space="preserve"> kod pacijenata sa malignim oboljenjima, koja obuhvataju hematološka maligna oboljenja i čvrste tumore, nakon davanja sistemskih kortikosteroida samostalno ili u kombinaciji sa drugim hemioterapeuticima. Pacijente kod kojih postoji veliki rizik od </w:t>
      </w:r>
      <w:r w:rsidR="00EE7D97">
        <w:rPr>
          <w:sz w:val="22"/>
          <w:szCs w:val="22"/>
          <w:lang w:val="sr-Latn-ME"/>
        </w:rPr>
        <w:t>razvoja</w:t>
      </w:r>
      <w:r w:rsidRPr="006D5EC9">
        <w:rPr>
          <w:sz w:val="22"/>
          <w:szCs w:val="22"/>
          <w:lang w:val="sr-Latn-ME"/>
        </w:rPr>
        <w:t xml:space="preserve"> sindroma </w:t>
      </w:r>
      <w:r w:rsidR="0040314C">
        <w:rPr>
          <w:sz w:val="22"/>
          <w:szCs w:val="22"/>
          <w:lang w:val="sr-Latn-ME"/>
        </w:rPr>
        <w:t>lize tumora</w:t>
      </w:r>
      <w:r w:rsidRPr="006D5EC9">
        <w:rPr>
          <w:sz w:val="22"/>
          <w:szCs w:val="22"/>
          <w:lang w:val="sr-Latn-ME"/>
        </w:rPr>
        <w:t xml:space="preserve">, kao što su pacijenti sa tumorima </w:t>
      </w:r>
      <w:r w:rsidR="0040314C">
        <w:rPr>
          <w:sz w:val="22"/>
          <w:szCs w:val="22"/>
          <w:lang w:val="sr-Latn-ME"/>
        </w:rPr>
        <w:t>sa visokim stepenom proliferacije</w:t>
      </w:r>
      <w:r w:rsidRPr="006D5EC9">
        <w:rPr>
          <w:sz w:val="22"/>
          <w:szCs w:val="22"/>
          <w:lang w:val="sr-Latn-ME"/>
        </w:rPr>
        <w:t xml:space="preserve"> i tumorima koji imaju veliku tumorsku masu i koji su veoma osjetljivi na citotoksične ljekove, treba pažljivo pratiti uz primjenu odgovarajućih mjera predostrožnosti.</w:t>
      </w:r>
    </w:p>
    <w:p w14:paraId="2E3CF166" w14:textId="77777777" w:rsidR="00E40785" w:rsidRPr="0013178E" w:rsidRDefault="00E40785" w:rsidP="00E40785">
      <w:pPr>
        <w:overflowPunct w:val="0"/>
        <w:autoSpaceDN w:val="0"/>
        <w:adjustRightInd w:val="0"/>
        <w:textAlignment w:val="baseline"/>
        <w:rPr>
          <w:sz w:val="22"/>
          <w:szCs w:val="22"/>
          <w:lang w:val="hr-HR"/>
        </w:rPr>
      </w:pPr>
    </w:p>
    <w:p w14:paraId="73059ECF" w14:textId="69088BAF" w:rsidR="00E40785" w:rsidRPr="00430A60" w:rsidRDefault="00E40785" w:rsidP="00E40785">
      <w:pPr>
        <w:numPr>
          <w:ilvl w:val="12"/>
          <w:numId w:val="0"/>
        </w:numPr>
        <w:overflowPunct w:val="0"/>
        <w:autoSpaceDN w:val="0"/>
        <w:adjustRightInd w:val="0"/>
        <w:spacing w:before="60"/>
        <w:textAlignment w:val="baseline"/>
        <w:rPr>
          <w:iCs/>
          <w:sz w:val="22"/>
          <w:szCs w:val="22"/>
          <w:u w:val="single"/>
          <w:lang w:val="hr-HR"/>
        </w:rPr>
      </w:pPr>
      <w:r w:rsidRPr="00430A60">
        <w:rPr>
          <w:iCs/>
          <w:sz w:val="22"/>
          <w:szCs w:val="22"/>
          <w:u w:val="single"/>
          <w:lang w:val="hr-HR"/>
        </w:rPr>
        <w:t>Pedijatrijska populacija</w:t>
      </w:r>
    </w:p>
    <w:p w14:paraId="39AA535A" w14:textId="77777777" w:rsidR="00E40785" w:rsidRPr="0013178E" w:rsidRDefault="003D4676" w:rsidP="00430A60">
      <w:pPr>
        <w:numPr>
          <w:ilvl w:val="12"/>
          <w:numId w:val="0"/>
        </w:numPr>
        <w:overflowPunct w:val="0"/>
        <w:autoSpaceDN w:val="0"/>
        <w:adjustRightInd w:val="0"/>
        <w:jc w:val="both"/>
        <w:textAlignment w:val="baseline"/>
        <w:rPr>
          <w:sz w:val="22"/>
          <w:szCs w:val="22"/>
          <w:lang w:val="hr-HR"/>
        </w:rPr>
      </w:pPr>
      <w:r w:rsidRPr="0013178E">
        <w:rPr>
          <w:sz w:val="22"/>
          <w:szCs w:val="22"/>
          <w:lang w:val="hr-HR"/>
        </w:rPr>
        <w:t xml:space="preserve">Lijek </w:t>
      </w:r>
      <w:r w:rsidR="00E40785" w:rsidRPr="0013178E">
        <w:rPr>
          <w:sz w:val="22"/>
          <w:szCs w:val="22"/>
          <w:lang w:val="hr-HR"/>
        </w:rPr>
        <w:t xml:space="preserve">Solu-Medrol 500 mg sadrži benzil alkohol. Za upotrebu kod odojčadi i male djece, pogledajte </w:t>
      </w:r>
      <w:r w:rsidR="00E40785" w:rsidRPr="0013178E">
        <w:rPr>
          <w:i/>
          <w:sz w:val="22"/>
          <w:szCs w:val="22"/>
          <w:lang w:val="hr-HR"/>
        </w:rPr>
        <w:t xml:space="preserve">Upozorenja vezana za pomoćne supstance </w:t>
      </w:r>
      <w:r w:rsidR="00E40785" w:rsidRPr="0013178E">
        <w:rPr>
          <w:sz w:val="22"/>
          <w:szCs w:val="22"/>
          <w:lang w:val="hr-HR"/>
        </w:rPr>
        <w:t>u nastavku.</w:t>
      </w:r>
    </w:p>
    <w:p w14:paraId="564C69C1" w14:textId="77777777" w:rsidR="00E40785" w:rsidRPr="0013178E" w:rsidRDefault="00E40785" w:rsidP="00430A60">
      <w:pPr>
        <w:overflowPunct w:val="0"/>
        <w:autoSpaceDN w:val="0"/>
        <w:adjustRightInd w:val="0"/>
        <w:jc w:val="both"/>
        <w:textAlignment w:val="baseline"/>
        <w:rPr>
          <w:sz w:val="22"/>
          <w:szCs w:val="22"/>
          <w:lang w:val="hr-HR"/>
        </w:rPr>
      </w:pPr>
    </w:p>
    <w:p w14:paraId="4C81E495" w14:textId="7AA12267" w:rsidR="00E40785" w:rsidRPr="0013178E" w:rsidRDefault="00E40785">
      <w:pPr>
        <w:overflowPunct w:val="0"/>
        <w:autoSpaceDN w:val="0"/>
        <w:adjustRightInd w:val="0"/>
        <w:jc w:val="both"/>
        <w:textAlignment w:val="baseline"/>
        <w:rPr>
          <w:sz w:val="22"/>
          <w:szCs w:val="22"/>
          <w:lang w:val="hr-HR"/>
        </w:rPr>
      </w:pPr>
      <w:r w:rsidRPr="0013178E">
        <w:rPr>
          <w:sz w:val="22"/>
          <w:szCs w:val="22"/>
          <w:lang w:val="hr-HR"/>
        </w:rPr>
        <w:t xml:space="preserve">Kortikosteroidi mogu uzrokovati zaostajanje rasta u ranom </w:t>
      </w:r>
      <w:r w:rsidR="000D3287" w:rsidRPr="0013178E">
        <w:rPr>
          <w:sz w:val="22"/>
          <w:szCs w:val="22"/>
          <w:lang w:val="hr-HR"/>
        </w:rPr>
        <w:t>djetinjstvu</w:t>
      </w:r>
      <w:r w:rsidRPr="0013178E">
        <w:rPr>
          <w:sz w:val="22"/>
          <w:szCs w:val="22"/>
          <w:lang w:val="hr-HR"/>
        </w:rPr>
        <w:t xml:space="preserve">, </w:t>
      </w:r>
      <w:r w:rsidR="000D3287" w:rsidRPr="0013178E">
        <w:rPr>
          <w:sz w:val="22"/>
          <w:szCs w:val="22"/>
          <w:lang w:val="hr-HR"/>
        </w:rPr>
        <w:t>djetinjstvu</w:t>
      </w:r>
      <w:r w:rsidRPr="0013178E">
        <w:rPr>
          <w:sz w:val="22"/>
          <w:szCs w:val="22"/>
          <w:lang w:val="hr-HR"/>
        </w:rPr>
        <w:t xml:space="preserve"> i adolescenciji, što može biti nepovratno. Liječenje treba ograničiti na minimalnu dozu</w:t>
      </w:r>
      <w:r w:rsidR="00685F8E" w:rsidRPr="0013178E">
        <w:rPr>
          <w:sz w:val="22"/>
          <w:szCs w:val="22"/>
          <w:lang w:val="hr-HR"/>
        </w:rPr>
        <w:t xml:space="preserve"> i</w:t>
      </w:r>
      <w:r w:rsidRPr="0013178E">
        <w:rPr>
          <w:sz w:val="22"/>
          <w:szCs w:val="22"/>
          <w:lang w:val="hr-HR"/>
        </w:rPr>
        <w:t xml:space="preserve"> </w:t>
      </w:r>
      <w:r w:rsidR="00685F8E" w:rsidRPr="0013178E">
        <w:rPr>
          <w:sz w:val="22"/>
          <w:szCs w:val="22"/>
          <w:lang w:val="hr-HR"/>
        </w:rPr>
        <w:t xml:space="preserve">na </w:t>
      </w:r>
      <w:r w:rsidRPr="0013178E">
        <w:rPr>
          <w:sz w:val="22"/>
          <w:szCs w:val="22"/>
          <w:lang w:val="hr-HR"/>
        </w:rPr>
        <w:t>najkrać</w:t>
      </w:r>
      <w:r w:rsidR="00685F8E" w:rsidRPr="0013178E">
        <w:rPr>
          <w:sz w:val="22"/>
          <w:szCs w:val="22"/>
          <w:lang w:val="hr-HR"/>
        </w:rPr>
        <w:t>i</w:t>
      </w:r>
      <w:r w:rsidRPr="0013178E">
        <w:rPr>
          <w:sz w:val="22"/>
          <w:szCs w:val="22"/>
          <w:lang w:val="hr-HR"/>
        </w:rPr>
        <w:t xml:space="preserve"> moguć</w:t>
      </w:r>
      <w:r w:rsidR="00685F8E" w:rsidRPr="0013178E">
        <w:rPr>
          <w:sz w:val="22"/>
          <w:szCs w:val="22"/>
          <w:lang w:val="hr-HR"/>
        </w:rPr>
        <w:t>i</w:t>
      </w:r>
      <w:r w:rsidRPr="0013178E">
        <w:rPr>
          <w:sz w:val="22"/>
          <w:szCs w:val="22"/>
          <w:lang w:val="hr-HR"/>
        </w:rPr>
        <w:t xml:space="preserve"> period. Da bi se smanjila supresija osovine hipotalamus-hipofiza-adrenalna žlijezda i zaostajanje u rastu, jedna doza lijeka treba da se primjenjuje svakog drugog dana</w:t>
      </w:r>
      <w:r w:rsidR="00F445E6" w:rsidRPr="0013178E">
        <w:rPr>
          <w:sz w:val="22"/>
          <w:szCs w:val="22"/>
          <w:lang w:val="hr-HR"/>
        </w:rPr>
        <w:t>,</w:t>
      </w:r>
      <w:r w:rsidRPr="0013178E">
        <w:rPr>
          <w:sz w:val="22"/>
          <w:szCs w:val="22"/>
          <w:lang w:val="hr-HR"/>
        </w:rPr>
        <w:t xml:space="preserve"> kada je to moguće. </w:t>
      </w:r>
    </w:p>
    <w:p w14:paraId="2E2B0F4E" w14:textId="77777777" w:rsidR="00E40785" w:rsidRPr="0013178E" w:rsidRDefault="00E40785" w:rsidP="00E40785">
      <w:pPr>
        <w:overflowPunct w:val="0"/>
        <w:autoSpaceDN w:val="0"/>
        <w:adjustRightInd w:val="0"/>
        <w:textAlignment w:val="baseline"/>
        <w:rPr>
          <w:sz w:val="22"/>
          <w:szCs w:val="22"/>
          <w:lang w:val="hr-HR"/>
        </w:rPr>
      </w:pPr>
    </w:p>
    <w:p w14:paraId="44F701BF" w14:textId="77777777" w:rsidR="00E40785" w:rsidRPr="0013178E" w:rsidRDefault="00E40785" w:rsidP="00430A60">
      <w:pPr>
        <w:overflowPunct w:val="0"/>
        <w:autoSpaceDN w:val="0"/>
        <w:adjustRightInd w:val="0"/>
        <w:jc w:val="both"/>
        <w:textAlignment w:val="baseline"/>
        <w:rPr>
          <w:sz w:val="22"/>
          <w:szCs w:val="22"/>
          <w:lang w:val="hr-HR"/>
        </w:rPr>
      </w:pPr>
      <w:r w:rsidRPr="0013178E">
        <w:rPr>
          <w:sz w:val="22"/>
          <w:szCs w:val="22"/>
          <w:lang w:val="hr-HR"/>
        </w:rPr>
        <w:lastRenderedPageBreak/>
        <w:t>Odojčad i djeca na produženoj terapiji kortikosteroidima izložena su posebnom riziku od povišenog intrakranijalnog pritiska.</w:t>
      </w:r>
    </w:p>
    <w:p w14:paraId="530AD121" w14:textId="77777777" w:rsidR="00E40785" w:rsidRPr="0013178E" w:rsidRDefault="00E40785" w:rsidP="00430A60">
      <w:pPr>
        <w:numPr>
          <w:ilvl w:val="12"/>
          <w:numId w:val="0"/>
        </w:numPr>
        <w:overflowPunct w:val="0"/>
        <w:autoSpaceDN w:val="0"/>
        <w:adjustRightInd w:val="0"/>
        <w:jc w:val="both"/>
        <w:textAlignment w:val="baseline"/>
        <w:rPr>
          <w:sz w:val="22"/>
          <w:szCs w:val="22"/>
          <w:lang w:val="hr-HR"/>
        </w:rPr>
      </w:pPr>
    </w:p>
    <w:p w14:paraId="6105C989" w14:textId="3575FC37" w:rsidR="00E40785" w:rsidRPr="0013178E" w:rsidRDefault="00E40785" w:rsidP="00430A60">
      <w:pPr>
        <w:numPr>
          <w:ilvl w:val="12"/>
          <w:numId w:val="0"/>
        </w:numPr>
        <w:overflowPunct w:val="0"/>
        <w:autoSpaceDN w:val="0"/>
        <w:adjustRightInd w:val="0"/>
        <w:jc w:val="both"/>
        <w:textAlignment w:val="baseline"/>
        <w:rPr>
          <w:sz w:val="22"/>
          <w:szCs w:val="22"/>
          <w:lang w:val="hr-HR"/>
        </w:rPr>
      </w:pPr>
      <w:r w:rsidRPr="0013178E">
        <w:rPr>
          <w:sz w:val="22"/>
          <w:szCs w:val="22"/>
          <w:lang w:val="hr-HR"/>
        </w:rPr>
        <w:t>Visoke doze kortikosteroida mogu izazvati pankreatitis kod djece.</w:t>
      </w:r>
    </w:p>
    <w:p w14:paraId="0A599729" w14:textId="4D9F4B54" w:rsidR="002D0630" w:rsidRPr="0013178E" w:rsidRDefault="002D0630" w:rsidP="00430A60">
      <w:pPr>
        <w:numPr>
          <w:ilvl w:val="12"/>
          <w:numId w:val="0"/>
        </w:numPr>
        <w:overflowPunct w:val="0"/>
        <w:autoSpaceDN w:val="0"/>
        <w:adjustRightInd w:val="0"/>
        <w:jc w:val="both"/>
        <w:textAlignment w:val="baseline"/>
        <w:rPr>
          <w:sz w:val="22"/>
          <w:szCs w:val="22"/>
          <w:lang w:val="hr-HR"/>
        </w:rPr>
      </w:pPr>
    </w:p>
    <w:p w14:paraId="7319AC6E" w14:textId="21E618BE" w:rsidR="002D0630" w:rsidRPr="0013178E" w:rsidRDefault="00547A6C" w:rsidP="00430A60">
      <w:pPr>
        <w:numPr>
          <w:ilvl w:val="12"/>
          <w:numId w:val="0"/>
        </w:numPr>
        <w:overflowPunct w:val="0"/>
        <w:autoSpaceDN w:val="0"/>
        <w:adjustRightInd w:val="0"/>
        <w:jc w:val="both"/>
        <w:textAlignment w:val="baseline"/>
        <w:rPr>
          <w:sz w:val="22"/>
          <w:szCs w:val="22"/>
          <w:lang w:val="hr-HR"/>
        </w:rPr>
      </w:pPr>
      <w:r w:rsidRPr="0013178E">
        <w:rPr>
          <w:sz w:val="22"/>
          <w:szCs w:val="22"/>
          <w:lang w:val="hr-HR"/>
        </w:rPr>
        <w:t xml:space="preserve">Nakon primjene metilprednizolona </w:t>
      </w:r>
      <w:r w:rsidR="001B0B73" w:rsidRPr="0013178E">
        <w:rPr>
          <w:sz w:val="22"/>
          <w:szCs w:val="22"/>
          <w:lang w:val="hr-HR"/>
        </w:rPr>
        <w:t>kod</w:t>
      </w:r>
      <w:r w:rsidRPr="0013178E">
        <w:rPr>
          <w:sz w:val="22"/>
          <w:szCs w:val="22"/>
          <w:lang w:val="hr-HR"/>
        </w:rPr>
        <w:t xml:space="preserve"> nedonoščadi, može se razviti hipertrofična kardiomiopatija, pa </w:t>
      </w:r>
      <w:r w:rsidR="001B0B73" w:rsidRPr="0013178E">
        <w:rPr>
          <w:sz w:val="22"/>
          <w:szCs w:val="22"/>
          <w:lang w:val="hr-HR"/>
        </w:rPr>
        <w:t>j</w:t>
      </w:r>
      <w:r w:rsidRPr="0013178E">
        <w:rPr>
          <w:sz w:val="22"/>
          <w:szCs w:val="22"/>
          <w:lang w:val="hr-HR"/>
        </w:rPr>
        <w:t xml:space="preserve">e </w:t>
      </w:r>
      <w:r w:rsidR="001B0B73" w:rsidRPr="0013178E">
        <w:rPr>
          <w:sz w:val="22"/>
          <w:szCs w:val="22"/>
          <w:lang w:val="hr-HR"/>
        </w:rPr>
        <w:t>neophodno s</w:t>
      </w:r>
      <w:r w:rsidRPr="0013178E">
        <w:rPr>
          <w:sz w:val="22"/>
          <w:szCs w:val="22"/>
          <w:lang w:val="hr-HR"/>
        </w:rPr>
        <w:t>provesti odgovarajuć</w:t>
      </w:r>
      <w:r w:rsidR="001B0B73" w:rsidRPr="0013178E">
        <w:rPr>
          <w:sz w:val="22"/>
          <w:szCs w:val="22"/>
          <w:lang w:val="hr-HR"/>
        </w:rPr>
        <w:t>u</w:t>
      </w:r>
      <w:r w:rsidRPr="0013178E">
        <w:rPr>
          <w:sz w:val="22"/>
          <w:szCs w:val="22"/>
          <w:lang w:val="hr-HR"/>
        </w:rPr>
        <w:t xml:space="preserve"> dijagnostičk</w:t>
      </w:r>
      <w:r w:rsidR="001B0B73" w:rsidRPr="0013178E">
        <w:rPr>
          <w:sz w:val="22"/>
          <w:szCs w:val="22"/>
          <w:lang w:val="hr-HR"/>
        </w:rPr>
        <w:t>u</w:t>
      </w:r>
      <w:r w:rsidRPr="0013178E">
        <w:rPr>
          <w:sz w:val="22"/>
          <w:szCs w:val="22"/>
          <w:lang w:val="hr-HR"/>
        </w:rPr>
        <w:t xml:space="preserve"> procjen</w:t>
      </w:r>
      <w:r w:rsidR="001B0B73" w:rsidRPr="0013178E">
        <w:rPr>
          <w:sz w:val="22"/>
          <w:szCs w:val="22"/>
          <w:lang w:val="hr-HR"/>
        </w:rPr>
        <w:t>u</w:t>
      </w:r>
      <w:r w:rsidRPr="0013178E">
        <w:rPr>
          <w:sz w:val="22"/>
          <w:szCs w:val="22"/>
          <w:lang w:val="hr-HR"/>
        </w:rPr>
        <w:t>, uz praćenje srčane funkcije i srčanih struktura.</w:t>
      </w:r>
    </w:p>
    <w:p w14:paraId="361171D9" w14:textId="77777777" w:rsidR="00E40785" w:rsidRPr="0013178E" w:rsidRDefault="00E40785" w:rsidP="00430A60">
      <w:pPr>
        <w:numPr>
          <w:ilvl w:val="12"/>
          <w:numId w:val="0"/>
        </w:numPr>
        <w:overflowPunct w:val="0"/>
        <w:autoSpaceDN w:val="0"/>
        <w:adjustRightInd w:val="0"/>
        <w:jc w:val="both"/>
        <w:textAlignment w:val="baseline"/>
        <w:rPr>
          <w:i/>
          <w:color w:val="FF0000"/>
          <w:sz w:val="22"/>
          <w:szCs w:val="22"/>
          <w:lang w:val="hr-HR"/>
        </w:rPr>
      </w:pPr>
    </w:p>
    <w:p w14:paraId="56496CF2" w14:textId="77777777" w:rsidR="00E40785" w:rsidRPr="0013178E" w:rsidRDefault="00E40785" w:rsidP="00430A60">
      <w:pPr>
        <w:numPr>
          <w:ilvl w:val="12"/>
          <w:numId w:val="0"/>
        </w:numPr>
        <w:overflowPunct w:val="0"/>
        <w:autoSpaceDN w:val="0"/>
        <w:adjustRightInd w:val="0"/>
        <w:jc w:val="both"/>
        <w:textAlignment w:val="baseline"/>
        <w:rPr>
          <w:i/>
          <w:sz w:val="22"/>
          <w:szCs w:val="22"/>
          <w:lang w:val="hr-HR"/>
        </w:rPr>
      </w:pPr>
      <w:r w:rsidRPr="0013178E">
        <w:rPr>
          <w:i/>
          <w:sz w:val="22"/>
          <w:szCs w:val="22"/>
          <w:lang w:val="hr-HR"/>
        </w:rPr>
        <w:t xml:space="preserve">Upotreba kod starijih osoba </w:t>
      </w:r>
    </w:p>
    <w:p w14:paraId="59E554F5" w14:textId="77777777" w:rsidR="00E40785" w:rsidRPr="0013178E" w:rsidRDefault="00E40785" w:rsidP="00430A60">
      <w:pPr>
        <w:numPr>
          <w:ilvl w:val="12"/>
          <w:numId w:val="0"/>
        </w:numPr>
        <w:overflowPunct w:val="0"/>
        <w:autoSpaceDN w:val="0"/>
        <w:adjustRightInd w:val="0"/>
        <w:spacing w:before="60"/>
        <w:jc w:val="both"/>
        <w:textAlignment w:val="baseline"/>
        <w:rPr>
          <w:sz w:val="22"/>
          <w:szCs w:val="22"/>
          <w:lang w:val="hr-HR"/>
        </w:rPr>
      </w:pPr>
      <w:r w:rsidRPr="0013178E">
        <w:rPr>
          <w:sz w:val="22"/>
          <w:szCs w:val="22"/>
          <w:lang w:val="hr-HR"/>
        </w:rPr>
        <w:t>Najčešći neželjeni efekti sistemskih kortikosteroida mogu biti povezani sa ozbiljnijim posljedicama u starosti, posebno osteoporozom, hipertenzijom, hipokalemijom, dijabetesom, osjetljivošću na infekcije i stanjivanjem kože. Potreban je kontinuiran klinički nadzor kako bi se izbjegle reakcije koje ugrožavaju život.</w:t>
      </w:r>
    </w:p>
    <w:p w14:paraId="4DF91B10" w14:textId="18062BC6" w:rsidR="00E40785" w:rsidRPr="0013178E" w:rsidRDefault="00E40785" w:rsidP="00430A60">
      <w:pPr>
        <w:overflowPunct w:val="0"/>
        <w:autoSpaceDN w:val="0"/>
        <w:adjustRightInd w:val="0"/>
        <w:jc w:val="both"/>
        <w:textAlignment w:val="baseline"/>
        <w:rPr>
          <w:b/>
          <w:color w:val="FF0000"/>
          <w:sz w:val="22"/>
          <w:szCs w:val="22"/>
          <w:lang w:val="hr-HR"/>
        </w:rPr>
      </w:pPr>
    </w:p>
    <w:p w14:paraId="3FC9F770" w14:textId="5A49D938" w:rsidR="00223522" w:rsidRPr="00430A60" w:rsidRDefault="00223522" w:rsidP="00430A60">
      <w:pPr>
        <w:overflowPunct w:val="0"/>
        <w:autoSpaceDN w:val="0"/>
        <w:adjustRightInd w:val="0"/>
        <w:jc w:val="both"/>
        <w:textAlignment w:val="baseline"/>
        <w:rPr>
          <w:bCs/>
          <w:color w:val="000000" w:themeColor="text1"/>
          <w:sz w:val="22"/>
          <w:szCs w:val="22"/>
          <w:u w:val="single"/>
          <w:lang w:val="hr-HR"/>
        </w:rPr>
      </w:pPr>
      <w:r w:rsidRPr="00430A60">
        <w:rPr>
          <w:bCs/>
          <w:color w:val="000000" w:themeColor="text1"/>
          <w:sz w:val="22"/>
          <w:szCs w:val="22"/>
          <w:u w:val="single"/>
          <w:lang w:val="hr-HR"/>
        </w:rPr>
        <w:t>Ekscipijensi</w:t>
      </w:r>
    </w:p>
    <w:p w14:paraId="5E1F1162" w14:textId="68EAC6D9" w:rsidR="00223522" w:rsidRPr="00945678" w:rsidRDefault="00223522" w:rsidP="00430A60">
      <w:pPr>
        <w:overflowPunct w:val="0"/>
        <w:autoSpaceDN w:val="0"/>
        <w:adjustRightInd w:val="0"/>
        <w:jc w:val="both"/>
        <w:textAlignment w:val="baseline"/>
        <w:rPr>
          <w:bCs/>
          <w:color w:val="000000" w:themeColor="text1"/>
          <w:sz w:val="22"/>
          <w:szCs w:val="22"/>
          <w:lang w:val="hr-HR"/>
        </w:rPr>
      </w:pPr>
    </w:p>
    <w:p w14:paraId="11DB6267" w14:textId="15A9C473" w:rsidR="00223522" w:rsidRPr="00945678" w:rsidRDefault="00223522" w:rsidP="00430A60">
      <w:pPr>
        <w:overflowPunct w:val="0"/>
        <w:autoSpaceDN w:val="0"/>
        <w:adjustRightInd w:val="0"/>
        <w:jc w:val="both"/>
        <w:textAlignment w:val="baseline"/>
        <w:rPr>
          <w:bCs/>
          <w:i/>
          <w:iCs/>
          <w:color w:val="000000" w:themeColor="text1"/>
          <w:sz w:val="22"/>
          <w:szCs w:val="22"/>
          <w:lang w:val="hr-HR"/>
        </w:rPr>
      </w:pPr>
      <w:r w:rsidRPr="00945678">
        <w:rPr>
          <w:bCs/>
          <w:i/>
          <w:iCs/>
          <w:color w:val="000000" w:themeColor="text1"/>
          <w:sz w:val="22"/>
          <w:szCs w:val="22"/>
          <w:lang w:val="hr-HR"/>
        </w:rPr>
        <w:t>Benzil alkohol</w:t>
      </w:r>
    </w:p>
    <w:p w14:paraId="2CE23370" w14:textId="7CD5DFFE" w:rsidR="00223522" w:rsidRPr="00945678" w:rsidRDefault="00223522" w:rsidP="00430A60">
      <w:pPr>
        <w:overflowPunct w:val="0"/>
        <w:autoSpaceDN w:val="0"/>
        <w:adjustRightInd w:val="0"/>
        <w:jc w:val="both"/>
        <w:textAlignment w:val="baseline"/>
        <w:rPr>
          <w:bCs/>
          <w:color w:val="000000" w:themeColor="text1"/>
          <w:sz w:val="22"/>
          <w:szCs w:val="22"/>
          <w:lang w:val="hr-HR"/>
        </w:rPr>
      </w:pPr>
      <w:r w:rsidRPr="00945678">
        <w:rPr>
          <w:bCs/>
          <w:color w:val="000000" w:themeColor="text1"/>
          <w:sz w:val="22"/>
          <w:szCs w:val="22"/>
          <w:lang w:val="hr-HR"/>
        </w:rPr>
        <w:t>Solu-Medrol 500 mg sadrži benzil alkohol (</w:t>
      </w:r>
      <w:r w:rsidR="00DB5B93" w:rsidRPr="00945678">
        <w:rPr>
          <w:bCs/>
          <w:color w:val="000000" w:themeColor="text1"/>
          <w:sz w:val="22"/>
          <w:szCs w:val="22"/>
          <w:lang w:val="hr-HR"/>
        </w:rPr>
        <w:t>vidjeti</w:t>
      </w:r>
      <w:r w:rsidRPr="00945678">
        <w:rPr>
          <w:bCs/>
          <w:color w:val="000000" w:themeColor="text1"/>
          <w:sz w:val="22"/>
          <w:szCs w:val="22"/>
          <w:lang w:val="hr-HR"/>
        </w:rPr>
        <w:t xml:space="preserve"> </w:t>
      </w:r>
      <w:r w:rsidR="009E76C5">
        <w:rPr>
          <w:bCs/>
          <w:color w:val="000000" w:themeColor="text1"/>
          <w:sz w:val="22"/>
          <w:szCs w:val="22"/>
          <w:lang w:val="hr-HR"/>
        </w:rPr>
        <w:t>dio</w:t>
      </w:r>
      <w:r w:rsidRPr="00945678">
        <w:rPr>
          <w:bCs/>
          <w:color w:val="000000" w:themeColor="text1"/>
          <w:sz w:val="22"/>
          <w:szCs w:val="22"/>
          <w:lang w:val="hr-HR"/>
        </w:rPr>
        <w:t xml:space="preserve"> 2). Konzervans benzil alkohol može izazvati reakcije preosjetljivosti. Intravenska primjena benzil alkohola povezana je sa ozbiljnim n</w:t>
      </w:r>
      <w:r w:rsidR="00193FF2" w:rsidRPr="00945678">
        <w:rPr>
          <w:bCs/>
          <w:color w:val="000000" w:themeColor="text1"/>
          <w:sz w:val="22"/>
          <w:szCs w:val="22"/>
          <w:lang w:val="hr-HR"/>
        </w:rPr>
        <w:t>eželjenim reakcijama</w:t>
      </w:r>
      <w:r w:rsidRPr="00945678">
        <w:rPr>
          <w:bCs/>
          <w:color w:val="000000" w:themeColor="text1"/>
          <w:sz w:val="22"/>
          <w:szCs w:val="22"/>
          <w:lang w:val="hr-HR"/>
        </w:rPr>
        <w:t xml:space="preserve"> i smrću kod pedijatrijskih pacijenata, uključujući novorođenčad („sindrom dahtanja“). Iako normalne terapijske doze ovog lijeka obično uključuju količine benzil alkohola koje su znatno manje od onih koje se opažaju s</w:t>
      </w:r>
      <w:r w:rsidR="00193FF2" w:rsidRPr="00945678">
        <w:rPr>
          <w:bCs/>
          <w:color w:val="000000" w:themeColor="text1"/>
          <w:sz w:val="22"/>
          <w:szCs w:val="22"/>
          <w:lang w:val="hr-HR"/>
        </w:rPr>
        <w:t>a</w:t>
      </w:r>
      <w:r w:rsidRPr="00945678">
        <w:rPr>
          <w:bCs/>
          <w:color w:val="000000" w:themeColor="text1"/>
          <w:sz w:val="22"/>
          <w:szCs w:val="22"/>
          <w:lang w:val="hr-HR"/>
        </w:rPr>
        <w:t xml:space="preserve"> pojavom „sindroma dahtanja“, ne postoji poznata minimalna količina benzil alkohola </w:t>
      </w:r>
      <w:r w:rsidR="00193FF2" w:rsidRPr="00945678">
        <w:rPr>
          <w:bCs/>
          <w:color w:val="000000" w:themeColor="text1"/>
          <w:sz w:val="22"/>
          <w:szCs w:val="22"/>
          <w:lang w:val="hr-HR"/>
        </w:rPr>
        <w:t>kod koje</w:t>
      </w:r>
      <w:r w:rsidRPr="00945678">
        <w:rPr>
          <w:bCs/>
          <w:color w:val="000000" w:themeColor="text1"/>
          <w:sz w:val="22"/>
          <w:szCs w:val="22"/>
          <w:lang w:val="hr-HR"/>
        </w:rPr>
        <w:t xml:space="preserve"> može doći do toksičnosti. Formulacije koje sadrže benzil alkohol </w:t>
      </w:r>
      <w:r w:rsidR="00332664" w:rsidRPr="00945678">
        <w:rPr>
          <w:bCs/>
          <w:color w:val="000000" w:themeColor="text1"/>
          <w:sz w:val="22"/>
          <w:szCs w:val="22"/>
          <w:lang w:val="hr-HR"/>
        </w:rPr>
        <w:t>smiju se primjenjivati</w:t>
      </w:r>
      <w:r w:rsidRPr="00945678">
        <w:rPr>
          <w:bCs/>
          <w:color w:val="000000" w:themeColor="text1"/>
          <w:sz w:val="22"/>
          <w:szCs w:val="22"/>
          <w:lang w:val="hr-HR"/>
        </w:rPr>
        <w:t xml:space="preserve"> kod novorođenčadi samo ako je </w:t>
      </w:r>
      <w:r w:rsidR="00332664" w:rsidRPr="00945678">
        <w:rPr>
          <w:bCs/>
          <w:color w:val="000000" w:themeColor="text1"/>
          <w:sz w:val="22"/>
          <w:szCs w:val="22"/>
          <w:lang w:val="hr-HR"/>
        </w:rPr>
        <w:t>neophod</w:t>
      </w:r>
      <w:r w:rsidRPr="00945678">
        <w:rPr>
          <w:bCs/>
          <w:color w:val="000000" w:themeColor="text1"/>
          <w:sz w:val="22"/>
          <w:szCs w:val="22"/>
          <w:lang w:val="hr-HR"/>
        </w:rPr>
        <w:t xml:space="preserve">no i ako nema zamjene. Toksičnost se češće javlja kod prijevremeno rođenih beba i novorođenčadi male težine. Formulacije koje sadrže benzil alkohol ne smiju se koristiti duže od jedne nedjelje kod djece mlađe od 3 godine, osim ako je </w:t>
      </w:r>
      <w:r w:rsidR="00A81BE4" w:rsidRPr="00945678">
        <w:rPr>
          <w:bCs/>
          <w:color w:val="000000" w:themeColor="text1"/>
          <w:sz w:val="22"/>
          <w:szCs w:val="22"/>
          <w:lang w:val="hr-HR"/>
        </w:rPr>
        <w:t>neophodno</w:t>
      </w:r>
      <w:r w:rsidRPr="00945678">
        <w:rPr>
          <w:bCs/>
          <w:color w:val="000000" w:themeColor="text1"/>
          <w:sz w:val="22"/>
          <w:szCs w:val="22"/>
          <w:lang w:val="hr-HR"/>
        </w:rPr>
        <w:t>. Važno je uzeti u obzir ukupnu količinu benzil alkohola primljenog iz svih izvora, a velike količine treba koristiti s oprezom i samo po potrebi, posebno kod pacijenata sa oštećenjem jetre ili bubrega, kao i kod trudnica ili dojilja, zbog rizik</w:t>
      </w:r>
      <w:r w:rsidR="00A81BE4" w:rsidRPr="00945678">
        <w:rPr>
          <w:bCs/>
          <w:color w:val="000000" w:themeColor="text1"/>
          <w:sz w:val="22"/>
          <w:szCs w:val="22"/>
          <w:lang w:val="hr-HR"/>
        </w:rPr>
        <w:t>a</w:t>
      </w:r>
      <w:r w:rsidRPr="00945678">
        <w:rPr>
          <w:bCs/>
          <w:color w:val="000000" w:themeColor="text1"/>
          <w:sz w:val="22"/>
          <w:szCs w:val="22"/>
          <w:lang w:val="hr-HR"/>
        </w:rPr>
        <w:t xml:space="preserve"> od akumulacije i toksičnosti (metabolička acidoza).</w:t>
      </w:r>
    </w:p>
    <w:p w14:paraId="155F1D00" w14:textId="16FCABFF" w:rsidR="00223522" w:rsidRPr="00945678" w:rsidRDefault="005E4930" w:rsidP="00430A60">
      <w:pPr>
        <w:overflowPunct w:val="0"/>
        <w:autoSpaceDN w:val="0"/>
        <w:adjustRightInd w:val="0"/>
        <w:jc w:val="both"/>
        <w:textAlignment w:val="baseline"/>
        <w:rPr>
          <w:bCs/>
          <w:color w:val="000000" w:themeColor="text1"/>
          <w:sz w:val="22"/>
          <w:szCs w:val="22"/>
          <w:lang w:val="hr-HR"/>
        </w:rPr>
      </w:pPr>
      <w:r w:rsidRPr="00945678">
        <w:rPr>
          <w:bCs/>
          <w:color w:val="000000" w:themeColor="text1"/>
          <w:sz w:val="22"/>
          <w:szCs w:val="22"/>
          <w:lang w:val="hr-HR"/>
        </w:rPr>
        <w:t xml:space="preserve">Dostupne su i formulacije lijeka </w:t>
      </w:r>
      <w:r w:rsidR="00223522" w:rsidRPr="00945678">
        <w:rPr>
          <w:bCs/>
          <w:color w:val="000000" w:themeColor="text1"/>
          <w:sz w:val="22"/>
          <w:szCs w:val="22"/>
          <w:lang w:val="hr-HR"/>
        </w:rPr>
        <w:t>Solu-Medrol bez benzil alkohola.</w:t>
      </w:r>
    </w:p>
    <w:p w14:paraId="79FABEF8" w14:textId="237D35EB" w:rsidR="00223522" w:rsidRPr="00945678" w:rsidRDefault="00223522" w:rsidP="00E40785">
      <w:pPr>
        <w:overflowPunct w:val="0"/>
        <w:autoSpaceDN w:val="0"/>
        <w:adjustRightInd w:val="0"/>
        <w:textAlignment w:val="baseline"/>
        <w:rPr>
          <w:bCs/>
          <w:color w:val="000000" w:themeColor="text1"/>
          <w:sz w:val="22"/>
          <w:szCs w:val="22"/>
          <w:lang w:val="hr-HR"/>
        </w:rPr>
      </w:pPr>
    </w:p>
    <w:p w14:paraId="158A3BBC" w14:textId="09B4FFF2" w:rsidR="00223522" w:rsidRPr="00945678" w:rsidRDefault="00223522" w:rsidP="00430A60">
      <w:pPr>
        <w:overflowPunct w:val="0"/>
        <w:autoSpaceDN w:val="0"/>
        <w:adjustRightInd w:val="0"/>
        <w:jc w:val="both"/>
        <w:textAlignment w:val="baseline"/>
        <w:rPr>
          <w:bCs/>
          <w:i/>
          <w:iCs/>
          <w:color w:val="000000" w:themeColor="text1"/>
          <w:sz w:val="22"/>
          <w:szCs w:val="22"/>
          <w:lang w:val="hr-HR"/>
        </w:rPr>
      </w:pPr>
      <w:r w:rsidRPr="00945678">
        <w:rPr>
          <w:bCs/>
          <w:i/>
          <w:iCs/>
          <w:color w:val="000000" w:themeColor="text1"/>
          <w:sz w:val="22"/>
          <w:szCs w:val="22"/>
          <w:lang w:val="hr-HR"/>
        </w:rPr>
        <w:t>Natrijum</w:t>
      </w:r>
    </w:p>
    <w:p w14:paraId="435BA411" w14:textId="5B65F155" w:rsidR="00223522" w:rsidRPr="00945678" w:rsidRDefault="007E3F3C" w:rsidP="00430A60">
      <w:pPr>
        <w:overflowPunct w:val="0"/>
        <w:autoSpaceDN w:val="0"/>
        <w:adjustRightInd w:val="0"/>
        <w:jc w:val="both"/>
        <w:textAlignment w:val="baseline"/>
        <w:rPr>
          <w:bCs/>
          <w:color w:val="000000" w:themeColor="text1"/>
          <w:sz w:val="22"/>
          <w:szCs w:val="22"/>
          <w:lang w:val="hr-HR"/>
        </w:rPr>
      </w:pPr>
      <w:r w:rsidRPr="00945678">
        <w:rPr>
          <w:bCs/>
          <w:color w:val="000000" w:themeColor="text1"/>
          <w:sz w:val="22"/>
          <w:szCs w:val="22"/>
          <w:lang w:val="hr-HR"/>
        </w:rPr>
        <w:t xml:space="preserve">Ljekovi </w:t>
      </w:r>
      <w:r w:rsidR="00223522" w:rsidRPr="00945678">
        <w:rPr>
          <w:bCs/>
          <w:color w:val="000000" w:themeColor="text1"/>
          <w:sz w:val="22"/>
          <w:szCs w:val="22"/>
          <w:lang w:val="hr-HR"/>
        </w:rPr>
        <w:t>Solu-Medrol 40 mg i 125 mg prašak i rastvarač za rastvor za injekciju/infuziju sadrže manje od 1 mmol (23 mg) natrijuma po bočici, tj. zanemarljive količine natrijuma.</w:t>
      </w:r>
    </w:p>
    <w:p w14:paraId="4ECDD632" w14:textId="499F2B95" w:rsidR="00223522" w:rsidRPr="00945678" w:rsidRDefault="00223522" w:rsidP="00430A60">
      <w:pPr>
        <w:overflowPunct w:val="0"/>
        <w:autoSpaceDN w:val="0"/>
        <w:adjustRightInd w:val="0"/>
        <w:jc w:val="both"/>
        <w:textAlignment w:val="baseline"/>
        <w:rPr>
          <w:bCs/>
          <w:color w:val="000000" w:themeColor="text1"/>
          <w:sz w:val="22"/>
          <w:szCs w:val="22"/>
          <w:lang w:val="hr-HR"/>
        </w:rPr>
      </w:pPr>
    </w:p>
    <w:p w14:paraId="7A57D0C9" w14:textId="0AC02E47" w:rsidR="00223522" w:rsidRDefault="007E3F3C" w:rsidP="00430A60">
      <w:pPr>
        <w:overflowPunct w:val="0"/>
        <w:autoSpaceDN w:val="0"/>
        <w:adjustRightInd w:val="0"/>
        <w:jc w:val="both"/>
        <w:textAlignment w:val="baseline"/>
        <w:rPr>
          <w:bCs/>
          <w:color w:val="000000" w:themeColor="text1"/>
          <w:sz w:val="22"/>
          <w:szCs w:val="22"/>
          <w:lang w:val="hr-HR"/>
        </w:rPr>
      </w:pPr>
      <w:r w:rsidRPr="00945678">
        <w:rPr>
          <w:bCs/>
          <w:color w:val="000000" w:themeColor="text1"/>
          <w:sz w:val="22"/>
          <w:szCs w:val="22"/>
          <w:lang w:val="hr-HR"/>
        </w:rPr>
        <w:t xml:space="preserve">Lijek </w:t>
      </w:r>
      <w:r w:rsidR="00223522" w:rsidRPr="00945678">
        <w:rPr>
          <w:bCs/>
          <w:color w:val="000000" w:themeColor="text1"/>
          <w:sz w:val="22"/>
          <w:szCs w:val="22"/>
          <w:lang w:val="hr-HR"/>
        </w:rPr>
        <w:t>Solu-Medrol 500 mg prašak i 7,8 ml rastvarača za rastvor za injekciju/infuziju sadrž</w:t>
      </w:r>
      <w:r w:rsidRPr="00945678">
        <w:rPr>
          <w:bCs/>
          <w:color w:val="000000" w:themeColor="text1"/>
          <w:sz w:val="22"/>
          <w:szCs w:val="22"/>
          <w:lang w:val="hr-HR"/>
        </w:rPr>
        <w:t>i</w:t>
      </w:r>
      <w:r w:rsidR="00223522" w:rsidRPr="00945678">
        <w:rPr>
          <w:bCs/>
          <w:color w:val="000000" w:themeColor="text1"/>
          <w:sz w:val="22"/>
          <w:szCs w:val="22"/>
          <w:lang w:val="hr-HR"/>
        </w:rPr>
        <w:t xml:space="preserve"> 58,3 mg natrijuma po bočici, što odgovara 2,92% maksimalnog dnevnog unosa od 2 g natrijuma prema preporukama SZO za odrasle</w:t>
      </w:r>
      <w:r w:rsidRPr="00945678">
        <w:rPr>
          <w:bCs/>
          <w:color w:val="000000" w:themeColor="text1"/>
          <w:sz w:val="22"/>
          <w:szCs w:val="22"/>
          <w:lang w:val="hr-HR"/>
        </w:rPr>
        <w:t xml:space="preserve"> osobe</w:t>
      </w:r>
      <w:r w:rsidR="00223522" w:rsidRPr="00945678">
        <w:rPr>
          <w:bCs/>
          <w:color w:val="000000" w:themeColor="text1"/>
          <w:sz w:val="22"/>
          <w:szCs w:val="22"/>
          <w:lang w:val="hr-HR"/>
        </w:rPr>
        <w:t>.</w:t>
      </w:r>
    </w:p>
    <w:p w14:paraId="09BC10DE" w14:textId="77777777" w:rsidR="00171041" w:rsidRPr="00945678" w:rsidRDefault="00171041" w:rsidP="00E40785">
      <w:pPr>
        <w:overflowPunct w:val="0"/>
        <w:autoSpaceDN w:val="0"/>
        <w:adjustRightInd w:val="0"/>
        <w:textAlignment w:val="baseline"/>
        <w:rPr>
          <w:bCs/>
          <w:color w:val="000000" w:themeColor="text1"/>
          <w:sz w:val="22"/>
          <w:szCs w:val="22"/>
          <w:lang w:val="hr-HR"/>
        </w:rPr>
      </w:pPr>
    </w:p>
    <w:p w14:paraId="3C7C7AA5" w14:textId="77777777" w:rsidR="00E40785" w:rsidRPr="0013178E" w:rsidRDefault="00E40785" w:rsidP="00E40785">
      <w:pPr>
        <w:ind w:left="709" w:hanging="709"/>
        <w:rPr>
          <w:sz w:val="22"/>
          <w:szCs w:val="22"/>
          <w:lang w:val="hr-HR"/>
        </w:rPr>
      </w:pPr>
      <w:r w:rsidRPr="0013178E">
        <w:rPr>
          <w:b/>
          <w:sz w:val="22"/>
          <w:szCs w:val="22"/>
          <w:lang w:val="hr-HR"/>
        </w:rPr>
        <w:t>4.5</w:t>
      </w:r>
      <w:r w:rsidRPr="0013178E">
        <w:rPr>
          <w:sz w:val="22"/>
          <w:szCs w:val="22"/>
          <w:lang w:val="hr-HR"/>
        </w:rPr>
        <w:tab/>
      </w:r>
      <w:r w:rsidRPr="0013178E">
        <w:rPr>
          <w:b/>
          <w:sz w:val="22"/>
          <w:szCs w:val="22"/>
          <w:lang w:val="hr-HR"/>
        </w:rPr>
        <w:t>Interakcije sa drugim</w:t>
      </w:r>
      <w:r w:rsidR="001D6169" w:rsidRPr="0013178E">
        <w:rPr>
          <w:b/>
          <w:sz w:val="22"/>
          <w:szCs w:val="22"/>
          <w:lang w:val="hr-HR"/>
        </w:rPr>
        <w:t xml:space="preserve"> l</w:t>
      </w:r>
      <w:r w:rsidRPr="0013178E">
        <w:rPr>
          <w:b/>
          <w:sz w:val="22"/>
          <w:szCs w:val="22"/>
          <w:lang w:val="hr-HR"/>
        </w:rPr>
        <w:t>jekovima i druge vrste interakcija</w:t>
      </w:r>
    </w:p>
    <w:p w14:paraId="0E79DB12" w14:textId="77777777" w:rsidR="00E40785" w:rsidRPr="0013178E" w:rsidRDefault="00E40785" w:rsidP="00E40785">
      <w:pPr>
        <w:ind w:left="720"/>
        <w:rPr>
          <w:color w:val="FF0000"/>
          <w:sz w:val="22"/>
          <w:szCs w:val="22"/>
          <w:lang w:val="hr-HR"/>
        </w:rPr>
      </w:pPr>
    </w:p>
    <w:p w14:paraId="73D5EDD2" w14:textId="134FF00B" w:rsidR="00E40785" w:rsidRPr="0013178E" w:rsidRDefault="00E40785" w:rsidP="00430A60">
      <w:pPr>
        <w:keepNext/>
        <w:numPr>
          <w:ilvl w:val="12"/>
          <w:numId w:val="0"/>
        </w:numPr>
        <w:overflowPunct w:val="0"/>
        <w:autoSpaceDN w:val="0"/>
        <w:adjustRightInd w:val="0"/>
        <w:jc w:val="both"/>
        <w:textAlignment w:val="baseline"/>
        <w:rPr>
          <w:b/>
          <w:sz w:val="22"/>
          <w:szCs w:val="22"/>
          <w:lang w:val="hr-HR"/>
        </w:rPr>
      </w:pPr>
      <w:r w:rsidRPr="0013178E">
        <w:rPr>
          <w:sz w:val="22"/>
          <w:szCs w:val="22"/>
          <w:lang w:val="hr-HR"/>
        </w:rPr>
        <w:t>Metilprednizolon je supstrat enzimskog sistema citohroma P450 i u najvećoj mjeri se metaboliše putem CYP3A4 enzima. CYP3A4 je dominantni enzim najveće CYP potporodice u jetri u odraslih ljudi. On katališe 6β-hidroksilaciju steroida, metaboličku reakciju faze 1 za endogene i sintetske korikosteroide. Mnoge druge supstance su takođe supstrati CYP3A4, od kojih neke mijenjaju metabolizam glukokortikoida indukcijom ili inhibicijom CYP3A4 enzima.</w:t>
      </w:r>
    </w:p>
    <w:p w14:paraId="7111788A" w14:textId="77777777" w:rsidR="00E40785" w:rsidRPr="0013178E" w:rsidRDefault="00E40785" w:rsidP="00430A60">
      <w:pPr>
        <w:numPr>
          <w:ilvl w:val="12"/>
          <w:numId w:val="0"/>
        </w:numPr>
        <w:overflowPunct w:val="0"/>
        <w:autoSpaceDN w:val="0"/>
        <w:adjustRightInd w:val="0"/>
        <w:jc w:val="both"/>
        <w:textAlignment w:val="baseline"/>
        <w:rPr>
          <w:b/>
          <w:sz w:val="22"/>
          <w:szCs w:val="22"/>
          <w:lang w:val="hr-HR"/>
        </w:rPr>
      </w:pPr>
    </w:p>
    <w:p w14:paraId="464A2BA9" w14:textId="77777777" w:rsidR="00E40785" w:rsidRPr="0013178E" w:rsidRDefault="00E40785" w:rsidP="00430A60">
      <w:pPr>
        <w:numPr>
          <w:ilvl w:val="12"/>
          <w:numId w:val="0"/>
        </w:numPr>
        <w:overflowPunct w:val="0"/>
        <w:autoSpaceDN w:val="0"/>
        <w:adjustRightInd w:val="0"/>
        <w:jc w:val="both"/>
        <w:textAlignment w:val="baseline"/>
        <w:rPr>
          <w:b/>
          <w:sz w:val="22"/>
          <w:szCs w:val="22"/>
          <w:lang w:val="hr-HR"/>
        </w:rPr>
      </w:pPr>
      <w:r w:rsidRPr="0013178E">
        <w:rPr>
          <w:i/>
          <w:sz w:val="22"/>
          <w:szCs w:val="22"/>
          <w:lang w:val="hr-HR"/>
        </w:rPr>
        <w:t>CYP3A4 inhibitori</w:t>
      </w:r>
    </w:p>
    <w:p w14:paraId="2679D108" w14:textId="5157F098" w:rsidR="00E40785" w:rsidRPr="0013178E" w:rsidRDefault="00E40785" w:rsidP="00430A60">
      <w:pPr>
        <w:numPr>
          <w:ilvl w:val="12"/>
          <w:numId w:val="0"/>
        </w:numPr>
        <w:overflowPunct w:val="0"/>
        <w:autoSpaceDN w:val="0"/>
        <w:adjustRightInd w:val="0"/>
        <w:jc w:val="both"/>
        <w:textAlignment w:val="baseline"/>
        <w:rPr>
          <w:rFonts w:cs="Arial"/>
          <w:sz w:val="22"/>
          <w:szCs w:val="22"/>
          <w:lang w:val="hr-HR"/>
        </w:rPr>
      </w:pPr>
      <w:r w:rsidRPr="0013178E">
        <w:rPr>
          <w:sz w:val="22"/>
          <w:szCs w:val="22"/>
          <w:lang w:val="hr-HR"/>
        </w:rPr>
        <w:t>Ljekovi koji inhibiraju CYP3A4 aktivnost generalno smanjuju hepatički klirens i povećavaju koncentraciju CYP3A4 supstrata u plazmi</w:t>
      </w:r>
      <w:r w:rsidR="000D1B17">
        <w:rPr>
          <w:sz w:val="22"/>
          <w:szCs w:val="22"/>
          <w:lang w:val="hr-HR"/>
        </w:rPr>
        <w:t xml:space="preserve"> poput metilprednizolona</w:t>
      </w:r>
      <w:r w:rsidRPr="0013178E">
        <w:rPr>
          <w:sz w:val="22"/>
          <w:szCs w:val="22"/>
          <w:lang w:val="hr-HR"/>
        </w:rPr>
        <w:t xml:space="preserve">. U prisustvu inhibitora CYP3A4, možda će biti potrebno titrirati dozu metilprednizolona kako bi se izbjegla steroidna toksičnost. </w:t>
      </w:r>
    </w:p>
    <w:p w14:paraId="2A54E332" w14:textId="77777777" w:rsidR="00E40785" w:rsidRPr="0013178E" w:rsidRDefault="00E40785" w:rsidP="00430A60">
      <w:pPr>
        <w:numPr>
          <w:ilvl w:val="12"/>
          <w:numId w:val="0"/>
        </w:numPr>
        <w:overflowPunct w:val="0"/>
        <w:autoSpaceDN w:val="0"/>
        <w:adjustRightInd w:val="0"/>
        <w:jc w:val="both"/>
        <w:textAlignment w:val="baseline"/>
        <w:rPr>
          <w:b/>
          <w:sz w:val="22"/>
          <w:szCs w:val="22"/>
          <w:lang w:val="hr-HR"/>
        </w:rPr>
      </w:pPr>
    </w:p>
    <w:p w14:paraId="159CACFD" w14:textId="77777777" w:rsidR="00E40785" w:rsidRPr="0013178E" w:rsidRDefault="00E40785" w:rsidP="00430A60">
      <w:pPr>
        <w:numPr>
          <w:ilvl w:val="12"/>
          <w:numId w:val="0"/>
        </w:numPr>
        <w:overflowPunct w:val="0"/>
        <w:autoSpaceDN w:val="0"/>
        <w:adjustRightInd w:val="0"/>
        <w:jc w:val="both"/>
        <w:textAlignment w:val="baseline"/>
        <w:rPr>
          <w:b/>
          <w:sz w:val="22"/>
          <w:szCs w:val="22"/>
          <w:lang w:val="hr-HR"/>
        </w:rPr>
      </w:pPr>
      <w:r w:rsidRPr="0013178E">
        <w:rPr>
          <w:i/>
          <w:sz w:val="22"/>
          <w:szCs w:val="22"/>
          <w:lang w:val="hr-HR"/>
        </w:rPr>
        <w:t>CYP3A4 induktori</w:t>
      </w:r>
    </w:p>
    <w:p w14:paraId="36A525C0" w14:textId="477E5E70" w:rsidR="00E40785" w:rsidRPr="0013178E" w:rsidRDefault="00E40785" w:rsidP="00430A60">
      <w:pPr>
        <w:numPr>
          <w:ilvl w:val="12"/>
          <w:numId w:val="0"/>
        </w:numPr>
        <w:overflowPunct w:val="0"/>
        <w:autoSpaceDN w:val="0"/>
        <w:adjustRightInd w:val="0"/>
        <w:jc w:val="both"/>
        <w:textAlignment w:val="baseline"/>
        <w:rPr>
          <w:sz w:val="22"/>
          <w:szCs w:val="22"/>
          <w:lang w:val="hr-HR"/>
        </w:rPr>
      </w:pPr>
      <w:r w:rsidRPr="0013178E">
        <w:rPr>
          <w:sz w:val="22"/>
          <w:szCs w:val="22"/>
          <w:lang w:val="hr-HR"/>
        </w:rPr>
        <w:t>Ljekovi koji indukuju CYP3A4 aktivnost generalno povećavaju hepatički klirens, što utiče na smanjenje koncentracije ljekova – CYP3A4 supstrata u plazmi</w:t>
      </w:r>
      <w:r w:rsidR="000D1B17">
        <w:rPr>
          <w:sz w:val="22"/>
          <w:szCs w:val="22"/>
          <w:lang w:val="hr-HR"/>
        </w:rPr>
        <w:t xml:space="preserve"> poput metilprednizolona</w:t>
      </w:r>
      <w:r w:rsidRPr="0013178E">
        <w:rPr>
          <w:sz w:val="22"/>
          <w:szCs w:val="22"/>
          <w:lang w:val="hr-HR"/>
        </w:rPr>
        <w:t xml:space="preserve">. Istovremena primjena može zahtijevati povećanje doze metilprednizolona kako bi postigao željeni rezultat. </w:t>
      </w:r>
    </w:p>
    <w:p w14:paraId="78A6074B" w14:textId="77777777" w:rsidR="00E40785" w:rsidRPr="0013178E" w:rsidRDefault="00E40785" w:rsidP="00E40785">
      <w:pPr>
        <w:numPr>
          <w:ilvl w:val="12"/>
          <w:numId w:val="0"/>
        </w:numPr>
        <w:overflowPunct w:val="0"/>
        <w:autoSpaceDN w:val="0"/>
        <w:adjustRightInd w:val="0"/>
        <w:textAlignment w:val="baseline"/>
        <w:rPr>
          <w:sz w:val="22"/>
          <w:szCs w:val="22"/>
          <w:lang w:val="hr-HR"/>
        </w:rPr>
      </w:pPr>
    </w:p>
    <w:p w14:paraId="1472D291" w14:textId="77777777" w:rsidR="00E40785" w:rsidRPr="0013178E" w:rsidRDefault="00E40785" w:rsidP="00E40785">
      <w:pPr>
        <w:numPr>
          <w:ilvl w:val="12"/>
          <w:numId w:val="0"/>
        </w:numPr>
        <w:overflowPunct w:val="0"/>
        <w:autoSpaceDN w:val="0"/>
        <w:adjustRightInd w:val="0"/>
        <w:textAlignment w:val="baseline"/>
        <w:rPr>
          <w:i/>
          <w:sz w:val="22"/>
          <w:szCs w:val="22"/>
          <w:lang w:val="hr-HR"/>
        </w:rPr>
      </w:pPr>
      <w:r w:rsidRPr="0013178E">
        <w:rPr>
          <w:i/>
          <w:sz w:val="22"/>
          <w:szCs w:val="22"/>
          <w:lang w:val="hr-HR"/>
        </w:rPr>
        <w:t>Supstrati CYP3A4</w:t>
      </w:r>
    </w:p>
    <w:p w14:paraId="1404C425" w14:textId="0F91EEA6" w:rsidR="00E40785" w:rsidRPr="0013178E" w:rsidRDefault="00E40785" w:rsidP="00E40785">
      <w:pPr>
        <w:spacing w:after="240"/>
        <w:rPr>
          <w:sz w:val="22"/>
          <w:szCs w:val="22"/>
          <w:lang w:val="hr-HR"/>
        </w:rPr>
      </w:pPr>
      <w:r w:rsidRPr="0013178E">
        <w:rPr>
          <w:sz w:val="22"/>
          <w:szCs w:val="22"/>
          <w:lang w:val="hr-HR"/>
        </w:rPr>
        <w:lastRenderedPageBreak/>
        <w:t xml:space="preserve">U prisustvu drugog CYP3A4 supstrata, hepatički </w:t>
      </w:r>
      <w:r w:rsidR="000D3287" w:rsidRPr="0013178E">
        <w:rPr>
          <w:sz w:val="22"/>
          <w:szCs w:val="22"/>
          <w:lang w:val="hr-HR"/>
        </w:rPr>
        <w:t>klirens</w:t>
      </w:r>
      <w:r w:rsidRPr="0013178E">
        <w:rPr>
          <w:sz w:val="22"/>
          <w:szCs w:val="22"/>
          <w:lang w:val="hr-HR"/>
        </w:rPr>
        <w:t xml:space="preserve"> </w:t>
      </w:r>
      <w:r w:rsidR="000D3287" w:rsidRPr="0013178E">
        <w:rPr>
          <w:sz w:val="22"/>
          <w:szCs w:val="22"/>
          <w:lang w:val="hr-HR"/>
        </w:rPr>
        <w:t>metilprednizolona</w:t>
      </w:r>
      <w:r w:rsidRPr="0013178E">
        <w:rPr>
          <w:sz w:val="22"/>
          <w:szCs w:val="22"/>
          <w:lang w:val="hr-HR"/>
        </w:rPr>
        <w:t xml:space="preserve"> može biti indukovan ili inhibiran, pa je potrebno prilagodit</w:t>
      </w:r>
      <w:r w:rsidR="00AC3A93" w:rsidRPr="0013178E">
        <w:rPr>
          <w:sz w:val="22"/>
          <w:szCs w:val="22"/>
          <w:lang w:val="hr-HR"/>
        </w:rPr>
        <w:t>i doziranje.</w:t>
      </w:r>
    </w:p>
    <w:p w14:paraId="15E56D27" w14:textId="77777777" w:rsidR="00E40785" w:rsidRPr="0013178E" w:rsidRDefault="00E40785" w:rsidP="00E40785">
      <w:pPr>
        <w:numPr>
          <w:ilvl w:val="12"/>
          <w:numId w:val="0"/>
        </w:numPr>
        <w:overflowPunct w:val="0"/>
        <w:autoSpaceDN w:val="0"/>
        <w:adjustRightInd w:val="0"/>
        <w:textAlignment w:val="baseline"/>
        <w:rPr>
          <w:sz w:val="22"/>
          <w:szCs w:val="22"/>
          <w:lang w:val="hr-HR"/>
        </w:rPr>
      </w:pPr>
      <w:r w:rsidRPr="0013178E">
        <w:rPr>
          <w:sz w:val="22"/>
          <w:szCs w:val="22"/>
          <w:lang w:val="hr-HR"/>
        </w:rPr>
        <w:t>Neke specifične interakcije su navedene u nastavku:</w:t>
      </w:r>
    </w:p>
    <w:p w14:paraId="1D991D01" w14:textId="77777777" w:rsidR="00E40785" w:rsidRPr="0013178E" w:rsidRDefault="00E40785" w:rsidP="00E40785">
      <w:pPr>
        <w:numPr>
          <w:ilvl w:val="12"/>
          <w:numId w:val="0"/>
        </w:numPr>
        <w:overflowPunct w:val="0"/>
        <w:autoSpaceDN w:val="0"/>
        <w:adjustRightInd w:val="0"/>
        <w:textAlignment w:val="baseline"/>
        <w:rPr>
          <w:sz w:val="22"/>
          <w:szCs w:val="22"/>
          <w:lang w:val="hr-HR"/>
        </w:rPr>
      </w:pPr>
    </w:p>
    <w:tbl>
      <w:tblPr>
        <w:tblW w:w="9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65"/>
        <w:gridCol w:w="5370"/>
      </w:tblGrid>
      <w:tr w:rsidR="00043288" w:rsidRPr="00A81BE4" w14:paraId="2E62E624" w14:textId="77777777" w:rsidTr="00430A60">
        <w:tc>
          <w:tcPr>
            <w:tcW w:w="3865" w:type="dxa"/>
          </w:tcPr>
          <w:p w14:paraId="15FA6CCF" w14:textId="77777777" w:rsidR="00E40785" w:rsidRPr="0013178E" w:rsidRDefault="00AF3C6F" w:rsidP="00897866">
            <w:pPr>
              <w:overflowPunct w:val="0"/>
              <w:autoSpaceDN w:val="0"/>
              <w:adjustRightInd w:val="0"/>
              <w:textAlignment w:val="baseline"/>
              <w:rPr>
                <w:b/>
                <w:bCs/>
                <w:sz w:val="22"/>
                <w:szCs w:val="22"/>
                <w:lang w:val="hr-HR"/>
              </w:rPr>
            </w:pPr>
            <w:r w:rsidRPr="0013178E">
              <w:rPr>
                <w:b/>
                <w:sz w:val="22"/>
                <w:szCs w:val="22"/>
                <w:lang w:val="hr-HR"/>
              </w:rPr>
              <w:t>LIJEK</w:t>
            </w:r>
            <w:r w:rsidR="00E40785" w:rsidRPr="0013178E">
              <w:rPr>
                <w:b/>
                <w:sz w:val="22"/>
                <w:szCs w:val="22"/>
                <w:lang w:val="hr-HR"/>
              </w:rPr>
              <w:t xml:space="preserve"> ili aktivna supstanca </w:t>
            </w:r>
          </w:p>
        </w:tc>
        <w:tc>
          <w:tcPr>
            <w:tcW w:w="5370" w:type="dxa"/>
          </w:tcPr>
          <w:p w14:paraId="432CF294" w14:textId="77777777" w:rsidR="00E40785" w:rsidRPr="0013178E" w:rsidRDefault="00E40785" w:rsidP="00430A60">
            <w:pPr>
              <w:overflowPunct w:val="0"/>
              <w:autoSpaceDN w:val="0"/>
              <w:adjustRightInd w:val="0"/>
              <w:jc w:val="both"/>
              <w:textAlignment w:val="baseline"/>
              <w:rPr>
                <w:b/>
                <w:bCs/>
                <w:sz w:val="22"/>
                <w:szCs w:val="22"/>
                <w:lang w:val="hr-HR"/>
              </w:rPr>
            </w:pPr>
            <w:r w:rsidRPr="0013178E">
              <w:rPr>
                <w:b/>
                <w:sz w:val="22"/>
                <w:szCs w:val="22"/>
                <w:lang w:val="hr-HR"/>
              </w:rPr>
              <w:t xml:space="preserve">Interakcija/Efekat </w:t>
            </w:r>
          </w:p>
        </w:tc>
      </w:tr>
      <w:tr w:rsidR="00043288" w:rsidRPr="008620B4" w14:paraId="4BAFCF5C" w14:textId="77777777" w:rsidTr="00430A60">
        <w:trPr>
          <w:trHeight w:val="2074"/>
        </w:trPr>
        <w:tc>
          <w:tcPr>
            <w:tcW w:w="3865" w:type="dxa"/>
            <w:tcBorders>
              <w:top w:val="single" w:sz="4" w:space="0" w:color="auto"/>
              <w:left w:val="single" w:sz="4" w:space="0" w:color="auto"/>
              <w:right w:val="single" w:sz="4" w:space="0" w:color="auto"/>
            </w:tcBorders>
          </w:tcPr>
          <w:p w14:paraId="2323CCC5" w14:textId="77777777" w:rsidR="00E40785" w:rsidRPr="0013178E" w:rsidRDefault="00E40785" w:rsidP="00897866">
            <w:pPr>
              <w:overflowPunct w:val="0"/>
              <w:autoSpaceDN w:val="0"/>
              <w:adjustRightInd w:val="0"/>
              <w:textAlignment w:val="baseline"/>
              <w:rPr>
                <w:bCs/>
                <w:sz w:val="22"/>
                <w:szCs w:val="22"/>
                <w:lang w:val="hr-HR"/>
              </w:rPr>
            </w:pPr>
            <w:r w:rsidRPr="0013178E">
              <w:rPr>
                <w:sz w:val="22"/>
                <w:szCs w:val="22"/>
                <w:lang w:val="hr-HR"/>
              </w:rPr>
              <w:t>Makrolidni antibiotik</w:t>
            </w:r>
          </w:p>
          <w:p w14:paraId="2F73654E" w14:textId="77777777" w:rsidR="00E40785" w:rsidRPr="0013178E" w:rsidRDefault="00E40785" w:rsidP="00E40785">
            <w:pPr>
              <w:widowControl/>
              <w:numPr>
                <w:ilvl w:val="0"/>
                <w:numId w:val="26"/>
              </w:numPr>
              <w:suppressAutoHyphens w:val="0"/>
              <w:overflowPunct w:val="0"/>
              <w:autoSpaceDN w:val="0"/>
              <w:adjustRightInd w:val="0"/>
              <w:textAlignment w:val="baseline"/>
              <w:rPr>
                <w:bCs/>
                <w:sz w:val="22"/>
                <w:szCs w:val="22"/>
                <w:lang w:val="hr-HR"/>
              </w:rPr>
            </w:pPr>
            <w:r w:rsidRPr="0013178E">
              <w:rPr>
                <w:sz w:val="22"/>
                <w:szCs w:val="22"/>
                <w:lang w:val="hr-HR"/>
              </w:rPr>
              <w:t>TROLEANDOMICIN</w:t>
            </w:r>
          </w:p>
          <w:p w14:paraId="79021C9A" w14:textId="77777777" w:rsidR="00E40785" w:rsidRPr="0013178E" w:rsidRDefault="00E40785" w:rsidP="00897866">
            <w:pPr>
              <w:overflowPunct w:val="0"/>
              <w:autoSpaceDN w:val="0"/>
              <w:adjustRightInd w:val="0"/>
              <w:spacing w:before="60" w:after="60"/>
              <w:textAlignment w:val="baseline"/>
              <w:rPr>
                <w:sz w:val="22"/>
                <w:szCs w:val="22"/>
                <w:lang w:val="hr-HR"/>
              </w:rPr>
            </w:pPr>
          </w:p>
          <w:p w14:paraId="611033C8" w14:textId="77777777" w:rsidR="00E40785" w:rsidRPr="0013178E" w:rsidRDefault="00E40785" w:rsidP="00897866">
            <w:pPr>
              <w:overflowPunct w:val="0"/>
              <w:autoSpaceDN w:val="0"/>
              <w:adjustRightInd w:val="0"/>
              <w:spacing w:before="60" w:after="60"/>
              <w:textAlignment w:val="baseline"/>
              <w:rPr>
                <w:sz w:val="22"/>
                <w:szCs w:val="22"/>
                <w:lang w:val="hr-HR"/>
              </w:rPr>
            </w:pPr>
            <w:r w:rsidRPr="0013178E">
              <w:rPr>
                <w:sz w:val="22"/>
                <w:szCs w:val="22"/>
                <w:lang w:val="hr-HR"/>
              </w:rPr>
              <w:t>Antibakterijski agens</w:t>
            </w:r>
          </w:p>
          <w:p w14:paraId="459F78F7" w14:textId="35B5CF69" w:rsidR="00E40785" w:rsidRPr="0013178E" w:rsidRDefault="000D1B17" w:rsidP="00E40785">
            <w:pPr>
              <w:widowControl/>
              <w:numPr>
                <w:ilvl w:val="0"/>
                <w:numId w:val="26"/>
              </w:numPr>
              <w:suppressAutoHyphens w:val="0"/>
              <w:overflowPunct w:val="0"/>
              <w:autoSpaceDN w:val="0"/>
              <w:adjustRightInd w:val="0"/>
              <w:textAlignment w:val="baseline"/>
              <w:rPr>
                <w:b/>
                <w:bCs/>
                <w:sz w:val="22"/>
                <w:szCs w:val="22"/>
                <w:lang w:val="hr-HR"/>
              </w:rPr>
            </w:pPr>
            <w:r w:rsidRPr="0013178E">
              <w:rPr>
                <w:sz w:val="22"/>
                <w:szCs w:val="22"/>
                <w:lang w:val="hr-HR"/>
              </w:rPr>
              <w:t>I</w:t>
            </w:r>
            <w:r>
              <w:rPr>
                <w:sz w:val="22"/>
                <w:szCs w:val="22"/>
                <w:lang w:val="hr-HR"/>
              </w:rPr>
              <w:t>ZONIAZID</w:t>
            </w:r>
          </w:p>
          <w:p w14:paraId="11F0787F" w14:textId="77777777" w:rsidR="00E40785" w:rsidRPr="0013178E" w:rsidRDefault="00E40785" w:rsidP="00E40785">
            <w:pPr>
              <w:widowControl/>
              <w:numPr>
                <w:ilvl w:val="0"/>
                <w:numId w:val="26"/>
              </w:numPr>
              <w:suppressAutoHyphens w:val="0"/>
              <w:overflowPunct w:val="0"/>
              <w:autoSpaceDN w:val="0"/>
              <w:adjustRightInd w:val="0"/>
              <w:textAlignment w:val="baseline"/>
              <w:rPr>
                <w:b/>
                <w:bCs/>
                <w:sz w:val="22"/>
                <w:szCs w:val="22"/>
                <w:lang w:val="hr-HR"/>
              </w:rPr>
            </w:pPr>
            <w:r w:rsidRPr="0013178E">
              <w:rPr>
                <w:sz w:val="22"/>
                <w:szCs w:val="22"/>
                <w:lang w:val="hr-HR"/>
              </w:rPr>
              <w:t xml:space="preserve">SOK OD GREJPFRUTA </w:t>
            </w:r>
          </w:p>
        </w:tc>
        <w:tc>
          <w:tcPr>
            <w:tcW w:w="5370" w:type="dxa"/>
            <w:tcBorders>
              <w:top w:val="single" w:sz="4" w:space="0" w:color="auto"/>
              <w:left w:val="single" w:sz="4" w:space="0" w:color="auto"/>
              <w:right w:val="single" w:sz="4" w:space="0" w:color="auto"/>
            </w:tcBorders>
          </w:tcPr>
          <w:p w14:paraId="514B4EAB" w14:textId="413A3C44" w:rsidR="00E40785" w:rsidRPr="0013178E" w:rsidRDefault="00E40785" w:rsidP="00430A60">
            <w:pPr>
              <w:overflowPunct w:val="0"/>
              <w:autoSpaceDN w:val="0"/>
              <w:adjustRightInd w:val="0"/>
              <w:spacing w:before="60" w:after="60"/>
              <w:jc w:val="both"/>
              <w:textAlignment w:val="baseline"/>
              <w:rPr>
                <w:sz w:val="22"/>
                <w:szCs w:val="22"/>
                <w:lang w:val="hr-HR"/>
              </w:rPr>
            </w:pPr>
            <w:r w:rsidRPr="0013178E">
              <w:rPr>
                <w:sz w:val="22"/>
                <w:szCs w:val="22"/>
                <w:lang w:val="hr-HR"/>
              </w:rPr>
              <w:t xml:space="preserve">CYP3A4 INHIBITORI. </w:t>
            </w:r>
          </w:p>
          <w:p w14:paraId="7226D0D8" w14:textId="77777777" w:rsidR="003D6FA0" w:rsidRPr="0013178E" w:rsidRDefault="003D6FA0" w:rsidP="00430A60">
            <w:pPr>
              <w:overflowPunct w:val="0"/>
              <w:autoSpaceDN w:val="0"/>
              <w:adjustRightInd w:val="0"/>
              <w:spacing w:before="60" w:after="60"/>
              <w:jc w:val="both"/>
              <w:textAlignment w:val="baseline"/>
              <w:rPr>
                <w:sz w:val="22"/>
                <w:szCs w:val="22"/>
                <w:lang w:val="hr-HR"/>
              </w:rPr>
            </w:pPr>
          </w:p>
          <w:p w14:paraId="5115C83E" w14:textId="1AE2C0F8" w:rsidR="00E40785" w:rsidRPr="0013178E" w:rsidRDefault="00E40785" w:rsidP="00430A60">
            <w:pPr>
              <w:overflowPunct w:val="0"/>
              <w:autoSpaceDN w:val="0"/>
              <w:adjustRightInd w:val="0"/>
              <w:spacing w:before="60" w:after="60"/>
              <w:jc w:val="both"/>
              <w:textAlignment w:val="baseline"/>
              <w:rPr>
                <w:b/>
                <w:bCs/>
                <w:sz w:val="22"/>
                <w:szCs w:val="22"/>
                <w:lang w:val="hr-HR"/>
              </w:rPr>
            </w:pPr>
            <w:r w:rsidRPr="0013178E">
              <w:rPr>
                <w:sz w:val="22"/>
                <w:szCs w:val="22"/>
                <w:lang w:val="hr-HR"/>
              </w:rPr>
              <w:t>Moguća je povećana koncentracija metilprednizolona u plazmi. Da bi se izbjegla toksičnost, treba razmotriti titraciju doze metilprednizolona. Osim toga, postoji potencijalno dejstvo metilprednizolona koje se odnosi na povećanje brzine acetilacije i klirensa izoniazida.</w:t>
            </w:r>
          </w:p>
        </w:tc>
      </w:tr>
      <w:tr w:rsidR="00043288" w:rsidRPr="008620B4" w14:paraId="015E8F36" w14:textId="77777777" w:rsidTr="00430A60">
        <w:trPr>
          <w:trHeight w:val="1925"/>
        </w:trPr>
        <w:tc>
          <w:tcPr>
            <w:tcW w:w="3865" w:type="dxa"/>
          </w:tcPr>
          <w:p w14:paraId="32B2D849" w14:textId="77777777" w:rsidR="00E40785" w:rsidRPr="0013178E" w:rsidRDefault="00E40785" w:rsidP="00897866">
            <w:pPr>
              <w:overflowPunct w:val="0"/>
              <w:autoSpaceDN w:val="0"/>
              <w:adjustRightInd w:val="0"/>
              <w:spacing w:before="60" w:after="60"/>
              <w:textAlignment w:val="baseline"/>
              <w:rPr>
                <w:sz w:val="22"/>
                <w:szCs w:val="22"/>
                <w:lang w:val="hr-HR"/>
              </w:rPr>
            </w:pPr>
            <w:r w:rsidRPr="0013178E">
              <w:rPr>
                <w:sz w:val="22"/>
                <w:szCs w:val="22"/>
                <w:lang w:val="hr-HR"/>
              </w:rPr>
              <w:t>Antibiotik, antituberkulotik</w:t>
            </w:r>
          </w:p>
          <w:p w14:paraId="12203686" w14:textId="77777777" w:rsidR="00E40785" w:rsidRPr="0013178E" w:rsidRDefault="00E40785" w:rsidP="00E40785">
            <w:pPr>
              <w:widowControl/>
              <w:numPr>
                <w:ilvl w:val="0"/>
                <w:numId w:val="26"/>
              </w:numPr>
              <w:suppressAutoHyphens w:val="0"/>
              <w:overflowPunct w:val="0"/>
              <w:autoSpaceDN w:val="0"/>
              <w:adjustRightInd w:val="0"/>
              <w:textAlignment w:val="baseline"/>
              <w:rPr>
                <w:sz w:val="22"/>
                <w:szCs w:val="22"/>
                <w:lang w:val="hr-HR"/>
              </w:rPr>
            </w:pPr>
            <w:r w:rsidRPr="0013178E">
              <w:rPr>
                <w:sz w:val="22"/>
                <w:szCs w:val="22"/>
                <w:lang w:val="hr-HR"/>
              </w:rPr>
              <w:t>RIFAMPICIN</w:t>
            </w:r>
          </w:p>
          <w:p w14:paraId="78D86986" w14:textId="77777777" w:rsidR="00E40785" w:rsidRPr="0013178E" w:rsidRDefault="00E40785" w:rsidP="00897866">
            <w:pPr>
              <w:overflowPunct w:val="0"/>
              <w:autoSpaceDN w:val="0"/>
              <w:adjustRightInd w:val="0"/>
              <w:spacing w:before="60" w:after="60"/>
              <w:textAlignment w:val="baseline"/>
              <w:rPr>
                <w:sz w:val="22"/>
                <w:szCs w:val="22"/>
                <w:lang w:val="hr-HR"/>
              </w:rPr>
            </w:pPr>
          </w:p>
          <w:p w14:paraId="21553863" w14:textId="77777777" w:rsidR="00E40785" w:rsidRPr="0013178E" w:rsidRDefault="00E40785" w:rsidP="00897866">
            <w:pPr>
              <w:overflowPunct w:val="0"/>
              <w:autoSpaceDN w:val="0"/>
              <w:adjustRightInd w:val="0"/>
              <w:spacing w:before="60" w:after="60"/>
              <w:textAlignment w:val="baseline"/>
              <w:rPr>
                <w:sz w:val="22"/>
                <w:szCs w:val="22"/>
                <w:lang w:val="hr-HR"/>
              </w:rPr>
            </w:pPr>
            <w:r w:rsidRPr="0013178E">
              <w:rPr>
                <w:sz w:val="22"/>
                <w:szCs w:val="22"/>
                <w:lang w:val="hr-HR"/>
              </w:rPr>
              <w:t>Antikonvulzivi</w:t>
            </w:r>
          </w:p>
          <w:p w14:paraId="5D60E76F" w14:textId="77777777" w:rsidR="00E40785" w:rsidRPr="0013178E" w:rsidRDefault="00E40785" w:rsidP="00E40785">
            <w:pPr>
              <w:widowControl/>
              <w:numPr>
                <w:ilvl w:val="0"/>
                <w:numId w:val="26"/>
              </w:numPr>
              <w:suppressAutoHyphens w:val="0"/>
              <w:overflowPunct w:val="0"/>
              <w:autoSpaceDN w:val="0"/>
              <w:adjustRightInd w:val="0"/>
              <w:textAlignment w:val="baseline"/>
              <w:rPr>
                <w:sz w:val="22"/>
                <w:szCs w:val="22"/>
                <w:lang w:val="hr-HR"/>
              </w:rPr>
            </w:pPr>
            <w:r w:rsidRPr="0013178E">
              <w:rPr>
                <w:sz w:val="22"/>
                <w:szCs w:val="22"/>
                <w:lang w:val="hr-HR"/>
              </w:rPr>
              <w:t>FENOBARBITAL</w:t>
            </w:r>
          </w:p>
          <w:p w14:paraId="699B7360" w14:textId="77777777" w:rsidR="00E40785" w:rsidRPr="0013178E" w:rsidRDefault="00E40785" w:rsidP="00E40785">
            <w:pPr>
              <w:widowControl/>
              <w:numPr>
                <w:ilvl w:val="0"/>
                <w:numId w:val="26"/>
              </w:numPr>
              <w:suppressAutoHyphens w:val="0"/>
              <w:overflowPunct w:val="0"/>
              <w:autoSpaceDN w:val="0"/>
              <w:adjustRightInd w:val="0"/>
              <w:textAlignment w:val="baseline"/>
              <w:rPr>
                <w:i/>
                <w:sz w:val="22"/>
                <w:szCs w:val="22"/>
                <w:lang w:val="hr-HR"/>
              </w:rPr>
            </w:pPr>
            <w:r w:rsidRPr="0013178E">
              <w:rPr>
                <w:sz w:val="22"/>
                <w:szCs w:val="22"/>
                <w:lang w:val="hr-HR"/>
              </w:rPr>
              <w:t>FENITOIN</w:t>
            </w:r>
          </w:p>
        </w:tc>
        <w:tc>
          <w:tcPr>
            <w:tcW w:w="5370" w:type="dxa"/>
            <w:vAlign w:val="center"/>
          </w:tcPr>
          <w:p w14:paraId="0BA612DA" w14:textId="5E5E92A2" w:rsidR="00E40785" w:rsidRPr="0013178E" w:rsidRDefault="00E40785" w:rsidP="00430A60">
            <w:pPr>
              <w:overflowPunct w:val="0"/>
              <w:autoSpaceDN w:val="0"/>
              <w:adjustRightInd w:val="0"/>
              <w:spacing w:before="60" w:after="60"/>
              <w:jc w:val="both"/>
              <w:textAlignment w:val="baseline"/>
              <w:rPr>
                <w:sz w:val="22"/>
                <w:szCs w:val="22"/>
                <w:lang w:val="hr-HR"/>
              </w:rPr>
            </w:pPr>
            <w:r w:rsidRPr="0013178E">
              <w:rPr>
                <w:sz w:val="22"/>
                <w:szCs w:val="22"/>
                <w:lang w:val="hr-HR"/>
              </w:rPr>
              <w:t xml:space="preserve">CYP3A4 INDUKTORI. </w:t>
            </w:r>
          </w:p>
          <w:p w14:paraId="6D2C357A" w14:textId="77777777" w:rsidR="003D6FA0" w:rsidRPr="0013178E" w:rsidRDefault="003D6FA0" w:rsidP="00430A60">
            <w:pPr>
              <w:overflowPunct w:val="0"/>
              <w:autoSpaceDN w:val="0"/>
              <w:adjustRightInd w:val="0"/>
              <w:spacing w:before="60" w:after="60"/>
              <w:jc w:val="both"/>
              <w:textAlignment w:val="baseline"/>
              <w:rPr>
                <w:sz w:val="22"/>
                <w:szCs w:val="22"/>
                <w:lang w:val="hr-HR"/>
              </w:rPr>
            </w:pPr>
          </w:p>
          <w:p w14:paraId="7D2DFB06" w14:textId="77777777" w:rsidR="00E40785" w:rsidRPr="0013178E" w:rsidRDefault="00E40785" w:rsidP="00430A60">
            <w:pPr>
              <w:overflowPunct w:val="0"/>
              <w:autoSpaceDN w:val="0"/>
              <w:adjustRightInd w:val="0"/>
              <w:spacing w:before="60" w:after="60"/>
              <w:jc w:val="both"/>
              <w:textAlignment w:val="baseline"/>
              <w:rPr>
                <w:sz w:val="22"/>
                <w:szCs w:val="22"/>
                <w:lang w:val="hr-HR"/>
              </w:rPr>
            </w:pPr>
            <w:r w:rsidRPr="0013178E">
              <w:rPr>
                <w:sz w:val="22"/>
                <w:szCs w:val="22"/>
                <w:lang w:val="hr-HR"/>
              </w:rPr>
              <w:t xml:space="preserve">Moguća je smanjena koncentracija metilprednizolona u plazmi. Tokom istovremene primjene, treba razmotriti povećanje doze metilprednizolona da bi se postigao željeni efekat. </w:t>
            </w:r>
          </w:p>
          <w:p w14:paraId="68042078" w14:textId="77777777" w:rsidR="00E40785" w:rsidRPr="0013178E" w:rsidRDefault="00E40785" w:rsidP="00430A60">
            <w:pPr>
              <w:overflowPunct w:val="0"/>
              <w:autoSpaceDN w:val="0"/>
              <w:adjustRightInd w:val="0"/>
              <w:spacing w:before="60" w:after="60"/>
              <w:jc w:val="both"/>
              <w:textAlignment w:val="baseline"/>
              <w:rPr>
                <w:sz w:val="22"/>
                <w:szCs w:val="22"/>
                <w:lang w:val="hr-HR"/>
              </w:rPr>
            </w:pPr>
          </w:p>
        </w:tc>
      </w:tr>
      <w:tr w:rsidR="00043288" w:rsidRPr="008620B4" w14:paraId="51633EEE" w14:textId="77777777" w:rsidTr="00430A60">
        <w:trPr>
          <w:trHeight w:val="7360"/>
        </w:trPr>
        <w:tc>
          <w:tcPr>
            <w:tcW w:w="3865" w:type="dxa"/>
            <w:tcBorders>
              <w:top w:val="single" w:sz="4" w:space="0" w:color="auto"/>
              <w:left w:val="single" w:sz="4" w:space="0" w:color="auto"/>
              <w:bottom w:val="single" w:sz="4" w:space="0" w:color="auto"/>
              <w:right w:val="single" w:sz="4" w:space="0" w:color="auto"/>
            </w:tcBorders>
          </w:tcPr>
          <w:p w14:paraId="23A8C883" w14:textId="77777777" w:rsidR="00E40785" w:rsidRPr="0013178E" w:rsidRDefault="00E40785" w:rsidP="00897866">
            <w:pPr>
              <w:overflowPunct w:val="0"/>
              <w:autoSpaceDN w:val="0"/>
              <w:adjustRightInd w:val="0"/>
              <w:spacing w:before="60" w:after="60"/>
              <w:textAlignment w:val="baseline"/>
              <w:rPr>
                <w:sz w:val="22"/>
                <w:szCs w:val="22"/>
                <w:lang w:val="hr-HR"/>
              </w:rPr>
            </w:pPr>
            <w:r w:rsidRPr="0013178E">
              <w:rPr>
                <w:sz w:val="22"/>
                <w:szCs w:val="22"/>
                <w:lang w:val="hr-HR"/>
              </w:rPr>
              <w:t>Antiemetici</w:t>
            </w:r>
          </w:p>
          <w:p w14:paraId="1D20FE6B" w14:textId="77777777" w:rsidR="00E40785" w:rsidRPr="0013178E" w:rsidRDefault="00E40785" w:rsidP="00E40785">
            <w:pPr>
              <w:widowControl/>
              <w:numPr>
                <w:ilvl w:val="0"/>
                <w:numId w:val="26"/>
              </w:numPr>
              <w:suppressAutoHyphens w:val="0"/>
              <w:overflowPunct w:val="0"/>
              <w:autoSpaceDN w:val="0"/>
              <w:adjustRightInd w:val="0"/>
              <w:textAlignment w:val="baseline"/>
              <w:rPr>
                <w:sz w:val="22"/>
                <w:szCs w:val="22"/>
                <w:lang w:val="hr-HR"/>
              </w:rPr>
            </w:pPr>
            <w:r w:rsidRPr="0013178E">
              <w:rPr>
                <w:sz w:val="22"/>
                <w:szCs w:val="22"/>
                <w:lang w:val="hr-HR"/>
              </w:rPr>
              <w:t>APREPITANT</w:t>
            </w:r>
          </w:p>
          <w:p w14:paraId="15CD1006" w14:textId="77777777" w:rsidR="00E40785" w:rsidRPr="0013178E" w:rsidRDefault="00E40785" w:rsidP="00E40785">
            <w:pPr>
              <w:widowControl/>
              <w:numPr>
                <w:ilvl w:val="0"/>
                <w:numId w:val="26"/>
              </w:numPr>
              <w:suppressAutoHyphens w:val="0"/>
              <w:overflowPunct w:val="0"/>
              <w:autoSpaceDN w:val="0"/>
              <w:adjustRightInd w:val="0"/>
              <w:textAlignment w:val="baseline"/>
              <w:rPr>
                <w:sz w:val="22"/>
                <w:szCs w:val="22"/>
                <w:lang w:val="hr-HR"/>
              </w:rPr>
            </w:pPr>
            <w:r w:rsidRPr="0013178E">
              <w:rPr>
                <w:sz w:val="22"/>
                <w:szCs w:val="22"/>
                <w:lang w:val="hr-HR"/>
              </w:rPr>
              <w:t>FOSAPREPITANT</w:t>
            </w:r>
          </w:p>
          <w:p w14:paraId="76EC7A66" w14:textId="77777777" w:rsidR="00E40785" w:rsidRPr="0013178E" w:rsidRDefault="00E40785" w:rsidP="00897866">
            <w:pPr>
              <w:overflowPunct w:val="0"/>
              <w:autoSpaceDN w:val="0"/>
              <w:adjustRightInd w:val="0"/>
              <w:ind w:left="720"/>
              <w:textAlignment w:val="baseline"/>
              <w:rPr>
                <w:sz w:val="22"/>
                <w:szCs w:val="22"/>
                <w:lang w:val="hr-HR"/>
              </w:rPr>
            </w:pPr>
          </w:p>
          <w:p w14:paraId="692096CC" w14:textId="77777777" w:rsidR="00E40785" w:rsidRPr="0013178E" w:rsidRDefault="00E40785" w:rsidP="00897866">
            <w:pPr>
              <w:overflowPunct w:val="0"/>
              <w:autoSpaceDN w:val="0"/>
              <w:adjustRightInd w:val="0"/>
              <w:spacing w:before="60" w:after="60"/>
              <w:textAlignment w:val="baseline"/>
              <w:rPr>
                <w:sz w:val="22"/>
                <w:szCs w:val="22"/>
                <w:lang w:val="hr-HR"/>
              </w:rPr>
            </w:pPr>
            <w:r w:rsidRPr="0013178E">
              <w:rPr>
                <w:sz w:val="22"/>
                <w:szCs w:val="22"/>
                <w:lang w:val="hr-HR"/>
              </w:rPr>
              <w:t>Antifungici</w:t>
            </w:r>
          </w:p>
          <w:p w14:paraId="2245FC62" w14:textId="77777777" w:rsidR="00E40785" w:rsidRPr="0013178E" w:rsidRDefault="00E40785" w:rsidP="00E40785">
            <w:pPr>
              <w:widowControl/>
              <w:numPr>
                <w:ilvl w:val="0"/>
                <w:numId w:val="26"/>
              </w:numPr>
              <w:suppressAutoHyphens w:val="0"/>
              <w:overflowPunct w:val="0"/>
              <w:autoSpaceDN w:val="0"/>
              <w:adjustRightInd w:val="0"/>
              <w:textAlignment w:val="baseline"/>
              <w:rPr>
                <w:sz w:val="22"/>
                <w:szCs w:val="22"/>
                <w:lang w:val="hr-HR"/>
              </w:rPr>
            </w:pPr>
            <w:r w:rsidRPr="0013178E">
              <w:rPr>
                <w:sz w:val="22"/>
                <w:szCs w:val="22"/>
                <w:lang w:val="hr-HR"/>
              </w:rPr>
              <w:t xml:space="preserve">ITRAKONAZOL </w:t>
            </w:r>
          </w:p>
          <w:p w14:paraId="71F00122" w14:textId="77777777" w:rsidR="00E40785" w:rsidRPr="0013178E" w:rsidRDefault="00E40785" w:rsidP="00E40785">
            <w:pPr>
              <w:widowControl/>
              <w:numPr>
                <w:ilvl w:val="0"/>
                <w:numId w:val="26"/>
              </w:numPr>
              <w:suppressAutoHyphens w:val="0"/>
              <w:overflowPunct w:val="0"/>
              <w:autoSpaceDN w:val="0"/>
              <w:adjustRightInd w:val="0"/>
              <w:textAlignment w:val="baseline"/>
              <w:rPr>
                <w:sz w:val="22"/>
                <w:szCs w:val="22"/>
                <w:lang w:val="hr-HR"/>
              </w:rPr>
            </w:pPr>
            <w:r w:rsidRPr="0013178E">
              <w:rPr>
                <w:sz w:val="22"/>
                <w:szCs w:val="22"/>
                <w:lang w:val="hr-HR"/>
              </w:rPr>
              <w:t>KETOKONAZOL</w:t>
            </w:r>
          </w:p>
          <w:p w14:paraId="1F6864C6" w14:textId="77777777" w:rsidR="00E40785" w:rsidRPr="0013178E" w:rsidRDefault="00E40785" w:rsidP="00897866">
            <w:pPr>
              <w:overflowPunct w:val="0"/>
              <w:autoSpaceDN w:val="0"/>
              <w:adjustRightInd w:val="0"/>
              <w:ind w:left="720"/>
              <w:textAlignment w:val="baseline"/>
              <w:rPr>
                <w:sz w:val="22"/>
                <w:szCs w:val="22"/>
                <w:lang w:val="hr-HR"/>
              </w:rPr>
            </w:pPr>
          </w:p>
          <w:p w14:paraId="02EEB74E" w14:textId="77777777" w:rsidR="00E40785" w:rsidRPr="0013178E" w:rsidRDefault="00E40785" w:rsidP="00897866">
            <w:pPr>
              <w:overflowPunct w:val="0"/>
              <w:autoSpaceDN w:val="0"/>
              <w:adjustRightInd w:val="0"/>
              <w:spacing w:before="60" w:after="60"/>
              <w:textAlignment w:val="baseline"/>
              <w:rPr>
                <w:sz w:val="22"/>
                <w:szCs w:val="22"/>
                <w:lang w:val="hr-HR"/>
              </w:rPr>
            </w:pPr>
            <w:r w:rsidRPr="0013178E">
              <w:rPr>
                <w:sz w:val="22"/>
                <w:szCs w:val="22"/>
                <w:lang w:val="hr-HR"/>
              </w:rPr>
              <w:t>Antiviralni ljekovi</w:t>
            </w:r>
          </w:p>
          <w:p w14:paraId="1AFAE7BB" w14:textId="77777777" w:rsidR="00E40785" w:rsidRPr="0013178E" w:rsidRDefault="00E40785" w:rsidP="00E40785">
            <w:pPr>
              <w:widowControl/>
              <w:numPr>
                <w:ilvl w:val="0"/>
                <w:numId w:val="26"/>
              </w:numPr>
              <w:suppressAutoHyphens w:val="0"/>
              <w:overflowPunct w:val="0"/>
              <w:autoSpaceDN w:val="0"/>
              <w:adjustRightInd w:val="0"/>
              <w:textAlignment w:val="baseline"/>
              <w:rPr>
                <w:sz w:val="22"/>
                <w:szCs w:val="22"/>
                <w:lang w:val="hr-HR"/>
              </w:rPr>
            </w:pPr>
            <w:r w:rsidRPr="0013178E">
              <w:rPr>
                <w:sz w:val="22"/>
                <w:szCs w:val="22"/>
                <w:lang w:val="hr-HR"/>
              </w:rPr>
              <w:t>INHIBITORI HIV PROTEAZE</w:t>
            </w:r>
          </w:p>
          <w:p w14:paraId="2698B3D9" w14:textId="77777777" w:rsidR="00E40785" w:rsidRPr="0013178E" w:rsidRDefault="00E40785" w:rsidP="00897866">
            <w:pPr>
              <w:overflowPunct w:val="0"/>
              <w:autoSpaceDN w:val="0"/>
              <w:adjustRightInd w:val="0"/>
              <w:ind w:left="720"/>
              <w:textAlignment w:val="baseline"/>
              <w:rPr>
                <w:sz w:val="22"/>
                <w:szCs w:val="22"/>
                <w:lang w:val="hr-HR"/>
              </w:rPr>
            </w:pPr>
          </w:p>
          <w:p w14:paraId="4B385E2E" w14:textId="77777777" w:rsidR="00E40785" w:rsidRPr="0013178E" w:rsidRDefault="00E40785" w:rsidP="00897866">
            <w:pPr>
              <w:overflowPunct w:val="0"/>
              <w:autoSpaceDN w:val="0"/>
              <w:adjustRightInd w:val="0"/>
              <w:spacing w:before="60" w:after="60"/>
              <w:textAlignment w:val="baseline"/>
              <w:rPr>
                <w:sz w:val="22"/>
                <w:szCs w:val="22"/>
                <w:lang w:val="hr-HR"/>
              </w:rPr>
            </w:pPr>
            <w:r w:rsidRPr="0013178E">
              <w:rPr>
                <w:sz w:val="22"/>
                <w:szCs w:val="22"/>
                <w:lang w:val="hr-HR"/>
              </w:rPr>
              <w:t xml:space="preserve">Blokator kalcijumovih kanala  </w:t>
            </w:r>
          </w:p>
          <w:p w14:paraId="4C81D617" w14:textId="77777777" w:rsidR="00E40785" w:rsidRPr="0013178E" w:rsidRDefault="00E40785" w:rsidP="00E40785">
            <w:pPr>
              <w:widowControl/>
              <w:numPr>
                <w:ilvl w:val="0"/>
                <w:numId w:val="26"/>
              </w:numPr>
              <w:suppressAutoHyphens w:val="0"/>
              <w:overflowPunct w:val="0"/>
              <w:autoSpaceDN w:val="0"/>
              <w:adjustRightInd w:val="0"/>
              <w:textAlignment w:val="baseline"/>
              <w:rPr>
                <w:sz w:val="22"/>
                <w:szCs w:val="22"/>
                <w:lang w:val="hr-HR"/>
              </w:rPr>
            </w:pPr>
            <w:r w:rsidRPr="0013178E">
              <w:rPr>
                <w:sz w:val="22"/>
                <w:szCs w:val="22"/>
                <w:lang w:val="hr-HR"/>
              </w:rPr>
              <w:t>DILTIAZEM</w:t>
            </w:r>
          </w:p>
          <w:p w14:paraId="2BFEFFDB" w14:textId="77777777" w:rsidR="00E40785" w:rsidRPr="0013178E" w:rsidRDefault="00E40785" w:rsidP="00897866">
            <w:pPr>
              <w:overflowPunct w:val="0"/>
              <w:autoSpaceDN w:val="0"/>
              <w:adjustRightInd w:val="0"/>
              <w:ind w:left="720"/>
              <w:textAlignment w:val="baseline"/>
              <w:rPr>
                <w:sz w:val="22"/>
                <w:szCs w:val="22"/>
                <w:lang w:val="hr-HR"/>
              </w:rPr>
            </w:pPr>
          </w:p>
          <w:p w14:paraId="70AA43AE" w14:textId="77777777" w:rsidR="00E40785" w:rsidRPr="0013178E" w:rsidRDefault="00E40785" w:rsidP="00897866">
            <w:pPr>
              <w:overflowPunct w:val="0"/>
              <w:autoSpaceDN w:val="0"/>
              <w:adjustRightInd w:val="0"/>
              <w:spacing w:before="60" w:after="60"/>
              <w:textAlignment w:val="baseline"/>
              <w:rPr>
                <w:sz w:val="22"/>
                <w:szCs w:val="22"/>
                <w:lang w:val="hr-HR"/>
              </w:rPr>
            </w:pPr>
            <w:r w:rsidRPr="0013178E">
              <w:rPr>
                <w:sz w:val="22"/>
                <w:szCs w:val="22"/>
                <w:lang w:val="hr-HR"/>
              </w:rPr>
              <w:t>(Oralni) kontraceptivi</w:t>
            </w:r>
          </w:p>
          <w:p w14:paraId="4EF36338" w14:textId="582756AA" w:rsidR="00E40785" w:rsidRPr="0013178E" w:rsidRDefault="00E40785" w:rsidP="00E40785">
            <w:pPr>
              <w:widowControl/>
              <w:numPr>
                <w:ilvl w:val="0"/>
                <w:numId w:val="26"/>
              </w:numPr>
              <w:suppressAutoHyphens w:val="0"/>
              <w:overflowPunct w:val="0"/>
              <w:autoSpaceDN w:val="0"/>
              <w:adjustRightInd w:val="0"/>
              <w:ind w:right="-84"/>
              <w:textAlignment w:val="baseline"/>
              <w:rPr>
                <w:sz w:val="22"/>
                <w:szCs w:val="22"/>
                <w:lang w:val="hr-HR"/>
              </w:rPr>
            </w:pPr>
            <w:r w:rsidRPr="0013178E">
              <w:rPr>
                <w:sz w:val="22"/>
                <w:szCs w:val="22"/>
                <w:lang w:val="hr-HR"/>
              </w:rPr>
              <w:t>ETINILESTRADIOL</w:t>
            </w:r>
            <w:r w:rsidR="00792BBA" w:rsidRPr="0013178E">
              <w:rPr>
                <w:sz w:val="22"/>
                <w:szCs w:val="22"/>
                <w:lang w:val="hr-HR"/>
              </w:rPr>
              <w:t xml:space="preserve"> </w:t>
            </w:r>
            <w:r w:rsidRPr="0013178E">
              <w:rPr>
                <w:sz w:val="22"/>
                <w:szCs w:val="22"/>
                <w:lang w:val="hr-HR"/>
              </w:rPr>
              <w:t>/</w:t>
            </w:r>
            <w:r w:rsidR="00792BBA" w:rsidRPr="0013178E">
              <w:rPr>
                <w:sz w:val="22"/>
                <w:szCs w:val="22"/>
                <w:lang w:val="hr-HR"/>
              </w:rPr>
              <w:t xml:space="preserve"> </w:t>
            </w:r>
            <w:r w:rsidRPr="0013178E">
              <w:rPr>
                <w:sz w:val="22"/>
                <w:szCs w:val="22"/>
                <w:lang w:val="hr-HR"/>
              </w:rPr>
              <w:t xml:space="preserve">NORETINDRON </w:t>
            </w:r>
          </w:p>
          <w:p w14:paraId="6A3242AB" w14:textId="77777777" w:rsidR="00E40785" w:rsidRPr="0013178E" w:rsidRDefault="00E40785" w:rsidP="00897866">
            <w:pPr>
              <w:overflowPunct w:val="0"/>
              <w:autoSpaceDN w:val="0"/>
              <w:adjustRightInd w:val="0"/>
              <w:ind w:left="720"/>
              <w:textAlignment w:val="baseline"/>
              <w:rPr>
                <w:sz w:val="22"/>
                <w:szCs w:val="22"/>
                <w:lang w:val="hr-HR"/>
              </w:rPr>
            </w:pPr>
          </w:p>
          <w:p w14:paraId="25348678" w14:textId="77777777" w:rsidR="00E40785" w:rsidRPr="0013178E" w:rsidRDefault="00E40785" w:rsidP="00897866">
            <w:pPr>
              <w:overflowPunct w:val="0"/>
              <w:autoSpaceDN w:val="0"/>
              <w:adjustRightInd w:val="0"/>
              <w:spacing w:before="60" w:after="60"/>
              <w:textAlignment w:val="baseline"/>
              <w:rPr>
                <w:sz w:val="22"/>
                <w:szCs w:val="22"/>
                <w:lang w:val="hr-HR"/>
              </w:rPr>
            </w:pPr>
            <w:r w:rsidRPr="0013178E">
              <w:rPr>
                <w:sz w:val="22"/>
                <w:szCs w:val="22"/>
                <w:lang w:val="hr-HR"/>
              </w:rPr>
              <w:t>Imunosupresiv</w:t>
            </w:r>
          </w:p>
          <w:p w14:paraId="6B177618" w14:textId="77777777" w:rsidR="00E40785" w:rsidRPr="0013178E" w:rsidRDefault="00E40785" w:rsidP="00E40785">
            <w:pPr>
              <w:widowControl/>
              <w:numPr>
                <w:ilvl w:val="0"/>
                <w:numId w:val="26"/>
              </w:numPr>
              <w:suppressAutoHyphens w:val="0"/>
              <w:overflowPunct w:val="0"/>
              <w:autoSpaceDN w:val="0"/>
              <w:adjustRightInd w:val="0"/>
              <w:textAlignment w:val="baseline"/>
              <w:rPr>
                <w:sz w:val="22"/>
                <w:szCs w:val="22"/>
                <w:lang w:val="hr-HR"/>
              </w:rPr>
            </w:pPr>
            <w:r w:rsidRPr="0013178E">
              <w:rPr>
                <w:sz w:val="22"/>
                <w:szCs w:val="22"/>
                <w:lang w:val="hr-HR"/>
              </w:rPr>
              <w:t>CIKLOSPORIN</w:t>
            </w:r>
          </w:p>
          <w:p w14:paraId="7E1A6203" w14:textId="77777777" w:rsidR="00E40785" w:rsidRPr="0013178E" w:rsidRDefault="00E40785" w:rsidP="00897866">
            <w:pPr>
              <w:overflowPunct w:val="0"/>
              <w:autoSpaceDN w:val="0"/>
              <w:adjustRightInd w:val="0"/>
              <w:ind w:left="720"/>
              <w:textAlignment w:val="baseline"/>
              <w:rPr>
                <w:sz w:val="22"/>
                <w:szCs w:val="22"/>
                <w:lang w:val="hr-HR"/>
              </w:rPr>
            </w:pPr>
          </w:p>
          <w:p w14:paraId="552F117D" w14:textId="77777777" w:rsidR="00E40785" w:rsidRPr="0013178E" w:rsidRDefault="00E40785" w:rsidP="00897866">
            <w:pPr>
              <w:overflowPunct w:val="0"/>
              <w:autoSpaceDN w:val="0"/>
              <w:adjustRightInd w:val="0"/>
              <w:spacing w:before="60" w:after="60"/>
              <w:textAlignment w:val="baseline"/>
              <w:rPr>
                <w:sz w:val="22"/>
                <w:szCs w:val="22"/>
                <w:lang w:val="hr-HR"/>
              </w:rPr>
            </w:pPr>
            <w:r w:rsidRPr="0013178E">
              <w:rPr>
                <w:sz w:val="22"/>
                <w:szCs w:val="22"/>
                <w:lang w:val="hr-HR"/>
              </w:rPr>
              <w:t>Makrolidni antibiotici</w:t>
            </w:r>
          </w:p>
          <w:p w14:paraId="09BEC0C1" w14:textId="77777777" w:rsidR="00E40785" w:rsidRPr="0013178E" w:rsidRDefault="00E40785" w:rsidP="00E40785">
            <w:pPr>
              <w:widowControl/>
              <w:numPr>
                <w:ilvl w:val="0"/>
                <w:numId w:val="26"/>
              </w:numPr>
              <w:suppressAutoHyphens w:val="0"/>
              <w:overflowPunct w:val="0"/>
              <w:autoSpaceDN w:val="0"/>
              <w:adjustRightInd w:val="0"/>
              <w:textAlignment w:val="baseline"/>
              <w:rPr>
                <w:sz w:val="22"/>
                <w:szCs w:val="22"/>
                <w:lang w:val="hr-HR"/>
              </w:rPr>
            </w:pPr>
            <w:r w:rsidRPr="0013178E">
              <w:rPr>
                <w:sz w:val="22"/>
                <w:szCs w:val="22"/>
                <w:lang w:val="hr-HR"/>
              </w:rPr>
              <w:t>KLARITROMICIN</w:t>
            </w:r>
          </w:p>
          <w:p w14:paraId="75F56581" w14:textId="77777777" w:rsidR="00E40785" w:rsidRPr="0013178E" w:rsidRDefault="00E40785" w:rsidP="00E40785">
            <w:pPr>
              <w:widowControl/>
              <w:numPr>
                <w:ilvl w:val="0"/>
                <w:numId w:val="26"/>
              </w:numPr>
              <w:suppressAutoHyphens w:val="0"/>
              <w:overflowPunct w:val="0"/>
              <w:autoSpaceDN w:val="0"/>
              <w:adjustRightInd w:val="0"/>
              <w:textAlignment w:val="baseline"/>
              <w:rPr>
                <w:sz w:val="22"/>
                <w:szCs w:val="22"/>
                <w:lang w:val="hr-HR"/>
              </w:rPr>
            </w:pPr>
            <w:r w:rsidRPr="0013178E">
              <w:rPr>
                <w:sz w:val="22"/>
                <w:szCs w:val="22"/>
                <w:lang w:val="hr-HR"/>
              </w:rPr>
              <w:t>ERITROMICIN</w:t>
            </w:r>
          </w:p>
        </w:tc>
        <w:tc>
          <w:tcPr>
            <w:tcW w:w="5370" w:type="dxa"/>
            <w:tcBorders>
              <w:top w:val="single" w:sz="4" w:space="0" w:color="auto"/>
              <w:left w:val="single" w:sz="4" w:space="0" w:color="auto"/>
              <w:right w:val="single" w:sz="4" w:space="0" w:color="auto"/>
            </w:tcBorders>
            <w:vAlign w:val="center"/>
          </w:tcPr>
          <w:p w14:paraId="64019EF8" w14:textId="534A0AB3" w:rsidR="003D6FA0" w:rsidRPr="0013178E" w:rsidRDefault="00E40785" w:rsidP="00430A60">
            <w:pPr>
              <w:overflowPunct w:val="0"/>
              <w:autoSpaceDN w:val="0"/>
              <w:adjustRightInd w:val="0"/>
              <w:spacing w:before="60" w:after="60"/>
              <w:jc w:val="both"/>
              <w:textAlignment w:val="baseline"/>
              <w:rPr>
                <w:sz w:val="22"/>
                <w:szCs w:val="22"/>
                <w:lang w:val="hr-HR"/>
              </w:rPr>
            </w:pPr>
            <w:r w:rsidRPr="0013178E">
              <w:rPr>
                <w:sz w:val="22"/>
                <w:szCs w:val="22"/>
                <w:lang w:val="hr-HR"/>
              </w:rPr>
              <w:t>CYP3A4 INHIBITORI (i SUPSTRATI)</w:t>
            </w:r>
          </w:p>
          <w:p w14:paraId="35C6245E" w14:textId="77777777" w:rsidR="003D6FA0" w:rsidRPr="0013178E" w:rsidRDefault="003D6FA0" w:rsidP="00430A60">
            <w:pPr>
              <w:overflowPunct w:val="0"/>
              <w:autoSpaceDN w:val="0"/>
              <w:adjustRightInd w:val="0"/>
              <w:spacing w:before="60" w:after="60"/>
              <w:jc w:val="both"/>
              <w:textAlignment w:val="baseline"/>
              <w:rPr>
                <w:sz w:val="22"/>
                <w:szCs w:val="22"/>
                <w:lang w:val="hr-HR"/>
              </w:rPr>
            </w:pPr>
          </w:p>
          <w:p w14:paraId="6772C2DE" w14:textId="77777777" w:rsidR="00E40785" w:rsidRPr="0013178E" w:rsidRDefault="00E40785" w:rsidP="00430A60">
            <w:pPr>
              <w:overflowPunct w:val="0"/>
              <w:autoSpaceDN w:val="0"/>
              <w:adjustRightInd w:val="0"/>
              <w:spacing w:before="60" w:after="60"/>
              <w:jc w:val="both"/>
              <w:textAlignment w:val="baseline"/>
              <w:rPr>
                <w:sz w:val="22"/>
                <w:szCs w:val="22"/>
                <w:lang w:val="hr-HR"/>
              </w:rPr>
            </w:pPr>
            <w:r w:rsidRPr="0013178E">
              <w:rPr>
                <w:sz w:val="22"/>
                <w:szCs w:val="22"/>
                <w:lang w:val="hr-HR"/>
              </w:rPr>
              <w:t>Izlučivanje metilprednizolona preko jetre može biti smanjeno ili pojačano, što dovodi do povećanja ili smanjenja koncentracije metilprednizolona u plazmi. Možda će biti potrebno prilagođavanje doze. Postoji veća vjerovatnoća da će se tokom upotrebe pojaviti neželjeni efekti koji se odnose na individualnu upotrebu svakog lijeka.</w:t>
            </w:r>
          </w:p>
          <w:p w14:paraId="38AAB170" w14:textId="77777777" w:rsidR="00E40785" w:rsidRPr="0013178E" w:rsidRDefault="00E40785" w:rsidP="00430A60">
            <w:pPr>
              <w:overflowPunct w:val="0"/>
              <w:autoSpaceDN w:val="0"/>
              <w:adjustRightInd w:val="0"/>
              <w:spacing w:before="60" w:after="60"/>
              <w:jc w:val="both"/>
              <w:textAlignment w:val="baseline"/>
              <w:rPr>
                <w:sz w:val="22"/>
                <w:szCs w:val="22"/>
                <w:lang w:val="hr-HR"/>
              </w:rPr>
            </w:pPr>
          </w:p>
          <w:p w14:paraId="0765FA05" w14:textId="77777777" w:rsidR="00E40785" w:rsidRPr="0013178E" w:rsidRDefault="00E40785" w:rsidP="00430A60">
            <w:pPr>
              <w:widowControl/>
              <w:numPr>
                <w:ilvl w:val="0"/>
                <w:numId w:val="27"/>
              </w:numPr>
              <w:suppressAutoHyphens w:val="0"/>
              <w:overflowPunct w:val="0"/>
              <w:autoSpaceDN w:val="0"/>
              <w:adjustRightInd w:val="0"/>
              <w:spacing w:before="60" w:after="60"/>
              <w:jc w:val="both"/>
              <w:textAlignment w:val="baseline"/>
              <w:rPr>
                <w:sz w:val="22"/>
                <w:szCs w:val="22"/>
                <w:lang w:val="hr-HR"/>
              </w:rPr>
            </w:pPr>
            <w:r w:rsidRPr="0013178E">
              <w:rPr>
                <w:sz w:val="22"/>
                <w:szCs w:val="22"/>
                <w:lang w:val="hr-HR"/>
              </w:rPr>
              <w:t xml:space="preserve">Inhibitori proteaze, kao što su indinavir i ritonavir, mogu povisiti koncentraciju kortikosteroida u plazmi. </w:t>
            </w:r>
          </w:p>
          <w:p w14:paraId="6E354D9B" w14:textId="77777777" w:rsidR="00E40785" w:rsidRPr="0013178E" w:rsidRDefault="00E40785" w:rsidP="00430A60">
            <w:pPr>
              <w:widowControl/>
              <w:numPr>
                <w:ilvl w:val="0"/>
                <w:numId w:val="27"/>
              </w:numPr>
              <w:suppressAutoHyphens w:val="0"/>
              <w:overflowPunct w:val="0"/>
              <w:autoSpaceDN w:val="0"/>
              <w:adjustRightInd w:val="0"/>
              <w:spacing w:before="60" w:after="60"/>
              <w:jc w:val="both"/>
              <w:textAlignment w:val="baseline"/>
              <w:rPr>
                <w:sz w:val="22"/>
                <w:szCs w:val="22"/>
                <w:lang w:val="hr-HR"/>
              </w:rPr>
            </w:pPr>
            <w:r w:rsidRPr="0013178E">
              <w:rPr>
                <w:sz w:val="22"/>
                <w:szCs w:val="22"/>
                <w:lang w:val="hr-HR"/>
              </w:rPr>
              <w:t xml:space="preserve">Kortikosteroidi mogu indukovati metabolizam inhibitora HIV proteaze, što smanjuje koncentraciju u plazmi. </w:t>
            </w:r>
          </w:p>
          <w:p w14:paraId="0DEF3191" w14:textId="77777777" w:rsidR="00E40785" w:rsidRPr="0013178E" w:rsidRDefault="00E40785" w:rsidP="00430A60">
            <w:pPr>
              <w:overflowPunct w:val="0"/>
              <w:autoSpaceDN w:val="0"/>
              <w:adjustRightInd w:val="0"/>
              <w:spacing w:before="60" w:after="60"/>
              <w:jc w:val="both"/>
              <w:textAlignment w:val="baseline"/>
              <w:rPr>
                <w:sz w:val="22"/>
                <w:szCs w:val="22"/>
                <w:lang w:val="hr-HR"/>
              </w:rPr>
            </w:pPr>
          </w:p>
          <w:p w14:paraId="2C4D3DB3" w14:textId="10989778" w:rsidR="00E40785" w:rsidRPr="0013178E" w:rsidRDefault="00E40785" w:rsidP="00430A60">
            <w:pPr>
              <w:overflowPunct w:val="0"/>
              <w:autoSpaceDN w:val="0"/>
              <w:adjustRightInd w:val="0"/>
              <w:spacing w:before="60" w:after="60"/>
              <w:jc w:val="both"/>
              <w:textAlignment w:val="baseline"/>
              <w:rPr>
                <w:sz w:val="22"/>
                <w:szCs w:val="22"/>
                <w:lang w:val="hr-HR"/>
              </w:rPr>
            </w:pPr>
            <w:r w:rsidRPr="0013178E">
              <w:rPr>
                <w:sz w:val="22"/>
                <w:szCs w:val="22"/>
                <w:lang w:val="hr-HR"/>
              </w:rPr>
              <w:t>Ciklosporin</w:t>
            </w:r>
          </w:p>
          <w:p w14:paraId="48F7874C" w14:textId="77777777" w:rsidR="00DF17DB" w:rsidRPr="0013178E" w:rsidRDefault="00DF17DB" w:rsidP="00430A60">
            <w:pPr>
              <w:overflowPunct w:val="0"/>
              <w:autoSpaceDN w:val="0"/>
              <w:adjustRightInd w:val="0"/>
              <w:spacing w:before="60" w:after="60"/>
              <w:jc w:val="both"/>
              <w:textAlignment w:val="baseline"/>
              <w:rPr>
                <w:sz w:val="22"/>
                <w:szCs w:val="22"/>
                <w:lang w:val="hr-HR"/>
              </w:rPr>
            </w:pPr>
          </w:p>
          <w:p w14:paraId="2A44D472" w14:textId="5641C9E5" w:rsidR="00E40785" w:rsidRPr="0013178E" w:rsidRDefault="00E40785" w:rsidP="00430A60">
            <w:pPr>
              <w:widowControl/>
              <w:numPr>
                <w:ilvl w:val="0"/>
                <w:numId w:val="28"/>
              </w:numPr>
              <w:suppressAutoHyphens w:val="0"/>
              <w:overflowPunct w:val="0"/>
              <w:autoSpaceDN w:val="0"/>
              <w:adjustRightInd w:val="0"/>
              <w:spacing w:before="60" w:after="60"/>
              <w:jc w:val="both"/>
              <w:textAlignment w:val="baseline"/>
              <w:rPr>
                <w:sz w:val="22"/>
                <w:szCs w:val="22"/>
                <w:lang w:val="hr-HR"/>
              </w:rPr>
            </w:pPr>
            <w:r w:rsidRPr="0013178E">
              <w:rPr>
                <w:sz w:val="22"/>
                <w:szCs w:val="22"/>
                <w:lang w:val="hr-HR"/>
              </w:rPr>
              <w:t>Međusobna inhibicija metabolizma javlja se kod istovremene primjene ciklosporina sa metilprednizolonom, koji može povisiti koncentracije jednog ili oba lijeka u plazmi. Stoga, moguće je da se neželjen</w:t>
            </w:r>
            <w:r w:rsidR="001B54AD" w:rsidRPr="0013178E">
              <w:rPr>
                <w:sz w:val="22"/>
                <w:szCs w:val="22"/>
                <w:lang w:val="hr-HR"/>
              </w:rPr>
              <w:t>e</w:t>
            </w:r>
            <w:r w:rsidRPr="0013178E">
              <w:rPr>
                <w:sz w:val="22"/>
                <w:szCs w:val="22"/>
                <w:lang w:val="hr-HR"/>
              </w:rPr>
              <w:t xml:space="preserve"> </w:t>
            </w:r>
            <w:r w:rsidR="001B54AD" w:rsidRPr="0013178E">
              <w:rPr>
                <w:sz w:val="22"/>
                <w:szCs w:val="22"/>
                <w:lang w:val="hr-HR"/>
              </w:rPr>
              <w:t xml:space="preserve">reakcije </w:t>
            </w:r>
            <w:r w:rsidRPr="0013178E">
              <w:rPr>
                <w:sz w:val="22"/>
                <w:szCs w:val="22"/>
                <w:lang w:val="hr-HR"/>
              </w:rPr>
              <w:t>povezan</w:t>
            </w:r>
            <w:r w:rsidR="00DA656E" w:rsidRPr="0013178E">
              <w:rPr>
                <w:sz w:val="22"/>
                <w:szCs w:val="22"/>
                <w:lang w:val="hr-HR"/>
              </w:rPr>
              <w:t>e</w:t>
            </w:r>
            <w:r w:rsidRPr="0013178E">
              <w:rPr>
                <w:sz w:val="22"/>
                <w:szCs w:val="22"/>
                <w:lang w:val="hr-HR"/>
              </w:rPr>
              <w:t xml:space="preserve"> sa primjenom samo jednog </w:t>
            </w:r>
            <w:r w:rsidR="002A34A8" w:rsidRPr="0013178E">
              <w:rPr>
                <w:sz w:val="22"/>
                <w:szCs w:val="22"/>
                <w:lang w:val="hr-HR"/>
              </w:rPr>
              <w:t xml:space="preserve">od ovih </w:t>
            </w:r>
            <w:r w:rsidRPr="0013178E">
              <w:rPr>
                <w:sz w:val="22"/>
                <w:szCs w:val="22"/>
                <w:lang w:val="hr-HR"/>
              </w:rPr>
              <w:t>ljek</w:t>
            </w:r>
            <w:r w:rsidR="002A34A8" w:rsidRPr="0013178E">
              <w:rPr>
                <w:sz w:val="22"/>
                <w:szCs w:val="22"/>
                <w:lang w:val="hr-HR"/>
              </w:rPr>
              <w:t>ov</w:t>
            </w:r>
            <w:r w:rsidRPr="0013178E">
              <w:rPr>
                <w:sz w:val="22"/>
                <w:szCs w:val="22"/>
                <w:lang w:val="hr-HR"/>
              </w:rPr>
              <w:t>a jav</w:t>
            </w:r>
            <w:r w:rsidR="00DA656E" w:rsidRPr="0013178E">
              <w:rPr>
                <w:sz w:val="22"/>
                <w:szCs w:val="22"/>
                <w:lang w:val="hr-HR"/>
              </w:rPr>
              <w:t>e</w:t>
            </w:r>
            <w:r w:rsidRPr="0013178E">
              <w:rPr>
                <w:sz w:val="22"/>
                <w:szCs w:val="22"/>
                <w:lang w:val="hr-HR"/>
              </w:rPr>
              <w:t xml:space="preserve"> češće pri istovremenoj primjeni. </w:t>
            </w:r>
          </w:p>
          <w:p w14:paraId="2D96D9C7" w14:textId="77777777" w:rsidR="00E40785" w:rsidRPr="0013178E" w:rsidRDefault="00E40785" w:rsidP="00430A60">
            <w:pPr>
              <w:widowControl/>
              <w:numPr>
                <w:ilvl w:val="0"/>
                <w:numId w:val="28"/>
              </w:numPr>
              <w:suppressAutoHyphens w:val="0"/>
              <w:overflowPunct w:val="0"/>
              <w:autoSpaceDN w:val="0"/>
              <w:adjustRightInd w:val="0"/>
              <w:spacing w:before="60" w:after="60"/>
              <w:jc w:val="both"/>
              <w:textAlignment w:val="baseline"/>
              <w:rPr>
                <w:sz w:val="22"/>
                <w:szCs w:val="22"/>
                <w:lang w:val="hr-HR"/>
              </w:rPr>
            </w:pPr>
            <w:r w:rsidRPr="0013178E">
              <w:rPr>
                <w:sz w:val="22"/>
                <w:szCs w:val="22"/>
                <w:lang w:val="hr-HR"/>
              </w:rPr>
              <w:t>Može se dogoditi konvulzija kod istovremene primjene metilprednizolona i ciklosporina.</w:t>
            </w:r>
          </w:p>
          <w:p w14:paraId="0F2D8242" w14:textId="77777777" w:rsidR="00E40785" w:rsidRPr="0013178E" w:rsidRDefault="00E40785" w:rsidP="00430A60">
            <w:pPr>
              <w:overflowPunct w:val="0"/>
              <w:autoSpaceDN w:val="0"/>
              <w:adjustRightInd w:val="0"/>
              <w:spacing w:before="60" w:after="60"/>
              <w:jc w:val="both"/>
              <w:textAlignment w:val="baseline"/>
              <w:rPr>
                <w:sz w:val="22"/>
                <w:szCs w:val="22"/>
                <w:lang w:val="hr-HR"/>
              </w:rPr>
            </w:pPr>
          </w:p>
          <w:p w14:paraId="5FEAE515" w14:textId="77777777" w:rsidR="00E40785" w:rsidRPr="0013178E" w:rsidRDefault="00E40785" w:rsidP="00430A60">
            <w:pPr>
              <w:overflowPunct w:val="0"/>
              <w:autoSpaceDN w:val="0"/>
              <w:adjustRightInd w:val="0"/>
              <w:spacing w:before="60" w:after="60"/>
              <w:jc w:val="both"/>
              <w:textAlignment w:val="baseline"/>
              <w:rPr>
                <w:sz w:val="22"/>
                <w:szCs w:val="22"/>
                <w:lang w:val="hr-HR"/>
              </w:rPr>
            </w:pPr>
          </w:p>
        </w:tc>
      </w:tr>
      <w:tr w:rsidR="00043288" w:rsidRPr="00A81BE4" w14:paraId="051186E3" w14:textId="77777777" w:rsidTr="00430A60">
        <w:trPr>
          <w:trHeight w:val="1128"/>
        </w:trPr>
        <w:tc>
          <w:tcPr>
            <w:tcW w:w="3865" w:type="dxa"/>
            <w:tcBorders>
              <w:top w:val="single" w:sz="4" w:space="0" w:color="auto"/>
              <w:left w:val="single" w:sz="4" w:space="0" w:color="auto"/>
              <w:bottom w:val="single" w:sz="4" w:space="0" w:color="auto"/>
              <w:right w:val="single" w:sz="4" w:space="0" w:color="auto"/>
            </w:tcBorders>
          </w:tcPr>
          <w:p w14:paraId="6772044E" w14:textId="77777777" w:rsidR="00E40785" w:rsidRPr="0013178E" w:rsidRDefault="00E40785" w:rsidP="00897866">
            <w:pPr>
              <w:overflowPunct w:val="0"/>
              <w:autoSpaceDN w:val="0"/>
              <w:adjustRightInd w:val="0"/>
              <w:spacing w:before="60" w:after="60"/>
              <w:textAlignment w:val="baseline"/>
              <w:rPr>
                <w:sz w:val="22"/>
                <w:szCs w:val="22"/>
                <w:lang w:val="hr-HR"/>
              </w:rPr>
            </w:pPr>
            <w:r w:rsidRPr="0013178E">
              <w:rPr>
                <w:sz w:val="22"/>
                <w:szCs w:val="22"/>
                <w:lang w:val="hr-HR"/>
              </w:rPr>
              <w:lastRenderedPageBreak/>
              <w:t>Lijek koji indukuje farmakokinetiku</w:t>
            </w:r>
          </w:p>
          <w:p w14:paraId="1C1C07FE" w14:textId="0811AB0F" w:rsidR="00E40785" w:rsidRPr="0013178E" w:rsidRDefault="000D1B17" w:rsidP="00E40785">
            <w:pPr>
              <w:widowControl/>
              <w:numPr>
                <w:ilvl w:val="0"/>
                <w:numId w:val="31"/>
              </w:numPr>
              <w:suppressAutoHyphens w:val="0"/>
              <w:overflowPunct w:val="0"/>
              <w:autoSpaceDN w:val="0"/>
              <w:adjustRightInd w:val="0"/>
              <w:spacing w:before="60" w:after="60"/>
              <w:textAlignment w:val="baseline"/>
              <w:rPr>
                <w:sz w:val="22"/>
                <w:szCs w:val="22"/>
                <w:lang w:val="hr-HR"/>
              </w:rPr>
            </w:pPr>
            <w:r>
              <w:rPr>
                <w:sz w:val="22"/>
                <w:szCs w:val="22"/>
                <w:lang w:val="hr-HR"/>
              </w:rPr>
              <w:t>K</w:t>
            </w:r>
            <w:r w:rsidRPr="0013178E">
              <w:rPr>
                <w:sz w:val="22"/>
                <w:szCs w:val="22"/>
                <w:lang w:val="hr-HR"/>
              </w:rPr>
              <w:t>OBICISTAT</w:t>
            </w:r>
          </w:p>
        </w:tc>
        <w:tc>
          <w:tcPr>
            <w:tcW w:w="5370" w:type="dxa"/>
            <w:tcBorders>
              <w:top w:val="single" w:sz="4" w:space="0" w:color="auto"/>
              <w:left w:val="single" w:sz="4" w:space="0" w:color="auto"/>
              <w:bottom w:val="single" w:sz="4" w:space="0" w:color="auto"/>
              <w:right w:val="single" w:sz="4" w:space="0" w:color="auto"/>
            </w:tcBorders>
            <w:vAlign w:val="center"/>
          </w:tcPr>
          <w:p w14:paraId="7A6B6513" w14:textId="77777777" w:rsidR="00E40785" w:rsidRPr="0013178E" w:rsidRDefault="00E40785" w:rsidP="00897866">
            <w:pPr>
              <w:overflowPunct w:val="0"/>
              <w:autoSpaceDN w:val="0"/>
              <w:adjustRightInd w:val="0"/>
              <w:spacing w:before="60" w:after="60"/>
              <w:textAlignment w:val="baseline"/>
              <w:rPr>
                <w:sz w:val="22"/>
                <w:szCs w:val="22"/>
                <w:lang w:val="hr-HR"/>
              </w:rPr>
            </w:pPr>
            <w:r w:rsidRPr="0013178E">
              <w:rPr>
                <w:sz w:val="22"/>
                <w:szCs w:val="22"/>
                <w:lang w:val="hr-HR"/>
              </w:rPr>
              <w:t>CYP3A4 INHIBITOR</w:t>
            </w:r>
          </w:p>
        </w:tc>
      </w:tr>
      <w:tr w:rsidR="00043288" w:rsidRPr="008620B4" w14:paraId="024A2E3F" w14:textId="77777777" w:rsidTr="00430A60">
        <w:trPr>
          <w:trHeight w:val="1925"/>
        </w:trPr>
        <w:tc>
          <w:tcPr>
            <w:tcW w:w="3865" w:type="dxa"/>
            <w:tcBorders>
              <w:top w:val="single" w:sz="4" w:space="0" w:color="auto"/>
              <w:left w:val="single" w:sz="4" w:space="0" w:color="auto"/>
              <w:bottom w:val="single" w:sz="4" w:space="0" w:color="auto"/>
              <w:right w:val="single" w:sz="4" w:space="0" w:color="auto"/>
            </w:tcBorders>
          </w:tcPr>
          <w:p w14:paraId="0C70650B" w14:textId="77777777" w:rsidR="00E40785" w:rsidRPr="0013178E" w:rsidRDefault="00E40785" w:rsidP="00897866">
            <w:pPr>
              <w:overflowPunct w:val="0"/>
              <w:autoSpaceDN w:val="0"/>
              <w:adjustRightInd w:val="0"/>
              <w:spacing w:before="60" w:after="60"/>
              <w:textAlignment w:val="baseline"/>
              <w:rPr>
                <w:sz w:val="22"/>
                <w:szCs w:val="22"/>
                <w:lang w:val="hr-HR"/>
              </w:rPr>
            </w:pPr>
            <w:r w:rsidRPr="0013178E">
              <w:rPr>
                <w:sz w:val="22"/>
                <w:szCs w:val="22"/>
                <w:lang w:val="hr-HR"/>
              </w:rPr>
              <w:t>Antikonvulzivi</w:t>
            </w:r>
          </w:p>
          <w:p w14:paraId="4EE121C6" w14:textId="77777777" w:rsidR="00E40785" w:rsidRPr="0013178E" w:rsidRDefault="00E40785" w:rsidP="00E40785">
            <w:pPr>
              <w:widowControl/>
              <w:numPr>
                <w:ilvl w:val="0"/>
                <w:numId w:val="26"/>
              </w:numPr>
              <w:suppressAutoHyphens w:val="0"/>
              <w:overflowPunct w:val="0"/>
              <w:autoSpaceDN w:val="0"/>
              <w:adjustRightInd w:val="0"/>
              <w:textAlignment w:val="baseline"/>
              <w:rPr>
                <w:sz w:val="22"/>
                <w:szCs w:val="22"/>
                <w:lang w:val="hr-HR"/>
              </w:rPr>
            </w:pPr>
            <w:r w:rsidRPr="0013178E">
              <w:rPr>
                <w:sz w:val="22"/>
                <w:szCs w:val="22"/>
                <w:lang w:val="hr-HR"/>
              </w:rPr>
              <w:t>KARBAMAZEPIN</w:t>
            </w:r>
          </w:p>
        </w:tc>
        <w:tc>
          <w:tcPr>
            <w:tcW w:w="5370" w:type="dxa"/>
            <w:tcBorders>
              <w:top w:val="single" w:sz="4" w:space="0" w:color="auto"/>
              <w:left w:val="single" w:sz="4" w:space="0" w:color="auto"/>
              <w:bottom w:val="single" w:sz="4" w:space="0" w:color="auto"/>
              <w:right w:val="single" w:sz="4" w:space="0" w:color="auto"/>
            </w:tcBorders>
            <w:vAlign w:val="center"/>
          </w:tcPr>
          <w:p w14:paraId="2DD98D69" w14:textId="11CCFF1B" w:rsidR="00E40785" w:rsidRPr="0013178E" w:rsidRDefault="00E40785" w:rsidP="00430A60">
            <w:pPr>
              <w:overflowPunct w:val="0"/>
              <w:autoSpaceDN w:val="0"/>
              <w:adjustRightInd w:val="0"/>
              <w:spacing w:before="60" w:after="60"/>
              <w:jc w:val="both"/>
              <w:textAlignment w:val="baseline"/>
              <w:rPr>
                <w:sz w:val="22"/>
                <w:szCs w:val="22"/>
                <w:lang w:val="hr-HR"/>
              </w:rPr>
            </w:pPr>
            <w:r w:rsidRPr="0013178E">
              <w:rPr>
                <w:sz w:val="22"/>
                <w:szCs w:val="22"/>
                <w:lang w:val="hr-HR"/>
              </w:rPr>
              <w:t>CYP3A4 INDUKTOR (i SUPSTRAT)</w:t>
            </w:r>
          </w:p>
          <w:p w14:paraId="00635D58" w14:textId="77777777" w:rsidR="00DF17DB" w:rsidRPr="0013178E" w:rsidRDefault="00DF17DB" w:rsidP="00430A60">
            <w:pPr>
              <w:overflowPunct w:val="0"/>
              <w:autoSpaceDN w:val="0"/>
              <w:adjustRightInd w:val="0"/>
              <w:spacing w:before="60" w:after="60"/>
              <w:jc w:val="both"/>
              <w:textAlignment w:val="baseline"/>
              <w:rPr>
                <w:sz w:val="22"/>
                <w:szCs w:val="22"/>
                <w:lang w:val="hr-HR"/>
              </w:rPr>
            </w:pPr>
          </w:p>
          <w:p w14:paraId="0E12BEE1" w14:textId="34EB2923" w:rsidR="00E40785" w:rsidRPr="0013178E" w:rsidRDefault="00E40785" w:rsidP="00430A60">
            <w:pPr>
              <w:overflowPunct w:val="0"/>
              <w:autoSpaceDN w:val="0"/>
              <w:adjustRightInd w:val="0"/>
              <w:spacing w:before="60" w:after="60"/>
              <w:jc w:val="both"/>
              <w:textAlignment w:val="baseline"/>
              <w:rPr>
                <w:sz w:val="22"/>
                <w:szCs w:val="22"/>
                <w:lang w:val="hr-HR"/>
              </w:rPr>
            </w:pPr>
            <w:r w:rsidRPr="0013178E">
              <w:rPr>
                <w:sz w:val="22"/>
                <w:szCs w:val="22"/>
                <w:lang w:val="hr-HR"/>
              </w:rPr>
              <w:t xml:space="preserve">Izlučivanje metilprednizolona preko jetre može biti smanjeno ili pojačano, što dovodi do povećanja ili smanjenja koncentracije metilprednizolona u plazmi. Možda će biti potrebno prilagođavanje doze. Postoji veća vjerovatnoća da će se tokom </w:t>
            </w:r>
            <w:r w:rsidR="0053643E" w:rsidRPr="0013178E">
              <w:rPr>
                <w:sz w:val="22"/>
                <w:szCs w:val="22"/>
                <w:lang w:val="hr-HR"/>
              </w:rPr>
              <w:t xml:space="preserve">primjene </w:t>
            </w:r>
            <w:r w:rsidRPr="0013178E">
              <w:rPr>
                <w:sz w:val="22"/>
                <w:szCs w:val="22"/>
                <w:lang w:val="hr-HR"/>
              </w:rPr>
              <w:t>pojaviti neželjeni efekti koji se odnose na individualnu upotrebu svakog lijeka.</w:t>
            </w:r>
          </w:p>
          <w:p w14:paraId="00316707" w14:textId="77777777" w:rsidR="00E40785" w:rsidRPr="0013178E" w:rsidRDefault="00E40785" w:rsidP="00430A60">
            <w:pPr>
              <w:overflowPunct w:val="0"/>
              <w:autoSpaceDN w:val="0"/>
              <w:adjustRightInd w:val="0"/>
              <w:spacing w:before="60" w:after="60"/>
              <w:jc w:val="both"/>
              <w:textAlignment w:val="baseline"/>
              <w:rPr>
                <w:sz w:val="22"/>
                <w:szCs w:val="22"/>
                <w:lang w:val="hr-HR"/>
              </w:rPr>
            </w:pPr>
          </w:p>
        </w:tc>
      </w:tr>
      <w:tr w:rsidR="00043288" w:rsidRPr="008620B4" w14:paraId="6D58D160" w14:textId="77777777" w:rsidTr="00430A60">
        <w:trPr>
          <w:trHeight w:val="1925"/>
        </w:trPr>
        <w:tc>
          <w:tcPr>
            <w:tcW w:w="3865" w:type="dxa"/>
            <w:tcBorders>
              <w:top w:val="single" w:sz="4" w:space="0" w:color="auto"/>
              <w:left w:val="single" w:sz="4" w:space="0" w:color="auto"/>
              <w:bottom w:val="single" w:sz="4" w:space="0" w:color="auto"/>
              <w:right w:val="single" w:sz="4" w:space="0" w:color="auto"/>
            </w:tcBorders>
          </w:tcPr>
          <w:p w14:paraId="72DCCAED" w14:textId="77777777" w:rsidR="00E40785" w:rsidRPr="0013178E" w:rsidRDefault="00E40785" w:rsidP="00897866">
            <w:pPr>
              <w:overflowPunct w:val="0"/>
              <w:autoSpaceDN w:val="0"/>
              <w:adjustRightInd w:val="0"/>
              <w:spacing w:before="60" w:after="60"/>
              <w:textAlignment w:val="baseline"/>
              <w:rPr>
                <w:sz w:val="22"/>
                <w:szCs w:val="22"/>
                <w:lang w:val="hr-HR"/>
              </w:rPr>
            </w:pPr>
            <w:r w:rsidRPr="0013178E">
              <w:rPr>
                <w:sz w:val="22"/>
                <w:szCs w:val="22"/>
                <w:lang w:val="hr-HR"/>
              </w:rPr>
              <w:t>Imunosupresivi</w:t>
            </w:r>
          </w:p>
          <w:p w14:paraId="1B61DC7A" w14:textId="77777777" w:rsidR="00E40785" w:rsidRPr="0013178E" w:rsidRDefault="00E40785" w:rsidP="00E40785">
            <w:pPr>
              <w:widowControl/>
              <w:numPr>
                <w:ilvl w:val="0"/>
                <w:numId w:val="26"/>
              </w:numPr>
              <w:suppressAutoHyphens w:val="0"/>
              <w:overflowPunct w:val="0"/>
              <w:autoSpaceDN w:val="0"/>
              <w:adjustRightInd w:val="0"/>
              <w:ind w:left="567" w:hanging="283"/>
              <w:textAlignment w:val="baseline"/>
              <w:rPr>
                <w:sz w:val="22"/>
                <w:szCs w:val="22"/>
                <w:lang w:val="hr-HR"/>
              </w:rPr>
            </w:pPr>
            <w:r w:rsidRPr="0013178E">
              <w:rPr>
                <w:sz w:val="22"/>
                <w:szCs w:val="22"/>
                <w:lang w:val="hr-HR"/>
              </w:rPr>
              <w:t>CIKLOFOSFAMID</w:t>
            </w:r>
          </w:p>
          <w:p w14:paraId="1453E7A6" w14:textId="77777777" w:rsidR="00E40785" w:rsidRPr="0013178E" w:rsidRDefault="00E40785" w:rsidP="00E40785">
            <w:pPr>
              <w:keepNext/>
              <w:keepLines/>
              <w:widowControl/>
              <w:numPr>
                <w:ilvl w:val="0"/>
                <w:numId w:val="26"/>
              </w:numPr>
              <w:suppressAutoHyphens w:val="0"/>
              <w:overflowPunct w:val="0"/>
              <w:autoSpaceDN w:val="0"/>
              <w:adjustRightInd w:val="0"/>
              <w:ind w:left="567" w:hanging="283"/>
              <w:textAlignment w:val="baseline"/>
              <w:rPr>
                <w:sz w:val="22"/>
                <w:szCs w:val="22"/>
                <w:lang w:val="hr-HR"/>
              </w:rPr>
            </w:pPr>
            <w:r w:rsidRPr="0013178E">
              <w:rPr>
                <w:sz w:val="22"/>
                <w:szCs w:val="22"/>
                <w:lang w:val="hr-HR"/>
              </w:rPr>
              <w:t>TAKROLIMUS</w:t>
            </w:r>
          </w:p>
        </w:tc>
        <w:tc>
          <w:tcPr>
            <w:tcW w:w="5370" w:type="dxa"/>
            <w:tcBorders>
              <w:top w:val="single" w:sz="4" w:space="0" w:color="auto"/>
              <w:left w:val="single" w:sz="4" w:space="0" w:color="auto"/>
              <w:bottom w:val="single" w:sz="4" w:space="0" w:color="auto"/>
              <w:right w:val="single" w:sz="4" w:space="0" w:color="auto"/>
            </w:tcBorders>
            <w:vAlign w:val="center"/>
          </w:tcPr>
          <w:p w14:paraId="71EA8F0A" w14:textId="322BE7C3" w:rsidR="00E40785" w:rsidRPr="0013178E" w:rsidRDefault="00E40785" w:rsidP="00430A60">
            <w:pPr>
              <w:overflowPunct w:val="0"/>
              <w:autoSpaceDN w:val="0"/>
              <w:adjustRightInd w:val="0"/>
              <w:spacing w:before="60" w:after="60"/>
              <w:jc w:val="both"/>
              <w:textAlignment w:val="baseline"/>
              <w:rPr>
                <w:sz w:val="22"/>
                <w:szCs w:val="22"/>
                <w:lang w:val="hr-HR"/>
              </w:rPr>
            </w:pPr>
            <w:r w:rsidRPr="0013178E">
              <w:rPr>
                <w:sz w:val="22"/>
                <w:szCs w:val="22"/>
                <w:lang w:val="hr-HR"/>
              </w:rPr>
              <w:t>SUPSTRATI CYP3A4</w:t>
            </w:r>
          </w:p>
          <w:p w14:paraId="5966EF97" w14:textId="77777777" w:rsidR="00DF17DB" w:rsidRPr="0013178E" w:rsidRDefault="00DF17DB" w:rsidP="00430A60">
            <w:pPr>
              <w:overflowPunct w:val="0"/>
              <w:autoSpaceDN w:val="0"/>
              <w:adjustRightInd w:val="0"/>
              <w:spacing w:before="60" w:after="60"/>
              <w:jc w:val="both"/>
              <w:textAlignment w:val="baseline"/>
              <w:rPr>
                <w:sz w:val="22"/>
                <w:szCs w:val="22"/>
                <w:lang w:val="hr-HR"/>
              </w:rPr>
            </w:pPr>
          </w:p>
          <w:p w14:paraId="4E7E5444" w14:textId="77777777" w:rsidR="00E40785" w:rsidRPr="0013178E" w:rsidRDefault="00E40785" w:rsidP="00430A60">
            <w:pPr>
              <w:overflowPunct w:val="0"/>
              <w:autoSpaceDN w:val="0"/>
              <w:adjustRightInd w:val="0"/>
              <w:spacing w:before="60" w:after="60"/>
              <w:jc w:val="both"/>
              <w:textAlignment w:val="baseline"/>
              <w:rPr>
                <w:sz w:val="22"/>
                <w:szCs w:val="22"/>
                <w:lang w:val="hr-HR"/>
              </w:rPr>
            </w:pPr>
            <w:r w:rsidRPr="0013178E">
              <w:rPr>
                <w:sz w:val="22"/>
                <w:szCs w:val="22"/>
                <w:lang w:val="hr-HR"/>
              </w:rPr>
              <w:t>Izlučivanje metilprednizolona preko jetre može biti smanjeno ili pojačano, što dovodi do povećanja ili smanjenja koncentracije metilprednizolona u plazmi. Možda će biti potrebno prilagođavanje doze. Postoji veća vjerovatnoća da će se tokom upotrebe pojaviti neželjeni efekti koji se odnose na individualnu upotrebu svakog lijeka.</w:t>
            </w:r>
          </w:p>
          <w:p w14:paraId="5F738241" w14:textId="77777777" w:rsidR="00E40785" w:rsidRPr="0013178E" w:rsidRDefault="00E40785" w:rsidP="00430A60">
            <w:pPr>
              <w:overflowPunct w:val="0"/>
              <w:autoSpaceDN w:val="0"/>
              <w:adjustRightInd w:val="0"/>
              <w:spacing w:before="60" w:after="60"/>
              <w:jc w:val="both"/>
              <w:textAlignment w:val="baseline"/>
              <w:rPr>
                <w:sz w:val="22"/>
                <w:szCs w:val="22"/>
                <w:lang w:val="hr-HR"/>
              </w:rPr>
            </w:pPr>
          </w:p>
        </w:tc>
      </w:tr>
      <w:tr w:rsidR="00043288" w:rsidRPr="008620B4" w14:paraId="66F888EF" w14:textId="77777777" w:rsidTr="00430A60">
        <w:tc>
          <w:tcPr>
            <w:tcW w:w="3865" w:type="dxa"/>
          </w:tcPr>
          <w:p w14:paraId="036540F2" w14:textId="77777777" w:rsidR="00E40785" w:rsidRPr="0013178E" w:rsidRDefault="00E40785" w:rsidP="00897866">
            <w:pPr>
              <w:overflowPunct w:val="0"/>
              <w:autoSpaceDN w:val="0"/>
              <w:adjustRightInd w:val="0"/>
              <w:textAlignment w:val="baseline"/>
              <w:rPr>
                <w:sz w:val="22"/>
                <w:szCs w:val="22"/>
                <w:lang w:val="hr-HR"/>
              </w:rPr>
            </w:pPr>
            <w:r w:rsidRPr="0013178E">
              <w:rPr>
                <w:sz w:val="22"/>
                <w:szCs w:val="22"/>
                <w:lang w:val="hr-HR"/>
              </w:rPr>
              <w:t>Antikoagulansi (oralni)</w:t>
            </w:r>
          </w:p>
          <w:p w14:paraId="5E793B22" w14:textId="77777777" w:rsidR="00E40785" w:rsidRPr="0013178E" w:rsidRDefault="00E40785" w:rsidP="00897866">
            <w:pPr>
              <w:overflowPunct w:val="0"/>
              <w:autoSpaceDN w:val="0"/>
              <w:adjustRightInd w:val="0"/>
              <w:textAlignment w:val="baseline"/>
              <w:rPr>
                <w:sz w:val="22"/>
                <w:szCs w:val="22"/>
                <w:lang w:val="hr-HR"/>
              </w:rPr>
            </w:pPr>
          </w:p>
        </w:tc>
        <w:tc>
          <w:tcPr>
            <w:tcW w:w="5370" w:type="dxa"/>
          </w:tcPr>
          <w:p w14:paraId="6BDE8288" w14:textId="77777777" w:rsidR="00E40785" w:rsidRPr="0013178E" w:rsidRDefault="00E40785" w:rsidP="00430A60">
            <w:pPr>
              <w:overflowPunct w:val="0"/>
              <w:autoSpaceDN w:val="0"/>
              <w:adjustRightInd w:val="0"/>
              <w:spacing w:before="60"/>
              <w:jc w:val="both"/>
              <w:textAlignment w:val="baseline"/>
              <w:rPr>
                <w:sz w:val="22"/>
                <w:szCs w:val="22"/>
                <w:lang w:val="hr-HR"/>
              </w:rPr>
            </w:pPr>
            <w:r w:rsidRPr="0013178E">
              <w:rPr>
                <w:sz w:val="22"/>
                <w:szCs w:val="22"/>
                <w:lang w:val="hr-HR"/>
              </w:rPr>
              <w:t>INTERAKCIJE KOJE NIJESU POVEZANE SA CYP3A4</w:t>
            </w:r>
          </w:p>
          <w:p w14:paraId="52428CEC" w14:textId="77777777" w:rsidR="00E40785" w:rsidRPr="0013178E" w:rsidRDefault="00E40785" w:rsidP="00430A60">
            <w:pPr>
              <w:overflowPunct w:val="0"/>
              <w:autoSpaceDN w:val="0"/>
              <w:adjustRightInd w:val="0"/>
              <w:jc w:val="both"/>
              <w:textAlignment w:val="baseline"/>
              <w:rPr>
                <w:sz w:val="22"/>
                <w:szCs w:val="22"/>
                <w:lang w:val="hr-HR"/>
              </w:rPr>
            </w:pPr>
          </w:p>
          <w:p w14:paraId="5E251AC4" w14:textId="77777777" w:rsidR="00E40785" w:rsidRPr="0013178E" w:rsidRDefault="00E40785" w:rsidP="00430A60">
            <w:pPr>
              <w:overflowPunct w:val="0"/>
              <w:autoSpaceDN w:val="0"/>
              <w:adjustRightInd w:val="0"/>
              <w:jc w:val="both"/>
              <w:textAlignment w:val="baseline"/>
              <w:rPr>
                <w:sz w:val="22"/>
                <w:szCs w:val="22"/>
                <w:lang w:val="hr-HR"/>
              </w:rPr>
            </w:pPr>
            <w:r w:rsidRPr="0013178E">
              <w:rPr>
                <w:sz w:val="22"/>
                <w:szCs w:val="22"/>
                <w:lang w:val="hr-HR"/>
              </w:rPr>
              <w:t>Dejstvo metilprednizolona na oralne antikoagulanse je promjenljivo. Prijavljeno je kako povećanje tako i smanjenje dejstva antikoagulansa kada se daju istovremeno sa metilprednizolonom. Stoga treba pratiti parametre zgrušavanja radi održavanja željenog antikoagulansnog dejstva.</w:t>
            </w:r>
          </w:p>
          <w:p w14:paraId="5080B3A9" w14:textId="77777777" w:rsidR="00E40785" w:rsidRPr="0013178E" w:rsidRDefault="00E40785" w:rsidP="00430A60">
            <w:pPr>
              <w:overflowPunct w:val="0"/>
              <w:autoSpaceDN w:val="0"/>
              <w:adjustRightInd w:val="0"/>
              <w:jc w:val="both"/>
              <w:textAlignment w:val="baseline"/>
              <w:rPr>
                <w:sz w:val="22"/>
                <w:szCs w:val="22"/>
                <w:lang w:val="hr-HR"/>
              </w:rPr>
            </w:pPr>
          </w:p>
          <w:p w14:paraId="747927CB" w14:textId="77777777" w:rsidR="00E40785" w:rsidRPr="0013178E" w:rsidRDefault="00E40785" w:rsidP="00430A60">
            <w:pPr>
              <w:overflowPunct w:val="0"/>
              <w:autoSpaceDN w:val="0"/>
              <w:adjustRightInd w:val="0"/>
              <w:jc w:val="both"/>
              <w:textAlignment w:val="baseline"/>
              <w:rPr>
                <w:sz w:val="22"/>
                <w:szCs w:val="22"/>
                <w:lang w:val="hr-HR"/>
              </w:rPr>
            </w:pPr>
          </w:p>
        </w:tc>
      </w:tr>
      <w:tr w:rsidR="00043288" w:rsidRPr="008620B4" w14:paraId="4948B0BA" w14:textId="77777777" w:rsidTr="00430A60">
        <w:tc>
          <w:tcPr>
            <w:tcW w:w="3865" w:type="dxa"/>
          </w:tcPr>
          <w:p w14:paraId="67AA3222" w14:textId="77777777" w:rsidR="00E40785" w:rsidRPr="0013178E" w:rsidRDefault="00E40785" w:rsidP="00897866">
            <w:pPr>
              <w:overflowPunct w:val="0"/>
              <w:autoSpaceDN w:val="0"/>
              <w:adjustRightInd w:val="0"/>
              <w:spacing w:before="60" w:after="60"/>
              <w:textAlignment w:val="baseline"/>
              <w:rPr>
                <w:sz w:val="22"/>
                <w:szCs w:val="22"/>
                <w:lang w:val="hr-HR"/>
              </w:rPr>
            </w:pPr>
            <w:r w:rsidRPr="0013178E">
              <w:rPr>
                <w:sz w:val="22"/>
                <w:szCs w:val="22"/>
                <w:lang w:val="hr-HR"/>
              </w:rPr>
              <w:t>Antiholinergici</w:t>
            </w:r>
          </w:p>
          <w:p w14:paraId="07521F1E" w14:textId="77777777" w:rsidR="00E40785" w:rsidRPr="0013178E" w:rsidRDefault="00E40785" w:rsidP="00E40785">
            <w:pPr>
              <w:widowControl/>
              <w:numPr>
                <w:ilvl w:val="0"/>
                <w:numId w:val="26"/>
              </w:numPr>
              <w:suppressAutoHyphens w:val="0"/>
              <w:overflowPunct w:val="0"/>
              <w:autoSpaceDN w:val="0"/>
              <w:adjustRightInd w:val="0"/>
              <w:textAlignment w:val="baseline"/>
              <w:rPr>
                <w:sz w:val="22"/>
                <w:szCs w:val="22"/>
                <w:lang w:val="hr-HR"/>
              </w:rPr>
            </w:pPr>
            <w:r w:rsidRPr="0013178E">
              <w:rPr>
                <w:sz w:val="22"/>
                <w:szCs w:val="22"/>
                <w:lang w:val="hr-HR"/>
              </w:rPr>
              <w:t>NEUROMUSKULARNI BLOKATORI</w:t>
            </w:r>
          </w:p>
          <w:p w14:paraId="7480706D" w14:textId="77777777" w:rsidR="00E40785" w:rsidRPr="0013178E" w:rsidRDefault="00E40785" w:rsidP="00897866">
            <w:pPr>
              <w:overflowPunct w:val="0"/>
              <w:autoSpaceDN w:val="0"/>
              <w:adjustRightInd w:val="0"/>
              <w:spacing w:before="60" w:after="60"/>
              <w:textAlignment w:val="baseline"/>
              <w:rPr>
                <w:sz w:val="22"/>
                <w:szCs w:val="22"/>
                <w:lang w:val="hr-HR"/>
              </w:rPr>
            </w:pPr>
          </w:p>
        </w:tc>
        <w:tc>
          <w:tcPr>
            <w:tcW w:w="5370" w:type="dxa"/>
          </w:tcPr>
          <w:p w14:paraId="7E65FE14" w14:textId="77777777" w:rsidR="00E40785" w:rsidRPr="0013178E" w:rsidRDefault="00E40785" w:rsidP="00430A60">
            <w:pPr>
              <w:overflowPunct w:val="0"/>
              <w:autoSpaceDN w:val="0"/>
              <w:adjustRightInd w:val="0"/>
              <w:spacing w:before="60"/>
              <w:jc w:val="both"/>
              <w:textAlignment w:val="baseline"/>
              <w:rPr>
                <w:sz w:val="22"/>
                <w:szCs w:val="22"/>
                <w:lang w:val="hr-HR"/>
              </w:rPr>
            </w:pPr>
            <w:r w:rsidRPr="0013178E">
              <w:rPr>
                <w:sz w:val="22"/>
                <w:szCs w:val="22"/>
                <w:lang w:val="hr-HR"/>
              </w:rPr>
              <w:t>INTERAKCIJE KOJE NIJESU POVEZANE SA CYP3A4</w:t>
            </w:r>
          </w:p>
          <w:p w14:paraId="29D14877" w14:textId="77777777" w:rsidR="00E40785" w:rsidRPr="0013178E" w:rsidRDefault="00E40785" w:rsidP="00430A60">
            <w:pPr>
              <w:overflowPunct w:val="0"/>
              <w:autoSpaceDN w:val="0"/>
              <w:adjustRightInd w:val="0"/>
              <w:jc w:val="both"/>
              <w:textAlignment w:val="baseline"/>
              <w:rPr>
                <w:sz w:val="22"/>
                <w:szCs w:val="22"/>
                <w:lang w:val="hr-HR"/>
              </w:rPr>
            </w:pPr>
          </w:p>
          <w:p w14:paraId="5CD5D92B" w14:textId="77777777" w:rsidR="00E40785" w:rsidRPr="0013178E" w:rsidRDefault="00E40785" w:rsidP="00430A60">
            <w:pPr>
              <w:overflowPunct w:val="0"/>
              <w:autoSpaceDN w:val="0"/>
              <w:adjustRightInd w:val="0"/>
              <w:spacing w:before="60" w:after="60"/>
              <w:jc w:val="both"/>
              <w:textAlignment w:val="baseline"/>
              <w:rPr>
                <w:sz w:val="22"/>
                <w:szCs w:val="22"/>
                <w:lang w:val="hr-HR"/>
              </w:rPr>
            </w:pPr>
            <w:r w:rsidRPr="0013178E">
              <w:rPr>
                <w:sz w:val="22"/>
                <w:szCs w:val="22"/>
                <w:lang w:val="hr-HR"/>
              </w:rPr>
              <w:t xml:space="preserve">Kortikosteroidi mogu uticati na dejstvo antiholinergika. </w:t>
            </w:r>
          </w:p>
          <w:p w14:paraId="12F91B98" w14:textId="33FF1A5F" w:rsidR="00E40785" w:rsidRPr="0013178E" w:rsidRDefault="00E40785" w:rsidP="00430A60">
            <w:pPr>
              <w:widowControl/>
              <w:numPr>
                <w:ilvl w:val="0"/>
                <w:numId w:val="29"/>
              </w:numPr>
              <w:suppressAutoHyphens w:val="0"/>
              <w:overflowPunct w:val="0"/>
              <w:autoSpaceDN w:val="0"/>
              <w:adjustRightInd w:val="0"/>
              <w:spacing w:before="60" w:after="60"/>
              <w:jc w:val="both"/>
              <w:textAlignment w:val="baseline"/>
              <w:rPr>
                <w:sz w:val="22"/>
                <w:szCs w:val="22"/>
                <w:lang w:val="hr-HR"/>
              </w:rPr>
            </w:pPr>
            <w:r w:rsidRPr="0013178E">
              <w:rPr>
                <w:sz w:val="22"/>
                <w:szCs w:val="22"/>
                <w:lang w:val="hr-HR"/>
              </w:rPr>
              <w:t xml:space="preserve">Zabilježena je akutna miopatija pri istovremenoj primjeni visokih doza kortikosteroida i antiholinergika, kao što su neuromuskularni blokatori (vidjeti </w:t>
            </w:r>
            <w:r w:rsidR="009E76C5">
              <w:rPr>
                <w:sz w:val="22"/>
                <w:szCs w:val="22"/>
                <w:lang w:val="hr-HR"/>
              </w:rPr>
              <w:t>dio</w:t>
            </w:r>
            <w:r w:rsidRPr="0013178E">
              <w:rPr>
                <w:sz w:val="22"/>
                <w:szCs w:val="22"/>
                <w:lang w:val="hr-HR"/>
              </w:rPr>
              <w:t xml:space="preserve"> 4.4).</w:t>
            </w:r>
          </w:p>
          <w:p w14:paraId="79A448F1" w14:textId="3C96007A" w:rsidR="00E40785" w:rsidRPr="0013178E" w:rsidRDefault="00E40785" w:rsidP="00430A60">
            <w:pPr>
              <w:widowControl/>
              <w:numPr>
                <w:ilvl w:val="0"/>
                <w:numId w:val="29"/>
              </w:numPr>
              <w:suppressAutoHyphens w:val="0"/>
              <w:overflowPunct w:val="0"/>
              <w:autoSpaceDN w:val="0"/>
              <w:adjustRightInd w:val="0"/>
              <w:spacing w:before="60" w:after="60"/>
              <w:jc w:val="both"/>
              <w:textAlignment w:val="baseline"/>
              <w:rPr>
                <w:sz w:val="22"/>
                <w:szCs w:val="22"/>
                <w:lang w:val="hr-HR"/>
              </w:rPr>
            </w:pPr>
            <w:r w:rsidRPr="0013178E">
              <w:rPr>
                <w:sz w:val="22"/>
                <w:szCs w:val="22"/>
                <w:lang w:val="hr-HR"/>
              </w:rPr>
              <w:t xml:space="preserve">Antagonizam djelovanja neuromuskularnog bloka pankuronijuma i vekuronijuma zabilježen je kod pacijenata koji uzimaju steroide. </w:t>
            </w:r>
            <w:r w:rsidR="00A93B9F" w:rsidRPr="0013178E">
              <w:rPr>
                <w:sz w:val="22"/>
                <w:szCs w:val="22"/>
                <w:lang w:val="hr-HR"/>
              </w:rPr>
              <w:t>To djelovanje</w:t>
            </w:r>
            <w:r w:rsidRPr="0013178E">
              <w:rPr>
                <w:sz w:val="22"/>
                <w:szCs w:val="22"/>
                <w:lang w:val="hr-HR"/>
              </w:rPr>
              <w:t xml:space="preserve"> se može očekivati kod svih kompetitivnih neuromuskularnih blokatora.</w:t>
            </w:r>
          </w:p>
          <w:p w14:paraId="2E8F44A1" w14:textId="77777777" w:rsidR="00E40785" w:rsidRPr="0013178E" w:rsidRDefault="00E40785" w:rsidP="00430A60">
            <w:pPr>
              <w:overflowPunct w:val="0"/>
              <w:autoSpaceDN w:val="0"/>
              <w:adjustRightInd w:val="0"/>
              <w:jc w:val="both"/>
              <w:textAlignment w:val="baseline"/>
              <w:rPr>
                <w:sz w:val="22"/>
                <w:szCs w:val="22"/>
                <w:lang w:val="hr-HR"/>
              </w:rPr>
            </w:pPr>
          </w:p>
        </w:tc>
      </w:tr>
      <w:tr w:rsidR="00043288" w:rsidRPr="008620B4" w14:paraId="45CC5364" w14:textId="77777777" w:rsidTr="00430A60">
        <w:tc>
          <w:tcPr>
            <w:tcW w:w="3865" w:type="dxa"/>
          </w:tcPr>
          <w:p w14:paraId="04B09A0E" w14:textId="77777777" w:rsidR="00E40785" w:rsidRPr="0013178E" w:rsidRDefault="0079552B" w:rsidP="0079552B">
            <w:pPr>
              <w:overflowPunct w:val="0"/>
              <w:autoSpaceDN w:val="0"/>
              <w:adjustRightInd w:val="0"/>
              <w:spacing w:before="60" w:after="60"/>
              <w:textAlignment w:val="baseline"/>
              <w:rPr>
                <w:sz w:val="22"/>
                <w:szCs w:val="22"/>
                <w:lang w:val="hr-HR"/>
              </w:rPr>
            </w:pPr>
            <w:r w:rsidRPr="0013178E">
              <w:rPr>
                <w:sz w:val="22"/>
                <w:szCs w:val="22"/>
                <w:lang w:val="hr-HR"/>
              </w:rPr>
              <w:t>A</w:t>
            </w:r>
            <w:r w:rsidR="003312DC" w:rsidRPr="0013178E">
              <w:rPr>
                <w:sz w:val="22"/>
                <w:szCs w:val="22"/>
                <w:lang w:val="hr-HR"/>
              </w:rPr>
              <w:t>nt</w:t>
            </w:r>
            <w:r w:rsidR="00E40785" w:rsidRPr="0013178E">
              <w:rPr>
                <w:sz w:val="22"/>
                <w:szCs w:val="22"/>
                <w:lang w:val="hr-HR"/>
              </w:rPr>
              <w:t>ilholinesteraze</w:t>
            </w:r>
          </w:p>
        </w:tc>
        <w:tc>
          <w:tcPr>
            <w:tcW w:w="5370" w:type="dxa"/>
          </w:tcPr>
          <w:p w14:paraId="0612AD55" w14:textId="77777777" w:rsidR="00E40785" w:rsidRPr="0013178E" w:rsidRDefault="00E40785" w:rsidP="00430A60">
            <w:pPr>
              <w:overflowPunct w:val="0"/>
              <w:autoSpaceDN w:val="0"/>
              <w:adjustRightInd w:val="0"/>
              <w:spacing w:before="60"/>
              <w:jc w:val="both"/>
              <w:textAlignment w:val="baseline"/>
              <w:rPr>
                <w:sz w:val="22"/>
                <w:szCs w:val="22"/>
                <w:lang w:val="hr-HR"/>
              </w:rPr>
            </w:pPr>
            <w:r w:rsidRPr="0013178E">
              <w:rPr>
                <w:sz w:val="22"/>
                <w:szCs w:val="22"/>
                <w:lang w:val="hr-HR"/>
              </w:rPr>
              <w:t>INTERAKCIJE KOJE NIJESU POVEZANE SA CYP3A4</w:t>
            </w:r>
          </w:p>
          <w:p w14:paraId="159049BB" w14:textId="77777777" w:rsidR="00E40785" w:rsidRPr="0013178E" w:rsidRDefault="00E40785" w:rsidP="00430A60">
            <w:pPr>
              <w:overflowPunct w:val="0"/>
              <w:autoSpaceDN w:val="0"/>
              <w:adjustRightInd w:val="0"/>
              <w:jc w:val="both"/>
              <w:textAlignment w:val="baseline"/>
              <w:rPr>
                <w:sz w:val="22"/>
                <w:szCs w:val="22"/>
                <w:lang w:val="hr-HR"/>
              </w:rPr>
            </w:pPr>
          </w:p>
          <w:p w14:paraId="5B695915" w14:textId="77777777" w:rsidR="00E40785" w:rsidRPr="0013178E" w:rsidRDefault="00E40785" w:rsidP="00430A60">
            <w:pPr>
              <w:overflowPunct w:val="0"/>
              <w:autoSpaceDN w:val="0"/>
              <w:adjustRightInd w:val="0"/>
              <w:spacing w:before="60" w:after="60"/>
              <w:jc w:val="both"/>
              <w:textAlignment w:val="baseline"/>
              <w:rPr>
                <w:sz w:val="22"/>
                <w:szCs w:val="22"/>
                <w:lang w:val="hr-HR"/>
              </w:rPr>
            </w:pPr>
            <w:r w:rsidRPr="0013178E">
              <w:rPr>
                <w:sz w:val="22"/>
                <w:szCs w:val="22"/>
                <w:lang w:val="hr-HR"/>
              </w:rPr>
              <w:t>Steroidi mogu smanjiti djelovanje antiholinesteraza kod miastenije gravis.</w:t>
            </w:r>
          </w:p>
          <w:p w14:paraId="738B65C6" w14:textId="77777777" w:rsidR="00E40785" w:rsidRPr="0013178E" w:rsidRDefault="00E40785" w:rsidP="00430A60">
            <w:pPr>
              <w:overflowPunct w:val="0"/>
              <w:autoSpaceDN w:val="0"/>
              <w:adjustRightInd w:val="0"/>
              <w:jc w:val="both"/>
              <w:textAlignment w:val="baseline"/>
              <w:rPr>
                <w:sz w:val="22"/>
                <w:szCs w:val="22"/>
                <w:lang w:val="hr-HR"/>
              </w:rPr>
            </w:pPr>
          </w:p>
        </w:tc>
      </w:tr>
      <w:tr w:rsidR="00043288" w:rsidRPr="008620B4" w14:paraId="4B002F22" w14:textId="77777777" w:rsidTr="00430A60">
        <w:tc>
          <w:tcPr>
            <w:tcW w:w="3865" w:type="dxa"/>
          </w:tcPr>
          <w:p w14:paraId="4AA803E9" w14:textId="77777777" w:rsidR="00E40785" w:rsidRPr="0013178E" w:rsidRDefault="00E40785" w:rsidP="00897866">
            <w:pPr>
              <w:overflowPunct w:val="0"/>
              <w:autoSpaceDN w:val="0"/>
              <w:adjustRightInd w:val="0"/>
              <w:spacing w:before="60" w:after="60"/>
              <w:textAlignment w:val="baseline"/>
              <w:rPr>
                <w:sz w:val="22"/>
                <w:szCs w:val="22"/>
                <w:lang w:val="hr-HR"/>
              </w:rPr>
            </w:pPr>
            <w:r w:rsidRPr="0013178E">
              <w:rPr>
                <w:sz w:val="22"/>
                <w:szCs w:val="22"/>
                <w:lang w:val="hr-HR"/>
              </w:rPr>
              <w:lastRenderedPageBreak/>
              <w:t>Antidijabetici</w:t>
            </w:r>
          </w:p>
        </w:tc>
        <w:tc>
          <w:tcPr>
            <w:tcW w:w="5370" w:type="dxa"/>
          </w:tcPr>
          <w:p w14:paraId="2AAAE0A8" w14:textId="77777777" w:rsidR="00E40785" w:rsidRPr="0013178E" w:rsidRDefault="00E40785" w:rsidP="00430A60">
            <w:pPr>
              <w:overflowPunct w:val="0"/>
              <w:autoSpaceDN w:val="0"/>
              <w:adjustRightInd w:val="0"/>
              <w:spacing w:before="60"/>
              <w:jc w:val="both"/>
              <w:textAlignment w:val="baseline"/>
              <w:rPr>
                <w:sz w:val="22"/>
                <w:szCs w:val="22"/>
                <w:lang w:val="hr-HR"/>
              </w:rPr>
            </w:pPr>
            <w:r w:rsidRPr="0013178E">
              <w:rPr>
                <w:sz w:val="22"/>
                <w:szCs w:val="22"/>
                <w:lang w:val="hr-HR"/>
              </w:rPr>
              <w:t>INTERAKCIJE KOJE NIJESU POVEZANE SA CYP3A4</w:t>
            </w:r>
          </w:p>
          <w:p w14:paraId="78794CCB" w14:textId="77777777" w:rsidR="00E40785" w:rsidRPr="0013178E" w:rsidRDefault="00E40785" w:rsidP="00430A60">
            <w:pPr>
              <w:overflowPunct w:val="0"/>
              <w:autoSpaceDN w:val="0"/>
              <w:adjustRightInd w:val="0"/>
              <w:jc w:val="both"/>
              <w:textAlignment w:val="baseline"/>
              <w:rPr>
                <w:sz w:val="22"/>
                <w:szCs w:val="22"/>
                <w:lang w:val="hr-HR"/>
              </w:rPr>
            </w:pPr>
          </w:p>
          <w:p w14:paraId="6083F7B0" w14:textId="77777777" w:rsidR="00E40785" w:rsidRPr="0013178E" w:rsidRDefault="00E40785" w:rsidP="00430A60">
            <w:pPr>
              <w:overflowPunct w:val="0"/>
              <w:autoSpaceDN w:val="0"/>
              <w:adjustRightInd w:val="0"/>
              <w:jc w:val="both"/>
              <w:textAlignment w:val="baseline"/>
              <w:rPr>
                <w:sz w:val="22"/>
                <w:szCs w:val="22"/>
                <w:lang w:val="hr-HR"/>
              </w:rPr>
            </w:pPr>
            <w:r w:rsidRPr="0013178E">
              <w:rPr>
                <w:sz w:val="22"/>
                <w:szCs w:val="22"/>
                <w:lang w:val="hr-HR"/>
              </w:rPr>
              <w:t>Kortikosteroidi mogu povećati koncentracije glukoze u krvi; stoga može biti potrebno prilagođavanje doziranja antidijabetika.</w:t>
            </w:r>
          </w:p>
          <w:p w14:paraId="41C2032A" w14:textId="77777777" w:rsidR="00E40785" w:rsidRPr="0013178E" w:rsidRDefault="00E40785" w:rsidP="00430A60">
            <w:pPr>
              <w:overflowPunct w:val="0"/>
              <w:autoSpaceDN w:val="0"/>
              <w:adjustRightInd w:val="0"/>
              <w:spacing w:before="60" w:after="60"/>
              <w:jc w:val="both"/>
              <w:textAlignment w:val="baseline"/>
              <w:rPr>
                <w:sz w:val="22"/>
                <w:szCs w:val="22"/>
                <w:lang w:val="hr-HR"/>
              </w:rPr>
            </w:pPr>
          </w:p>
        </w:tc>
      </w:tr>
      <w:tr w:rsidR="00043288" w:rsidRPr="008620B4" w14:paraId="43F5CA8B" w14:textId="77777777" w:rsidTr="00430A60">
        <w:tc>
          <w:tcPr>
            <w:tcW w:w="3865" w:type="dxa"/>
          </w:tcPr>
          <w:p w14:paraId="611D1320" w14:textId="77777777" w:rsidR="00E40785" w:rsidRPr="0013178E" w:rsidRDefault="00E40785" w:rsidP="00897866">
            <w:pPr>
              <w:overflowPunct w:val="0"/>
              <w:autoSpaceDN w:val="0"/>
              <w:adjustRightInd w:val="0"/>
              <w:spacing w:before="60" w:after="60"/>
              <w:textAlignment w:val="baseline"/>
              <w:rPr>
                <w:sz w:val="22"/>
                <w:szCs w:val="22"/>
                <w:lang w:val="hr-HR"/>
              </w:rPr>
            </w:pPr>
            <w:r w:rsidRPr="0013178E">
              <w:rPr>
                <w:sz w:val="22"/>
                <w:szCs w:val="22"/>
                <w:lang w:val="hr-HR"/>
              </w:rPr>
              <w:t>Inhibitori aromataze</w:t>
            </w:r>
          </w:p>
          <w:p w14:paraId="3373A26B" w14:textId="77777777" w:rsidR="00E40785" w:rsidRPr="0013178E" w:rsidRDefault="00E40785" w:rsidP="00897866">
            <w:pPr>
              <w:overflowPunct w:val="0"/>
              <w:autoSpaceDN w:val="0"/>
              <w:adjustRightInd w:val="0"/>
              <w:spacing w:before="60" w:after="60"/>
              <w:textAlignment w:val="baseline"/>
              <w:rPr>
                <w:sz w:val="22"/>
                <w:szCs w:val="22"/>
                <w:lang w:val="hr-HR"/>
              </w:rPr>
            </w:pPr>
            <w:r w:rsidRPr="0013178E">
              <w:rPr>
                <w:sz w:val="22"/>
                <w:szCs w:val="22"/>
                <w:lang w:val="hr-HR"/>
              </w:rPr>
              <w:t>AMINOGLUTETIMID</w:t>
            </w:r>
          </w:p>
        </w:tc>
        <w:tc>
          <w:tcPr>
            <w:tcW w:w="5370" w:type="dxa"/>
          </w:tcPr>
          <w:p w14:paraId="762ABD02" w14:textId="77777777" w:rsidR="00E40785" w:rsidRPr="0013178E" w:rsidRDefault="00E40785" w:rsidP="00430A60">
            <w:pPr>
              <w:overflowPunct w:val="0"/>
              <w:autoSpaceDN w:val="0"/>
              <w:adjustRightInd w:val="0"/>
              <w:spacing w:before="60"/>
              <w:jc w:val="both"/>
              <w:textAlignment w:val="baseline"/>
              <w:rPr>
                <w:sz w:val="22"/>
                <w:szCs w:val="22"/>
                <w:lang w:val="hr-HR"/>
              </w:rPr>
            </w:pPr>
            <w:r w:rsidRPr="0013178E">
              <w:rPr>
                <w:sz w:val="22"/>
                <w:szCs w:val="22"/>
                <w:lang w:val="hr-HR"/>
              </w:rPr>
              <w:t>INTERAKCIJE KOJE NIJESU POVEZANE SA CYP3A4</w:t>
            </w:r>
          </w:p>
          <w:p w14:paraId="60A1E345" w14:textId="77777777" w:rsidR="00E40785" w:rsidRPr="0013178E" w:rsidRDefault="00E40785" w:rsidP="00430A60">
            <w:pPr>
              <w:overflowPunct w:val="0"/>
              <w:autoSpaceDN w:val="0"/>
              <w:adjustRightInd w:val="0"/>
              <w:jc w:val="both"/>
              <w:textAlignment w:val="baseline"/>
              <w:rPr>
                <w:sz w:val="22"/>
                <w:szCs w:val="22"/>
                <w:lang w:val="hr-HR"/>
              </w:rPr>
            </w:pPr>
          </w:p>
          <w:p w14:paraId="3D98BD7C" w14:textId="77777777" w:rsidR="00E40785" w:rsidRPr="0013178E" w:rsidRDefault="00E40785" w:rsidP="00430A60">
            <w:pPr>
              <w:overflowPunct w:val="0"/>
              <w:autoSpaceDN w:val="0"/>
              <w:adjustRightInd w:val="0"/>
              <w:spacing w:before="60" w:after="60"/>
              <w:jc w:val="both"/>
              <w:textAlignment w:val="baseline"/>
              <w:rPr>
                <w:sz w:val="22"/>
                <w:szCs w:val="22"/>
                <w:lang w:val="hr-HR"/>
              </w:rPr>
            </w:pPr>
            <w:r w:rsidRPr="0013178E">
              <w:rPr>
                <w:sz w:val="22"/>
                <w:szCs w:val="22"/>
                <w:lang w:val="hr-HR"/>
              </w:rPr>
              <w:t>Adrenalna supresija izazvana aminoglutetimidom može pogoršati endokrinološke promjene izazvane dugotrajnim liječenjem glukokortikoidima.</w:t>
            </w:r>
          </w:p>
          <w:p w14:paraId="27AA1BB6" w14:textId="77777777" w:rsidR="00E40785" w:rsidRPr="0013178E" w:rsidRDefault="00E40785" w:rsidP="00430A60">
            <w:pPr>
              <w:overflowPunct w:val="0"/>
              <w:autoSpaceDN w:val="0"/>
              <w:adjustRightInd w:val="0"/>
              <w:jc w:val="both"/>
              <w:textAlignment w:val="baseline"/>
              <w:rPr>
                <w:sz w:val="22"/>
                <w:szCs w:val="22"/>
                <w:lang w:val="hr-HR"/>
              </w:rPr>
            </w:pPr>
          </w:p>
        </w:tc>
      </w:tr>
      <w:tr w:rsidR="00043288" w:rsidRPr="008620B4" w14:paraId="7083A86F" w14:textId="77777777" w:rsidTr="00430A60">
        <w:tc>
          <w:tcPr>
            <w:tcW w:w="3865" w:type="dxa"/>
          </w:tcPr>
          <w:p w14:paraId="4767FD87" w14:textId="77777777" w:rsidR="00E40785" w:rsidRPr="0013178E" w:rsidRDefault="00E40785" w:rsidP="00897866">
            <w:pPr>
              <w:overflowPunct w:val="0"/>
              <w:autoSpaceDN w:val="0"/>
              <w:adjustRightInd w:val="0"/>
              <w:spacing w:before="60" w:after="60"/>
              <w:textAlignment w:val="baseline"/>
              <w:rPr>
                <w:sz w:val="22"/>
                <w:szCs w:val="22"/>
                <w:lang w:val="hr-HR"/>
              </w:rPr>
            </w:pPr>
            <w:r w:rsidRPr="0013178E">
              <w:rPr>
                <w:sz w:val="22"/>
                <w:szCs w:val="22"/>
                <w:lang w:val="hr-HR"/>
              </w:rPr>
              <w:t xml:space="preserve">Nesteroidni antiinflamatorni lijekovi (NSAIL) </w:t>
            </w:r>
          </w:p>
          <w:p w14:paraId="7B76055F" w14:textId="77777777" w:rsidR="00E40785" w:rsidRPr="0013178E" w:rsidRDefault="00E40785" w:rsidP="00897866">
            <w:pPr>
              <w:overflowPunct w:val="0"/>
              <w:autoSpaceDN w:val="0"/>
              <w:adjustRightInd w:val="0"/>
              <w:spacing w:before="60" w:after="60"/>
              <w:ind w:left="720"/>
              <w:textAlignment w:val="baseline"/>
              <w:rPr>
                <w:sz w:val="22"/>
                <w:szCs w:val="22"/>
                <w:lang w:val="hr-HR"/>
              </w:rPr>
            </w:pPr>
          </w:p>
          <w:p w14:paraId="79B90BD6" w14:textId="77777777" w:rsidR="00E40785" w:rsidRPr="0013178E" w:rsidRDefault="00E40785" w:rsidP="00E40785">
            <w:pPr>
              <w:widowControl/>
              <w:numPr>
                <w:ilvl w:val="0"/>
                <w:numId w:val="26"/>
              </w:numPr>
              <w:suppressAutoHyphens w:val="0"/>
              <w:overflowPunct w:val="0"/>
              <w:autoSpaceDN w:val="0"/>
              <w:adjustRightInd w:val="0"/>
              <w:spacing w:before="60" w:after="60"/>
              <w:ind w:hanging="436"/>
              <w:textAlignment w:val="baseline"/>
              <w:rPr>
                <w:sz w:val="22"/>
                <w:szCs w:val="22"/>
                <w:lang w:val="hr-HR"/>
              </w:rPr>
            </w:pPr>
            <w:r w:rsidRPr="0013178E">
              <w:rPr>
                <w:sz w:val="22"/>
                <w:szCs w:val="22"/>
                <w:lang w:val="hr-HR"/>
              </w:rPr>
              <w:t>visoke doze ACETILSALICILATNE KISELINE</w:t>
            </w:r>
          </w:p>
        </w:tc>
        <w:tc>
          <w:tcPr>
            <w:tcW w:w="5370" w:type="dxa"/>
          </w:tcPr>
          <w:p w14:paraId="4B081A89" w14:textId="77777777" w:rsidR="00E40785" w:rsidRPr="0013178E" w:rsidRDefault="00E40785" w:rsidP="00430A60">
            <w:pPr>
              <w:overflowPunct w:val="0"/>
              <w:autoSpaceDN w:val="0"/>
              <w:adjustRightInd w:val="0"/>
              <w:spacing w:before="60"/>
              <w:jc w:val="both"/>
              <w:textAlignment w:val="baseline"/>
              <w:rPr>
                <w:sz w:val="22"/>
                <w:szCs w:val="22"/>
                <w:lang w:val="hr-HR"/>
              </w:rPr>
            </w:pPr>
            <w:r w:rsidRPr="0013178E">
              <w:rPr>
                <w:sz w:val="22"/>
                <w:szCs w:val="22"/>
                <w:lang w:val="hr-HR"/>
              </w:rPr>
              <w:t>INTERAKCIJE KOJE NIJESU POVEZANE SA CYP3A4</w:t>
            </w:r>
          </w:p>
          <w:p w14:paraId="10EED51C" w14:textId="77777777" w:rsidR="00E40785" w:rsidRPr="0013178E" w:rsidRDefault="00E40785" w:rsidP="00430A60">
            <w:pPr>
              <w:overflowPunct w:val="0"/>
              <w:autoSpaceDN w:val="0"/>
              <w:adjustRightInd w:val="0"/>
              <w:jc w:val="both"/>
              <w:textAlignment w:val="baseline"/>
              <w:rPr>
                <w:sz w:val="22"/>
                <w:szCs w:val="22"/>
                <w:lang w:val="hr-HR"/>
              </w:rPr>
            </w:pPr>
          </w:p>
          <w:p w14:paraId="357256C2" w14:textId="619D1D36" w:rsidR="00E40785" w:rsidRPr="0013178E" w:rsidRDefault="00E40785" w:rsidP="00430A60">
            <w:pPr>
              <w:widowControl/>
              <w:numPr>
                <w:ilvl w:val="0"/>
                <w:numId w:val="30"/>
              </w:numPr>
              <w:suppressAutoHyphens w:val="0"/>
              <w:overflowPunct w:val="0"/>
              <w:autoSpaceDN w:val="0"/>
              <w:adjustRightInd w:val="0"/>
              <w:spacing w:before="60" w:after="60"/>
              <w:jc w:val="both"/>
              <w:textAlignment w:val="baseline"/>
              <w:rPr>
                <w:sz w:val="22"/>
                <w:szCs w:val="22"/>
                <w:lang w:val="hr-HR"/>
              </w:rPr>
            </w:pPr>
            <w:r w:rsidRPr="0013178E">
              <w:rPr>
                <w:sz w:val="22"/>
                <w:szCs w:val="22"/>
                <w:lang w:val="hr-HR"/>
              </w:rPr>
              <w:t xml:space="preserve">Može biti povećana incidencija krvarenja iz gastrointestinalnog trakta i ulcera kada se kortikosteroidi primjenjuju zajedno sa nesteroidnim antiinflamatornim lijekovima (NSAIL). </w:t>
            </w:r>
          </w:p>
          <w:p w14:paraId="7E77242B" w14:textId="28DC246F" w:rsidR="00E40785" w:rsidRPr="00C40C00" w:rsidRDefault="00E40785" w:rsidP="00430A60">
            <w:pPr>
              <w:widowControl/>
              <w:numPr>
                <w:ilvl w:val="0"/>
                <w:numId w:val="30"/>
              </w:numPr>
              <w:suppressAutoHyphens w:val="0"/>
              <w:overflowPunct w:val="0"/>
              <w:autoSpaceDN w:val="0"/>
              <w:adjustRightInd w:val="0"/>
              <w:spacing w:before="60" w:after="60"/>
              <w:jc w:val="both"/>
              <w:textAlignment w:val="baseline"/>
              <w:rPr>
                <w:sz w:val="22"/>
                <w:szCs w:val="22"/>
                <w:lang w:val="hr-HR"/>
              </w:rPr>
            </w:pPr>
            <w:r w:rsidRPr="00C40C00">
              <w:rPr>
                <w:sz w:val="22"/>
                <w:szCs w:val="22"/>
                <w:lang w:val="hr-HR"/>
              </w:rPr>
              <w:t xml:space="preserve">Metilprednizolon može povećati klirens visokih doza acetilsalicilatne kiseline, što može dovesti do smanjenja koncentracije salicilata u serumu. </w:t>
            </w:r>
            <w:r w:rsidR="00C40C00" w:rsidRPr="00C40C00">
              <w:rPr>
                <w:sz w:val="22"/>
                <w:szCs w:val="22"/>
                <w:lang w:val="hr-HR"/>
              </w:rPr>
              <w:t>Prekid terapije metilprednizolonom može dovesti do povećanih koncentracija salicilata u serumu, što vodi povećanju rizika od</w:t>
            </w:r>
            <w:r w:rsidR="00C40C00">
              <w:rPr>
                <w:sz w:val="22"/>
                <w:szCs w:val="22"/>
                <w:lang w:val="hr-HR"/>
              </w:rPr>
              <w:t xml:space="preserve"> </w:t>
            </w:r>
            <w:r w:rsidR="00C40C00" w:rsidRPr="00C40C00">
              <w:rPr>
                <w:sz w:val="22"/>
                <w:szCs w:val="22"/>
                <w:lang w:val="hr-HR"/>
              </w:rPr>
              <w:t>toksičnosti salicilata.</w:t>
            </w:r>
          </w:p>
          <w:p w14:paraId="3BB381B4" w14:textId="77777777" w:rsidR="00E40785" w:rsidRPr="0013178E" w:rsidRDefault="00E40785" w:rsidP="00430A60">
            <w:pPr>
              <w:overflowPunct w:val="0"/>
              <w:autoSpaceDN w:val="0"/>
              <w:adjustRightInd w:val="0"/>
              <w:ind w:left="360"/>
              <w:jc w:val="both"/>
              <w:textAlignment w:val="baseline"/>
              <w:rPr>
                <w:sz w:val="22"/>
                <w:szCs w:val="22"/>
                <w:lang w:val="hr-HR"/>
              </w:rPr>
            </w:pPr>
          </w:p>
        </w:tc>
      </w:tr>
      <w:tr w:rsidR="00E40785" w:rsidRPr="008620B4" w14:paraId="5B0E1D0E" w14:textId="77777777" w:rsidTr="00430A60">
        <w:tc>
          <w:tcPr>
            <w:tcW w:w="3865" w:type="dxa"/>
          </w:tcPr>
          <w:p w14:paraId="05E1A68F" w14:textId="77777777" w:rsidR="00E40785" w:rsidRPr="0013178E" w:rsidRDefault="00E40785" w:rsidP="00897866">
            <w:pPr>
              <w:overflowPunct w:val="0"/>
              <w:autoSpaceDN w:val="0"/>
              <w:adjustRightInd w:val="0"/>
              <w:textAlignment w:val="baseline"/>
              <w:rPr>
                <w:sz w:val="22"/>
                <w:szCs w:val="22"/>
                <w:lang w:val="hr-HR"/>
              </w:rPr>
            </w:pPr>
            <w:r w:rsidRPr="0013178E">
              <w:rPr>
                <w:sz w:val="22"/>
                <w:szCs w:val="22"/>
                <w:lang w:val="hr-HR"/>
              </w:rPr>
              <w:t>Ljekovi koji smanjuju koncentraciju kalijuma</w:t>
            </w:r>
          </w:p>
          <w:p w14:paraId="3CBF75B8" w14:textId="77777777" w:rsidR="00E40785" w:rsidRPr="0013178E" w:rsidRDefault="00E40785" w:rsidP="00897866">
            <w:pPr>
              <w:overflowPunct w:val="0"/>
              <w:autoSpaceDN w:val="0"/>
              <w:adjustRightInd w:val="0"/>
              <w:spacing w:before="60" w:after="60"/>
              <w:textAlignment w:val="baseline"/>
              <w:rPr>
                <w:sz w:val="22"/>
                <w:szCs w:val="22"/>
                <w:lang w:val="hr-HR"/>
              </w:rPr>
            </w:pPr>
          </w:p>
        </w:tc>
        <w:tc>
          <w:tcPr>
            <w:tcW w:w="5370" w:type="dxa"/>
          </w:tcPr>
          <w:p w14:paraId="1813EF69" w14:textId="77777777" w:rsidR="00E40785" w:rsidRPr="0013178E" w:rsidRDefault="00E40785" w:rsidP="00430A60">
            <w:pPr>
              <w:overflowPunct w:val="0"/>
              <w:autoSpaceDN w:val="0"/>
              <w:adjustRightInd w:val="0"/>
              <w:spacing w:before="60"/>
              <w:jc w:val="both"/>
              <w:textAlignment w:val="baseline"/>
              <w:rPr>
                <w:sz w:val="22"/>
                <w:szCs w:val="22"/>
                <w:lang w:val="hr-HR"/>
              </w:rPr>
            </w:pPr>
            <w:r w:rsidRPr="0013178E">
              <w:rPr>
                <w:sz w:val="22"/>
                <w:szCs w:val="22"/>
                <w:lang w:val="hr-HR"/>
              </w:rPr>
              <w:t>INTERAKCIJE KOJE NIJESU POVEZANE SA CYP3A4</w:t>
            </w:r>
          </w:p>
          <w:p w14:paraId="4FD44145" w14:textId="77777777" w:rsidR="00E40785" w:rsidRPr="0013178E" w:rsidRDefault="00E40785" w:rsidP="00430A60">
            <w:pPr>
              <w:numPr>
                <w:ilvl w:val="12"/>
                <w:numId w:val="0"/>
              </w:numPr>
              <w:overflowPunct w:val="0"/>
              <w:autoSpaceDN w:val="0"/>
              <w:adjustRightInd w:val="0"/>
              <w:jc w:val="both"/>
              <w:textAlignment w:val="baseline"/>
              <w:rPr>
                <w:sz w:val="22"/>
                <w:szCs w:val="22"/>
                <w:lang w:val="hr-HR"/>
              </w:rPr>
            </w:pPr>
          </w:p>
          <w:p w14:paraId="1CD8E1C4" w14:textId="77777777" w:rsidR="00E40785" w:rsidRPr="0013178E" w:rsidRDefault="00E40785" w:rsidP="00430A60">
            <w:pPr>
              <w:numPr>
                <w:ilvl w:val="12"/>
                <w:numId w:val="0"/>
              </w:numPr>
              <w:overflowPunct w:val="0"/>
              <w:autoSpaceDN w:val="0"/>
              <w:adjustRightInd w:val="0"/>
              <w:spacing w:before="60"/>
              <w:jc w:val="both"/>
              <w:textAlignment w:val="baseline"/>
              <w:rPr>
                <w:sz w:val="22"/>
                <w:szCs w:val="22"/>
                <w:lang w:val="hr-HR"/>
              </w:rPr>
            </w:pPr>
            <w:r w:rsidRPr="0013178E">
              <w:rPr>
                <w:sz w:val="22"/>
                <w:szCs w:val="22"/>
                <w:lang w:val="hr-HR"/>
              </w:rPr>
              <w:t>Kada se kortikosteroidi primjenjuju istovremeno sa ljekovima koji smanjuju kalijum (npr. diureticima), pacijente treba pažljivo pratiti na razvoj hipokalemije. Takođe postoji povećan rizik od hipokalemije pri istovremenoj primjeni kortikosteroida sa amfotericinom B, ksantinima ili beta-2 agonistima.</w:t>
            </w:r>
          </w:p>
          <w:p w14:paraId="4759CCAE" w14:textId="77777777" w:rsidR="00E40785" w:rsidRPr="0013178E" w:rsidRDefault="00E40785" w:rsidP="00430A60">
            <w:pPr>
              <w:overflowPunct w:val="0"/>
              <w:autoSpaceDN w:val="0"/>
              <w:adjustRightInd w:val="0"/>
              <w:jc w:val="both"/>
              <w:textAlignment w:val="baseline"/>
              <w:rPr>
                <w:sz w:val="22"/>
                <w:szCs w:val="22"/>
                <w:lang w:val="hr-HR"/>
              </w:rPr>
            </w:pPr>
          </w:p>
        </w:tc>
      </w:tr>
    </w:tbl>
    <w:p w14:paraId="477D86DD" w14:textId="77777777" w:rsidR="00E40785" w:rsidRPr="0013178E" w:rsidRDefault="00E40785" w:rsidP="00E40785">
      <w:pPr>
        <w:overflowPunct w:val="0"/>
        <w:autoSpaceDN w:val="0"/>
        <w:adjustRightInd w:val="0"/>
        <w:textAlignment w:val="baseline"/>
        <w:rPr>
          <w:sz w:val="22"/>
          <w:szCs w:val="22"/>
          <w:lang w:val="hr-HR"/>
        </w:rPr>
      </w:pPr>
    </w:p>
    <w:p w14:paraId="35ABB1E4" w14:textId="77777777" w:rsidR="00E40785" w:rsidRPr="0013178E" w:rsidRDefault="00E40785" w:rsidP="00430A60">
      <w:pPr>
        <w:overflowPunct w:val="0"/>
        <w:autoSpaceDN w:val="0"/>
        <w:adjustRightInd w:val="0"/>
        <w:jc w:val="both"/>
        <w:textAlignment w:val="baseline"/>
        <w:rPr>
          <w:sz w:val="22"/>
          <w:szCs w:val="22"/>
          <w:lang w:val="hr-HR"/>
        </w:rPr>
      </w:pPr>
      <w:r w:rsidRPr="0013178E">
        <w:rPr>
          <w:sz w:val="22"/>
          <w:szCs w:val="22"/>
          <w:lang w:val="hr-HR"/>
        </w:rPr>
        <w:t>Kortikosteroidi antagoniziraju hipotenzivni efekat svih antihipertenzivnih agenasa.</w:t>
      </w:r>
    </w:p>
    <w:p w14:paraId="16D436FF" w14:textId="77777777" w:rsidR="00E40785" w:rsidRPr="0013178E" w:rsidRDefault="00E40785" w:rsidP="00430A60">
      <w:pPr>
        <w:overflowPunct w:val="0"/>
        <w:autoSpaceDN w:val="0"/>
        <w:adjustRightInd w:val="0"/>
        <w:jc w:val="both"/>
        <w:textAlignment w:val="baseline"/>
        <w:rPr>
          <w:sz w:val="22"/>
          <w:szCs w:val="22"/>
          <w:lang w:val="hr-HR"/>
        </w:rPr>
      </w:pPr>
    </w:p>
    <w:p w14:paraId="664E8CD5" w14:textId="77777777" w:rsidR="00E40785" w:rsidRPr="0013178E" w:rsidRDefault="00E40785" w:rsidP="00430A60">
      <w:pPr>
        <w:overflowPunct w:val="0"/>
        <w:autoSpaceDN w:val="0"/>
        <w:adjustRightInd w:val="0"/>
        <w:jc w:val="both"/>
        <w:textAlignment w:val="baseline"/>
        <w:rPr>
          <w:sz w:val="22"/>
          <w:szCs w:val="22"/>
          <w:lang w:val="hr-HR"/>
        </w:rPr>
      </w:pPr>
      <w:r w:rsidRPr="0013178E">
        <w:rPr>
          <w:sz w:val="22"/>
          <w:szCs w:val="22"/>
          <w:lang w:val="hr-HR"/>
        </w:rPr>
        <w:t>Postoji povećan rizik od hipokalemije kada se kortikosteroidi primjenjuju zajedno sa srčanim glikozidima.</w:t>
      </w:r>
    </w:p>
    <w:p w14:paraId="6E7DAA0F" w14:textId="77777777" w:rsidR="00E40785" w:rsidRPr="0013178E" w:rsidRDefault="00E40785" w:rsidP="00430A60">
      <w:pPr>
        <w:overflowPunct w:val="0"/>
        <w:autoSpaceDN w:val="0"/>
        <w:adjustRightInd w:val="0"/>
        <w:jc w:val="both"/>
        <w:textAlignment w:val="baseline"/>
        <w:rPr>
          <w:color w:val="FF0000"/>
          <w:sz w:val="22"/>
          <w:szCs w:val="22"/>
          <w:lang w:val="hr-HR"/>
        </w:rPr>
      </w:pPr>
    </w:p>
    <w:p w14:paraId="65F1E3C1" w14:textId="77777777" w:rsidR="00E40785" w:rsidRPr="0013178E" w:rsidRDefault="00E40785" w:rsidP="00430A60">
      <w:pPr>
        <w:overflowPunct w:val="0"/>
        <w:autoSpaceDN w:val="0"/>
        <w:adjustRightInd w:val="0"/>
        <w:jc w:val="both"/>
        <w:textAlignment w:val="baseline"/>
        <w:rPr>
          <w:sz w:val="22"/>
          <w:szCs w:val="22"/>
          <w:u w:val="single"/>
          <w:lang w:val="hr-HR"/>
        </w:rPr>
      </w:pPr>
      <w:r w:rsidRPr="0013178E">
        <w:rPr>
          <w:sz w:val="22"/>
          <w:szCs w:val="22"/>
          <w:u w:val="single"/>
          <w:lang w:val="hr-HR"/>
        </w:rPr>
        <w:t>Inkompatibilnosti</w:t>
      </w:r>
    </w:p>
    <w:p w14:paraId="0BBB48F2" w14:textId="206E82D4" w:rsidR="00E40785" w:rsidRPr="0013178E" w:rsidRDefault="00E40785" w:rsidP="00430A60">
      <w:pPr>
        <w:keepNext/>
        <w:jc w:val="both"/>
        <w:rPr>
          <w:sz w:val="22"/>
          <w:szCs w:val="22"/>
          <w:lang w:val="hr-HR"/>
        </w:rPr>
      </w:pPr>
      <w:r w:rsidRPr="0013178E">
        <w:rPr>
          <w:sz w:val="22"/>
          <w:szCs w:val="22"/>
          <w:lang w:val="hr-HR"/>
        </w:rPr>
        <w:t xml:space="preserve">Kako bi se izbjegli problemi sa kompatibilnošću i </w:t>
      </w:r>
      <w:r w:rsidR="000D3287" w:rsidRPr="0013178E">
        <w:rPr>
          <w:sz w:val="22"/>
          <w:szCs w:val="22"/>
          <w:lang w:val="hr-HR"/>
        </w:rPr>
        <w:t>stabilnošću</w:t>
      </w:r>
      <w:r w:rsidRPr="0013178E">
        <w:rPr>
          <w:sz w:val="22"/>
          <w:szCs w:val="22"/>
          <w:lang w:val="hr-HR"/>
        </w:rPr>
        <w:t xml:space="preserve">, preporučuje se da metilprednizolon natrijum sukcinat daje odvojeno od drugih jedinjenja koja se primjenjuju putem IV načina primjene. </w:t>
      </w:r>
      <w:r w:rsidR="00AF3C6F" w:rsidRPr="0013178E">
        <w:rPr>
          <w:sz w:val="22"/>
          <w:szCs w:val="22"/>
          <w:lang w:val="hr-HR"/>
        </w:rPr>
        <w:t>Ljekov</w:t>
      </w:r>
      <w:r w:rsidRPr="0013178E">
        <w:rPr>
          <w:sz w:val="22"/>
          <w:szCs w:val="22"/>
          <w:lang w:val="hr-HR"/>
        </w:rPr>
        <w:t>i koji su fizički inkompatibilni u rastvoru sa metilprednizolon natrijum sukcinatom uključuju, ali nijesu samo ograničeni</w:t>
      </w:r>
      <w:r w:rsidR="00AF3C6F" w:rsidRPr="0013178E">
        <w:rPr>
          <w:sz w:val="22"/>
          <w:szCs w:val="22"/>
          <w:lang w:val="hr-HR"/>
        </w:rPr>
        <w:t>,</w:t>
      </w:r>
      <w:r w:rsidRPr="0013178E">
        <w:rPr>
          <w:sz w:val="22"/>
          <w:szCs w:val="22"/>
          <w:lang w:val="hr-HR"/>
        </w:rPr>
        <w:t xml:space="preserve"> na: alopurinol natrijum, doksapram hidrohlorid, tigeciklin, diltiazem hidrohlorid, kalcijum glukonat, vekuronijum bromid, rokuronijum bromid, cisatrakurijum bezilat, glikopirolat, propofol (vidjeti </w:t>
      </w:r>
      <w:r w:rsidR="009E76C5">
        <w:rPr>
          <w:sz w:val="22"/>
          <w:szCs w:val="22"/>
          <w:lang w:val="hr-HR"/>
        </w:rPr>
        <w:t>dio</w:t>
      </w:r>
      <w:r w:rsidRPr="0013178E">
        <w:rPr>
          <w:sz w:val="22"/>
          <w:szCs w:val="22"/>
          <w:lang w:val="hr-HR"/>
        </w:rPr>
        <w:t xml:space="preserve"> 6.2).</w:t>
      </w:r>
    </w:p>
    <w:p w14:paraId="2AEA199F" w14:textId="77777777" w:rsidR="00E40785" w:rsidRPr="0013178E" w:rsidRDefault="00E40785" w:rsidP="00E40785">
      <w:pPr>
        <w:ind w:left="720"/>
        <w:rPr>
          <w:color w:val="FF0000"/>
          <w:sz w:val="22"/>
          <w:szCs w:val="22"/>
          <w:lang w:val="hr-HR"/>
        </w:rPr>
      </w:pPr>
    </w:p>
    <w:p w14:paraId="71E5BAF5" w14:textId="77777777" w:rsidR="00E40785" w:rsidRPr="0013178E" w:rsidRDefault="00E40785" w:rsidP="00E40785">
      <w:pPr>
        <w:ind w:left="720" w:hanging="720"/>
        <w:rPr>
          <w:sz w:val="22"/>
          <w:szCs w:val="22"/>
          <w:lang w:val="hr-HR"/>
        </w:rPr>
      </w:pPr>
      <w:r w:rsidRPr="0013178E">
        <w:rPr>
          <w:b/>
          <w:sz w:val="22"/>
          <w:szCs w:val="22"/>
          <w:lang w:val="hr-HR"/>
        </w:rPr>
        <w:t>4.6</w:t>
      </w:r>
      <w:r w:rsidRPr="0013178E">
        <w:rPr>
          <w:sz w:val="22"/>
          <w:szCs w:val="22"/>
          <w:lang w:val="hr-HR"/>
        </w:rPr>
        <w:tab/>
      </w:r>
      <w:r w:rsidR="00471E5F" w:rsidRPr="0013178E">
        <w:rPr>
          <w:b/>
          <w:sz w:val="22"/>
          <w:szCs w:val="22"/>
          <w:lang w:val="hr-HR"/>
        </w:rPr>
        <w:t>Plodn</w:t>
      </w:r>
      <w:r w:rsidR="001D6169" w:rsidRPr="0013178E">
        <w:rPr>
          <w:b/>
          <w:sz w:val="22"/>
          <w:szCs w:val="22"/>
          <w:lang w:val="hr-HR"/>
        </w:rPr>
        <w:t>ost</w:t>
      </w:r>
      <w:r w:rsidRPr="0013178E">
        <w:rPr>
          <w:b/>
          <w:sz w:val="22"/>
          <w:szCs w:val="22"/>
          <w:lang w:val="hr-HR"/>
        </w:rPr>
        <w:t>, trudnoća i dojenje</w:t>
      </w:r>
    </w:p>
    <w:p w14:paraId="15422CD0" w14:textId="77777777" w:rsidR="00E40785" w:rsidRPr="0013178E" w:rsidRDefault="00E40785" w:rsidP="00E40785">
      <w:pPr>
        <w:ind w:left="720"/>
        <w:rPr>
          <w:color w:val="FF0000"/>
          <w:sz w:val="22"/>
          <w:szCs w:val="22"/>
          <w:lang w:val="hr-HR"/>
        </w:rPr>
      </w:pPr>
    </w:p>
    <w:p w14:paraId="26BDD8F1" w14:textId="77777777" w:rsidR="00E40785" w:rsidRPr="00430A60" w:rsidRDefault="00E40785" w:rsidP="00430A60">
      <w:pPr>
        <w:numPr>
          <w:ilvl w:val="12"/>
          <w:numId w:val="0"/>
        </w:numPr>
        <w:overflowPunct w:val="0"/>
        <w:autoSpaceDN w:val="0"/>
        <w:adjustRightInd w:val="0"/>
        <w:jc w:val="both"/>
        <w:textAlignment w:val="baseline"/>
        <w:rPr>
          <w:sz w:val="22"/>
          <w:szCs w:val="22"/>
          <w:u w:val="single"/>
          <w:lang w:val="hr-HR"/>
        </w:rPr>
      </w:pPr>
      <w:r w:rsidRPr="00430A60">
        <w:rPr>
          <w:sz w:val="22"/>
          <w:szCs w:val="22"/>
          <w:u w:val="single"/>
          <w:lang w:val="hr-HR"/>
        </w:rPr>
        <w:t>Trudnoća</w:t>
      </w:r>
    </w:p>
    <w:p w14:paraId="5C3863ED" w14:textId="77777777" w:rsidR="00E40785" w:rsidRPr="0013178E" w:rsidRDefault="00E40785" w:rsidP="00430A60">
      <w:pPr>
        <w:numPr>
          <w:ilvl w:val="12"/>
          <w:numId w:val="0"/>
        </w:numPr>
        <w:overflowPunct w:val="0"/>
        <w:autoSpaceDN w:val="0"/>
        <w:adjustRightInd w:val="0"/>
        <w:jc w:val="both"/>
        <w:textAlignment w:val="baseline"/>
        <w:rPr>
          <w:sz w:val="22"/>
          <w:szCs w:val="22"/>
          <w:lang w:val="hr-HR"/>
        </w:rPr>
      </w:pPr>
      <w:r w:rsidRPr="0013178E">
        <w:rPr>
          <w:sz w:val="22"/>
          <w:szCs w:val="22"/>
          <w:lang w:val="hr-HR"/>
        </w:rPr>
        <w:t xml:space="preserve">Sposobnost kortikosteroida da prolaze kroz placentu varira između pojedinih ljekova; međutim, metilprednizolon prolazi kroz placentu. </w:t>
      </w:r>
    </w:p>
    <w:p w14:paraId="7A5E54C9" w14:textId="77777777" w:rsidR="00E40785" w:rsidRPr="0013178E" w:rsidRDefault="00E40785" w:rsidP="00430A60">
      <w:pPr>
        <w:numPr>
          <w:ilvl w:val="12"/>
          <w:numId w:val="0"/>
        </w:numPr>
        <w:overflowPunct w:val="0"/>
        <w:autoSpaceDN w:val="0"/>
        <w:adjustRightInd w:val="0"/>
        <w:jc w:val="both"/>
        <w:textAlignment w:val="baseline"/>
        <w:rPr>
          <w:sz w:val="22"/>
          <w:szCs w:val="22"/>
          <w:lang w:val="hr-HR"/>
        </w:rPr>
      </w:pPr>
    </w:p>
    <w:p w14:paraId="0FE78D1F" w14:textId="6376991A" w:rsidR="00E40785" w:rsidRPr="0013178E" w:rsidRDefault="00210433" w:rsidP="00430A60">
      <w:pPr>
        <w:numPr>
          <w:ilvl w:val="12"/>
          <w:numId w:val="0"/>
        </w:numPr>
        <w:overflowPunct w:val="0"/>
        <w:autoSpaceDN w:val="0"/>
        <w:adjustRightInd w:val="0"/>
        <w:jc w:val="both"/>
        <w:textAlignment w:val="baseline"/>
        <w:rPr>
          <w:sz w:val="22"/>
          <w:szCs w:val="22"/>
          <w:lang w:val="hr-HR"/>
        </w:rPr>
      </w:pPr>
      <w:r w:rsidRPr="0013178E">
        <w:rPr>
          <w:sz w:val="22"/>
          <w:szCs w:val="22"/>
          <w:lang w:val="hr-HR"/>
        </w:rPr>
        <w:t>Primjena kortikosteroida kod gravi</w:t>
      </w:r>
      <w:r w:rsidR="00E40785" w:rsidRPr="0013178E">
        <w:rPr>
          <w:sz w:val="22"/>
          <w:szCs w:val="22"/>
          <w:lang w:val="hr-HR"/>
        </w:rPr>
        <w:t xml:space="preserve">dnih životinja može prouzrokovati abnormalnosti fetalnog razvoja, uključujući rascjep nepca, intrauterini zastoj rasta i </w:t>
      </w:r>
      <w:r w:rsidR="009A64EE" w:rsidRPr="0013178E">
        <w:rPr>
          <w:sz w:val="22"/>
          <w:szCs w:val="22"/>
          <w:lang w:val="hr-HR"/>
        </w:rPr>
        <w:t xml:space="preserve">promjene </w:t>
      </w:r>
      <w:r w:rsidR="00E40785" w:rsidRPr="0013178E">
        <w:rPr>
          <w:sz w:val="22"/>
          <w:szCs w:val="22"/>
          <w:lang w:val="hr-HR"/>
        </w:rPr>
        <w:t xml:space="preserve">rasta i razvoja mozga. Nema dokaza da kortikosteroidi dovode do povećane incidencije kongenitalnih abnormalnosti kao što je rascjep nepca kod ljudi; međutim, kada se daju u dužem periodu ili više puta tokom trudnoće, kortikosteroidi mogu povećati rizik od intrauterinog zastoja rasta. </w:t>
      </w:r>
    </w:p>
    <w:p w14:paraId="411D9988" w14:textId="77777777" w:rsidR="00E40785" w:rsidRPr="0013178E" w:rsidRDefault="00E40785" w:rsidP="00430A60">
      <w:pPr>
        <w:numPr>
          <w:ilvl w:val="12"/>
          <w:numId w:val="0"/>
        </w:numPr>
        <w:overflowPunct w:val="0"/>
        <w:autoSpaceDN w:val="0"/>
        <w:adjustRightInd w:val="0"/>
        <w:jc w:val="both"/>
        <w:textAlignment w:val="baseline"/>
        <w:rPr>
          <w:sz w:val="22"/>
          <w:szCs w:val="22"/>
          <w:highlight w:val="green"/>
          <w:lang w:val="hr-HR"/>
        </w:rPr>
      </w:pPr>
    </w:p>
    <w:p w14:paraId="2797C3E2" w14:textId="77777777" w:rsidR="00E40785" w:rsidRPr="0013178E" w:rsidRDefault="00210433" w:rsidP="00430A60">
      <w:pPr>
        <w:numPr>
          <w:ilvl w:val="12"/>
          <w:numId w:val="0"/>
        </w:numPr>
        <w:overflowPunct w:val="0"/>
        <w:autoSpaceDN w:val="0"/>
        <w:adjustRightInd w:val="0"/>
        <w:jc w:val="both"/>
        <w:textAlignment w:val="baseline"/>
        <w:rPr>
          <w:sz w:val="22"/>
          <w:szCs w:val="22"/>
          <w:highlight w:val="green"/>
          <w:lang w:val="hr-HR"/>
        </w:rPr>
      </w:pPr>
      <w:r w:rsidRPr="0013178E">
        <w:rPr>
          <w:sz w:val="22"/>
          <w:szCs w:val="22"/>
          <w:lang w:val="hr-HR"/>
        </w:rPr>
        <w:t>O</w:t>
      </w:r>
      <w:r w:rsidR="00E40785" w:rsidRPr="0013178E">
        <w:rPr>
          <w:sz w:val="22"/>
          <w:szCs w:val="22"/>
          <w:lang w:val="hr-HR"/>
        </w:rPr>
        <w:t>bzirom na to da odgovarajuće reproduktivne studije sa metilprednizolon natrijum sukcinatom nijesu rađene u humanoj populaciji, ovaj lijek tokom trudnoće treba koristiti samo nakon pažljive procjene odnosa rizika i koristi za majku i fetus.</w:t>
      </w:r>
    </w:p>
    <w:p w14:paraId="044287E7" w14:textId="77777777" w:rsidR="00E40785" w:rsidRPr="0013178E" w:rsidRDefault="00E40785" w:rsidP="00430A60">
      <w:pPr>
        <w:numPr>
          <w:ilvl w:val="12"/>
          <w:numId w:val="0"/>
        </w:numPr>
        <w:overflowPunct w:val="0"/>
        <w:autoSpaceDN w:val="0"/>
        <w:adjustRightInd w:val="0"/>
        <w:jc w:val="both"/>
        <w:textAlignment w:val="baseline"/>
        <w:rPr>
          <w:sz w:val="22"/>
          <w:szCs w:val="22"/>
          <w:lang w:val="hr-HR"/>
        </w:rPr>
      </w:pPr>
    </w:p>
    <w:p w14:paraId="07645162" w14:textId="77777777" w:rsidR="00E40785" w:rsidRPr="0013178E" w:rsidRDefault="00E40785" w:rsidP="00430A60">
      <w:pPr>
        <w:numPr>
          <w:ilvl w:val="12"/>
          <w:numId w:val="0"/>
        </w:numPr>
        <w:overflowPunct w:val="0"/>
        <w:autoSpaceDN w:val="0"/>
        <w:adjustRightInd w:val="0"/>
        <w:jc w:val="both"/>
        <w:textAlignment w:val="baseline"/>
        <w:rPr>
          <w:sz w:val="22"/>
          <w:szCs w:val="22"/>
          <w:lang w:val="hr-HR"/>
        </w:rPr>
      </w:pPr>
      <w:r w:rsidRPr="0013178E">
        <w:rPr>
          <w:sz w:val="22"/>
          <w:szCs w:val="22"/>
          <w:lang w:val="hr-HR"/>
        </w:rPr>
        <w:t>Iako je pojava neonatalne adrenalne insuficijencije kod novorođenčadi izložene kortikosteroidima u materici rijetka, neophodno je pažljivo pratiti i procjenjivati znakove adrenalne insuficijencije kod novorođenčadi čije su majke primale značajne doze kortikosteroida tokom trudnoće.</w:t>
      </w:r>
    </w:p>
    <w:p w14:paraId="2E92D360" w14:textId="77777777" w:rsidR="00E40785" w:rsidRPr="0013178E" w:rsidRDefault="00E40785" w:rsidP="00430A60">
      <w:pPr>
        <w:numPr>
          <w:ilvl w:val="12"/>
          <w:numId w:val="0"/>
        </w:numPr>
        <w:overflowPunct w:val="0"/>
        <w:autoSpaceDN w:val="0"/>
        <w:adjustRightInd w:val="0"/>
        <w:jc w:val="both"/>
        <w:textAlignment w:val="baseline"/>
        <w:rPr>
          <w:sz w:val="22"/>
          <w:szCs w:val="22"/>
          <w:lang w:val="hr-HR"/>
        </w:rPr>
      </w:pPr>
    </w:p>
    <w:p w14:paraId="51C3DB3F" w14:textId="17DE8EBF" w:rsidR="00E40785" w:rsidRPr="0013178E" w:rsidRDefault="00E40785" w:rsidP="00430A60">
      <w:pPr>
        <w:numPr>
          <w:ilvl w:val="12"/>
          <w:numId w:val="0"/>
        </w:numPr>
        <w:overflowPunct w:val="0"/>
        <w:autoSpaceDN w:val="0"/>
        <w:adjustRightInd w:val="0"/>
        <w:jc w:val="both"/>
        <w:textAlignment w:val="baseline"/>
        <w:rPr>
          <w:sz w:val="22"/>
          <w:szCs w:val="22"/>
          <w:lang w:val="hr-HR"/>
        </w:rPr>
      </w:pPr>
      <w:r w:rsidRPr="0013178E">
        <w:rPr>
          <w:sz w:val="22"/>
          <w:szCs w:val="22"/>
          <w:lang w:val="hr-HR"/>
        </w:rPr>
        <w:t xml:space="preserve">Kao i svi drugi ljekovi, kortikosteroidi treba da se propisuju </w:t>
      </w:r>
      <w:r w:rsidR="00F334B7" w:rsidRPr="0013178E">
        <w:rPr>
          <w:sz w:val="22"/>
          <w:szCs w:val="22"/>
          <w:lang w:val="hr-HR"/>
        </w:rPr>
        <w:t xml:space="preserve">i koriste </w:t>
      </w:r>
      <w:r w:rsidRPr="0013178E">
        <w:rPr>
          <w:sz w:val="22"/>
          <w:szCs w:val="22"/>
          <w:lang w:val="hr-HR"/>
        </w:rPr>
        <w:t xml:space="preserve">samo kada su koristi za majku i dijete veće od rizika. </w:t>
      </w:r>
    </w:p>
    <w:p w14:paraId="61BEE3C4" w14:textId="77777777" w:rsidR="00E40785" w:rsidRPr="0013178E" w:rsidRDefault="00E40785" w:rsidP="00430A60">
      <w:pPr>
        <w:numPr>
          <w:ilvl w:val="12"/>
          <w:numId w:val="0"/>
        </w:numPr>
        <w:overflowPunct w:val="0"/>
        <w:autoSpaceDN w:val="0"/>
        <w:adjustRightInd w:val="0"/>
        <w:jc w:val="both"/>
        <w:textAlignment w:val="baseline"/>
        <w:rPr>
          <w:sz w:val="22"/>
          <w:szCs w:val="22"/>
          <w:lang w:val="hr-HR"/>
        </w:rPr>
      </w:pPr>
    </w:p>
    <w:p w14:paraId="7334B4E9" w14:textId="77777777" w:rsidR="00E40785" w:rsidRPr="0013178E" w:rsidRDefault="00E40785" w:rsidP="00430A60">
      <w:pPr>
        <w:numPr>
          <w:ilvl w:val="12"/>
          <w:numId w:val="0"/>
        </w:numPr>
        <w:overflowPunct w:val="0"/>
        <w:autoSpaceDN w:val="0"/>
        <w:adjustRightInd w:val="0"/>
        <w:jc w:val="both"/>
        <w:textAlignment w:val="baseline"/>
        <w:rPr>
          <w:sz w:val="22"/>
          <w:szCs w:val="22"/>
          <w:lang w:val="hr-HR"/>
        </w:rPr>
      </w:pPr>
      <w:r w:rsidRPr="0013178E">
        <w:rPr>
          <w:sz w:val="22"/>
          <w:szCs w:val="22"/>
          <w:lang w:val="hr-HR"/>
        </w:rPr>
        <w:t>Zabilježena je pojava katarakte kod odojčadi čije su majke dugotrajno uzimale kortikosteroide tokom trudnoće.</w:t>
      </w:r>
    </w:p>
    <w:p w14:paraId="480D3F43" w14:textId="77777777" w:rsidR="00E40785" w:rsidRPr="0013178E" w:rsidRDefault="00E40785" w:rsidP="00430A60">
      <w:pPr>
        <w:numPr>
          <w:ilvl w:val="12"/>
          <w:numId w:val="0"/>
        </w:numPr>
        <w:overflowPunct w:val="0"/>
        <w:autoSpaceDN w:val="0"/>
        <w:adjustRightInd w:val="0"/>
        <w:jc w:val="both"/>
        <w:textAlignment w:val="baseline"/>
        <w:rPr>
          <w:color w:val="FF0000"/>
          <w:sz w:val="22"/>
          <w:szCs w:val="22"/>
          <w:lang w:val="hr-HR"/>
        </w:rPr>
      </w:pPr>
    </w:p>
    <w:p w14:paraId="3F40C77B" w14:textId="05D2D77A" w:rsidR="00E40785" w:rsidRPr="0013178E" w:rsidRDefault="00DB6B8C" w:rsidP="00430A60">
      <w:pPr>
        <w:jc w:val="both"/>
        <w:rPr>
          <w:iCs/>
          <w:sz w:val="22"/>
          <w:szCs w:val="22"/>
          <w:lang w:val="hr-HR"/>
        </w:rPr>
      </w:pPr>
      <w:r>
        <w:rPr>
          <w:sz w:val="22"/>
          <w:szCs w:val="22"/>
          <w:lang w:val="hr-HR"/>
        </w:rPr>
        <w:t xml:space="preserve">Lijek </w:t>
      </w:r>
      <w:r w:rsidR="0033733F" w:rsidRPr="0013178E">
        <w:rPr>
          <w:sz w:val="22"/>
          <w:szCs w:val="22"/>
          <w:lang w:val="hr-HR"/>
        </w:rPr>
        <w:t xml:space="preserve">Solu-Medrol 500 mg sadrži konzervans benzil alkohol. </w:t>
      </w:r>
      <w:r w:rsidR="00E40785" w:rsidRPr="0013178E">
        <w:rPr>
          <w:sz w:val="22"/>
          <w:szCs w:val="22"/>
          <w:lang w:val="hr-HR"/>
        </w:rPr>
        <w:t xml:space="preserve">Benzil alkohol prolazi kroz placentu (vidjeti </w:t>
      </w:r>
      <w:r w:rsidR="009E76C5">
        <w:rPr>
          <w:sz w:val="22"/>
          <w:szCs w:val="22"/>
          <w:lang w:val="hr-HR"/>
        </w:rPr>
        <w:t>dio</w:t>
      </w:r>
      <w:r w:rsidR="00E40785" w:rsidRPr="0013178E">
        <w:rPr>
          <w:sz w:val="22"/>
          <w:szCs w:val="22"/>
          <w:lang w:val="hr-HR"/>
        </w:rPr>
        <w:t xml:space="preserve"> 4.4).</w:t>
      </w:r>
    </w:p>
    <w:p w14:paraId="333180DE" w14:textId="77777777" w:rsidR="00E40785" w:rsidRPr="0013178E" w:rsidRDefault="00E40785" w:rsidP="00430A60">
      <w:pPr>
        <w:numPr>
          <w:ilvl w:val="12"/>
          <w:numId w:val="0"/>
        </w:numPr>
        <w:overflowPunct w:val="0"/>
        <w:autoSpaceDN w:val="0"/>
        <w:adjustRightInd w:val="0"/>
        <w:ind w:left="720"/>
        <w:jc w:val="both"/>
        <w:textAlignment w:val="baseline"/>
        <w:rPr>
          <w:i/>
          <w:sz w:val="22"/>
          <w:szCs w:val="22"/>
          <w:lang w:val="hr-HR"/>
        </w:rPr>
      </w:pPr>
    </w:p>
    <w:p w14:paraId="0D298D8F" w14:textId="77777777" w:rsidR="00E40785" w:rsidRPr="00430A60" w:rsidRDefault="00E40785" w:rsidP="00430A60">
      <w:pPr>
        <w:numPr>
          <w:ilvl w:val="12"/>
          <w:numId w:val="0"/>
        </w:numPr>
        <w:overflowPunct w:val="0"/>
        <w:autoSpaceDN w:val="0"/>
        <w:adjustRightInd w:val="0"/>
        <w:jc w:val="both"/>
        <w:textAlignment w:val="baseline"/>
        <w:rPr>
          <w:sz w:val="22"/>
          <w:szCs w:val="22"/>
          <w:u w:val="single"/>
          <w:lang w:val="hr-HR"/>
        </w:rPr>
      </w:pPr>
      <w:r w:rsidRPr="00430A60">
        <w:rPr>
          <w:sz w:val="22"/>
          <w:szCs w:val="22"/>
          <w:u w:val="single"/>
          <w:lang w:val="hr-HR"/>
        </w:rPr>
        <w:t>Dojenje</w:t>
      </w:r>
    </w:p>
    <w:p w14:paraId="0E285050" w14:textId="58133607" w:rsidR="00E40785" w:rsidRPr="0013178E" w:rsidRDefault="00E40785" w:rsidP="00430A60">
      <w:pPr>
        <w:numPr>
          <w:ilvl w:val="12"/>
          <w:numId w:val="0"/>
        </w:numPr>
        <w:overflowPunct w:val="0"/>
        <w:autoSpaceDN w:val="0"/>
        <w:adjustRightInd w:val="0"/>
        <w:jc w:val="both"/>
        <w:textAlignment w:val="baseline"/>
        <w:rPr>
          <w:sz w:val="22"/>
          <w:szCs w:val="22"/>
          <w:lang w:val="hr-HR"/>
        </w:rPr>
      </w:pPr>
      <w:r w:rsidRPr="0013178E">
        <w:rPr>
          <w:sz w:val="22"/>
          <w:szCs w:val="22"/>
          <w:lang w:val="hr-HR"/>
        </w:rPr>
        <w:t xml:space="preserve">Kortikosteroidi se izlučuju u majčino mlijeko u malim količinama. Doze do 40 mg metilprednizolona dnevno ne izazivaju sistemske efekte kod odojčadi. Odojčad </w:t>
      </w:r>
      <w:r w:rsidR="009A1BB9" w:rsidRPr="0013178E">
        <w:rPr>
          <w:sz w:val="22"/>
          <w:szCs w:val="22"/>
          <w:lang w:val="hr-HR"/>
        </w:rPr>
        <w:t xml:space="preserve">majki </w:t>
      </w:r>
      <w:r w:rsidRPr="0013178E">
        <w:rPr>
          <w:sz w:val="22"/>
          <w:szCs w:val="22"/>
          <w:lang w:val="hr-HR"/>
        </w:rPr>
        <w:t>koj</w:t>
      </w:r>
      <w:r w:rsidR="009A1BB9" w:rsidRPr="0013178E">
        <w:rPr>
          <w:sz w:val="22"/>
          <w:szCs w:val="22"/>
          <w:lang w:val="hr-HR"/>
        </w:rPr>
        <w:t>e</w:t>
      </w:r>
      <w:r w:rsidRPr="0013178E">
        <w:rPr>
          <w:sz w:val="22"/>
          <w:szCs w:val="22"/>
          <w:lang w:val="hr-HR"/>
        </w:rPr>
        <w:t xml:space="preserve"> primaju višestruke doze mogu imati određeni stepen supresije nadbubrežne žlijezde. Ovaj lijek se smije primijeniti kod dojilja samo nakon pažljive procjene odnosa rizika i koristi za majku i odojče.</w:t>
      </w:r>
    </w:p>
    <w:p w14:paraId="740C99BC" w14:textId="04A12988" w:rsidR="0033733F" w:rsidRPr="0013178E" w:rsidRDefault="00DB6B8C" w:rsidP="00430A60">
      <w:pPr>
        <w:numPr>
          <w:ilvl w:val="12"/>
          <w:numId w:val="0"/>
        </w:numPr>
        <w:overflowPunct w:val="0"/>
        <w:autoSpaceDN w:val="0"/>
        <w:adjustRightInd w:val="0"/>
        <w:jc w:val="both"/>
        <w:textAlignment w:val="baseline"/>
        <w:rPr>
          <w:sz w:val="22"/>
          <w:szCs w:val="22"/>
          <w:lang w:val="hr-HR"/>
        </w:rPr>
      </w:pPr>
      <w:r>
        <w:rPr>
          <w:sz w:val="22"/>
          <w:szCs w:val="22"/>
          <w:lang w:val="hr-HR"/>
        </w:rPr>
        <w:t xml:space="preserve">Lijek </w:t>
      </w:r>
      <w:r w:rsidR="0033733F" w:rsidRPr="0013178E">
        <w:rPr>
          <w:sz w:val="22"/>
          <w:szCs w:val="22"/>
          <w:lang w:val="hr-HR"/>
        </w:rPr>
        <w:t xml:space="preserve">Solu-Medrol 500 mg sadrži konzervans benzil alkohol (vidjeti </w:t>
      </w:r>
      <w:r w:rsidR="009E76C5">
        <w:rPr>
          <w:sz w:val="22"/>
          <w:szCs w:val="22"/>
          <w:lang w:val="hr-HR"/>
        </w:rPr>
        <w:t>dio</w:t>
      </w:r>
      <w:r w:rsidR="0033733F" w:rsidRPr="0013178E">
        <w:rPr>
          <w:sz w:val="22"/>
          <w:szCs w:val="22"/>
          <w:lang w:val="hr-HR"/>
        </w:rPr>
        <w:t xml:space="preserve"> 4.4)</w:t>
      </w:r>
    </w:p>
    <w:p w14:paraId="3B9DCABB" w14:textId="5978DA95" w:rsidR="00E40785" w:rsidRPr="0013178E" w:rsidRDefault="00E40785" w:rsidP="00430A60">
      <w:pPr>
        <w:numPr>
          <w:ilvl w:val="12"/>
          <w:numId w:val="0"/>
        </w:numPr>
        <w:overflowPunct w:val="0"/>
        <w:autoSpaceDN w:val="0"/>
        <w:adjustRightInd w:val="0"/>
        <w:textAlignment w:val="baseline"/>
        <w:rPr>
          <w:color w:val="FF0000"/>
          <w:sz w:val="22"/>
          <w:szCs w:val="22"/>
          <w:lang w:val="hr-HR"/>
        </w:rPr>
      </w:pPr>
    </w:p>
    <w:p w14:paraId="27AE10DA" w14:textId="77777777" w:rsidR="00430A60" w:rsidRPr="00B3686F" w:rsidRDefault="00430A60" w:rsidP="00C40C00">
      <w:pPr>
        <w:numPr>
          <w:ilvl w:val="12"/>
          <w:numId w:val="0"/>
        </w:numPr>
        <w:overflowPunct w:val="0"/>
        <w:autoSpaceDN w:val="0"/>
        <w:adjustRightInd w:val="0"/>
        <w:jc w:val="both"/>
        <w:textAlignment w:val="baseline"/>
        <w:rPr>
          <w:sz w:val="22"/>
          <w:szCs w:val="22"/>
          <w:u w:val="single"/>
          <w:lang w:val="hr-HR"/>
        </w:rPr>
      </w:pPr>
      <w:r w:rsidRPr="00B3686F">
        <w:rPr>
          <w:sz w:val="22"/>
          <w:szCs w:val="22"/>
          <w:u w:val="single"/>
          <w:lang w:val="hr-HR"/>
        </w:rPr>
        <w:t>Plodnost</w:t>
      </w:r>
    </w:p>
    <w:p w14:paraId="550C94BC" w14:textId="5EB2D560" w:rsidR="00430A60" w:rsidRPr="0013178E" w:rsidRDefault="00430A60" w:rsidP="00C40C00">
      <w:pPr>
        <w:overflowPunct w:val="0"/>
        <w:autoSpaceDN w:val="0"/>
        <w:adjustRightInd w:val="0"/>
        <w:jc w:val="both"/>
        <w:textAlignment w:val="baseline"/>
        <w:rPr>
          <w:sz w:val="22"/>
          <w:szCs w:val="22"/>
          <w:lang w:val="hr-HR"/>
        </w:rPr>
      </w:pPr>
      <w:r w:rsidRPr="0013178E">
        <w:rPr>
          <w:sz w:val="22"/>
          <w:szCs w:val="22"/>
          <w:lang w:val="hr-HR"/>
        </w:rPr>
        <w:t xml:space="preserve">U ispitivanjima na životinjama je pokazano je da kortikosteroidi smanjuju plodnost (vidjeti </w:t>
      </w:r>
      <w:r>
        <w:rPr>
          <w:sz w:val="22"/>
          <w:szCs w:val="22"/>
          <w:lang w:val="hr-HR"/>
        </w:rPr>
        <w:t>dio</w:t>
      </w:r>
      <w:r w:rsidRPr="0013178E">
        <w:rPr>
          <w:sz w:val="22"/>
          <w:szCs w:val="22"/>
          <w:lang w:val="hr-HR"/>
        </w:rPr>
        <w:t xml:space="preserve"> 5.3).</w:t>
      </w:r>
    </w:p>
    <w:p w14:paraId="28F669E0" w14:textId="77777777" w:rsidR="00210433" w:rsidRPr="0013178E" w:rsidRDefault="00210433" w:rsidP="00210433">
      <w:pPr>
        <w:overflowPunct w:val="0"/>
        <w:autoSpaceDN w:val="0"/>
        <w:adjustRightInd w:val="0"/>
        <w:textAlignment w:val="baseline"/>
        <w:rPr>
          <w:color w:val="FF0000"/>
          <w:sz w:val="22"/>
          <w:szCs w:val="22"/>
          <w:lang w:val="hr-HR"/>
        </w:rPr>
      </w:pPr>
    </w:p>
    <w:p w14:paraId="10486F8C" w14:textId="77777777" w:rsidR="00E40785" w:rsidRPr="0013178E" w:rsidRDefault="00E40785" w:rsidP="00E40785">
      <w:pPr>
        <w:ind w:left="720" w:hanging="720"/>
        <w:rPr>
          <w:sz w:val="22"/>
          <w:szCs w:val="22"/>
          <w:lang w:val="hr-HR"/>
        </w:rPr>
      </w:pPr>
      <w:r w:rsidRPr="0013178E">
        <w:rPr>
          <w:b/>
          <w:sz w:val="22"/>
          <w:szCs w:val="22"/>
          <w:lang w:val="hr-HR"/>
        </w:rPr>
        <w:t>4.7</w:t>
      </w:r>
      <w:r w:rsidRPr="0013178E">
        <w:rPr>
          <w:sz w:val="22"/>
          <w:szCs w:val="22"/>
          <w:lang w:val="hr-HR"/>
        </w:rPr>
        <w:tab/>
      </w:r>
      <w:r w:rsidRPr="0013178E">
        <w:rPr>
          <w:b/>
          <w:sz w:val="22"/>
          <w:szCs w:val="22"/>
          <w:lang w:val="hr-HR"/>
        </w:rPr>
        <w:t xml:space="preserve">Uticaj na </w:t>
      </w:r>
      <w:r w:rsidR="001D6169" w:rsidRPr="0013178E">
        <w:rPr>
          <w:b/>
          <w:sz w:val="22"/>
          <w:szCs w:val="22"/>
          <w:lang w:val="hr-HR"/>
        </w:rPr>
        <w:t>sposobnost</w:t>
      </w:r>
      <w:r w:rsidRPr="0013178E">
        <w:rPr>
          <w:b/>
          <w:sz w:val="22"/>
          <w:szCs w:val="22"/>
          <w:lang w:val="hr-HR"/>
        </w:rPr>
        <w:t xml:space="preserve"> upravljanja </w:t>
      </w:r>
      <w:r w:rsidR="001D6169" w:rsidRPr="0013178E">
        <w:rPr>
          <w:b/>
          <w:sz w:val="22"/>
          <w:szCs w:val="22"/>
          <w:lang w:val="hr-HR"/>
        </w:rPr>
        <w:t>v</w:t>
      </w:r>
      <w:r w:rsidRPr="0013178E">
        <w:rPr>
          <w:b/>
          <w:sz w:val="22"/>
          <w:szCs w:val="22"/>
          <w:lang w:val="hr-HR"/>
        </w:rPr>
        <w:t>ozil</w:t>
      </w:r>
      <w:r w:rsidR="001D6169" w:rsidRPr="0013178E">
        <w:rPr>
          <w:b/>
          <w:sz w:val="22"/>
          <w:szCs w:val="22"/>
          <w:lang w:val="hr-HR"/>
        </w:rPr>
        <w:t>i</w:t>
      </w:r>
      <w:r w:rsidRPr="0013178E">
        <w:rPr>
          <w:b/>
          <w:sz w:val="22"/>
          <w:szCs w:val="22"/>
          <w:lang w:val="hr-HR"/>
        </w:rPr>
        <w:t>m</w:t>
      </w:r>
      <w:r w:rsidR="001D6169" w:rsidRPr="0013178E">
        <w:rPr>
          <w:b/>
          <w:sz w:val="22"/>
          <w:szCs w:val="22"/>
          <w:lang w:val="hr-HR"/>
        </w:rPr>
        <w:t>a i rukovanje</w:t>
      </w:r>
      <w:r w:rsidRPr="0013178E">
        <w:rPr>
          <w:b/>
          <w:sz w:val="22"/>
          <w:szCs w:val="22"/>
          <w:lang w:val="hr-HR"/>
        </w:rPr>
        <w:t xml:space="preserve"> mašinama</w:t>
      </w:r>
    </w:p>
    <w:p w14:paraId="45EC180A" w14:textId="77777777" w:rsidR="00E40785" w:rsidRPr="0013178E" w:rsidRDefault="00E40785" w:rsidP="00E40785">
      <w:pPr>
        <w:ind w:left="720"/>
        <w:rPr>
          <w:color w:val="FF0000"/>
          <w:sz w:val="22"/>
          <w:szCs w:val="22"/>
          <w:lang w:val="hr-HR"/>
        </w:rPr>
      </w:pPr>
    </w:p>
    <w:p w14:paraId="0D630ABB" w14:textId="58741FB4" w:rsidR="00E40785" w:rsidRPr="0013178E" w:rsidRDefault="00E40785" w:rsidP="00430A60">
      <w:pPr>
        <w:overflowPunct w:val="0"/>
        <w:autoSpaceDN w:val="0"/>
        <w:adjustRightInd w:val="0"/>
        <w:ind w:right="-20"/>
        <w:jc w:val="both"/>
        <w:textAlignment w:val="baseline"/>
        <w:rPr>
          <w:sz w:val="22"/>
          <w:szCs w:val="22"/>
          <w:lang w:val="hr-HR"/>
        </w:rPr>
      </w:pPr>
      <w:r w:rsidRPr="0013178E">
        <w:rPr>
          <w:sz w:val="22"/>
          <w:szCs w:val="22"/>
          <w:lang w:val="hr-HR"/>
        </w:rPr>
        <w:t>Dejstvo kortikosteroida na sposobnost upravljanja vozilima i rukovanja mašinama nije sistemski procijenjeno. Nakon primjene kortikosteroida moguć</w:t>
      </w:r>
      <w:r w:rsidR="005354E9" w:rsidRPr="0013178E">
        <w:rPr>
          <w:sz w:val="22"/>
          <w:szCs w:val="22"/>
          <w:lang w:val="hr-HR"/>
        </w:rPr>
        <w:t>e</w:t>
      </w:r>
      <w:r w:rsidRPr="0013178E">
        <w:rPr>
          <w:sz w:val="22"/>
          <w:szCs w:val="22"/>
          <w:lang w:val="hr-HR"/>
        </w:rPr>
        <w:t xml:space="preserve"> su neželjen</w:t>
      </w:r>
      <w:r w:rsidR="00980973" w:rsidRPr="0013178E">
        <w:rPr>
          <w:sz w:val="22"/>
          <w:szCs w:val="22"/>
          <w:lang w:val="hr-HR"/>
        </w:rPr>
        <w:t>e</w:t>
      </w:r>
      <w:r w:rsidRPr="0013178E">
        <w:rPr>
          <w:sz w:val="22"/>
          <w:szCs w:val="22"/>
          <w:lang w:val="hr-HR"/>
        </w:rPr>
        <w:t xml:space="preserve"> </w:t>
      </w:r>
      <w:r w:rsidR="00980973" w:rsidRPr="0013178E">
        <w:rPr>
          <w:sz w:val="22"/>
          <w:szCs w:val="22"/>
          <w:lang w:val="hr-HR"/>
        </w:rPr>
        <w:t xml:space="preserve">reakcije </w:t>
      </w:r>
      <w:r w:rsidRPr="0013178E">
        <w:rPr>
          <w:sz w:val="22"/>
          <w:szCs w:val="22"/>
          <w:lang w:val="hr-HR"/>
        </w:rPr>
        <w:t xml:space="preserve">poput </w:t>
      </w:r>
      <w:r w:rsidR="00277A84">
        <w:rPr>
          <w:sz w:val="22"/>
          <w:szCs w:val="22"/>
          <w:lang w:val="hr-HR"/>
        </w:rPr>
        <w:t>omaglice, vrtoglavice</w:t>
      </w:r>
      <w:r w:rsidRPr="0013178E">
        <w:rPr>
          <w:sz w:val="22"/>
          <w:szCs w:val="22"/>
          <w:lang w:val="hr-HR"/>
        </w:rPr>
        <w:t>, poremećaja vida i umora. Ako se pojave naveden</w:t>
      </w:r>
      <w:r w:rsidR="00863A64" w:rsidRPr="0013178E">
        <w:rPr>
          <w:sz w:val="22"/>
          <w:szCs w:val="22"/>
          <w:lang w:val="hr-HR"/>
        </w:rPr>
        <w:t>e</w:t>
      </w:r>
      <w:r w:rsidRPr="0013178E">
        <w:rPr>
          <w:sz w:val="22"/>
          <w:szCs w:val="22"/>
          <w:lang w:val="hr-HR"/>
        </w:rPr>
        <w:t xml:space="preserve"> neželjen</w:t>
      </w:r>
      <w:r w:rsidR="00622D2B" w:rsidRPr="0013178E">
        <w:rPr>
          <w:sz w:val="22"/>
          <w:szCs w:val="22"/>
          <w:lang w:val="hr-HR"/>
        </w:rPr>
        <w:t>e</w:t>
      </w:r>
      <w:r w:rsidRPr="0013178E">
        <w:rPr>
          <w:sz w:val="22"/>
          <w:szCs w:val="22"/>
          <w:lang w:val="hr-HR"/>
        </w:rPr>
        <w:t xml:space="preserve"> </w:t>
      </w:r>
      <w:r w:rsidR="00622D2B" w:rsidRPr="0013178E">
        <w:rPr>
          <w:sz w:val="22"/>
          <w:szCs w:val="22"/>
          <w:lang w:val="hr-HR"/>
        </w:rPr>
        <w:t>reakcije</w:t>
      </w:r>
      <w:r w:rsidRPr="0013178E">
        <w:rPr>
          <w:sz w:val="22"/>
          <w:szCs w:val="22"/>
          <w:lang w:val="hr-HR"/>
        </w:rPr>
        <w:t>, pacijenti ne smiju upravljati vozilima ili rukovati mašinama.</w:t>
      </w:r>
    </w:p>
    <w:p w14:paraId="2B9F6C45" w14:textId="77777777" w:rsidR="00E40785" w:rsidRPr="0013178E" w:rsidRDefault="00E40785" w:rsidP="00E40785">
      <w:pPr>
        <w:overflowPunct w:val="0"/>
        <w:autoSpaceDN w:val="0"/>
        <w:adjustRightInd w:val="0"/>
        <w:textAlignment w:val="baseline"/>
        <w:rPr>
          <w:color w:val="FF0000"/>
          <w:sz w:val="22"/>
          <w:szCs w:val="22"/>
          <w:lang w:val="hr-HR"/>
        </w:rPr>
      </w:pPr>
    </w:p>
    <w:p w14:paraId="1E095FB8" w14:textId="77777777" w:rsidR="00E40785" w:rsidRPr="0013178E" w:rsidRDefault="00E40785" w:rsidP="00E40785">
      <w:pPr>
        <w:keepNext/>
        <w:tabs>
          <w:tab w:val="left" w:pos="567"/>
        </w:tabs>
        <w:overflowPunct w:val="0"/>
        <w:autoSpaceDN w:val="0"/>
        <w:adjustRightInd w:val="0"/>
        <w:textAlignment w:val="baseline"/>
        <w:rPr>
          <w:sz w:val="22"/>
          <w:szCs w:val="22"/>
          <w:lang w:val="hr-HR"/>
        </w:rPr>
      </w:pPr>
      <w:r w:rsidRPr="0013178E">
        <w:rPr>
          <w:b/>
          <w:sz w:val="22"/>
          <w:szCs w:val="22"/>
          <w:lang w:val="hr-HR"/>
        </w:rPr>
        <w:t>4.8</w:t>
      </w:r>
      <w:r w:rsidRPr="0013178E">
        <w:rPr>
          <w:sz w:val="22"/>
          <w:szCs w:val="22"/>
          <w:lang w:val="hr-HR"/>
        </w:rPr>
        <w:tab/>
      </w:r>
      <w:r w:rsidRPr="0013178E">
        <w:rPr>
          <w:b/>
          <w:sz w:val="22"/>
          <w:szCs w:val="22"/>
          <w:lang w:val="hr-HR"/>
        </w:rPr>
        <w:t>Neželjena dejstva</w:t>
      </w:r>
    </w:p>
    <w:p w14:paraId="68A9E8B6" w14:textId="77777777" w:rsidR="00E40785" w:rsidRPr="0013178E" w:rsidRDefault="00E40785" w:rsidP="00E40785">
      <w:pPr>
        <w:keepNext/>
        <w:overflowPunct w:val="0"/>
        <w:autoSpaceDN w:val="0"/>
        <w:adjustRightInd w:val="0"/>
        <w:textAlignment w:val="baseline"/>
        <w:rPr>
          <w:b/>
          <w:color w:val="FF0000"/>
          <w:sz w:val="22"/>
          <w:szCs w:val="22"/>
          <w:lang w:val="hr-HR"/>
        </w:rPr>
      </w:pPr>
    </w:p>
    <w:p w14:paraId="59518A46" w14:textId="151B77B7" w:rsidR="00E40785" w:rsidRPr="0013178E" w:rsidRDefault="00E40785" w:rsidP="00430A60">
      <w:pPr>
        <w:keepNext/>
        <w:numPr>
          <w:ilvl w:val="12"/>
          <w:numId w:val="0"/>
        </w:numPr>
        <w:overflowPunct w:val="0"/>
        <w:autoSpaceDN w:val="0"/>
        <w:adjustRightInd w:val="0"/>
        <w:jc w:val="both"/>
        <w:textAlignment w:val="baseline"/>
        <w:rPr>
          <w:sz w:val="22"/>
          <w:szCs w:val="22"/>
          <w:lang w:val="hr-HR"/>
        </w:rPr>
      </w:pPr>
      <w:r w:rsidRPr="0013178E">
        <w:rPr>
          <w:sz w:val="22"/>
          <w:szCs w:val="22"/>
          <w:lang w:val="hr-HR"/>
        </w:rPr>
        <w:t xml:space="preserve">Pod normalnim okolnostima, terapija lijekom Solu-Medrol treba da bude kratkotrajna. Međutim, treba voditi računa o mogućim neželjenim </w:t>
      </w:r>
      <w:r w:rsidR="002304EE" w:rsidRPr="0013178E">
        <w:rPr>
          <w:sz w:val="22"/>
          <w:szCs w:val="22"/>
          <w:lang w:val="hr-HR"/>
        </w:rPr>
        <w:t xml:space="preserve">reakcijama </w:t>
      </w:r>
      <w:r w:rsidRPr="0013178E">
        <w:rPr>
          <w:sz w:val="22"/>
          <w:szCs w:val="22"/>
          <w:lang w:val="hr-HR"/>
        </w:rPr>
        <w:t>koj</w:t>
      </w:r>
      <w:r w:rsidR="002304EE" w:rsidRPr="0013178E">
        <w:rPr>
          <w:sz w:val="22"/>
          <w:szCs w:val="22"/>
          <w:lang w:val="hr-HR"/>
        </w:rPr>
        <w:t>e</w:t>
      </w:r>
      <w:r w:rsidRPr="0013178E">
        <w:rPr>
          <w:sz w:val="22"/>
          <w:szCs w:val="22"/>
          <w:lang w:val="hr-HR"/>
        </w:rPr>
        <w:t xml:space="preserve"> prate kortikosteroidnu terapiju, naročito pri primjeni visokih doza (vidjeti </w:t>
      </w:r>
      <w:r w:rsidR="009E76C5">
        <w:rPr>
          <w:sz w:val="22"/>
          <w:szCs w:val="22"/>
          <w:lang w:val="hr-HR"/>
        </w:rPr>
        <w:t>dio</w:t>
      </w:r>
      <w:r w:rsidRPr="0013178E">
        <w:rPr>
          <w:sz w:val="22"/>
          <w:szCs w:val="22"/>
          <w:lang w:val="hr-HR"/>
        </w:rPr>
        <w:t xml:space="preserve"> 4.4).</w:t>
      </w:r>
    </w:p>
    <w:p w14:paraId="28327872" w14:textId="77777777" w:rsidR="00E40785" w:rsidRPr="0013178E" w:rsidRDefault="00E40785" w:rsidP="00430A60">
      <w:pPr>
        <w:numPr>
          <w:ilvl w:val="12"/>
          <w:numId w:val="0"/>
        </w:numPr>
        <w:overflowPunct w:val="0"/>
        <w:autoSpaceDN w:val="0"/>
        <w:adjustRightInd w:val="0"/>
        <w:jc w:val="both"/>
        <w:textAlignment w:val="baseline"/>
        <w:rPr>
          <w:sz w:val="22"/>
          <w:szCs w:val="22"/>
          <w:lang w:val="hr-HR"/>
        </w:rPr>
      </w:pPr>
    </w:p>
    <w:p w14:paraId="33437F29" w14:textId="77777777" w:rsidR="00E40785" w:rsidRPr="0013178E" w:rsidRDefault="00E40785" w:rsidP="00430A60">
      <w:pPr>
        <w:numPr>
          <w:ilvl w:val="12"/>
          <w:numId w:val="0"/>
        </w:numPr>
        <w:overflowPunct w:val="0"/>
        <w:autoSpaceDN w:val="0"/>
        <w:adjustRightInd w:val="0"/>
        <w:jc w:val="both"/>
        <w:textAlignment w:val="baseline"/>
        <w:rPr>
          <w:sz w:val="22"/>
          <w:szCs w:val="22"/>
          <w:lang w:val="hr-HR"/>
        </w:rPr>
      </w:pPr>
      <w:r w:rsidRPr="0013178E">
        <w:rPr>
          <w:sz w:val="22"/>
          <w:szCs w:val="22"/>
          <w:lang w:val="hr-HR"/>
        </w:rPr>
        <w:t>Slj</w:t>
      </w:r>
      <w:r w:rsidR="0045233A" w:rsidRPr="0013178E">
        <w:rPr>
          <w:sz w:val="22"/>
          <w:szCs w:val="22"/>
          <w:lang w:val="hr-HR"/>
        </w:rPr>
        <w:t>edeće neželjene reakcije su zabi</w:t>
      </w:r>
      <w:r w:rsidRPr="0013178E">
        <w:rPr>
          <w:sz w:val="22"/>
          <w:szCs w:val="22"/>
          <w:lang w:val="hr-HR"/>
        </w:rPr>
        <w:t>l</w:t>
      </w:r>
      <w:r w:rsidR="0045233A" w:rsidRPr="0013178E">
        <w:rPr>
          <w:sz w:val="22"/>
          <w:szCs w:val="22"/>
          <w:lang w:val="hr-HR"/>
        </w:rPr>
        <w:t>j</w:t>
      </w:r>
      <w:r w:rsidRPr="0013178E">
        <w:rPr>
          <w:sz w:val="22"/>
          <w:szCs w:val="22"/>
          <w:lang w:val="hr-HR"/>
        </w:rPr>
        <w:t xml:space="preserve">ežene tokom intratekalne/epiduralne primjene lijeka koji je kontraindikovan: arahnoiditis, funkcionalni gastrointestinalni poremećaji, poremećaj funkcije mokraćne bešike, glavobolja, meningitis, parapareza paraplegija, napadi, senzorni poremećaji. </w:t>
      </w:r>
    </w:p>
    <w:p w14:paraId="3F722841" w14:textId="77777777" w:rsidR="00E40785" w:rsidRPr="0013178E" w:rsidRDefault="00E40785" w:rsidP="00E40785">
      <w:pPr>
        <w:numPr>
          <w:ilvl w:val="12"/>
          <w:numId w:val="0"/>
        </w:numPr>
        <w:overflowPunct w:val="0"/>
        <w:autoSpaceDN w:val="0"/>
        <w:adjustRightInd w:val="0"/>
        <w:textAlignment w:val="baseline"/>
        <w:rPr>
          <w:color w:val="FF0000"/>
          <w:sz w:val="22"/>
          <w:szCs w:val="22"/>
          <w:lang w:val="hr-HR"/>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6237"/>
      </w:tblGrid>
      <w:tr w:rsidR="00043288" w:rsidRPr="008620B4" w14:paraId="2F53FD10" w14:textId="77777777" w:rsidTr="00897866">
        <w:trPr>
          <w:cantSplit/>
          <w:trHeight w:val="288"/>
        </w:trPr>
        <w:tc>
          <w:tcPr>
            <w:tcW w:w="2835" w:type="dxa"/>
          </w:tcPr>
          <w:p w14:paraId="197F0FB8" w14:textId="77777777" w:rsidR="00E40785" w:rsidRPr="0013178E" w:rsidRDefault="00E40785" w:rsidP="00430A60">
            <w:pPr>
              <w:overflowPunct w:val="0"/>
              <w:autoSpaceDN w:val="0"/>
              <w:adjustRightInd w:val="0"/>
              <w:textAlignment w:val="baseline"/>
              <w:rPr>
                <w:b/>
                <w:bCs/>
                <w:sz w:val="22"/>
                <w:szCs w:val="22"/>
                <w:lang w:val="hr-HR"/>
              </w:rPr>
            </w:pPr>
            <w:r w:rsidRPr="0013178E">
              <w:rPr>
                <w:b/>
                <w:sz w:val="22"/>
                <w:szCs w:val="22"/>
                <w:lang w:val="hr-HR"/>
              </w:rPr>
              <w:t>Klasifikacija organskih sistema</w:t>
            </w:r>
          </w:p>
          <w:p w14:paraId="3A8AD1F9" w14:textId="77777777" w:rsidR="00E40785" w:rsidRPr="0013178E" w:rsidRDefault="00E40785" w:rsidP="00430A60">
            <w:pPr>
              <w:overflowPunct w:val="0"/>
              <w:autoSpaceDN w:val="0"/>
              <w:adjustRightInd w:val="0"/>
              <w:textAlignment w:val="baseline"/>
              <w:rPr>
                <w:b/>
                <w:bCs/>
                <w:sz w:val="22"/>
                <w:szCs w:val="22"/>
                <w:lang w:val="hr-HR"/>
              </w:rPr>
            </w:pPr>
          </w:p>
        </w:tc>
        <w:tc>
          <w:tcPr>
            <w:tcW w:w="6237" w:type="dxa"/>
          </w:tcPr>
          <w:p w14:paraId="7AA605E9" w14:textId="77777777" w:rsidR="00E40785" w:rsidRPr="0013178E" w:rsidRDefault="00E40785">
            <w:pPr>
              <w:overflowPunct w:val="0"/>
              <w:autoSpaceDN w:val="0"/>
              <w:adjustRightInd w:val="0"/>
              <w:textAlignment w:val="baseline"/>
              <w:rPr>
                <w:b/>
                <w:bCs/>
                <w:iCs/>
                <w:sz w:val="22"/>
                <w:szCs w:val="22"/>
                <w:lang w:val="hr-HR"/>
              </w:rPr>
            </w:pPr>
            <w:r w:rsidRPr="0013178E">
              <w:rPr>
                <w:b/>
                <w:sz w:val="22"/>
                <w:szCs w:val="22"/>
                <w:lang w:val="hr-HR"/>
              </w:rPr>
              <w:t xml:space="preserve">Učestalost: </w:t>
            </w:r>
            <w:r w:rsidR="00F3654C" w:rsidRPr="0013178E">
              <w:rPr>
                <w:b/>
                <w:sz w:val="22"/>
                <w:szCs w:val="22"/>
                <w:lang w:val="hr-HR"/>
              </w:rPr>
              <w:t>n</w:t>
            </w:r>
            <w:r w:rsidRPr="0013178E">
              <w:rPr>
                <w:b/>
                <w:sz w:val="22"/>
                <w:szCs w:val="22"/>
                <w:lang w:val="hr-HR"/>
              </w:rPr>
              <w:t>ije poznato</w:t>
            </w:r>
          </w:p>
          <w:p w14:paraId="4E3DAE49" w14:textId="77777777" w:rsidR="00E40785" w:rsidRPr="0013178E" w:rsidRDefault="00E40785">
            <w:pPr>
              <w:overflowPunct w:val="0"/>
              <w:autoSpaceDN w:val="0"/>
              <w:adjustRightInd w:val="0"/>
              <w:textAlignment w:val="baseline"/>
              <w:rPr>
                <w:b/>
                <w:sz w:val="22"/>
                <w:szCs w:val="22"/>
                <w:lang w:val="hr-HR"/>
              </w:rPr>
            </w:pPr>
            <w:r w:rsidRPr="0013178E">
              <w:rPr>
                <w:b/>
                <w:sz w:val="22"/>
                <w:szCs w:val="22"/>
                <w:lang w:val="hr-HR"/>
              </w:rPr>
              <w:t>(ne može se procijeniti iz dostupnih podataka)</w:t>
            </w:r>
          </w:p>
        </w:tc>
      </w:tr>
      <w:tr w:rsidR="00043288" w:rsidRPr="008620B4" w14:paraId="6DCF5479" w14:textId="77777777" w:rsidTr="00897866">
        <w:trPr>
          <w:cantSplit/>
          <w:trHeight w:val="410"/>
        </w:trPr>
        <w:tc>
          <w:tcPr>
            <w:tcW w:w="2835" w:type="dxa"/>
          </w:tcPr>
          <w:p w14:paraId="442020C9" w14:textId="77777777" w:rsidR="00E40785" w:rsidRPr="0013178E" w:rsidRDefault="00E40785">
            <w:pPr>
              <w:overflowPunct w:val="0"/>
              <w:autoSpaceDN w:val="0"/>
              <w:adjustRightInd w:val="0"/>
              <w:textAlignment w:val="baseline"/>
              <w:rPr>
                <w:b/>
                <w:bCs/>
                <w:i/>
                <w:sz w:val="22"/>
                <w:szCs w:val="22"/>
                <w:lang w:val="hr-HR"/>
              </w:rPr>
            </w:pPr>
            <w:r w:rsidRPr="0013178E">
              <w:rPr>
                <w:b/>
                <w:i/>
                <w:sz w:val="22"/>
                <w:szCs w:val="22"/>
                <w:lang w:val="hr-HR"/>
              </w:rPr>
              <w:t>Infekcije i infestacije</w:t>
            </w:r>
          </w:p>
        </w:tc>
        <w:tc>
          <w:tcPr>
            <w:tcW w:w="6237" w:type="dxa"/>
            <w:shd w:val="clear" w:color="auto" w:fill="auto"/>
          </w:tcPr>
          <w:p w14:paraId="1F968DEC" w14:textId="59CC6046" w:rsidR="00E40785" w:rsidRPr="0013178E" w:rsidRDefault="00E40785">
            <w:pPr>
              <w:overflowPunct w:val="0"/>
              <w:autoSpaceDN w:val="0"/>
              <w:adjustRightInd w:val="0"/>
              <w:textAlignment w:val="baseline"/>
              <w:rPr>
                <w:sz w:val="22"/>
                <w:szCs w:val="22"/>
                <w:lang w:val="hr-HR"/>
              </w:rPr>
            </w:pPr>
            <w:r w:rsidRPr="0013178E">
              <w:rPr>
                <w:sz w:val="22"/>
                <w:szCs w:val="22"/>
                <w:lang w:val="hr-HR"/>
              </w:rPr>
              <w:t xml:space="preserve">Oportunističke infekcije; Infekcije (vidjeti </w:t>
            </w:r>
            <w:r w:rsidR="009E76C5">
              <w:rPr>
                <w:sz w:val="22"/>
                <w:szCs w:val="22"/>
                <w:lang w:val="hr-HR"/>
              </w:rPr>
              <w:t>dio</w:t>
            </w:r>
            <w:r w:rsidRPr="0013178E">
              <w:rPr>
                <w:sz w:val="22"/>
                <w:szCs w:val="22"/>
                <w:lang w:val="hr-HR"/>
              </w:rPr>
              <w:t xml:space="preserve"> 4.4); Peritonitis#</w:t>
            </w:r>
          </w:p>
        </w:tc>
      </w:tr>
      <w:tr w:rsidR="00043288" w:rsidRPr="00A81BE4" w14:paraId="638FAA4D" w14:textId="77777777" w:rsidTr="00897866">
        <w:trPr>
          <w:cantSplit/>
          <w:trHeight w:val="843"/>
        </w:trPr>
        <w:tc>
          <w:tcPr>
            <w:tcW w:w="2835" w:type="dxa"/>
          </w:tcPr>
          <w:p w14:paraId="45E89992" w14:textId="77777777" w:rsidR="00E40785" w:rsidRPr="0013178E" w:rsidRDefault="00E40785">
            <w:pPr>
              <w:overflowPunct w:val="0"/>
              <w:autoSpaceDN w:val="0"/>
              <w:adjustRightInd w:val="0"/>
              <w:textAlignment w:val="baseline"/>
              <w:rPr>
                <w:b/>
                <w:i/>
                <w:sz w:val="22"/>
                <w:szCs w:val="22"/>
                <w:lang w:val="hr-HR"/>
              </w:rPr>
            </w:pPr>
            <w:r w:rsidRPr="0013178E">
              <w:rPr>
                <w:b/>
                <w:i/>
                <w:sz w:val="22"/>
                <w:szCs w:val="22"/>
                <w:lang w:val="hr-HR"/>
              </w:rPr>
              <w:lastRenderedPageBreak/>
              <w:t>Benigne, maligne i nespecifične neoplazme (uključujući ciste i polipe)</w:t>
            </w:r>
          </w:p>
        </w:tc>
        <w:tc>
          <w:tcPr>
            <w:tcW w:w="6237" w:type="dxa"/>
            <w:shd w:val="clear" w:color="auto" w:fill="auto"/>
          </w:tcPr>
          <w:p w14:paraId="07585A5F" w14:textId="64611006" w:rsidR="00E40785" w:rsidRPr="0013178E" w:rsidDel="00252131" w:rsidRDefault="00E40785">
            <w:pPr>
              <w:overflowPunct w:val="0"/>
              <w:autoSpaceDN w:val="0"/>
              <w:adjustRightInd w:val="0"/>
              <w:textAlignment w:val="baseline"/>
              <w:rPr>
                <w:sz w:val="22"/>
                <w:szCs w:val="22"/>
                <w:lang w:val="hr-HR"/>
              </w:rPr>
            </w:pPr>
            <w:r w:rsidRPr="0013178E">
              <w:rPr>
                <w:sz w:val="22"/>
                <w:szCs w:val="22"/>
                <w:lang w:val="hr-HR"/>
              </w:rPr>
              <w:t xml:space="preserve">Kaposijev sarkom (prijavljen je kod pacijenata </w:t>
            </w:r>
            <w:r w:rsidR="00764C6F" w:rsidRPr="0013178E">
              <w:rPr>
                <w:sz w:val="22"/>
                <w:szCs w:val="22"/>
                <w:lang w:val="hr-HR"/>
              </w:rPr>
              <w:t xml:space="preserve">koji primaju </w:t>
            </w:r>
            <w:r w:rsidRPr="0013178E">
              <w:rPr>
                <w:sz w:val="22"/>
                <w:szCs w:val="22"/>
                <w:lang w:val="hr-HR"/>
              </w:rPr>
              <w:t>terapij</w:t>
            </w:r>
            <w:r w:rsidR="00764C6F" w:rsidRPr="0013178E">
              <w:rPr>
                <w:sz w:val="22"/>
                <w:szCs w:val="22"/>
                <w:lang w:val="hr-HR"/>
              </w:rPr>
              <w:t>u</w:t>
            </w:r>
            <w:r w:rsidRPr="0013178E">
              <w:rPr>
                <w:sz w:val="22"/>
                <w:szCs w:val="22"/>
                <w:lang w:val="hr-HR"/>
              </w:rPr>
              <w:t xml:space="preserve"> kortikosteroidima. Prekid terapije kortikosteroidima može dovesti do kliničke remisije).</w:t>
            </w:r>
          </w:p>
        </w:tc>
      </w:tr>
      <w:tr w:rsidR="00043288" w:rsidRPr="00A81BE4" w14:paraId="4C26D40C" w14:textId="77777777" w:rsidTr="00897866">
        <w:trPr>
          <w:cantSplit/>
          <w:trHeight w:val="142"/>
        </w:trPr>
        <w:tc>
          <w:tcPr>
            <w:tcW w:w="2835" w:type="dxa"/>
          </w:tcPr>
          <w:p w14:paraId="19854A3B" w14:textId="77777777" w:rsidR="00E40785" w:rsidRPr="0013178E" w:rsidRDefault="00E40785">
            <w:pPr>
              <w:overflowPunct w:val="0"/>
              <w:autoSpaceDN w:val="0"/>
              <w:adjustRightInd w:val="0"/>
              <w:textAlignment w:val="baseline"/>
              <w:rPr>
                <w:b/>
                <w:i/>
                <w:sz w:val="22"/>
                <w:szCs w:val="22"/>
                <w:lang w:val="hr-HR"/>
              </w:rPr>
            </w:pPr>
            <w:r w:rsidRPr="0013178E">
              <w:rPr>
                <w:b/>
                <w:i/>
                <w:sz w:val="22"/>
                <w:szCs w:val="22"/>
                <w:lang w:val="hr-HR"/>
              </w:rPr>
              <w:t>Poremećaji krvi i limfnog sistema</w:t>
            </w:r>
          </w:p>
        </w:tc>
        <w:tc>
          <w:tcPr>
            <w:tcW w:w="6237" w:type="dxa"/>
            <w:shd w:val="clear" w:color="auto" w:fill="auto"/>
          </w:tcPr>
          <w:p w14:paraId="297D6F62" w14:textId="77777777" w:rsidR="00E40785" w:rsidRPr="0013178E" w:rsidRDefault="00E40785">
            <w:pPr>
              <w:overflowPunct w:val="0"/>
              <w:autoSpaceDN w:val="0"/>
              <w:adjustRightInd w:val="0"/>
              <w:textAlignment w:val="baseline"/>
              <w:rPr>
                <w:sz w:val="22"/>
                <w:szCs w:val="22"/>
                <w:lang w:val="hr-HR"/>
              </w:rPr>
            </w:pPr>
            <w:r w:rsidRPr="0013178E">
              <w:rPr>
                <w:sz w:val="22"/>
                <w:szCs w:val="22"/>
                <w:lang w:val="hr-HR"/>
              </w:rPr>
              <w:t>Leukocitoza</w:t>
            </w:r>
          </w:p>
        </w:tc>
      </w:tr>
      <w:tr w:rsidR="00043288" w:rsidRPr="008620B4" w14:paraId="3AE7BB19" w14:textId="77777777" w:rsidTr="00897866">
        <w:trPr>
          <w:cantSplit/>
          <w:trHeight w:val="288"/>
        </w:trPr>
        <w:tc>
          <w:tcPr>
            <w:tcW w:w="2835" w:type="dxa"/>
          </w:tcPr>
          <w:p w14:paraId="08A1BB36" w14:textId="77777777" w:rsidR="00E40785" w:rsidRPr="0013178E" w:rsidRDefault="00E40785">
            <w:pPr>
              <w:overflowPunct w:val="0"/>
              <w:autoSpaceDN w:val="0"/>
              <w:adjustRightInd w:val="0"/>
              <w:textAlignment w:val="baseline"/>
              <w:rPr>
                <w:b/>
                <w:bCs/>
                <w:i/>
                <w:sz w:val="22"/>
                <w:szCs w:val="22"/>
                <w:lang w:val="hr-HR"/>
              </w:rPr>
            </w:pPr>
            <w:r w:rsidRPr="0013178E">
              <w:rPr>
                <w:b/>
                <w:i/>
                <w:sz w:val="22"/>
                <w:szCs w:val="22"/>
                <w:lang w:val="hr-HR"/>
              </w:rPr>
              <w:t xml:space="preserve">Poremećaji imunog sistema </w:t>
            </w:r>
          </w:p>
        </w:tc>
        <w:tc>
          <w:tcPr>
            <w:tcW w:w="6237" w:type="dxa"/>
          </w:tcPr>
          <w:p w14:paraId="3F97BAD8" w14:textId="77777777" w:rsidR="00E40785" w:rsidRPr="0013178E" w:rsidRDefault="00E40785">
            <w:pPr>
              <w:overflowPunct w:val="0"/>
              <w:autoSpaceDN w:val="0"/>
              <w:adjustRightInd w:val="0"/>
              <w:textAlignment w:val="baseline"/>
              <w:rPr>
                <w:sz w:val="22"/>
                <w:szCs w:val="22"/>
                <w:lang w:val="hr-HR"/>
              </w:rPr>
            </w:pPr>
            <w:r w:rsidRPr="0013178E">
              <w:rPr>
                <w:sz w:val="22"/>
                <w:szCs w:val="22"/>
                <w:lang w:val="hr-HR"/>
              </w:rPr>
              <w:t>Preosjetljivost na lijek; anafilaktičke reakcije; anafilaktoidne reakcije</w:t>
            </w:r>
          </w:p>
        </w:tc>
      </w:tr>
      <w:tr w:rsidR="00043288" w:rsidRPr="008620B4" w14:paraId="11CB7A4A" w14:textId="77777777" w:rsidTr="00897866">
        <w:trPr>
          <w:cantSplit/>
          <w:trHeight w:val="1273"/>
        </w:trPr>
        <w:tc>
          <w:tcPr>
            <w:tcW w:w="2835" w:type="dxa"/>
          </w:tcPr>
          <w:p w14:paraId="6701849F" w14:textId="77777777" w:rsidR="00E40785" w:rsidRPr="0013178E" w:rsidRDefault="00E40785">
            <w:pPr>
              <w:overflowPunct w:val="0"/>
              <w:autoSpaceDN w:val="0"/>
              <w:adjustRightInd w:val="0"/>
              <w:textAlignment w:val="baseline"/>
              <w:rPr>
                <w:b/>
                <w:bCs/>
                <w:i/>
                <w:sz w:val="22"/>
                <w:szCs w:val="22"/>
                <w:lang w:val="hr-HR"/>
              </w:rPr>
            </w:pPr>
            <w:r w:rsidRPr="0013178E">
              <w:rPr>
                <w:b/>
                <w:i/>
                <w:sz w:val="22"/>
                <w:szCs w:val="22"/>
                <w:lang w:val="hr-HR"/>
              </w:rPr>
              <w:t>Endokrinološki poremećaji</w:t>
            </w:r>
          </w:p>
        </w:tc>
        <w:tc>
          <w:tcPr>
            <w:tcW w:w="6237" w:type="dxa"/>
          </w:tcPr>
          <w:p w14:paraId="4049C019" w14:textId="77777777" w:rsidR="00E40785" w:rsidRPr="0013178E" w:rsidRDefault="00E40785">
            <w:pPr>
              <w:overflowPunct w:val="0"/>
              <w:autoSpaceDN w:val="0"/>
              <w:adjustRightInd w:val="0"/>
              <w:textAlignment w:val="baseline"/>
              <w:rPr>
                <w:sz w:val="22"/>
                <w:szCs w:val="22"/>
                <w:lang w:val="hr-HR"/>
              </w:rPr>
            </w:pPr>
            <w:r w:rsidRPr="0013178E">
              <w:rPr>
                <w:sz w:val="22"/>
                <w:szCs w:val="22"/>
                <w:lang w:val="hr-HR"/>
              </w:rPr>
              <w:t xml:space="preserve">Razvoj Kušingoidnog stanja; </w:t>
            </w:r>
          </w:p>
          <w:p w14:paraId="685B4DFB" w14:textId="3D759C1E" w:rsidR="00E40785" w:rsidRPr="0013178E" w:rsidRDefault="006D5EC9">
            <w:pPr>
              <w:overflowPunct w:val="0"/>
              <w:autoSpaceDN w:val="0"/>
              <w:adjustRightInd w:val="0"/>
              <w:textAlignment w:val="baseline"/>
              <w:rPr>
                <w:sz w:val="22"/>
                <w:szCs w:val="22"/>
                <w:lang w:val="hr-HR"/>
              </w:rPr>
            </w:pPr>
            <w:r>
              <w:rPr>
                <w:sz w:val="22"/>
                <w:szCs w:val="22"/>
                <w:lang w:val="hr-HR"/>
              </w:rPr>
              <w:t>S</w:t>
            </w:r>
            <w:r w:rsidR="00E40785" w:rsidRPr="0013178E">
              <w:rPr>
                <w:sz w:val="22"/>
                <w:szCs w:val="22"/>
                <w:lang w:val="hr-HR"/>
              </w:rPr>
              <w:t>upresij</w:t>
            </w:r>
            <w:r>
              <w:rPr>
                <w:sz w:val="22"/>
                <w:szCs w:val="22"/>
                <w:lang w:val="hr-HR"/>
              </w:rPr>
              <w:t>a</w:t>
            </w:r>
            <w:r w:rsidR="00E40785" w:rsidRPr="0013178E">
              <w:rPr>
                <w:sz w:val="22"/>
                <w:szCs w:val="22"/>
                <w:lang w:val="hr-HR"/>
              </w:rPr>
              <w:t xml:space="preserve"> osovine hipotalamus-hipofiza-adrenalna žlijezda; Sindrom povlačenja terapije steroidima (uključujući groznicu, mijalgiju, artralgiju, rinitis, konjunktivitis, bolne čvoriće na koži koji svrbe i gubitak </w:t>
            </w:r>
            <w:r w:rsidR="00C40C00">
              <w:rPr>
                <w:sz w:val="22"/>
                <w:szCs w:val="22"/>
                <w:lang w:val="hr-HR"/>
              </w:rPr>
              <w:t>tjelesne mase</w:t>
            </w:r>
            <w:r w:rsidR="00E40785" w:rsidRPr="0013178E">
              <w:rPr>
                <w:sz w:val="22"/>
                <w:szCs w:val="22"/>
                <w:lang w:val="hr-HR"/>
              </w:rPr>
              <w:t xml:space="preserve">) </w:t>
            </w:r>
          </w:p>
        </w:tc>
      </w:tr>
      <w:tr w:rsidR="00043288" w:rsidRPr="008620B4" w14:paraId="7F74077E" w14:textId="77777777" w:rsidTr="00897866">
        <w:trPr>
          <w:cantSplit/>
          <w:trHeight w:val="1609"/>
        </w:trPr>
        <w:tc>
          <w:tcPr>
            <w:tcW w:w="2835" w:type="dxa"/>
          </w:tcPr>
          <w:p w14:paraId="461F3622" w14:textId="77777777" w:rsidR="00E40785" w:rsidRPr="0013178E" w:rsidRDefault="00E40785">
            <w:pPr>
              <w:overflowPunct w:val="0"/>
              <w:autoSpaceDN w:val="0"/>
              <w:adjustRightInd w:val="0"/>
              <w:textAlignment w:val="baseline"/>
              <w:rPr>
                <w:b/>
                <w:bCs/>
                <w:i/>
                <w:sz w:val="22"/>
                <w:szCs w:val="22"/>
                <w:lang w:val="hr-HR"/>
              </w:rPr>
            </w:pPr>
            <w:r w:rsidRPr="0013178E">
              <w:rPr>
                <w:b/>
                <w:i/>
                <w:sz w:val="22"/>
                <w:szCs w:val="22"/>
                <w:lang w:val="hr-HR"/>
              </w:rPr>
              <w:t>Poremećaji metabolizma i ishrane</w:t>
            </w:r>
          </w:p>
        </w:tc>
        <w:tc>
          <w:tcPr>
            <w:tcW w:w="6237" w:type="dxa"/>
          </w:tcPr>
          <w:p w14:paraId="366C9A9B" w14:textId="6638F72E" w:rsidR="00E40785" w:rsidRPr="0013178E" w:rsidRDefault="00E40785">
            <w:pPr>
              <w:overflowPunct w:val="0"/>
              <w:autoSpaceDN w:val="0"/>
              <w:adjustRightInd w:val="0"/>
              <w:textAlignment w:val="baseline"/>
              <w:rPr>
                <w:sz w:val="22"/>
                <w:szCs w:val="22"/>
                <w:lang w:val="hr-HR"/>
              </w:rPr>
            </w:pPr>
            <w:r w:rsidRPr="0013178E">
              <w:rPr>
                <w:sz w:val="22"/>
                <w:szCs w:val="22"/>
                <w:lang w:val="hr-HR"/>
              </w:rPr>
              <w:t xml:space="preserve">Metabolička acidoza; </w:t>
            </w:r>
            <w:r w:rsidR="00C40C00">
              <w:rPr>
                <w:sz w:val="22"/>
                <w:szCs w:val="22"/>
                <w:lang w:val="hr-HR"/>
              </w:rPr>
              <w:t xml:space="preserve">epiduralna lipomatoza; </w:t>
            </w:r>
            <w:r w:rsidRPr="0013178E">
              <w:rPr>
                <w:sz w:val="22"/>
                <w:szCs w:val="22"/>
                <w:lang w:val="hr-HR"/>
              </w:rPr>
              <w:t>retencija natrijuma i vode; hipokalemijska alkaloza; dislipidemija; poremećaj tolerancije na glukozu; povišeni zahtjevi za insulinom (ili oralnim antidijabeticima kod pacijenata sa dijabetesom); lipomatoza; povećan apetit (koji može dovesti do povećanja tjelesne mase)</w:t>
            </w:r>
          </w:p>
        </w:tc>
      </w:tr>
      <w:tr w:rsidR="00043288" w:rsidRPr="008620B4" w14:paraId="3B95C25D" w14:textId="77777777" w:rsidTr="00897866">
        <w:trPr>
          <w:cantSplit/>
          <w:trHeight w:val="2107"/>
        </w:trPr>
        <w:tc>
          <w:tcPr>
            <w:tcW w:w="2835" w:type="dxa"/>
          </w:tcPr>
          <w:p w14:paraId="21506F27" w14:textId="77777777" w:rsidR="00E40785" w:rsidRPr="0013178E" w:rsidRDefault="00E40785">
            <w:pPr>
              <w:overflowPunct w:val="0"/>
              <w:autoSpaceDN w:val="0"/>
              <w:adjustRightInd w:val="0"/>
              <w:textAlignment w:val="baseline"/>
              <w:rPr>
                <w:b/>
                <w:bCs/>
                <w:i/>
                <w:sz w:val="22"/>
                <w:szCs w:val="22"/>
                <w:lang w:val="hr-HR"/>
              </w:rPr>
            </w:pPr>
            <w:r w:rsidRPr="0013178E">
              <w:rPr>
                <w:b/>
                <w:i/>
                <w:sz w:val="22"/>
                <w:szCs w:val="22"/>
                <w:lang w:val="hr-HR"/>
              </w:rPr>
              <w:t>Psihijatrijski poremećaji</w:t>
            </w:r>
          </w:p>
        </w:tc>
        <w:tc>
          <w:tcPr>
            <w:tcW w:w="6237" w:type="dxa"/>
          </w:tcPr>
          <w:p w14:paraId="25C4E0BE" w14:textId="63F2FCF1" w:rsidR="00E40785" w:rsidRPr="0013178E" w:rsidRDefault="00E40785">
            <w:pPr>
              <w:overflowPunct w:val="0"/>
              <w:autoSpaceDN w:val="0"/>
              <w:adjustRightInd w:val="0"/>
              <w:textAlignment w:val="baseline"/>
              <w:rPr>
                <w:sz w:val="22"/>
                <w:szCs w:val="22"/>
                <w:lang w:val="hr-HR"/>
              </w:rPr>
            </w:pPr>
            <w:r w:rsidRPr="0013178E">
              <w:rPr>
                <w:sz w:val="22"/>
                <w:szCs w:val="22"/>
                <w:lang w:val="hr-HR"/>
              </w:rPr>
              <w:t>Širok opseg psihijatrijskih reakcija, uključujući afektivne poremećaje (uključujući depresivno ponašanje, euforično raspoloženje, labilne promjene raspoloženja, zavisnost od lijeka i suicidalne misli); psihotični poremećaji (uključujući maniju, deluzije, halucinacije i šizofreniju); poremećaji kognitivnih funkcija; poremećaj ličnosti; konfuzija: anksioznost; poremećaji sna; promjene raspoloženja; poremećaji ponašanja; razdražljivost</w:t>
            </w:r>
            <w:r w:rsidR="00A861F9" w:rsidRPr="0013178E">
              <w:rPr>
                <w:sz w:val="22"/>
                <w:szCs w:val="22"/>
                <w:lang w:val="hr-HR"/>
              </w:rPr>
              <w:t>.</w:t>
            </w:r>
          </w:p>
          <w:p w14:paraId="0CEEADFF" w14:textId="77777777" w:rsidR="00E40785" w:rsidRPr="0013178E" w:rsidRDefault="00F3654C">
            <w:pPr>
              <w:overflowPunct w:val="0"/>
              <w:autoSpaceDN w:val="0"/>
              <w:adjustRightInd w:val="0"/>
              <w:textAlignment w:val="baseline"/>
              <w:rPr>
                <w:sz w:val="22"/>
                <w:szCs w:val="22"/>
                <w:lang w:val="hr-HR"/>
              </w:rPr>
            </w:pPr>
            <w:r w:rsidRPr="0013178E">
              <w:rPr>
                <w:sz w:val="22"/>
                <w:szCs w:val="22"/>
                <w:lang w:val="hr-HR"/>
              </w:rPr>
              <w:t>Ove r</w:t>
            </w:r>
            <w:r w:rsidR="00E40785" w:rsidRPr="0013178E">
              <w:rPr>
                <w:sz w:val="22"/>
                <w:szCs w:val="22"/>
                <w:lang w:val="hr-HR"/>
              </w:rPr>
              <w:t xml:space="preserve">eakcije su učestale i mogu se javiti kod djece i odraslih. Kod odraslih se učestalost ovih reakcija procjenjuje na oko 5–6%. Zabilježena su psihološka dejstva nakon prestanka primjene kortikosteroida; frekvencija je nepoznata. </w:t>
            </w:r>
          </w:p>
        </w:tc>
      </w:tr>
      <w:tr w:rsidR="00043288" w:rsidRPr="008620B4" w14:paraId="0C749138" w14:textId="77777777" w:rsidTr="00897866">
        <w:trPr>
          <w:cantSplit/>
          <w:trHeight w:val="288"/>
        </w:trPr>
        <w:tc>
          <w:tcPr>
            <w:tcW w:w="2835" w:type="dxa"/>
          </w:tcPr>
          <w:p w14:paraId="7B4E427F" w14:textId="77777777" w:rsidR="00E40785" w:rsidRPr="0013178E" w:rsidRDefault="00E40785">
            <w:pPr>
              <w:overflowPunct w:val="0"/>
              <w:autoSpaceDN w:val="0"/>
              <w:adjustRightInd w:val="0"/>
              <w:textAlignment w:val="baseline"/>
              <w:rPr>
                <w:b/>
                <w:bCs/>
                <w:i/>
                <w:sz w:val="22"/>
                <w:szCs w:val="22"/>
                <w:lang w:val="hr-HR"/>
              </w:rPr>
            </w:pPr>
            <w:r w:rsidRPr="0013178E">
              <w:rPr>
                <w:b/>
                <w:i/>
                <w:sz w:val="22"/>
                <w:szCs w:val="22"/>
                <w:lang w:val="hr-HR"/>
              </w:rPr>
              <w:t>Poremećaji nervnog sistema</w:t>
            </w:r>
          </w:p>
        </w:tc>
        <w:tc>
          <w:tcPr>
            <w:tcW w:w="6237" w:type="dxa"/>
          </w:tcPr>
          <w:p w14:paraId="045A04BE" w14:textId="79F11C72" w:rsidR="00E40785" w:rsidRPr="0013178E" w:rsidRDefault="005C5839">
            <w:pPr>
              <w:overflowPunct w:val="0"/>
              <w:autoSpaceDN w:val="0"/>
              <w:adjustRightInd w:val="0"/>
              <w:textAlignment w:val="baseline"/>
              <w:rPr>
                <w:sz w:val="22"/>
                <w:szCs w:val="22"/>
                <w:lang w:val="hr-HR"/>
              </w:rPr>
            </w:pPr>
            <w:r w:rsidRPr="0013178E">
              <w:rPr>
                <w:sz w:val="22"/>
                <w:szCs w:val="22"/>
                <w:lang w:val="hr-HR"/>
              </w:rPr>
              <w:t>P</w:t>
            </w:r>
            <w:r w:rsidR="00E40785" w:rsidRPr="0013178E">
              <w:rPr>
                <w:sz w:val="22"/>
                <w:szCs w:val="22"/>
                <w:lang w:val="hr-HR"/>
              </w:rPr>
              <w:t xml:space="preserve">ovišen intrakranijalni pritisak sa papiloedemom (benigna interkranijalna hipertenzija); konvulzije; amnezija; kognitivni poremećaj; </w:t>
            </w:r>
            <w:r w:rsidR="00C10473">
              <w:rPr>
                <w:sz w:val="22"/>
                <w:szCs w:val="22"/>
                <w:lang w:val="hr-HR"/>
              </w:rPr>
              <w:t>omaglica</w:t>
            </w:r>
            <w:r w:rsidR="00E40785" w:rsidRPr="0013178E">
              <w:rPr>
                <w:sz w:val="22"/>
                <w:szCs w:val="22"/>
                <w:lang w:val="hr-HR"/>
              </w:rPr>
              <w:t>; glavobolja</w:t>
            </w:r>
          </w:p>
        </w:tc>
      </w:tr>
      <w:tr w:rsidR="00043288" w:rsidRPr="008620B4" w14:paraId="5A8874CF" w14:textId="77777777" w:rsidTr="00897866">
        <w:trPr>
          <w:cantSplit/>
          <w:trHeight w:val="902"/>
        </w:trPr>
        <w:tc>
          <w:tcPr>
            <w:tcW w:w="2835" w:type="dxa"/>
          </w:tcPr>
          <w:p w14:paraId="6EF3BA8D" w14:textId="77777777" w:rsidR="00E40785" w:rsidRPr="0013178E" w:rsidRDefault="00E40785">
            <w:pPr>
              <w:overflowPunct w:val="0"/>
              <w:autoSpaceDN w:val="0"/>
              <w:adjustRightInd w:val="0"/>
              <w:textAlignment w:val="baseline"/>
              <w:rPr>
                <w:b/>
                <w:bCs/>
                <w:i/>
                <w:sz w:val="22"/>
                <w:szCs w:val="22"/>
                <w:lang w:val="hr-HR"/>
              </w:rPr>
            </w:pPr>
            <w:r w:rsidRPr="0013178E">
              <w:rPr>
                <w:b/>
                <w:i/>
                <w:sz w:val="22"/>
                <w:szCs w:val="22"/>
                <w:lang w:val="hr-HR"/>
              </w:rPr>
              <w:t>Poremećaji na nivou oka</w:t>
            </w:r>
          </w:p>
        </w:tc>
        <w:tc>
          <w:tcPr>
            <w:tcW w:w="6237" w:type="dxa"/>
          </w:tcPr>
          <w:p w14:paraId="1748AFAE" w14:textId="1096517F" w:rsidR="00E40785" w:rsidRPr="0013178E" w:rsidRDefault="00E40785">
            <w:pPr>
              <w:overflowPunct w:val="0"/>
              <w:autoSpaceDN w:val="0"/>
              <w:adjustRightInd w:val="0"/>
              <w:textAlignment w:val="baseline"/>
              <w:rPr>
                <w:sz w:val="22"/>
                <w:szCs w:val="22"/>
                <w:lang w:val="hr-HR"/>
              </w:rPr>
            </w:pPr>
            <w:r w:rsidRPr="0013178E">
              <w:rPr>
                <w:sz w:val="22"/>
                <w:szCs w:val="22"/>
                <w:lang w:val="hr-HR"/>
              </w:rPr>
              <w:t>Horioretinopatija; katarakta; glaukom; egzoftalmus; istanjenje rožnjače ili beonjače; egzacerbacija oftalmoloških virusnih ili gljivičnih infekcija</w:t>
            </w:r>
            <w:r w:rsidR="005C5839" w:rsidRPr="0013178E">
              <w:rPr>
                <w:sz w:val="22"/>
                <w:szCs w:val="22"/>
                <w:lang w:val="hr-HR"/>
              </w:rPr>
              <w:t>, zamućen vid (</w:t>
            </w:r>
            <w:r w:rsidR="009F0906" w:rsidRPr="0013178E">
              <w:rPr>
                <w:sz w:val="22"/>
                <w:szCs w:val="22"/>
                <w:lang w:val="hr-HR"/>
              </w:rPr>
              <w:t xml:space="preserve">vidjeti </w:t>
            </w:r>
            <w:r w:rsidR="006F6375" w:rsidRPr="0013178E">
              <w:rPr>
                <w:sz w:val="22"/>
                <w:szCs w:val="22"/>
                <w:lang w:val="hr-HR"/>
              </w:rPr>
              <w:t xml:space="preserve">i </w:t>
            </w:r>
            <w:r w:rsidR="009E76C5">
              <w:rPr>
                <w:sz w:val="22"/>
                <w:szCs w:val="22"/>
                <w:lang w:val="hr-HR"/>
              </w:rPr>
              <w:t>dio</w:t>
            </w:r>
            <w:r w:rsidR="005C5839" w:rsidRPr="0013178E">
              <w:rPr>
                <w:sz w:val="22"/>
                <w:szCs w:val="22"/>
                <w:lang w:val="hr-HR"/>
              </w:rPr>
              <w:t xml:space="preserve"> 4.4).</w:t>
            </w:r>
          </w:p>
        </w:tc>
      </w:tr>
      <w:tr w:rsidR="00043288" w:rsidRPr="00A81BE4" w14:paraId="76E1E570" w14:textId="77777777" w:rsidTr="00897866">
        <w:trPr>
          <w:cantSplit/>
          <w:trHeight w:val="288"/>
        </w:trPr>
        <w:tc>
          <w:tcPr>
            <w:tcW w:w="2835" w:type="dxa"/>
          </w:tcPr>
          <w:p w14:paraId="3FF617CB" w14:textId="77777777" w:rsidR="00E40785" w:rsidRPr="0013178E" w:rsidRDefault="00E40785">
            <w:pPr>
              <w:overflowPunct w:val="0"/>
              <w:autoSpaceDN w:val="0"/>
              <w:adjustRightInd w:val="0"/>
              <w:textAlignment w:val="baseline"/>
              <w:rPr>
                <w:b/>
                <w:bCs/>
                <w:i/>
                <w:sz w:val="22"/>
                <w:szCs w:val="22"/>
                <w:lang w:val="hr-HR"/>
              </w:rPr>
            </w:pPr>
            <w:r w:rsidRPr="0013178E">
              <w:rPr>
                <w:b/>
                <w:i/>
                <w:sz w:val="22"/>
                <w:szCs w:val="22"/>
                <w:lang w:val="hr-HR"/>
              </w:rPr>
              <w:t>Poremećaji uha i labirinta</w:t>
            </w:r>
          </w:p>
        </w:tc>
        <w:tc>
          <w:tcPr>
            <w:tcW w:w="6237" w:type="dxa"/>
            <w:shd w:val="clear" w:color="auto" w:fill="auto"/>
          </w:tcPr>
          <w:p w14:paraId="5EFBA47B" w14:textId="31DD3C5F" w:rsidR="00E40785" w:rsidRPr="0013178E" w:rsidRDefault="00C10473" w:rsidP="00C10473">
            <w:pPr>
              <w:overflowPunct w:val="0"/>
              <w:autoSpaceDN w:val="0"/>
              <w:adjustRightInd w:val="0"/>
              <w:textAlignment w:val="baseline"/>
              <w:rPr>
                <w:sz w:val="22"/>
                <w:szCs w:val="22"/>
                <w:lang w:val="hr-HR"/>
              </w:rPr>
            </w:pPr>
            <w:r w:rsidRPr="0013178E">
              <w:rPr>
                <w:sz w:val="22"/>
                <w:szCs w:val="22"/>
                <w:lang w:val="hr-HR"/>
              </w:rPr>
              <w:t>V</w:t>
            </w:r>
            <w:r>
              <w:rPr>
                <w:sz w:val="22"/>
                <w:szCs w:val="22"/>
                <w:lang w:val="hr-HR"/>
              </w:rPr>
              <w:t>rtoglavica</w:t>
            </w:r>
          </w:p>
        </w:tc>
      </w:tr>
      <w:tr w:rsidR="00043288" w:rsidRPr="008620B4" w14:paraId="2FCD6238" w14:textId="77777777" w:rsidTr="00897866">
        <w:trPr>
          <w:cantSplit/>
          <w:trHeight w:val="288"/>
        </w:trPr>
        <w:tc>
          <w:tcPr>
            <w:tcW w:w="2835" w:type="dxa"/>
          </w:tcPr>
          <w:p w14:paraId="532BE2F6" w14:textId="77777777" w:rsidR="00E40785" w:rsidRPr="0013178E" w:rsidRDefault="00E40785">
            <w:pPr>
              <w:overflowPunct w:val="0"/>
              <w:autoSpaceDN w:val="0"/>
              <w:adjustRightInd w:val="0"/>
              <w:textAlignment w:val="baseline"/>
              <w:rPr>
                <w:b/>
                <w:bCs/>
                <w:i/>
                <w:sz w:val="22"/>
                <w:szCs w:val="22"/>
                <w:lang w:val="hr-HR"/>
              </w:rPr>
            </w:pPr>
            <w:r w:rsidRPr="0013178E">
              <w:rPr>
                <w:b/>
                <w:i/>
                <w:sz w:val="22"/>
                <w:szCs w:val="22"/>
                <w:lang w:val="hr-HR"/>
              </w:rPr>
              <w:t>Kardiološki poremećaji</w:t>
            </w:r>
          </w:p>
        </w:tc>
        <w:tc>
          <w:tcPr>
            <w:tcW w:w="6237" w:type="dxa"/>
            <w:shd w:val="clear" w:color="auto" w:fill="auto"/>
          </w:tcPr>
          <w:p w14:paraId="55AED926" w14:textId="77777777" w:rsidR="00E40785" w:rsidRPr="0013178E" w:rsidRDefault="00E40785">
            <w:pPr>
              <w:overflowPunct w:val="0"/>
              <w:autoSpaceDN w:val="0"/>
              <w:adjustRightInd w:val="0"/>
              <w:textAlignment w:val="baseline"/>
              <w:rPr>
                <w:sz w:val="22"/>
                <w:szCs w:val="22"/>
                <w:lang w:val="hr-HR"/>
              </w:rPr>
            </w:pPr>
            <w:r w:rsidRPr="0013178E">
              <w:rPr>
                <w:sz w:val="22"/>
                <w:szCs w:val="22"/>
                <w:lang w:val="hr-HR"/>
              </w:rPr>
              <w:t>Kongestivna srčana insuficijencija kod osjetljivih pacijenata; srčana aritmija</w:t>
            </w:r>
          </w:p>
        </w:tc>
      </w:tr>
      <w:tr w:rsidR="00043288" w:rsidRPr="008620B4" w14:paraId="333A02E5" w14:textId="77777777" w:rsidTr="00897866">
        <w:trPr>
          <w:cantSplit/>
          <w:trHeight w:val="586"/>
        </w:trPr>
        <w:tc>
          <w:tcPr>
            <w:tcW w:w="2835" w:type="dxa"/>
          </w:tcPr>
          <w:p w14:paraId="753DC8E5" w14:textId="77777777" w:rsidR="00E40785" w:rsidRPr="0013178E" w:rsidRDefault="00E40785">
            <w:pPr>
              <w:overflowPunct w:val="0"/>
              <w:autoSpaceDN w:val="0"/>
              <w:adjustRightInd w:val="0"/>
              <w:textAlignment w:val="baseline"/>
              <w:rPr>
                <w:b/>
                <w:bCs/>
                <w:i/>
                <w:sz w:val="22"/>
                <w:szCs w:val="22"/>
                <w:lang w:val="hr-HR"/>
              </w:rPr>
            </w:pPr>
            <w:r w:rsidRPr="0013178E">
              <w:rPr>
                <w:b/>
                <w:i/>
                <w:sz w:val="22"/>
                <w:szCs w:val="22"/>
                <w:lang w:val="hr-HR"/>
              </w:rPr>
              <w:t>Vaskularni poremećaji</w:t>
            </w:r>
          </w:p>
        </w:tc>
        <w:tc>
          <w:tcPr>
            <w:tcW w:w="6237" w:type="dxa"/>
            <w:shd w:val="clear" w:color="auto" w:fill="auto"/>
          </w:tcPr>
          <w:p w14:paraId="06174415" w14:textId="77777777" w:rsidR="00F445E6" w:rsidRPr="0013178E" w:rsidRDefault="000B6A46">
            <w:pPr>
              <w:overflowPunct w:val="0"/>
              <w:autoSpaceDN w:val="0"/>
              <w:adjustRightInd w:val="0"/>
              <w:textAlignment w:val="baseline"/>
              <w:rPr>
                <w:sz w:val="22"/>
                <w:szCs w:val="22"/>
                <w:lang w:val="hr-HR"/>
              </w:rPr>
            </w:pPr>
            <w:r w:rsidRPr="0013178E">
              <w:rPr>
                <w:sz w:val="22"/>
                <w:szCs w:val="22"/>
                <w:lang w:val="hr-HR"/>
              </w:rPr>
              <w:t>Trombotski događaji</w:t>
            </w:r>
          </w:p>
          <w:p w14:paraId="5E50EF21" w14:textId="4AB7BE95" w:rsidR="00E40785" w:rsidRPr="0013178E" w:rsidRDefault="00E40785">
            <w:pPr>
              <w:overflowPunct w:val="0"/>
              <w:autoSpaceDN w:val="0"/>
              <w:adjustRightInd w:val="0"/>
              <w:textAlignment w:val="baseline"/>
              <w:rPr>
                <w:sz w:val="22"/>
                <w:szCs w:val="22"/>
                <w:lang w:val="hr-HR"/>
              </w:rPr>
            </w:pPr>
            <w:r w:rsidRPr="0013178E">
              <w:rPr>
                <w:sz w:val="22"/>
                <w:szCs w:val="22"/>
                <w:lang w:val="hr-HR"/>
              </w:rPr>
              <w:t>Hipertenzija</w:t>
            </w:r>
          </w:p>
          <w:p w14:paraId="6414A713" w14:textId="77777777" w:rsidR="00E40785" w:rsidRDefault="00E40785">
            <w:pPr>
              <w:overflowPunct w:val="0"/>
              <w:autoSpaceDN w:val="0"/>
              <w:adjustRightInd w:val="0"/>
              <w:textAlignment w:val="baseline"/>
              <w:rPr>
                <w:sz w:val="22"/>
                <w:szCs w:val="22"/>
                <w:lang w:val="hr-HR"/>
              </w:rPr>
            </w:pPr>
            <w:r w:rsidRPr="0013178E">
              <w:rPr>
                <w:sz w:val="22"/>
                <w:szCs w:val="22"/>
                <w:lang w:val="hr-HR"/>
              </w:rPr>
              <w:t>Hipotenzija</w:t>
            </w:r>
          </w:p>
          <w:p w14:paraId="61F29B3B" w14:textId="1BAE8975" w:rsidR="00DC651A" w:rsidRPr="0013178E" w:rsidRDefault="00015513">
            <w:pPr>
              <w:overflowPunct w:val="0"/>
              <w:autoSpaceDN w:val="0"/>
              <w:adjustRightInd w:val="0"/>
              <w:textAlignment w:val="baseline"/>
              <w:rPr>
                <w:sz w:val="22"/>
                <w:szCs w:val="22"/>
                <w:lang w:val="hr-HR"/>
              </w:rPr>
            </w:pPr>
            <w:r>
              <w:rPr>
                <w:sz w:val="22"/>
                <w:szCs w:val="22"/>
                <w:lang w:val="hr-HR"/>
              </w:rPr>
              <w:t>Naleti c</w:t>
            </w:r>
            <w:r w:rsidR="00DC651A">
              <w:rPr>
                <w:sz w:val="22"/>
                <w:szCs w:val="22"/>
                <w:lang w:val="hr-HR"/>
              </w:rPr>
              <w:t>rvenil</w:t>
            </w:r>
            <w:r>
              <w:rPr>
                <w:sz w:val="22"/>
                <w:szCs w:val="22"/>
                <w:lang w:val="hr-HR"/>
              </w:rPr>
              <w:t>a</w:t>
            </w:r>
          </w:p>
        </w:tc>
      </w:tr>
      <w:tr w:rsidR="00043288" w:rsidRPr="00A81BE4" w14:paraId="6C8823C2" w14:textId="77777777" w:rsidTr="00897866">
        <w:trPr>
          <w:cantSplit/>
          <w:trHeight w:val="288"/>
        </w:trPr>
        <w:tc>
          <w:tcPr>
            <w:tcW w:w="2835" w:type="dxa"/>
          </w:tcPr>
          <w:p w14:paraId="538DEA93" w14:textId="77777777" w:rsidR="00E40785" w:rsidRPr="0013178E" w:rsidRDefault="00E40785">
            <w:pPr>
              <w:overflowPunct w:val="0"/>
              <w:autoSpaceDN w:val="0"/>
              <w:adjustRightInd w:val="0"/>
              <w:textAlignment w:val="baseline"/>
              <w:rPr>
                <w:b/>
                <w:bCs/>
                <w:i/>
                <w:sz w:val="22"/>
                <w:szCs w:val="22"/>
                <w:lang w:val="hr-HR"/>
              </w:rPr>
            </w:pPr>
            <w:r w:rsidRPr="0013178E">
              <w:rPr>
                <w:b/>
                <w:i/>
                <w:sz w:val="22"/>
                <w:szCs w:val="22"/>
                <w:lang w:val="hr-HR"/>
              </w:rPr>
              <w:t>Poremećaji disajnog sistema, toraksa i medijastinuma</w:t>
            </w:r>
          </w:p>
        </w:tc>
        <w:tc>
          <w:tcPr>
            <w:tcW w:w="6237" w:type="dxa"/>
            <w:shd w:val="clear" w:color="auto" w:fill="auto"/>
          </w:tcPr>
          <w:p w14:paraId="066CEC03" w14:textId="77777777" w:rsidR="00E40785" w:rsidRPr="0013178E" w:rsidRDefault="00E40785">
            <w:pPr>
              <w:overflowPunct w:val="0"/>
              <w:autoSpaceDN w:val="0"/>
              <w:adjustRightInd w:val="0"/>
              <w:textAlignment w:val="baseline"/>
              <w:rPr>
                <w:sz w:val="22"/>
                <w:szCs w:val="22"/>
                <w:lang w:val="hr-HR"/>
              </w:rPr>
            </w:pPr>
            <w:r w:rsidRPr="0013178E">
              <w:rPr>
                <w:sz w:val="22"/>
                <w:szCs w:val="22"/>
                <w:lang w:val="hr-HR"/>
              </w:rPr>
              <w:t>Plućna embolija</w:t>
            </w:r>
          </w:p>
          <w:p w14:paraId="1BA6E411" w14:textId="77777777" w:rsidR="00E40785" w:rsidRPr="0013178E" w:rsidRDefault="00E40785">
            <w:pPr>
              <w:overflowPunct w:val="0"/>
              <w:autoSpaceDN w:val="0"/>
              <w:adjustRightInd w:val="0"/>
              <w:textAlignment w:val="baseline"/>
              <w:rPr>
                <w:sz w:val="22"/>
                <w:szCs w:val="22"/>
                <w:lang w:val="hr-HR"/>
              </w:rPr>
            </w:pPr>
            <w:r w:rsidRPr="0013178E">
              <w:rPr>
                <w:sz w:val="22"/>
                <w:szCs w:val="22"/>
                <w:lang w:val="hr-HR"/>
              </w:rPr>
              <w:t>Štucanje</w:t>
            </w:r>
          </w:p>
        </w:tc>
      </w:tr>
      <w:tr w:rsidR="00043288" w:rsidRPr="008620B4" w14:paraId="6B0FD543" w14:textId="77777777" w:rsidTr="00897866">
        <w:trPr>
          <w:cantSplit/>
          <w:trHeight w:val="1283"/>
        </w:trPr>
        <w:tc>
          <w:tcPr>
            <w:tcW w:w="2835" w:type="dxa"/>
          </w:tcPr>
          <w:p w14:paraId="3DD0C389" w14:textId="77777777" w:rsidR="00E40785" w:rsidRPr="0013178E" w:rsidRDefault="00E40785">
            <w:pPr>
              <w:overflowPunct w:val="0"/>
              <w:autoSpaceDN w:val="0"/>
              <w:adjustRightInd w:val="0"/>
              <w:textAlignment w:val="baseline"/>
              <w:rPr>
                <w:b/>
                <w:bCs/>
                <w:i/>
                <w:sz w:val="22"/>
                <w:szCs w:val="22"/>
                <w:lang w:val="hr-HR"/>
              </w:rPr>
            </w:pPr>
            <w:r w:rsidRPr="0013178E">
              <w:rPr>
                <w:b/>
                <w:i/>
                <w:sz w:val="22"/>
                <w:szCs w:val="22"/>
                <w:lang w:val="hr-HR"/>
              </w:rPr>
              <w:t>Gastrointestinalni poremećaji</w:t>
            </w:r>
          </w:p>
        </w:tc>
        <w:tc>
          <w:tcPr>
            <w:tcW w:w="6237" w:type="dxa"/>
            <w:shd w:val="clear" w:color="auto" w:fill="auto"/>
          </w:tcPr>
          <w:p w14:paraId="0CEA3491" w14:textId="77777777" w:rsidR="00E40785" w:rsidRPr="0013178E" w:rsidRDefault="00E40785">
            <w:pPr>
              <w:overflowPunct w:val="0"/>
              <w:autoSpaceDN w:val="0"/>
              <w:adjustRightInd w:val="0"/>
              <w:textAlignment w:val="baseline"/>
              <w:rPr>
                <w:sz w:val="22"/>
                <w:szCs w:val="22"/>
                <w:lang w:val="hr-HR"/>
              </w:rPr>
            </w:pPr>
            <w:r w:rsidRPr="0013178E">
              <w:rPr>
                <w:sz w:val="22"/>
                <w:szCs w:val="22"/>
                <w:lang w:val="hr-HR"/>
              </w:rPr>
              <w:t>Peptički ulkus (sa mogućom perforacijom i hemoragijom); intestinalna perforacija; krvarenje iz želuca; pankreatitis; ulcerativni ezofagitis; ezofagitis; abdominalna distenzija; abdominalni bol; dijareja; dispepsija; ezofagealna kandidijaza; mučnina; povraćanje; neprijatan ukus u ustima</w:t>
            </w:r>
          </w:p>
          <w:p w14:paraId="0FEF5155" w14:textId="77777777" w:rsidR="00E40785" w:rsidRPr="0013178E" w:rsidRDefault="00E40785">
            <w:pPr>
              <w:overflowPunct w:val="0"/>
              <w:autoSpaceDN w:val="0"/>
              <w:adjustRightInd w:val="0"/>
              <w:textAlignment w:val="baseline"/>
              <w:rPr>
                <w:sz w:val="22"/>
                <w:szCs w:val="22"/>
                <w:lang w:val="hr-HR"/>
              </w:rPr>
            </w:pPr>
          </w:p>
        </w:tc>
      </w:tr>
      <w:tr w:rsidR="00043288" w:rsidRPr="00A81BE4" w14:paraId="24409039" w14:textId="77777777" w:rsidTr="00897866">
        <w:trPr>
          <w:cantSplit/>
          <w:trHeight w:val="628"/>
        </w:trPr>
        <w:tc>
          <w:tcPr>
            <w:tcW w:w="2835" w:type="dxa"/>
            <w:shd w:val="clear" w:color="auto" w:fill="auto"/>
          </w:tcPr>
          <w:p w14:paraId="59754BB2" w14:textId="77777777" w:rsidR="00E40785" w:rsidRPr="0013178E" w:rsidRDefault="00E40785">
            <w:pPr>
              <w:overflowPunct w:val="0"/>
              <w:autoSpaceDN w:val="0"/>
              <w:adjustRightInd w:val="0"/>
              <w:textAlignment w:val="baseline"/>
              <w:rPr>
                <w:b/>
                <w:i/>
                <w:sz w:val="22"/>
                <w:szCs w:val="22"/>
                <w:lang w:val="hr-HR"/>
              </w:rPr>
            </w:pPr>
            <w:r w:rsidRPr="0013178E">
              <w:rPr>
                <w:b/>
                <w:i/>
                <w:sz w:val="22"/>
                <w:szCs w:val="22"/>
                <w:lang w:val="hr-HR"/>
              </w:rPr>
              <w:t>Hepatobilijarni poremećaji</w:t>
            </w:r>
          </w:p>
        </w:tc>
        <w:tc>
          <w:tcPr>
            <w:tcW w:w="6237" w:type="dxa"/>
            <w:shd w:val="clear" w:color="auto" w:fill="auto"/>
          </w:tcPr>
          <w:p w14:paraId="03E5DC49" w14:textId="77777777" w:rsidR="00E40785" w:rsidRPr="0013178E" w:rsidRDefault="00E40785">
            <w:pPr>
              <w:overflowPunct w:val="0"/>
              <w:autoSpaceDN w:val="0"/>
              <w:adjustRightInd w:val="0"/>
              <w:textAlignment w:val="baseline"/>
              <w:rPr>
                <w:sz w:val="22"/>
                <w:szCs w:val="22"/>
                <w:lang w:val="hr-HR"/>
              </w:rPr>
            </w:pPr>
            <w:r w:rsidRPr="0013178E">
              <w:rPr>
                <w:sz w:val="22"/>
                <w:szCs w:val="22"/>
                <w:lang w:val="hr-HR"/>
              </w:rPr>
              <w:t>Hepatitis</w:t>
            </w:r>
            <w:r w:rsidRPr="0013178E">
              <w:rPr>
                <w:sz w:val="22"/>
                <w:szCs w:val="22"/>
                <w:vertAlign w:val="superscript"/>
                <w:lang w:val="hr-HR"/>
              </w:rPr>
              <w:t>†</w:t>
            </w:r>
            <w:r w:rsidRPr="0013178E">
              <w:rPr>
                <w:sz w:val="22"/>
                <w:szCs w:val="22"/>
                <w:lang w:val="hr-HR"/>
              </w:rPr>
              <w:t>, porast enzima jetre (povećani nivoi alanin aminotransferaze (ALT), aspartat aminotransferaze (AST))</w:t>
            </w:r>
          </w:p>
        </w:tc>
      </w:tr>
      <w:tr w:rsidR="00043288" w:rsidRPr="008620B4" w14:paraId="29013431" w14:textId="77777777" w:rsidTr="00897866">
        <w:trPr>
          <w:cantSplit/>
          <w:trHeight w:val="976"/>
        </w:trPr>
        <w:tc>
          <w:tcPr>
            <w:tcW w:w="2835" w:type="dxa"/>
          </w:tcPr>
          <w:p w14:paraId="5BE99AEB" w14:textId="77777777" w:rsidR="00E40785" w:rsidRPr="0013178E" w:rsidRDefault="00E40785">
            <w:pPr>
              <w:overflowPunct w:val="0"/>
              <w:autoSpaceDN w:val="0"/>
              <w:adjustRightInd w:val="0"/>
              <w:textAlignment w:val="baseline"/>
              <w:rPr>
                <w:b/>
                <w:bCs/>
                <w:i/>
                <w:sz w:val="22"/>
                <w:szCs w:val="22"/>
                <w:lang w:val="hr-HR"/>
              </w:rPr>
            </w:pPr>
            <w:r w:rsidRPr="0013178E">
              <w:rPr>
                <w:b/>
                <w:i/>
                <w:sz w:val="22"/>
                <w:szCs w:val="22"/>
                <w:lang w:val="hr-HR"/>
              </w:rPr>
              <w:lastRenderedPageBreak/>
              <w:t>Poremećaji na nivou kože i potkožnog tkiva</w:t>
            </w:r>
          </w:p>
        </w:tc>
        <w:tc>
          <w:tcPr>
            <w:tcW w:w="6237" w:type="dxa"/>
            <w:shd w:val="clear" w:color="auto" w:fill="auto"/>
          </w:tcPr>
          <w:p w14:paraId="2BE91CC3" w14:textId="77777777" w:rsidR="00E40785" w:rsidRPr="0013178E" w:rsidRDefault="00E40785">
            <w:pPr>
              <w:overflowPunct w:val="0"/>
              <w:autoSpaceDN w:val="0"/>
              <w:adjustRightInd w:val="0"/>
              <w:textAlignment w:val="baseline"/>
              <w:rPr>
                <w:sz w:val="22"/>
                <w:szCs w:val="22"/>
                <w:lang w:val="hr-HR"/>
              </w:rPr>
            </w:pPr>
            <w:r w:rsidRPr="0013178E">
              <w:rPr>
                <w:sz w:val="22"/>
                <w:szCs w:val="22"/>
                <w:lang w:val="hr-HR"/>
              </w:rPr>
              <w:t xml:space="preserve">Angioedem; hirzutizam; petehije; ekhimoze; atrofija kože; eritem; prekomjerno znojenje; strije; osip; pruritus; urtikarija; akne; hipopigmentacija kože; hiperpigmentacija kože; telangiektazija </w:t>
            </w:r>
          </w:p>
        </w:tc>
      </w:tr>
      <w:tr w:rsidR="00043288" w:rsidRPr="008620B4" w14:paraId="775AB517" w14:textId="77777777" w:rsidTr="00897866">
        <w:trPr>
          <w:cantSplit/>
          <w:trHeight w:val="976"/>
        </w:trPr>
        <w:tc>
          <w:tcPr>
            <w:tcW w:w="2835" w:type="dxa"/>
          </w:tcPr>
          <w:p w14:paraId="2E3BFCFD" w14:textId="77777777" w:rsidR="00E40785" w:rsidRPr="0013178E" w:rsidRDefault="00E40785">
            <w:pPr>
              <w:overflowPunct w:val="0"/>
              <w:autoSpaceDN w:val="0"/>
              <w:adjustRightInd w:val="0"/>
              <w:textAlignment w:val="baseline"/>
              <w:rPr>
                <w:b/>
                <w:bCs/>
                <w:i/>
                <w:sz w:val="22"/>
                <w:szCs w:val="22"/>
                <w:lang w:val="hr-HR"/>
              </w:rPr>
            </w:pPr>
            <w:r w:rsidRPr="0013178E">
              <w:rPr>
                <w:b/>
                <w:i/>
                <w:sz w:val="22"/>
                <w:szCs w:val="22"/>
                <w:lang w:val="hr-HR"/>
              </w:rPr>
              <w:t>Poremećaji mišićno-skeletnog sistema i vezivnog tkiva</w:t>
            </w:r>
          </w:p>
        </w:tc>
        <w:tc>
          <w:tcPr>
            <w:tcW w:w="6237" w:type="dxa"/>
            <w:shd w:val="clear" w:color="auto" w:fill="auto"/>
          </w:tcPr>
          <w:p w14:paraId="4E6550CC" w14:textId="77777777" w:rsidR="00E40785" w:rsidRPr="0013178E" w:rsidRDefault="00E40785">
            <w:pPr>
              <w:overflowPunct w:val="0"/>
              <w:autoSpaceDN w:val="0"/>
              <w:adjustRightInd w:val="0"/>
              <w:textAlignment w:val="baseline"/>
              <w:rPr>
                <w:sz w:val="22"/>
                <w:szCs w:val="22"/>
                <w:lang w:val="hr-HR"/>
              </w:rPr>
            </w:pPr>
            <w:r w:rsidRPr="0013178E">
              <w:rPr>
                <w:sz w:val="22"/>
                <w:szCs w:val="22"/>
                <w:lang w:val="hr-HR"/>
              </w:rPr>
              <w:t xml:space="preserve">Mišićna slabost; mijalgija; miopatija; atrofija mišića; osteoporoza; osteonekroza; patološka fraktura; </w:t>
            </w:r>
          </w:p>
          <w:p w14:paraId="1FD9889D" w14:textId="77777777" w:rsidR="00E40785" w:rsidRPr="0013178E" w:rsidRDefault="00E40785">
            <w:pPr>
              <w:overflowPunct w:val="0"/>
              <w:autoSpaceDN w:val="0"/>
              <w:adjustRightInd w:val="0"/>
              <w:textAlignment w:val="baseline"/>
              <w:rPr>
                <w:sz w:val="22"/>
                <w:szCs w:val="22"/>
                <w:lang w:val="hr-HR"/>
              </w:rPr>
            </w:pPr>
            <w:r w:rsidRPr="0013178E">
              <w:rPr>
                <w:sz w:val="22"/>
                <w:szCs w:val="22"/>
                <w:lang w:val="hr-HR"/>
              </w:rPr>
              <w:t>neuropatska artropatija; artralgija; zastoj rasta</w:t>
            </w:r>
          </w:p>
        </w:tc>
      </w:tr>
      <w:tr w:rsidR="00043288" w:rsidRPr="00A81BE4" w14:paraId="41D53243" w14:textId="77777777" w:rsidTr="00897866">
        <w:trPr>
          <w:cantSplit/>
          <w:trHeight w:val="288"/>
        </w:trPr>
        <w:tc>
          <w:tcPr>
            <w:tcW w:w="2835" w:type="dxa"/>
          </w:tcPr>
          <w:p w14:paraId="6DE22D30" w14:textId="77777777" w:rsidR="00E40785" w:rsidRPr="0013178E" w:rsidRDefault="00E40785">
            <w:pPr>
              <w:overflowPunct w:val="0"/>
              <w:autoSpaceDN w:val="0"/>
              <w:adjustRightInd w:val="0"/>
              <w:textAlignment w:val="baseline"/>
              <w:rPr>
                <w:b/>
                <w:bCs/>
                <w:i/>
                <w:sz w:val="22"/>
                <w:szCs w:val="22"/>
                <w:lang w:val="hr-HR"/>
              </w:rPr>
            </w:pPr>
            <w:r w:rsidRPr="0013178E">
              <w:rPr>
                <w:b/>
                <w:i/>
                <w:sz w:val="22"/>
                <w:szCs w:val="22"/>
                <w:lang w:val="hr-HR"/>
              </w:rPr>
              <w:t>Poremećaji reproduktivnog sistema i dojki</w:t>
            </w:r>
          </w:p>
        </w:tc>
        <w:tc>
          <w:tcPr>
            <w:tcW w:w="6237" w:type="dxa"/>
            <w:shd w:val="clear" w:color="auto" w:fill="auto"/>
          </w:tcPr>
          <w:p w14:paraId="18EC71C4" w14:textId="77777777" w:rsidR="00E40785" w:rsidRPr="0013178E" w:rsidRDefault="00E40785">
            <w:pPr>
              <w:overflowPunct w:val="0"/>
              <w:autoSpaceDN w:val="0"/>
              <w:adjustRightInd w:val="0"/>
              <w:textAlignment w:val="baseline"/>
              <w:rPr>
                <w:sz w:val="22"/>
                <w:szCs w:val="22"/>
                <w:lang w:val="hr-HR"/>
              </w:rPr>
            </w:pPr>
            <w:r w:rsidRPr="0013178E">
              <w:rPr>
                <w:sz w:val="22"/>
                <w:szCs w:val="22"/>
                <w:lang w:val="hr-HR"/>
              </w:rPr>
              <w:t>Poremećaji menstruacije; amenoreja</w:t>
            </w:r>
          </w:p>
        </w:tc>
      </w:tr>
      <w:tr w:rsidR="00043288" w:rsidRPr="008620B4" w14:paraId="27A2D144" w14:textId="77777777" w:rsidTr="00897866">
        <w:trPr>
          <w:cantSplit/>
          <w:trHeight w:val="707"/>
        </w:trPr>
        <w:tc>
          <w:tcPr>
            <w:tcW w:w="2835" w:type="dxa"/>
          </w:tcPr>
          <w:p w14:paraId="2AF607D0" w14:textId="77777777" w:rsidR="00E40785" w:rsidRPr="0013178E" w:rsidRDefault="00E40785">
            <w:pPr>
              <w:overflowPunct w:val="0"/>
              <w:autoSpaceDN w:val="0"/>
              <w:adjustRightInd w:val="0"/>
              <w:textAlignment w:val="baseline"/>
              <w:rPr>
                <w:b/>
                <w:bCs/>
                <w:i/>
                <w:sz w:val="22"/>
                <w:szCs w:val="22"/>
                <w:lang w:val="hr-HR"/>
              </w:rPr>
            </w:pPr>
            <w:r w:rsidRPr="0013178E">
              <w:rPr>
                <w:b/>
                <w:i/>
                <w:sz w:val="22"/>
                <w:szCs w:val="22"/>
                <w:lang w:val="hr-HR"/>
              </w:rPr>
              <w:t>Opšti poremećaji i reakcije na mjestu primjene</w:t>
            </w:r>
          </w:p>
        </w:tc>
        <w:tc>
          <w:tcPr>
            <w:tcW w:w="6237" w:type="dxa"/>
            <w:shd w:val="clear" w:color="auto" w:fill="auto"/>
          </w:tcPr>
          <w:p w14:paraId="3B967760" w14:textId="77777777" w:rsidR="00E40785" w:rsidRPr="0013178E" w:rsidRDefault="00E40785">
            <w:pPr>
              <w:overflowPunct w:val="0"/>
              <w:autoSpaceDN w:val="0"/>
              <w:adjustRightInd w:val="0"/>
              <w:textAlignment w:val="baseline"/>
              <w:rPr>
                <w:sz w:val="22"/>
                <w:szCs w:val="22"/>
                <w:lang w:val="hr-HR"/>
              </w:rPr>
            </w:pPr>
            <w:r w:rsidRPr="0013178E">
              <w:rPr>
                <w:sz w:val="22"/>
                <w:szCs w:val="22"/>
                <w:lang w:val="hr-HR"/>
              </w:rPr>
              <w:t xml:space="preserve">Usporeno zarastanje rana; Periferni edem; umor; malaksalost; </w:t>
            </w:r>
          </w:p>
          <w:p w14:paraId="166E7C4A" w14:textId="77777777" w:rsidR="00E40785" w:rsidRPr="0013178E" w:rsidRDefault="00E40785">
            <w:pPr>
              <w:overflowPunct w:val="0"/>
              <w:autoSpaceDN w:val="0"/>
              <w:adjustRightInd w:val="0"/>
              <w:textAlignment w:val="baseline"/>
              <w:rPr>
                <w:sz w:val="22"/>
                <w:szCs w:val="22"/>
                <w:lang w:val="hr-HR"/>
              </w:rPr>
            </w:pPr>
            <w:r w:rsidRPr="0013178E">
              <w:rPr>
                <w:sz w:val="22"/>
                <w:szCs w:val="22"/>
                <w:lang w:val="hr-HR"/>
              </w:rPr>
              <w:t xml:space="preserve">Reakcija na mjestu injekcije </w:t>
            </w:r>
          </w:p>
        </w:tc>
      </w:tr>
      <w:tr w:rsidR="00043288" w:rsidRPr="008620B4" w14:paraId="7161FD9B" w14:textId="77777777" w:rsidTr="00897866">
        <w:trPr>
          <w:cantSplit/>
          <w:trHeight w:val="1066"/>
        </w:trPr>
        <w:tc>
          <w:tcPr>
            <w:tcW w:w="2835" w:type="dxa"/>
          </w:tcPr>
          <w:p w14:paraId="2C42E1E4" w14:textId="77777777" w:rsidR="00E40785" w:rsidRPr="0013178E" w:rsidRDefault="00E40785">
            <w:pPr>
              <w:overflowPunct w:val="0"/>
              <w:autoSpaceDN w:val="0"/>
              <w:adjustRightInd w:val="0"/>
              <w:textAlignment w:val="baseline"/>
              <w:rPr>
                <w:b/>
                <w:bCs/>
                <w:i/>
                <w:sz w:val="22"/>
                <w:szCs w:val="22"/>
                <w:lang w:val="hr-HR"/>
              </w:rPr>
            </w:pPr>
            <w:r w:rsidRPr="0013178E">
              <w:rPr>
                <w:b/>
                <w:i/>
                <w:sz w:val="22"/>
                <w:szCs w:val="22"/>
                <w:lang w:val="hr-HR"/>
              </w:rPr>
              <w:t>Ispitivanja</w:t>
            </w:r>
          </w:p>
        </w:tc>
        <w:tc>
          <w:tcPr>
            <w:tcW w:w="6237" w:type="dxa"/>
            <w:shd w:val="clear" w:color="auto" w:fill="auto"/>
          </w:tcPr>
          <w:p w14:paraId="1CE0A68C" w14:textId="77777777" w:rsidR="00E40785" w:rsidRPr="0013178E" w:rsidRDefault="00E40785">
            <w:pPr>
              <w:overflowPunct w:val="0"/>
              <w:autoSpaceDN w:val="0"/>
              <w:adjustRightInd w:val="0"/>
              <w:textAlignment w:val="baseline"/>
              <w:rPr>
                <w:sz w:val="22"/>
                <w:szCs w:val="22"/>
                <w:lang w:val="hr-HR"/>
              </w:rPr>
            </w:pPr>
            <w:r w:rsidRPr="0013178E">
              <w:rPr>
                <w:sz w:val="22"/>
                <w:szCs w:val="22"/>
                <w:lang w:val="hr-HR"/>
              </w:rPr>
              <w:t xml:space="preserve">Povišen intraokularni pritisak; smanjena tolerancija ugljenih hidrata; smanjenje kalijuma u krvi; povišena koncentracija kalcijuma u mokraći; povišena koncentracija alkalne fosfataze u krvi; povišena koncentracija uree u krvi; smanjena </w:t>
            </w:r>
            <w:r w:rsidR="000D3287" w:rsidRPr="0013178E">
              <w:rPr>
                <w:sz w:val="22"/>
                <w:szCs w:val="22"/>
                <w:lang w:val="hr-HR"/>
              </w:rPr>
              <w:t>reakcija</w:t>
            </w:r>
            <w:r w:rsidRPr="0013178E">
              <w:rPr>
                <w:sz w:val="22"/>
                <w:szCs w:val="22"/>
                <w:lang w:val="hr-HR"/>
              </w:rPr>
              <w:t xml:space="preserve"> pri izvođenju kožnih testova* </w:t>
            </w:r>
            <w:r w:rsidRPr="0013178E">
              <w:rPr>
                <w:sz w:val="22"/>
                <w:szCs w:val="22"/>
                <w:lang w:val="hr-HR"/>
              </w:rPr>
              <w:br/>
            </w:r>
          </w:p>
        </w:tc>
      </w:tr>
      <w:tr w:rsidR="00043288" w:rsidRPr="00BB2CEB" w14:paraId="55308C99" w14:textId="77777777" w:rsidTr="00897866">
        <w:trPr>
          <w:cantSplit/>
          <w:trHeight w:val="288"/>
        </w:trPr>
        <w:tc>
          <w:tcPr>
            <w:tcW w:w="2835" w:type="dxa"/>
          </w:tcPr>
          <w:p w14:paraId="574B1EB7" w14:textId="77777777" w:rsidR="00E40785" w:rsidRPr="0013178E" w:rsidRDefault="00E40785">
            <w:pPr>
              <w:overflowPunct w:val="0"/>
              <w:autoSpaceDN w:val="0"/>
              <w:adjustRightInd w:val="0"/>
              <w:textAlignment w:val="baseline"/>
              <w:rPr>
                <w:b/>
                <w:bCs/>
                <w:i/>
                <w:sz w:val="22"/>
                <w:szCs w:val="22"/>
                <w:lang w:val="hr-HR"/>
              </w:rPr>
            </w:pPr>
            <w:r w:rsidRPr="0013178E">
              <w:rPr>
                <w:b/>
                <w:i/>
                <w:sz w:val="22"/>
                <w:szCs w:val="22"/>
                <w:lang w:val="hr-HR"/>
              </w:rPr>
              <w:t>Povrede, trovanja i komplikacije procedura</w:t>
            </w:r>
          </w:p>
        </w:tc>
        <w:tc>
          <w:tcPr>
            <w:tcW w:w="6237" w:type="dxa"/>
          </w:tcPr>
          <w:p w14:paraId="77E6329C" w14:textId="77777777" w:rsidR="00E40785" w:rsidRPr="0013178E" w:rsidRDefault="00E40785">
            <w:pPr>
              <w:overflowPunct w:val="0"/>
              <w:autoSpaceDN w:val="0"/>
              <w:adjustRightInd w:val="0"/>
              <w:textAlignment w:val="baseline"/>
              <w:rPr>
                <w:sz w:val="22"/>
                <w:szCs w:val="22"/>
                <w:lang w:val="hr-HR"/>
              </w:rPr>
            </w:pPr>
            <w:r w:rsidRPr="0013178E">
              <w:rPr>
                <w:sz w:val="22"/>
                <w:szCs w:val="22"/>
                <w:lang w:val="hr-HR"/>
              </w:rPr>
              <w:t>Kompresivna fraktura kičme; ruptura tetive</w:t>
            </w:r>
          </w:p>
        </w:tc>
      </w:tr>
    </w:tbl>
    <w:p w14:paraId="428EA239" w14:textId="77777777" w:rsidR="00E40785" w:rsidRPr="0013178E" w:rsidRDefault="00E40785" w:rsidP="00430A60">
      <w:pPr>
        <w:overflowPunct w:val="0"/>
        <w:autoSpaceDN w:val="0"/>
        <w:adjustRightInd w:val="0"/>
        <w:jc w:val="both"/>
        <w:textAlignment w:val="baseline"/>
        <w:rPr>
          <w:sz w:val="22"/>
          <w:szCs w:val="22"/>
          <w:lang w:val="hr-HR"/>
        </w:rPr>
      </w:pPr>
      <w:r w:rsidRPr="0013178E">
        <w:rPr>
          <w:sz w:val="22"/>
          <w:szCs w:val="22"/>
          <w:lang w:val="hr-HR"/>
        </w:rPr>
        <w:t>*Nije standardni MedDRA termin</w:t>
      </w:r>
    </w:p>
    <w:p w14:paraId="74F239F9" w14:textId="71C13679" w:rsidR="00E40785" w:rsidRPr="0013178E" w:rsidRDefault="00E40785" w:rsidP="00430A60">
      <w:pPr>
        <w:overflowPunct w:val="0"/>
        <w:autoSpaceDN w:val="0"/>
        <w:adjustRightInd w:val="0"/>
        <w:jc w:val="both"/>
        <w:textAlignment w:val="baseline"/>
        <w:rPr>
          <w:sz w:val="22"/>
          <w:szCs w:val="22"/>
          <w:lang w:val="hr-HR"/>
        </w:rPr>
      </w:pPr>
      <w:r w:rsidRPr="0013178E">
        <w:rPr>
          <w:sz w:val="22"/>
          <w:szCs w:val="22"/>
          <w:vertAlign w:val="superscript"/>
          <w:lang w:val="hr-HR"/>
        </w:rPr>
        <w:t xml:space="preserve">† </w:t>
      </w:r>
      <w:r w:rsidRPr="0013178E">
        <w:rPr>
          <w:sz w:val="22"/>
          <w:szCs w:val="22"/>
          <w:lang w:val="hr-HR"/>
        </w:rPr>
        <w:t xml:space="preserve">Hepatitis je uglavnom prijavljen nakon intravenske primjene lijeka (vidjeti </w:t>
      </w:r>
      <w:r w:rsidR="009E76C5">
        <w:rPr>
          <w:sz w:val="22"/>
          <w:szCs w:val="22"/>
          <w:lang w:val="hr-HR"/>
        </w:rPr>
        <w:t>dio</w:t>
      </w:r>
      <w:r w:rsidRPr="0013178E">
        <w:rPr>
          <w:sz w:val="22"/>
          <w:szCs w:val="22"/>
          <w:lang w:val="hr-HR"/>
        </w:rPr>
        <w:t xml:space="preserve"> 4.4).</w:t>
      </w:r>
    </w:p>
    <w:p w14:paraId="0BA6FA6C" w14:textId="1C53A8C9" w:rsidR="00E40785" w:rsidRPr="0013178E" w:rsidRDefault="00E40785" w:rsidP="00430A60">
      <w:pPr>
        <w:overflowPunct w:val="0"/>
        <w:autoSpaceDN w:val="0"/>
        <w:adjustRightInd w:val="0"/>
        <w:jc w:val="both"/>
        <w:textAlignment w:val="baseline"/>
        <w:rPr>
          <w:sz w:val="22"/>
          <w:szCs w:val="22"/>
          <w:lang w:val="hr-HR"/>
        </w:rPr>
      </w:pPr>
      <w:r w:rsidRPr="0013178E">
        <w:rPr>
          <w:sz w:val="22"/>
          <w:szCs w:val="22"/>
          <w:lang w:val="hr-HR"/>
        </w:rPr>
        <w:t xml:space="preserve">#Peritonitis može biti primarni pojavni znak ili simptom gastrointestinalnog poremećaja, kao što je perforacija, opstrukcija ili pankreatitis (vidjeti </w:t>
      </w:r>
      <w:r w:rsidR="009E76C5">
        <w:rPr>
          <w:sz w:val="22"/>
          <w:szCs w:val="22"/>
          <w:lang w:val="hr-HR"/>
        </w:rPr>
        <w:t>dio</w:t>
      </w:r>
      <w:r w:rsidRPr="0013178E">
        <w:rPr>
          <w:sz w:val="22"/>
          <w:szCs w:val="22"/>
          <w:lang w:val="hr-HR"/>
        </w:rPr>
        <w:t xml:space="preserve"> 4.4).</w:t>
      </w:r>
    </w:p>
    <w:p w14:paraId="1FE1C98B" w14:textId="77777777" w:rsidR="00E40785" w:rsidRPr="0013178E" w:rsidRDefault="00E40785" w:rsidP="00E40785">
      <w:pPr>
        <w:numPr>
          <w:ilvl w:val="12"/>
          <w:numId w:val="0"/>
        </w:numPr>
        <w:overflowPunct w:val="0"/>
        <w:autoSpaceDN w:val="0"/>
        <w:adjustRightInd w:val="0"/>
        <w:ind w:left="708"/>
        <w:textAlignment w:val="baseline"/>
        <w:rPr>
          <w:color w:val="FF0000"/>
          <w:sz w:val="22"/>
          <w:szCs w:val="22"/>
          <w:lang w:val="hr-HR"/>
        </w:rPr>
      </w:pPr>
    </w:p>
    <w:p w14:paraId="33FD97D6" w14:textId="77777777" w:rsidR="001D6169" w:rsidRPr="0013178E" w:rsidRDefault="001D6169" w:rsidP="001D6169">
      <w:pPr>
        <w:spacing w:after="200" w:line="276" w:lineRule="auto"/>
        <w:rPr>
          <w:rFonts w:eastAsia="Calibri"/>
          <w:sz w:val="22"/>
          <w:szCs w:val="22"/>
          <w:u w:val="single"/>
          <w:lang w:val="hr-HR"/>
        </w:rPr>
      </w:pPr>
      <w:r w:rsidRPr="0013178E">
        <w:rPr>
          <w:rFonts w:eastAsia="Calibri"/>
          <w:sz w:val="22"/>
          <w:szCs w:val="22"/>
          <w:u w:val="single"/>
          <w:lang w:val="hr-HR"/>
        </w:rPr>
        <w:t>Prijavljivanje sumnji na neželjena dejstva</w:t>
      </w:r>
    </w:p>
    <w:p w14:paraId="1ED64620" w14:textId="77777777" w:rsidR="00332443" w:rsidRPr="0013178E" w:rsidRDefault="001D6169" w:rsidP="001D6169">
      <w:pPr>
        <w:spacing w:after="200"/>
        <w:jc w:val="both"/>
        <w:rPr>
          <w:rFonts w:eastAsia="Calibri"/>
          <w:sz w:val="22"/>
          <w:szCs w:val="22"/>
          <w:lang w:val="hr-HR"/>
        </w:rPr>
      </w:pPr>
      <w:r w:rsidRPr="0013178E">
        <w:rPr>
          <w:rFonts w:eastAsia="Calibri"/>
          <w:sz w:val="22"/>
          <w:szCs w:val="22"/>
          <w:lang w:val="hr-HR"/>
        </w:rPr>
        <w:t xml:space="preserve">Prijavljivanje neželjenih dejstava nakon dobijanja dozvole je od velikog značaja jer obezbjeđuje kontinuirano praćenje odnosa korist/rizik primjene lijeka. Zdravstveni radnici treba da prijave svaku sumnju na neželjeno dejstvo ovog lijeka </w:t>
      </w:r>
      <w:r w:rsidR="00332443" w:rsidRPr="0013178E">
        <w:rPr>
          <w:rFonts w:eastAsia="Calibri"/>
          <w:sz w:val="22"/>
          <w:szCs w:val="22"/>
          <w:lang w:val="hr-HR"/>
        </w:rPr>
        <w:t>Institutu za ljekove i medicinska sredstva (CInMED):</w:t>
      </w:r>
    </w:p>
    <w:p w14:paraId="534D8959" w14:textId="77777777" w:rsidR="00332443" w:rsidRPr="0013178E" w:rsidRDefault="00332443" w:rsidP="00332443">
      <w:pPr>
        <w:pStyle w:val="NoSpacing"/>
        <w:jc w:val="both"/>
        <w:rPr>
          <w:rFonts w:eastAsia="Calibri"/>
          <w:sz w:val="22"/>
          <w:szCs w:val="22"/>
          <w:lang w:val="hr-HR"/>
        </w:rPr>
      </w:pPr>
      <w:r w:rsidRPr="0013178E">
        <w:rPr>
          <w:rFonts w:eastAsia="Calibri"/>
          <w:sz w:val="22"/>
          <w:szCs w:val="22"/>
          <w:lang w:val="hr-HR"/>
        </w:rPr>
        <w:t xml:space="preserve">Institut za ljekove i medicinska sredstva </w:t>
      </w:r>
    </w:p>
    <w:p w14:paraId="397E0784" w14:textId="77777777" w:rsidR="00AF2651" w:rsidRDefault="00332443" w:rsidP="001D6169">
      <w:pPr>
        <w:pStyle w:val="NoSpacing"/>
        <w:jc w:val="both"/>
        <w:rPr>
          <w:rFonts w:eastAsia="Calibri"/>
          <w:sz w:val="22"/>
          <w:szCs w:val="22"/>
          <w:lang w:val="hr-HR"/>
        </w:rPr>
      </w:pPr>
      <w:r w:rsidRPr="0013178E">
        <w:rPr>
          <w:rFonts w:eastAsia="Calibri"/>
          <w:sz w:val="22"/>
          <w:szCs w:val="22"/>
          <w:lang w:val="hr-HR"/>
        </w:rPr>
        <w:t>Odjeljenje za farmakovigilancu</w:t>
      </w:r>
    </w:p>
    <w:p w14:paraId="4AC6917D" w14:textId="79AB3E32" w:rsidR="001D6169" w:rsidRPr="0013178E" w:rsidRDefault="001D6169" w:rsidP="001D6169">
      <w:pPr>
        <w:pStyle w:val="NoSpacing"/>
        <w:jc w:val="both"/>
        <w:rPr>
          <w:rFonts w:eastAsia="Calibri"/>
          <w:sz w:val="22"/>
          <w:szCs w:val="22"/>
          <w:lang w:val="hr-HR"/>
        </w:rPr>
      </w:pPr>
      <w:r w:rsidRPr="0013178E">
        <w:rPr>
          <w:rFonts w:eastAsia="Calibri"/>
          <w:sz w:val="22"/>
          <w:szCs w:val="22"/>
          <w:lang w:val="hr-HR"/>
        </w:rPr>
        <w:t>Bulevar Ivana Crnojevića 64a, 81000 Podgorica</w:t>
      </w:r>
    </w:p>
    <w:p w14:paraId="3EC838F5" w14:textId="2B2A12F9" w:rsidR="001D6169" w:rsidRPr="0013178E" w:rsidRDefault="001D6169" w:rsidP="001D6169">
      <w:pPr>
        <w:pStyle w:val="NoSpacing"/>
        <w:rPr>
          <w:rFonts w:eastAsia="Calibri"/>
          <w:sz w:val="22"/>
          <w:szCs w:val="22"/>
          <w:lang w:val="hr-HR"/>
        </w:rPr>
      </w:pPr>
    </w:p>
    <w:p w14:paraId="223DF2F6" w14:textId="77777777" w:rsidR="001D6169" w:rsidRPr="0013178E" w:rsidRDefault="001D6169" w:rsidP="001D6169">
      <w:pPr>
        <w:pStyle w:val="NoSpacing"/>
        <w:jc w:val="both"/>
        <w:rPr>
          <w:rFonts w:eastAsia="Calibri"/>
          <w:sz w:val="22"/>
          <w:szCs w:val="22"/>
          <w:lang w:val="hr-HR"/>
        </w:rPr>
      </w:pPr>
      <w:r w:rsidRPr="0013178E">
        <w:rPr>
          <w:rFonts w:eastAsia="Calibri"/>
          <w:sz w:val="22"/>
          <w:szCs w:val="22"/>
          <w:lang w:val="hr-HR"/>
        </w:rPr>
        <w:t>tel: +382 (0) 20 310 280</w:t>
      </w:r>
    </w:p>
    <w:p w14:paraId="3D9E86AF" w14:textId="77777777" w:rsidR="001D6169" w:rsidRPr="0013178E" w:rsidRDefault="001D6169" w:rsidP="001D6169">
      <w:pPr>
        <w:pStyle w:val="NoSpacing"/>
        <w:jc w:val="both"/>
        <w:rPr>
          <w:rFonts w:eastAsia="Calibri"/>
          <w:sz w:val="22"/>
          <w:szCs w:val="22"/>
          <w:lang w:val="hr-HR"/>
        </w:rPr>
      </w:pPr>
      <w:r w:rsidRPr="0013178E">
        <w:rPr>
          <w:rFonts w:eastAsia="Calibri"/>
          <w:sz w:val="22"/>
          <w:szCs w:val="22"/>
          <w:lang w:val="hr-HR"/>
        </w:rPr>
        <w:t>fax: +382 (0) 20 310 581</w:t>
      </w:r>
    </w:p>
    <w:p w14:paraId="071038F2" w14:textId="77777777" w:rsidR="00586D86" w:rsidRPr="0013178E" w:rsidRDefault="00056DB7" w:rsidP="00586D86">
      <w:pPr>
        <w:widowControl/>
        <w:suppressAutoHyphens w:val="0"/>
        <w:autoSpaceDE/>
        <w:jc w:val="both"/>
        <w:rPr>
          <w:rFonts w:eastAsia="Calibri"/>
          <w:sz w:val="22"/>
          <w:szCs w:val="22"/>
          <w:lang w:val="hr-HR" w:eastAsia="en-US"/>
        </w:rPr>
      </w:pPr>
      <w:hyperlink r:id="rId8" w:history="1">
        <w:r w:rsidR="00586D86" w:rsidRPr="0013178E">
          <w:rPr>
            <w:rFonts w:eastAsia="Calibri"/>
            <w:color w:val="0000FF"/>
            <w:sz w:val="22"/>
            <w:szCs w:val="22"/>
            <w:u w:val="single"/>
            <w:lang w:val="hr-HR" w:eastAsia="en-US"/>
          </w:rPr>
          <w:t>www.cinmed.me</w:t>
        </w:r>
      </w:hyperlink>
    </w:p>
    <w:p w14:paraId="146540B5" w14:textId="77777777" w:rsidR="00586D86" w:rsidRPr="0013178E" w:rsidRDefault="00056DB7" w:rsidP="00586D86">
      <w:pPr>
        <w:widowControl/>
        <w:suppressAutoHyphens w:val="0"/>
        <w:autoSpaceDE/>
        <w:jc w:val="both"/>
        <w:rPr>
          <w:rFonts w:eastAsia="Calibri"/>
          <w:color w:val="0000FF"/>
          <w:sz w:val="22"/>
          <w:szCs w:val="22"/>
          <w:u w:val="single"/>
          <w:lang w:val="hr-HR" w:eastAsia="en-US"/>
        </w:rPr>
      </w:pPr>
      <w:hyperlink r:id="rId9" w:history="1">
        <w:r w:rsidR="00586D86" w:rsidRPr="0013178E">
          <w:rPr>
            <w:rFonts w:eastAsia="Calibri"/>
            <w:color w:val="0000FF"/>
            <w:sz w:val="22"/>
            <w:szCs w:val="22"/>
            <w:u w:val="single"/>
            <w:lang w:val="hr-HR" w:eastAsia="en-US"/>
          </w:rPr>
          <w:t>nezeljenadejstva@cinmed.me</w:t>
        </w:r>
      </w:hyperlink>
    </w:p>
    <w:p w14:paraId="435FE1DB" w14:textId="77777777" w:rsidR="001D6169" w:rsidRDefault="001D6169" w:rsidP="001D6169">
      <w:pPr>
        <w:pStyle w:val="NoSpacing"/>
        <w:jc w:val="both"/>
        <w:rPr>
          <w:rFonts w:eastAsia="Calibri"/>
          <w:sz w:val="22"/>
          <w:szCs w:val="22"/>
          <w:lang w:val="hr-HR"/>
        </w:rPr>
      </w:pPr>
      <w:r w:rsidRPr="0013178E">
        <w:rPr>
          <w:rFonts w:eastAsia="Calibri"/>
          <w:sz w:val="22"/>
          <w:szCs w:val="22"/>
          <w:lang w:val="hr-HR"/>
        </w:rPr>
        <w:t>putem IS zdravstvene zaštite</w:t>
      </w:r>
    </w:p>
    <w:p w14:paraId="7DD4EAB8" w14:textId="06AE32DC" w:rsidR="006D5EC9" w:rsidRPr="00965D73" w:rsidRDefault="009A2F36" w:rsidP="001D6169">
      <w:pPr>
        <w:pStyle w:val="NoSpacing"/>
        <w:jc w:val="both"/>
        <w:rPr>
          <w:sz w:val="22"/>
          <w:szCs w:val="22"/>
          <w:lang w:val="hr-HR"/>
        </w:rPr>
      </w:pPr>
      <w:r w:rsidRPr="00965D73">
        <w:rPr>
          <w:sz w:val="22"/>
          <w:szCs w:val="22"/>
          <w:lang w:val="hr-HR"/>
        </w:rPr>
        <w:t>QR kod za online prijavu sumnje na neželjeno dejstvo lijeka:</w:t>
      </w:r>
    </w:p>
    <w:p w14:paraId="0CEEBE6B" w14:textId="77777777" w:rsidR="009A2F36" w:rsidRDefault="009A2F36" w:rsidP="001D6169">
      <w:pPr>
        <w:pStyle w:val="NoSpacing"/>
        <w:jc w:val="both"/>
        <w:rPr>
          <w:lang w:val="sr-Latn-ME"/>
        </w:rPr>
      </w:pPr>
    </w:p>
    <w:p w14:paraId="55D2E54B" w14:textId="1F54962C" w:rsidR="006D5EC9" w:rsidRPr="0013178E" w:rsidRDefault="000F707D" w:rsidP="001D6169">
      <w:pPr>
        <w:pStyle w:val="NoSpacing"/>
        <w:jc w:val="both"/>
        <w:rPr>
          <w:rFonts w:eastAsia="Calibri"/>
          <w:sz w:val="22"/>
          <w:szCs w:val="22"/>
          <w:lang w:val="hr-HR"/>
        </w:rPr>
      </w:pPr>
      <w:r w:rsidRPr="007F661E">
        <w:rPr>
          <w:b/>
          <w:bCs/>
          <w:noProof/>
          <w:szCs w:val="22"/>
        </w:rPr>
        <w:drawing>
          <wp:inline distT="0" distB="0" distL="0" distR="0" wp14:anchorId="0B11E9E8" wp14:editId="49472D8A">
            <wp:extent cx="980796" cy="972000"/>
            <wp:effectExtent l="0" t="0" r="0" b="0"/>
            <wp:docPr id="1" name="Picture 9" descr="A qr code on a white background&#10;&#10;AI-generated content may be incorrect.">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qr code on a white background&#10;&#10;AI-generated content may be incorrect.">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50686D58" w14:textId="278AC9A4" w:rsidR="00E40785" w:rsidRDefault="00E40785" w:rsidP="00E40785">
      <w:pPr>
        <w:overflowPunct w:val="0"/>
        <w:autoSpaceDN w:val="0"/>
        <w:adjustRightInd w:val="0"/>
        <w:textAlignment w:val="baseline"/>
        <w:rPr>
          <w:color w:val="FF0000"/>
          <w:sz w:val="22"/>
          <w:szCs w:val="22"/>
          <w:lang w:val="hr-HR"/>
        </w:rPr>
      </w:pPr>
    </w:p>
    <w:p w14:paraId="51379A31" w14:textId="77777777" w:rsidR="00E40785" w:rsidRPr="0013178E" w:rsidRDefault="00E40785" w:rsidP="00E40785">
      <w:pPr>
        <w:overflowPunct w:val="0"/>
        <w:autoSpaceDN w:val="0"/>
        <w:adjustRightInd w:val="0"/>
        <w:textAlignment w:val="baseline"/>
        <w:rPr>
          <w:sz w:val="22"/>
          <w:szCs w:val="22"/>
          <w:lang w:val="hr-HR"/>
        </w:rPr>
      </w:pPr>
      <w:r w:rsidRPr="0013178E">
        <w:rPr>
          <w:b/>
          <w:sz w:val="22"/>
          <w:szCs w:val="22"/>
          <w:lang w:val="hr-HR"/>
        </w:rPr>
        <w:t>4.9</w:t>
      </w:r>
      <w:r w:rsidRPr="0013178E">
        <w:rPr>
          <w:sz w:val="22"/>
          <w:szCs w:val="22"/>
          <w:lang w:val="hr-HR"/>
        </w:rPr>
        <w:tab/>
      </w:r>
      <w:r w:rsidRPr="0013178E">
        <w:rPr>
          <w:b/>
          <w:sz w:val="22"/>
          <w:szCs w:val="22"/>
          <w:lang w:val="hr-HR"/>
        </w:rPr>
        <w:t>Predoziranje</w:t>
      </w:r>
    </w:p>
    <w:p w14:paraId="5D231FBE" w14:textId="77777777" w:rsidR="00E40785" w:rsidRPr="0013178E" w:rsidRDefault="00E40785" w:rsidP="00E40785">
      <w:pPr>
        <w:overflowPunct w:val="0"/>
        <w:autoSpaceDN w:val="0"/>
        <w:adjustRightInd w:val="0"/>
        <w:textAlignment w:val="baseline"/>
        <w:rPr>
          <w:color w:val="FF0000"/>
          <w:sz w:val="22"/>
          <w:szCs w:val="22"/>
          <w:lang w:val="hr-HR"/>
        </w:rPr>
      </w:pPr>
    </w:p>
    <w:p w14:paraId="2785A2FA" w14:textId="16AEBC10" w:rsidR="00E40785" w:rsidRPr="0013178E" w:rsidRDefault="00E40785" w:rsidP="00430A60">
      <w:pPr>
        <w:overflowPunct w:val="0"/>
        <w:autoSpaceDN w:val="0"/>
        <w:adjustRightInd w:val="0"/>
        <w:jc w:val="both"/>
        <w:textAlignment w:val="baseline"/>
        <w:rPr>
          <w:sz w:val="22"/>
          <w:szCs w:val="22"/>
          <w:lang w:val="hr-HR"/>
        </w:rPr>
      </w:pPr>
      <w:r w:rsidRPr="0013178E">
        <w:rPr>
          <w:sz w:val="22"/>
          <w:szCs w:val="22"/>
          <w:lang w:val="hr-HR"/>
        </w:rPr>
        <w:t>Ne postoji klinički sindrom akutno</w:t>
      </w:r>
      <w:r w:rsidR="00086813" w:rsidRPr="0013178E">
        <w:rPr>
          <w:sz w:val="22"/>
          <w:szCs w:val="22"/>
          <w:lang w:val="hr-HR"/>
        </w:rPr>
        <w:t xml:space="preserve">g predoziranja metilprednizolon </w:t>
      </w:r>
      <w:r w:rsidRPr="0013178E">
        <w:rPr>
          <w:sz w:val="22"/>
          <w:szCs w:val="22"/>
          <w:lang w:val="hr-HR"/>
        </w:rPr>
        <w:t>natrijum</w:t>
      </w:r>
      <w:r w:rsidR="00086813" w:rsidRPr="0013178E">
        <w:rPr>
          <w:sz w:val="22"/>
          <w:szCs w:val="22"/>
          <w:lang w:val="hr-HR"/>
        </w:rPr>
        <w:t xml:space="preserve"> </w:t>
      </w:r>
      <w:r w:rsidRPr="0013178E">
        <w:rPr>
          <w:sz w:val="22"/>
          <w:szCs w:val="22"/>
          <w:lang w:val="hr-HR"/>
        </w:rPr>
        <w:t>sukcinatom. Metilprednizolon se može ukloniti iz organizma dijalizom. Mogućnost adrenalne supresije u slučaju hroničnog predoziranja treba smanjiti postepenim smanjenjem doze tokom vremena. U tom slučaju</w:t>
      </w:r>
      <w:r w:rsidR="00F445E6" w:rsidRPr="0013178E">
        <w:rPr>
          <w:sz w:val="22"/>
          <w:szCs w:val="22"/>
          <w:lang w:val="hr-HR"/>
        </w:rPr>
        <w:t>,</w:t>
      </w:r>
      <w:r w:rsidRPr="0013178E">
        <w:rPr>
          <w:sz w:val="22"/>
          <w:szCs w:val="22"/>
          <w:lang w:val="hr-HR"/>
        </w:rPr>
        <w:t xml:space="preserve"> biće potrebno da pacijent tokom neke od sljedećih traumatskih epizoda bude pod nadzorom.</w:t>
      </w:r>
    </w:p>
    <w:p w14:paraId="4CCA1A53" w14:textId="77777777" w:rsidR="00E40785" w:rsidRPr="0013178E" w:rsidRDefault="00E40785" w:rsidP="00E40785">
      <w:pPr>
        <w:overflowPunct w:val="0"/>
        <w:autoSpaceDN w:val="0"/>
        <w:adjustRightInd w:val="0"/>
        <w:textAlignment w:val="baseline"/>
        <w:rPr>
          <w:color w:val="FF0000"/>
          <w:sz w:val="22"/>
          <w:szCs w:val="22"/>
          <w:lang w:val="hr-HR"/>
        </w:rPr>
      </w:pPr>
    </w:p>
    <w:p w14:paraId="0060C343" w14:textId="77777777" w:rsidR="00E40785" w:rsidRPr="0013178E" w:rsidRDefault="00E40785" w:rsidP="00E40785">
      <w:pPr>
        <w:overflowPunct w:val="0"/>
        <w:autoSpaceDN w:val="0"/>
        <w:adjustRightInd w:val="0"/>
        <w:textAlignment w:val="baseline"/>
        <w:rPr>
          <w:color w:val="FF0000"/>
          <w:sz w:val="22"/>
          <w:szCs w:val="22"/>
          <w:lang w:val="hr-HR"/>
        </w:rPr>
      </w:pPr>
    </w:p>
    <w:p w14:paraId="1B2FA467" w14:textId="77777777" w:rsidR="00E40785" w:rsidRPr="0013178E" w:rsidRDefault="00E40785" w:rsidP="00E40785">
      <w:pPr>
        <w:widowControl/>
        <w:numPr>
          <w:ilvl w:val="0"/>
          <w:numId w:val="35"/>
        </w:numPr>
        <w:suppressAutoHyphens w:val="0"/>
        <w:overflowPunct w:val="0"/>
        <w:autoSpaceDN w:val="0"/>
        <w:adjustRightInd w:val="0"/>
        <w:ind w:left="567" w:hanging="567"/>
        <w:textAlignment w:val="baseline"/>
        <w:rPr>
          <w:b/>
          <w:sz w:val="22"/>
          <w:szCs w:val="22"/>
          <w:lang w:val="hr-HR"/>
        </w:rPr>
      </w:pPr>
      <w:r w:rsidRPr="0013178E">
        <w:rPr>
          <w:b/>
          <w:sz w:val="22"/>
          <w:szCs w:val="22"/>
          <w:lang w:val="hr-HR"/>
        </w:rPr>
        <w:t>FARMAKOLOŠKI PODACI</w:t>
      </w:r>
    </w:p>
    <w:p w14:paraId="0DC2CCB4" w14:textId="77777777" w:rsidR="00E40785" w:rsidRPr="0013178E" w:rsidRDefault="00E40785" w:rsidP="00E40785">
      <w:pPr>
        <w:overflowPunct w:val="0"/>
        <w:autoSpaceDN w:val="0"/>
        <w:adjustRightInd w:val="0"/>
        <w:textAlignment w:val="baseline"/>
        <w:rPr>
          <w:b/>
          <w:sz w:val="22"/>
          <w:szCs w:val="22"/>
          <w:lang w:val="hr-HR"/>
        </w:rPr>
      </w:pPr>
    </w:p>
    <w:p w14:paraId="0533C99F" w14:textId="77777777" w:rsidR="00E40785" w:rsidRPr="0013178E" w:rsidRDefault="00E40785" w:rsidP="00E40785">
      <w:pPr>
        <w:widowControl/>
        <w:numPr>
          <w:ilvl w:val="0"/>
          <w:numId w:val="32"/>
        </w:numPr>
        <w:suppressAutoHyphens w:val="0"/>
        <w:overflowPunct w:val="0"/>
        <w:autoSpaceDN w:val="0"/>
        <w:adjustRightInd w:val="0"/>
        <w:ind w:left="567" w:hanging="567"/>
        <w:textAlignment w:val="baseline"/>
        <w:rPr>
          <w:sz w:val="22"/>
          <w:szCs w:val="22"/>
          <w:lang w:val="hr-HR"/>
        </w:rPr>
      </w:pPr>
      <w:r w:rsidRPr="0013178E">
        <w:rPr>
          <w:b/>
          <w:sz w:val="22"/>
          <w:szCs w:val="22"/>
          <w:lang w:val="hr-HR"/>
        </w:rPr>
        <w:t>Farmakodinamsk</w:t>
      </w:r>
      <w:r w:rsidR="00E83661" w:rsidRPr="0013178E">
        <w:rPr>
          <w:b/>
          <w:sz w:val="22"/>
          <w:szCs w:val="22"/>
          <w:lang w:val="hr-HR"/>
        </w:rPr>
        <w:t>i</w:t>
      </w:r>
      <w:r w:rsidRPr="0013178E">
        <w:rPr>
          <w:b/>
          <w:sz w:val="22"/>
          <w:szCs w:val="22"/>
          <w:lang w:val="hr-HR"/>
        </w:rPr>
        <w:t xml:space="preserve"> </w:t>
      </w:r>
      <w:r w:rsidR="00E83661" w:rsidRPr="0013178E">
        <w:rPr>
          <w:b/>
          <w:sz w:val="22"/>
          <w:szCs w:val="22"/>
          <w:lang w:val="hr-HR"/>
        </w:rPr>
        <w:t>podaci</w:t>
      </w:r>
    </w:p>
    <w:p w14:paraId="2ECA7D07" w14:textId="77777777" w:rsidR="00E40785" w:rsidRPr="0013178E" w:rsidRDefault="00E40785" w:rsidP="00E40785">
      <w:pPr>
        <w:overflowPunct w:val="0"/>
        <w:autoSpaceDN w:val="0"/>
        <w:adjustRightInd w:val="0"/>
        <w:textAlignment w:val="baseline"/>
        <w:rPr>
          <w:color w:val="FF0000"/>
          <w:sz w:val="22"/>
          <w:szCs w:val="22"/>
          <w:lang w:val="hr-HR"/>
        </w:rPr>
      </w:pPr>
    </w:p>
    <w:p w14:paraId="292B4C16" w14:textId="7870D755" w:rsidR="00E40785" w:rsidRPr="0013178E" w:rsidRDefault="00E40785" w:rsidP="00E40785">
      <w:pPr>
        <w:overflowPunct w:val="0"/>
        <w:autoSpaceDN w:val="0"/>
        <w:adjustRightInd w:val="0"/>
        <w:textAlignment w:val="baseline"/>
        <w:rPr>
          <w:sz w:val="22"/>
          <w:szCs w:val="22"/>
          <w:lang w:val="hr-HR"/>
        </w:rPr>
      </w:pPr>
      <w:r w:rsidRPr="0013178E">
        <w:rPr>
          <w:sz w:val="22"/>
          <w:szCs w:val="22"/>
          <w:lang w:val="hr-HR"/>
        </w:rPr>
        <w:t xml:space="preserve">Farmakoterapijska grupa: </w:t>
      </w:r>
      <w:r w:rsidR="005240EA" w:rsidRPr="0013178E">
        <w:rPr>
          <w:sz w:val="22"/>
          <w:szCs w:val="22"/>
          <w:lang w:val="hr-HR"/>
        </w:rPr>
        <w:t>K</w:t>
      </w:r>
      <w:r w:rsidRPr="0013178E">
        <w:rPr>
          <w:sz w:val="22"/>
          <w:szCs w:val="22"/>
          <w:lang w:val="hr-HR"/>
        </w:rPr>
        <w:t>ortikosteroidi za sistemsku upotrebu; glukokortikoidi</w:t>
      </w:r>
    </w:p>
    <w:p w14:paraId="1C01CA72" w14:textId="77777777" w:rsidR="00F445E6" w:rsidRPr="0013178E" w:rsidRDefault="00F445E6" w:rsidP="00E40785">
      <w:pPr>
        <w:overflowPunct w:val="0"/>
        <w:autoSpaceDN w:val="0"/>
        <w:adjustRightInd w:val="0"/>
        <w:textAlignment w:val="baseline"/>
        <w:rPr>
          <w:sz w:val="22"/>
          <w:szCs w:val="22"/>
          <w:lang w:val="hr-HR"/>
        </w:rPr>
      </w:pPr>
    </w:p>
    <w:p w14:paraId="7D12B9F6" w14:textId="77777777" w:rsidR="00E40785" w:rsidRPr="0013178E" w:rsidRDefault="00E83661" w:rsidP="00E40785">
      <w:pPr>
        <w:overflowPunct w:val="0"/>
        <w:autoSpaceDN w:val="0"/>
        <w:adjustRightInd w:val="0"/>
        <w:textAlignment w:val="baseline"/>
        <w:rPr>
          <w:sz w:val="22"/>
          <w:szCs w:val="22"/>
          <w:lang w:val="hr-HR"/>
        </w:rPr>
      </w:pPr>
      <w:r w:rsidRPr="0013178E">
        <w:rPr>
          <w:sz w:val="22"/>
          <w:szCs w:val="22"/>
          <w:lang w:val="hr-HR"/>
        </w:rPr>
        <w:t>ATC kod</w:t>
      </w:r>
      <w:r w:rsidR="00E40785" w:rsidRPr="0013178E">
        <w:rPr>
          <w:sz w:val="22"/>
          <w:szCs w:val="22"/>
          <w:lang w:val="hr-HR"/>
        </w:rPr>
        <w:t>: H02AB04</w:t>
      </w:r>
    </w:p>
    <w:p w14:paraId="527507A1" w14:textId="77777777" w:rsidR="00E40785" w:rsidRPr="0013178E" w:rsidRDefault="00E40785" w:rsidP="00E40785">
      <w:pPr>
        <w:overflowPunct w:val="0"/>
        <w:autoSpaceDN w:val="0"/>
        <w:adjustRightInd w:val="0"/>
        <w:textAlignment w:val="baseline"/>
        <w:rPr>
          <w:color w:val="FF0000"/>
          <w:sz w:val="22"/>
          <w:szCs w:val="22"/>
          <w:lang w:val="hr-HR"/>
        </w:rPr>
      </w:pPr>
    </w:p>
    <w:p w14:paraId="6EB28FAA" w14:textId="77777777" w:rsidR="00E40785" w:rsidRPr="0013178E" w:rsidRDefault="00E40785" w:rsidP="00430A60">
      <w:pPr>
        <w:overflowPunct w:val="0"/>
        <w:autoSpaceDN w:val="0"/>
        <w:adjustRightInd w:val="0"/>
        <w:jc w:val="both"/>
        <w:textAlignment w:val="baseline"/>
        <w:rPr>
          <w:sz w:val="22"/>
          <w:szCs w:val="22"/>
          <w:lang w:val="hr-HR"/>
        </w:rPr>
      </w:pPr>
      <w:r w:rsidRPr="0013178E">
        <w:rPr>
          <w:sz w:val="22"/>
          <w:szCs w:val="22"/>
          <w:lang w:val="hr-HR"/>
        </w:rPr>
        <w:t>Metilprednizolon je kortikosteroid sa izraženim antiinflamatornim dejstvom, bar 5 puta jačim od hidrokortizona. Poboljšano razdvajanje efekata gluko- i mineralokortikosteroida se ogleda u smanjenju incidence retencije natrijuma i vode.</w:t>
      </w:r>
    </w:p>
    <w:p w14:paraId="533E6757" w14:textId="77777777" w:rsidR="00E40785" w:rsidRPr="0013178E" w:rsidRDefault="00E40785" w:rsidP="00E40785">
      <w:pPr>
        <w:overflowPunct w:val="0"/>
        <w:autoSpaceDN w:val="0"/>
        <w:adjustRightInd w:val="0"/>
        <w:textAlignment w:val="baseline"/>
        <w:rPr>
          <w:sz w:val="22"/>
          <w:szCs w:val="22"/>
          <w:lang w:val="hr-HR"/>
        </w:rPr>
      </w:pPr>
    </w:p>
    <w:p w14:paraId="1C0F54BE" w14:textId="77777777" w:rsidR="00E40785" w:rsidRPr="0013178E" w:rsidRDefault="00E83661" w:rsidP="00E40785">
      <w:pPr>
        <w:widowControl/>
        <w:numPr>
          <w:ilvl w:val="0"/>
          <w:numId w:val="33"/>
        </w:numPr>
        <w:suppressAutoHyphens w:val="0"/>
        <w:overflowPunct w:val="0"/>
        <w:autoSpaceDN w:val="0"/>
        <w:adjustRightInd w:val="0"/>
        <w:ind w:left="567" w:hanging="567"/>
        <w:textAlignment w:val="baseline"/>
        <w:rPr>
          <w:sz w:val="22"/>
          <w:szCs w:val="22"/>
          <w:lang w:val="hr-HR"/>
        </w:rPr>
      </w:pPr>
      <w:r w:rsidRPr="0013178E">
        <w:rPr>
          <w:b/>
          <w:sz w:val="22"/>
          <w:szCs w:val="22"/>
          <w:lang w:val="hr-HR"/>
        </w:rPr>
        <w:t>Farmakokinetički podaci</w:t>
      </w:r>
    </w:p>
    <w:p w14:paraId="1332B23A" w14:textId="77777777" w:rsidR="00E40785" w:rsidRPr="0013178E" w:rsidRDefault="00E40785" w:rsidP="00E40785">
      <w:pPr>
        <w:overflowPunct w:val="0"/>
        <w:autoSpaceDN w:val="0"/>
        <w:adjustRightInd w:val="0"/>
        <w:textAlignment w:val="baseline"/>
        <w:rPr>
          <w:color w:val="FF0000"/>
          <w:sz w:val="22"/>
          <w:szCs w:val="22"/>
          <w:lang w:val="hr-HR"/>
        </w:rPr>
      </w:pPr>
    </w:p>
    <w:p w14:paraId="1AEC0D33" w14:textId="77777777" w:rsidR="00E40785" w:rsidRPr="0013178E" w:rsidRDefault="00E40785" w:rsidP="00E40785">
      <w:pPr>
        <w:overflowPunct w:val="0"/>
        <w:autoSpaceDN w:val="0"/>
        <w:adjustRightInd w:val="0"/>
        <w:textAlignment w:val="baseline"/>
        <w:rPr>
          <w:sz w:val="22"/>
          <w:szCs w:val="22"/>
          <w:lang w:val="hr-HR"/>
        </w:rPr>
      </w:pPr>
      <w:r w:rsidRPr="0013178E">
        <w:rPr>
          <w:sz w:val="22"/>
          <w:szCs w:val="22"/>
          <w:lang w:val="hr-HR"/>
        </w:rPr>
        <w:t>Farmakokinetika metilprednizolona je linearna, nezavisno od načina primjene.</w:t>
      </w:r>
    </w:p>
    <w:p w14:paraId="6CC324DB" w14:textId="77777777" w:rsidR="00E40785" w:rsidRPr="0013178E" w:rsidRDefault="00E40785" w:rsidP="00E40785">
      <w:pPr>
        <w:overflowPunct w:val="0"/>
        <w:autoSpaceDN w:val="0"/>
        <w:adjustRightInd w:val="0"/>
        <w:textAlignment w:val="baseline"/>
        <w:rPr>
          <w:sz w:val="22"/>
          <w:szCs w:val="22"/>
          <w:lang w:val="hr-HR"/>
        </w:rPr>
      </w:pPr>
    </w:p>
    <w:p w14:paraId="1569E2C4" w14:textId="77777777" w:rsidR="00E40785" w:rsidRPr="0013178E" w:rsidRDefault="00E40785" w:rsidP="00430A60">
      <w:pPr>
        <w:overflowPunct w:val="0"/>
        <w:autoSpaceDN w:val="0"/>
        <w:adjustRightInd w:val="0"/>
        <w:jc w:val="both"/>
        <w:textAlignment w:val="baseline"/>
        <w:rPr>
          <w:sz w:val="22"/>
          <w:szCs w:val="22"/>
          <w:u w:val="single"/>
          <w:lang w:val="hr-HR"/>
        </w:rPr>
      </w:pPr>
      <w:r w:rsidRPr="0013178E">
        <w:rPr>
          <w:sz w:val="22"/>
          <w:szCs w:val="22"/>
          <w:u w:val="single"/>
          <w:lang w:val="hr-HR"/>
        </w:rPr>
        <w:t>Apsorpcija</w:t>
      </w:r>
    </w:p>
    <w:p w14:paraId="1A2D40C3" w14:textId="77777777" w:rsidR="00E40785" w:rsidRPr="0013178E" w:rsidRDefault="00E40785" w:rsidP="00430A60">
      <w:pPr>
        <w:overflowPunct w:val="0"/>
        <w:autoSpaceDN w:val="0"/>
        <w:adjustRightInd w:val="0"/>
        <w:jc w:val="both"/>
        <w:textAlignment w:val="baseline"/>
        <w:rPr>
          <w:sz w:val="22"/>
          <w:szCs w:val="22"/>
          <w:lang w:val="hr-HR"/>
        </w:rPr>
      </w:pPr>
      <w:r w:rsidRPr="0013178E">
        <w:rPr>
          <w:sz w:val="22"/>
          <w:szCs w:val="22"/>
          <w:lang w:val="hr-HR"/>
        </w:rPr>
        <w:t>Nakon doze od 40 mg lijeka Solu-Medrol, primijenjene intramuskularno, kod 14 zdravih odraslih ispitanika, najviša vrijednost maksimalne koncentracije od 454 ng/m</w:t>
      </w:r>
      <w:r w:rsidR="00536537" w:rsidRPr="0013178E">
        <w:rPr>
          <w:sz w:val="22"/>
          <w:szCs w:val="22"/>
          <w:lang w:val="hr-HR"/>
        </w:rPr>
        <w:t>l</w:t>
      </w:r>
      <w:r w:rsidRPr="0013178E">
        <w:rPr>
          <w:sz w:val="22"/>
          <w:szCs w:val="22"/>
          <w:lang w:val="hr-HR"/>
        </w:rPr>
        <w:t xml:space="preserve"> je postignuta nakon 1 sata. Nakon 12 sati, plazma koncentracija metilprednizolona opada na 31,9 ng/m</w:t>
      </w:r>
      <w:r w:rsidR="00536537" w:rsidRPr="0013178E">
        <w:rPr>
          <w:sz w:val="22"/>
          <w:szCs w:val="22"/>
          <w:lang w:val="hr-HR"/>
        </w:rPr>
        <w:t>l</w:t>
      </w:r>
      <w:r w:rsidRPr="0013178E">
        <w:rPr>
          <w:sz w:val="22"/>
          <w:szCs w:val="22"/>
          <w:lang w:val="hr-HR"/>
        </w:rPr>
        <w:t>, a 18 sati nakon doziranja, metilprednizolon se ne detektuje u cirkulaciji.</w:t>
      </w:r>
    </w:p>
    <w:p w14:paraId="551A3E39" w14:textId="77777777" w:rsidR="00E40785" w:rsidRPr="0013178E" w:rsidRDefault="00E40785" w:rsidP="00430A60">
      <w:pPr>
        <w:overflowPunct w:val="0"/>
        <w:autoSpaceDN w:val="0"/>
        <w:adjustRightInd w:val="0"/>
        <w:jc w:val="both"/>
        <w:textAlignment w:val="baseline"/>
        <w:rPr>
          <w:b/>
          <w:color w:val="FF0000"/>
          <w:sz w:val="22"/>
          <w:szCs w:val="22"/>
          <w:lang w:val="hr-HR"/>
        </w:rPr>
      </w:pPr>
    </w:p>
    <w:p w14:paraId="6AD1F230" w14:textId="77777777" w:rsidR="00E40785" w:rsidRPr="0013178E" w:rsidRDefault="00E40785" w:rsidP="00430A60">
      <w:pPr>
        <w:overflowPunct w:val="0"/>
        <w:autoSpaceDN w:val="0"/>
        <w:adjustRightInd w:val="0"/>
        <w:jc w:val="both"/>
        <w:textAlignment w:val="baseline"/>
        <w:rPr>
          <w:sz w:val="22"/>
          <w:szCs w:val="22"/>
          <w:u w:val="single"/>
          <w:lang w:val="hr-HR"/>
        </w:rPr>
      </w:pPr>
      <w:r w:rsidRPr="0013178E">
        <w:rPr>
          <w:sz w:val="22"/>
          <w:szCs w:val="22"/>
          <w:u w:val="single"/>
          <w:lang w:val="hr-HR"/>
        </w:rPr>
        <w:t>Distribucija</w:t>
      </w:r>
    </w:p>
    <w:p w14:paraId="13450158" w14:textId="77777777" w:rsidR="00E40785" w:rsidRPr="0013178E" w:rsidRDefault="00E40785" w:rsidP="00430A60">
      <w:pPr>
        <w:tabs>
          <w:tab w:val="left" w:pos="-720"/>
          <w:tab w:val="left" w:pos="0"/>
        </w:tabs>
        <w:overflowPunct w:val="0"/>
        <w:autoSpaceDN w:val="0"/>
        <w:adjustRightInd w:val="0"/>
        <w:jc w:val="both"/>
        <w:textAlignment w:val="baseline"/>
        <w:rPr>
          <w:sz w:val="22"/>
          <w:szCs w:val="22"/>
          <w:lang w:val="hr-HR"/>
        </w:rPr>
      </w:pPr>
      <w:r w:rsidRPr="0013178E">
        <w:rPr>
          <w:sz w:val="22"/>
          <w:szCs w:val="22"/>
          <w:lang w:val="hr-HR"/>
        </w:rPr>
        <w:t xml:space="preserve">Metilprednizolon se u velikoj mjeri raspodjeljuje u tkiva, prelazi krvno-moždanu barijeru i izlučuje se u majčino mlijeko. </w:t>
      </w:r>
    </w:p>
    <w:p w14:paraId="595141A4" w14:textId="0509D07C" w:rsidR="00E40785" w:rsidRPr="0013178E" w:rsidRDefault="00E40785" w:rsidP="00430A60">
      <w:pPr>
        <w:overflowPunct w:val="0"/>
        <w:autoSpaceDN w:val="0"/>
        <w:adjustRightInd w:val="0"/>
        <w:jc w:val="both"/>
        <w:textAlignment w:val="baseline"/>
        <w:rPr>
          <w:sz w:val="22"/>
          <w:szCs w:val="22"/>
          <w:lang w:val="hr-HR"/>
        </w:rPr>
      </w:pPr>
      <w:r w:rsidRPr="0013178E">
        <w:rPr>
          <w:sz w:val="22"/>
          <w:szCs w:val="22"/>
          <w:lang w:val="hr-HR"/>
        </w:rPr>
        <w:t>Prividni volumen distribucije metilprednizolona iznosi približno 1,4</w:t>
      </w:r>
      <w:r w:rsidR="006D5EC9">
        <w:rPr>
          <w:sz w:val="22"/>
          <w:szCs w:val="22"/>
          <w:lang w:val="hr-HR"/>
        </w:rPr>
        <w:t> </w:t>
      </w:r>
      <w:r w:rsidRPr="0013178E">
        <w:rPr>
          <w:sz w:val="22"/>
          <w:szCs w:val="22"/>
          <w:lang w:val="hr-HR"/>
        </w:rPr>
        <w:t>l/kg. Vezivanje metilprednizolona za proteine plazme iznosi približno 77%.</w:t>
      </w:r>
    </w:p>
    <w:p w14:paraId="1D502505" w14:textId="77777777" w:rsidR="00E40785" w:rsidRPr="0013178E" w:rsidRDefault="00E40785" w:rsidP="00430A60">
      <w:pPr>
        <w:overflowPunct w:val="0"/>
        <w:autoSpaceDN w:val="0"/>
        <w:adjustRightInd w:val="0"/>
        <w:jc w:val="both"/>
        <w:textAlignment w:val="baseline"/>
        <w:rPr>
          <w:b/>
          <w:color w:val="FF0000"/>
          <w:sz w:val="22"/>
          <w:szCs w:val="22"/>
          <w:lang w:val="hr-HR"/>
        </w:rPr>
      </w:pPr>
    </w:p>
    <w:p w14:paraId="26A8EEA2" w14:textId="77777777" w:rsidR="00E40785" w:rsidRPr="0013178E" w:rsidRDefault="00E40785" w:rsidP="00430A60">
      <w:pPr>
        <w:overflowPunct w:val="0"/>
        <w:autoSpaceDN w:val="0"/>
        <w:adjustRightInd w:val="0"/>
        <w:jc w:val="both"/>
        <w:textAlignment w:val="baseline"/>
        <w:rPr>
          <w:sz w:val="22"/>
          <w:szCs w:val="22"/>
          <w:u w:val="single"/>
          <w:lang w:val="hr-HR"/>
        </w:rPr>
      </w:pPr>
      <w:r w:rsidRPr="0013178E">
        <w:rPr>
          <w:sz w:val="22"/>
          <w:szCs w:val="22"/>
          <w:u w:val="single"/>
          <w:lang w:val="hr-HR"/>
        </w:rPr>
        <w:t>Biotransformacija</w:t>
      </w:r>
    </w:p>
    <w:p w14:paraId="39D79112" w14:textId="77777777" w:rsidR="00E40785" w:rsidRPr="0013178E" w:rsidRDefault="00E40785" w:rsidP="00430A60">
      <w:pPr>
        <w:tabs>
          <w:tab w:val="left" w:pos="-720"/>
          <w:tab w:val="left" w:pos="0"/>
        </w:tabs>
        <w:overflowPunct w:val="0"/>
        <w:autoSpaceDN w:val="0"/>
        <w:adjustRightInd w:val="0"/>
        <w:jc w:val="both"/>
        <w:textAlignment w:val="baseline"/>
        <w:rPr>
          <w:sz w:val="22"/>
          <w:szCs w:val="22"/>
          <w:lang w:val="hr-HR"/>
        </w:rPr>
      </w:pPr>
      <w:r w:rsidRPr="0013178E">
        <w:rPr>
          <w:sz w:val="22"/>
          <w:szCs w:val="22"/>
          <w:lang w:val="hr-HR"/>
        </w:rPr>
        <w:t xml:space="preserve">Kod ljudi se metilprednizolon do neaktivnih metabolita metaboliše u jetri. </w:t>
      </w:r>
    </w:p>
    <w:p w14:paraId="1DE53FAD" w14:textId="2F848943" w:rsidR="00E40785" w:rsidRPr="0013178E" w:rsidRDefault="00E40785" w:rsidP="00430A60">
      <w:pPr>
        <w:tabs>
          <w:tab w:val="left" w:pos="-720"/>
          <w:tab w:val="left" w:pos="0"/>
        </w:tabs>
        <w:overflowPunct w:val="0"/>
        <w:autoSpaceDN w:val="0"/>
        <w:adjustRightInd w:val="0"/>
        <w:jc w:val="both"/>
        <w:textAlignment w:val="baseline"/>
        <w:rPr>
          <w:sz w:val="22"/>
          <w:szCs w:val="22"/>
          <w:lang w:val="hr-HR"/>
        </w:rPr>
      </w:pPr>
      <w:r w:rsidRPr="0013178E">
        <w:rPr>
          <w:sz w:val="22"/>
          <w:szCs w:val="22"/>
          <w:lang w:val="hr-HR"/>
        </w:rPr>
        <w:t xml:space="preserve">Glavni metaboliti su 20α </w:t>
      </w:r>
      <w:r w:rsidR="002D325A" w:rsidRPr="0013178E">
        <w:rPr>
          <w:lang w:val="hr-HR"/>
        </w:rPr>
        <w:t>–</w:t>
      </w:r>
      <w:r w:rsidRPr="0013178E">
        <w:rPr>
          <w:sz w:val="22"/>
          <w:szCs w:val="22"/>
          <w:lang w:val="hr-HR"/>
        </w:rPr>
        <w:t xml:space="preserve"> hidroksimetilprednizolon i 20β</w:t>
      </w:r>
      <w:r w:rsidR="000570C1" w:rsidRPr="0013178E">
        <w:rPr>
          <w:sz w:val="22"/>
          <w:szCs w:val="22"/>
          <w:lang w:val="hr-HR"/>
        </w:rPr>
        <w:t xml:space="preserve"> </w:t>
      </w:r>
      <w:r w:rsidR="000570C1" w:rsidRPr="0013178E">
        <w:rPr>
          <w:lang w:val="hr-HR"/>
        </w:rPr>
        <w:t>–</w:t>
      </w:r>
      <w:r w:rsidRPr="0013178E">
        <w:rPr>
          <w:sz w:val="22"/>
          <w:szCs w:val="22"/>
          <w:lang w:val="hr-HR"/>
        </w:rPr>
        <w:t xml:space="preserve"> hidroksimetilprednizolon. Metabolizam u jetri odvija se primarno putem CYP3A4 (</w:t>
      </w:r>
      <w:r w:rsidR="007A0AEE">
        <w:rPr>
          <w:sz w:val="22"/>
          <w:szCs w:val="22"/>
          <w:lang w:val="hr-HR"/>
        </w:rPr>
        <w:t>z</w:t>
      </w:r>
      <w:r w:rsidRPr="0013178E">
        <w:rPr>
          <w:sz w:val="22"/>
          <w:szCs w:val="22"/>
          <w:lang w:val="hr-HR"/>
        </w:rPr>
        <w:t xml:space="preserve">a spisak </w:t>
      </w:r>
      <w:r w:rsidR="007A0AEE">
        <w:rPr>
          <w:sz w:val="22"/>
          <w:szCs w:val="22"/>
          <w:lang w:val="hr-HR"/>
        </w:rPr>
        <w:t>ljekova sa kojima dolazi do interakcije preko</w:t>
      </w:r>
      <w:r w:rsidRPr="0013178E">
        <w:rPr>
          <w:sz w:val="22"/>
          <w:szCs w:val="22"/>
          <w:lang w:val="hr-HR"/>
        </w:rPr>
        <w:t xml:space="preserve"> CYP3A4</w:t>
      </w:r>
      <w:r w:rsidR="007A0AEE">
        <w:rPr>
          <w:sz w:val="22"/>
          <w:szCs w:val="22"/>
          <w:lang w:val="hr-HR"/>
        </w:rPr>
        <w:t xml:space="preserve"> posredovanog metabolizma</w:t>
      </w:r>
      <w:r w:rsidRPr="0013178E">
        <w:rPr>
          <w:sz w:val="22"/>
          <w:szCs w:val="22"/>
          <w:lang w:val="hr-HR"/>
        </w:rPr>
        <w:t xml:space="preserve">, vidjeti </w:t>
      </w:r>
      <w:r w:rsidR="009E76C5">
        <w:rPr>
          <w:sz w:val="22"/>
          <w:szCs w:val="22"/>
          <w:lang w:val="hr-HR"/>
        </w:rPr>
        <w:t>dio</w:t>
      </w:r>
      <w:r w:rsidRPr="0013178E">
        <w:rPr>
          <w:sz w:val="22"/>
          <w:szCs w:val="22"/>
          <w:lang w:val="hr-HR"/>
        </w:rPr>
        <w:t xml:space="preserve"> 4.5).</w:t>
      </w:r>
    </w:p>
    <w:p w14:paraId="7EC8850B" w14:textId="0A929B9F" w:rsidR="00E40785" w:rsidRPr="0013178E" w:rsidRDefault="00E40785" w:rsidP="00430A60">
      <w:pPr>
        <w:tabs>
          <w:tab w:val="left" w:pos="-720"/>
          <w:tab w:val="left" w:pos="0"/>
        </w:tabs>
        <w:overflowPunct w:val="0"/>
        <w:autoSpaceDN w:val="0"/>
        <w:adjustRightInd w:val="0"/>
        <w:jc w:val="both"/>
        <w:textAlignment w:val="baseline"/>
        <w:rPr>
          <w:sz w:val="22"/>
          <w:szCs w:val="22"/>
          <w:lang w:val="hr-HR"/>
        </w:rPr>
      </w:pPr>
      <w:r w:rsidRPr="0013178E">
        <w:rPr>
          <w:sz w:val="22"/>
          <w:szCs w:val="22"/>
          <w:lang w:val="hr-HR"/>
        </w:rPr>
        <w:t xml:space="preserve">Metilprednizolon, kao mnogi CYP3A4 supstrati, može biti i supstrat za </w:t>
      </w:r>
      <w:r w:rsidR="007A0AEE">
        <w:rPr>
          <w:sz w:val="22"/>
          <w:szCs w:val="22"/>
          <w:lang w:val="hr-HR"/>
        </w:rPr>
        <w:t>ATP-vezujući kasetni (ABC) transportni protein p-glikoprotein</w:t>
      </w:r>
      <w:r w:rsidRPr="0013178E">
        <w:rPr>
          <w:sz w:val="22"/>
          <w:szCs w:val="22"/>
          <w:lang w:val="hr-HR"/>
        </w:rPr>
        <w:t>, što može uticati na raspodjelu u tkiva i interakciju s</w:t>
      </w:r>
      <w:r w:rsidR="005F4BCB" w:rsidRPr="0013178E">
        <w:rPr>
          <w:sz w:val="22"/>
          <w:szCs w:val="22"/>
          <w:lang w:val="hr-HR"/>
        </w:rPr>
        <w:t>a</w:t>
      </w:r>
      <w:r w:rsidRPr="0013178E">
        <w:rPr>
          <w:sz w:val="22"/>
          <w:szCs w:val="22"/>
          <w:lang w:val="hr-HR"/>
        </w:rPr>
        <w:t xml:space="preserve"> drugim ljekovima.</w:t>
      </w:r>
    </w:p>
    <w:p w14:paraId="6DA4F5D9" w14:textId="77777777" w:rsidR="00E40785" w:rsidRPr="0013178E" w:rsidRDefault="00E40785" w:rsidP="00430A60">
      <w:pPr>
        <w:tabs>
          <w:tab w:val="left" w:pos="-720"/>
          <w:tab w:val="left" w:pos="0"/>
        </w:tabs>
        <w:overflowPunct w:val="0"/>
        <w:autoSpaceDN w:val="0"/>
        <w:adjustRightInd w:val="0"/>
        <w:jc w:val="both"/>
        <w:textAlignment w:val="baseline"/>
        <w:rPr>
          <w:rFonts w:ascii="Arial Narrow" w:hAnsi="Arial Narrow"/>
          <w:sz w:val="22"/>
          <w:szCs w:val="22"/>
          <w:lang w:val="hr-HR"/>
        </w:rPr>
      </w:pPr>
    </w:p>
    <w:p w14:paraId="6C787399" w14:textId="77777777" w:rsidR="00E40785" w:rsidRPr="0013178E" w:rsidRDefault="00E40785" w:rsidP="00430A60">
      <w:pPr>
        <w:overflowPunct w:val="0"/>
        <w:autoSpaceDN w:val="0"/>
        <w:adjustRightInd w:val="0"/>
        <w:jc w:val="both"/>
        <w:textAlignment w:val="baseline"/>
        <w:rPr>
          <w:sz w:val="22"/>
          <w:szCs w:val="22"/>
          <w:u w:val="single"/>
          <w:lang w:val="hr-HR"/>
        </w:rPr>
      </w:pPr>
      <w:r w:rsidRPr="0013178E">
        <w:rPr>
          <w:sz w:val="22"/>
          <w:szCs w:val="22"/>
          <w:u w:val="single"/>
          <w:lang w:val="hr-HR"/>
        </w:rPr>
        <w:t>Eliminacija</w:t>
      </w:r>
    </w:p>
    <w:p w14:paraId="63F7B8D4" w14:textId="77777777" w:rsidR="00E40785" w:rsidRPr="0013178E" w:rsidRDefault="00E40785" w:rsidP="00430A60">
      <w:pPr>
        <w:overflowPunct w:val="0"/>
        <w:autoSpaceDN w:val="0"/>
        <w:adjustRightInd w:val="0"/>
        <w:jc w:val="both"/>
        <w:textAlignment w:val="baseline"/>
        <w:rPr>
          <w:sz w:val="22"/>
          <w:szCs w:val="22"/>
          <w:lang w:val="hr-HR"/>
        </w:rPr>
      </w:pPr>
      <w:r w:rsidRPr="0013178E">
        <w:rPr>
          <w:sz w:val="22"/>
          <w:szCs w:val="22"/>
          <w:lang w:val="hr-HR"/>
        </w:rPr>
        <w:t>Metaboliti se izlučuju urinom.</w:t>
      </w:r>
    </w:p>
    <w:p w14:paraId="317A8DC9" w14:textId="77777777" w:rsidR="00E40785" w:rsidRPr="0013178E" w:rsidRDefault="00E40785" w:rsidP="00430A60">
      <w:pPr>
        <w:overflowPunct w:val="0"/>
        <w:autoSpaceDN w:val="0"/>
        <w:adjustRightInd w:val="0"/>
        <w:jc w:val="both"/>
        <w:textAlignment w:val="baseline"/>
        <w:rPr>
          <w:sz w:val="22"/>
          <w:szCs w:val="22"/>
          <w:lang w:val="hr-HR"/>
        </w:rPr>
      </w:pPr>
      <w:r w:rsidRPr="0013178E">
        <w:rPr>
          <w:sz w:val="22"/>
          <w:szCs w:val="22"/>
          <w:lang w:val="hr-HR"/>
        </w:rPr>
        <w:t xml:space="preserve">Prosječno poluvrijeme eliminacije iznosi od 1,8 do 5,2 sati. Ukupni klirens iznosi oko 5 do 6 ml/min/kg. </w:t>
      </w:r>
    </w:p>
    <w:p w14:paraId="459E19A8" w14:textId="77777777" w:rsidR="00E40785" w:rsidRPr="0013178E" w:rsidRDefault="00E40785" w:rsidP="00E40785">
      <w:pPr>
        <w:overflowPunct w:val="0"/>
        <w:autoSpaceDN w:val="0"/>
        <w:adjustRightInd w:val="0"/>
        <w:textAlignment w:val="baseline"/>
        <w:rPr>
          <w:sz w:val="22"/>
          <w:szCs w:val="22"/>
          <w:lang w:val="hr-HR"/>
        </w:rPr>
      </w:pPr>
    </w:p>
    <w:p w14:paraId="5D4B205D" w14:textId="77777777" w:rsidR="00E40785" w:rsidRPr="0013178E" w:rsidRDefault="00E40785" w:rsidP="00E40785">
      <w:pPr>
        <w:widowControl/>
        <w:numPr>
          <w:ilvl w:val="0"/>
          <w:numId w:val="34"/>
        </w:numPr>
        <w:suppressAutoHyphens w:val="0"/>
        <w:overflowPunct w:val="0"/>
        <w:autoSpaceDN w:val="0"/>
        <w:adjustRightInd w:val="0"/>
        <w:ind w:left="567" w:hanging="567"/>
        <w:textAlignment w:val="baseline"/>
        <w:rPr>
          <w:sz w:val="22"/>
          <w:szCs w:val="22"/>
          <w:lang w:val="hr-HR"/>
        </w:rPr>
      </w:pPr>
      <w:r w:rsidRPr="0013178E">
        <w:rPr>
          <w:b/>
          <w:sz w:val="22"/>
          <w:szCs w:val="22"/>
          <w:lang w:val="hr-HR"/>
        </w:rPr>
        <w:t>Pretklinički podaci o bezbjednosti</w:t>
      </w:r>
    </w:p>
    <w:p w14:paraId="262583ED" w14:textId="77777777" w:rsidR="00E40785" w:rsidRPr="0013178E" w:rsidRDefault="00E40785" w:rsidP="00E40785">
      <w:pPr>
        <w:overflowPunct w:val="0"/>
        <w:autoSpaceDN w:val="0"/>
        <w:adjustRightInd w:val="0"/>
        <w:textAlignment w:val="baseline"/>
        <w:rPr>
          <w:color w:val="FF0000"/>
          <w:sz w:val="22"/>
          <w:szCs w:val="22"/>
          <w:lang w:val="hr-HR"/>
        </w:rPr>
      </w:pPr>
    </w:p>
    <w:p w14:paraId="0842E368" w14:textId="77777777" w:rsidR="00E40785" w:rsidRPr="0013178E" w:rsidRDefault="00E40785" w:rsidP="00430A60">
      <w:pPr>
        <w:overflowPunct w:val="0"/>
        <w:autoSpaceDN w:val="0"/>
        <w:adjustRightInd w:val="0"/>
        <w:jc w:val="both"/>
        <w:textAlignment w:val="baseline"/>
        <w:rPr>
          <w:sz w:val="22"/>
          <w:szCs w:val="22"/>
          <w:lang w:val="hr-HR"/>
        </w:rPr>
      </w:pPr>
      <w:r w:rsidRPr="0013178E">
        <w:rPr>
          <w:sz w:val="22"/>
          <w:szCs w:val="22"/>
          <w:lang w:val="hr-HR"/>
        </w:rPr>
        <w:t>Na osnovu konvencionalnih farmakoloških ispitivanja bezbjednosti, toksičnosti ponovljenih doza, ne očekuje se poseban rizik za ljude. Toksičnosti zabilježene u ispitivanjima ponovljenih doza bile su one koje se očekuju pri dugotrajnom izlaganju egzogenim adrenokortikalnim steroidima.</w:t>
      </w:r>
    </w:p>
    <w:p w14:paraId="091ACB20" w14:textId="2D4E4ED1" w:rsidR="00E40785" w:rsidRPr="0013178E" w:rsidRDefault="00E61E84" w:rsidP="00430A60">
      <w:pPr>
        <w:overflowPunct w:val="0"/>
        <w:autoSpaceDN w:val="0"/>
        <w:adjustRightInd w:val="0"/>
        <w:spacing w:before="120"/>
        <w:jc w:val="both"/>
        <w:textAlignment w:val="baseline"/>
        <w:rPr>
          <w:sz w:val="22"/>
          <w:szCs w:val="22"/>
          <w:u w:val="single"/>
          <w:lang w:val="hr-HR"/>
        </w:rPr>
      </w:pPr>
      <w:r w:rsidRPr="0013178E">
        <w:rPr>
          <w:sz w:val="22"/>
          <w:szCs w:val="22"/>
          <w:u w:val="single"/>
          <w:lang w:val="hr-HR"/>
        </w:rPr>
        <w:t>Ka</w:t>
      </w:r>
      <w:r w:rsidR="00905A7E" w:rsidRPr="0013178E">
        <w:rPr>
          <w:sz w:val="22"/>
          <w:szCs w:val="22"/>
          <w:u w:val="single"/>
          <w:lang w:val="hr-HR"/>
        </w:rPr>
        <w:t>n</w:t>
      </w:r>
      <w:r w:rsidRPr="0013178E">
        <w:rPr>
          <w:sz w:val="22"/>
          <w:szCs w:val="22"/>
          <w:u w:val="single"/>
          <w:lang w:val="hr-HR"/>
        </w:rPr>
        <w:t>c</w:t>
      </w:r>
      <w:r w:rsidR="00905A7E" w:rsidRPr="0013178E">
        <w:rPr>
          <w:sz w:val="22"/>
          <w:szCs w:val="22"/>
          <w:u w:val="single"/>
          <w:lang w:val="hr-HR"/>
        </w:rPr>
        <w:t>er</w:t>
      </w:r>
      <w:r w:rsidRPr="0013178E">
        <w:rPr>
          <w:sz w:val="22"/>
          <w:szCs w:val="22"/>
          <w:u w:val="single"/>
          <w:lang w:val="hr-HR"/>
        </w:rPr>
        <w:t>ogenost</w:t>
      </w:r>
    </w:p>
    <w:p w14:paraId="63EF42E5" w14:textId="77777777" w:rsidR="00E40785" w:rsidRPr="0013178E" w:rsidRDefault="00E40785" w:rsidP="00430A60">
      <w:pPr>
        <w:overflowPunct w:val="0"/>
        <w:autoSpaceDN w:val="0"/>
        <w:adjustRightInd w:val="0"/>
        <w:jc w:val="both"/>
        <w:textAlignment w:val="baseline"/>
        <w:rPr>
          <w:sz w:val="22"/>
          <w:szCs w:val="22"/>
          <w:lang w:val="hr-HR"/>
        </w:rPr>
      </w:pPr>
      <w:r w:rsidRPr="0013178E">
        <w:rPr>
          <w:sz w:val="22"/>
          <w:szCs w:val="22"/>
          <w:lang w:val="hr-HR"/>
        </w:rPr>
        <w:t xml:space="preserve">Metilprednizolon nije zvanično ispitan u studijama kancerogenosti. </w:t>
      </w:r>
    </w:p>
    <w:p w14:paraId="6CE634D6" w14:textId="77777777" w:rsidR="00E40785" w:rsidRPr="0013178E" w:rsidRDefault="00E40785" w:rsidP="00430A60">
      <w:pPr>
        <w:overflowPunct w:val="0"/>
        <w:autoSpaceDN w:val="0"/>
        <w:adjustRightInd w:val="0"/>
        <w:spacing w:before="120"/>
        <w:jc w:val="both"/>
        <w:textAlignment w:val="baseline"/>
        <w:rPr>
          <w:sz w:val="22"/>
          <w:szCs w:val="22"/>
          <w:u w:val="single"/>
          <w:lang w:val="hr-HR"/>
        </w:rPr>
      </w:pPr>
      <w:r w:rsidRPr="0013178E">
        <w:rPr>
          <w:sz w:val="22"/>
          <w:szCs w:val="22"/>
          <w:u w:val="single"/>
          <w:lang w:val="hr-HR"/>
        </w:rPr>
        <w:t>Mutageneza</w:t>
      </w:r>
    </w:p>
    <w:p w14:paraId="5685FA4A" w14:textId="77777777" w:rsidR="00E40785" w:rsidRPr="0013178E" w:rsidRDefault="00E40785" w:rsidP="00430A60">
      <w:pPr>
        <w:overflowPunct w:val="0"/>
        <w:autoSpaceDN w:val="0"/>
        <w:adjustRightInd w:val="0"/>
        <w:jc w:val="both"/>
        <w:textAlignment w:val="baseline"/>
        <w:rPr>
          <w:sz w:val="22"/>
          <w:szCs w:val="22"/>
          <w:lang w:val="hr-HR"/>
        </w:rPr>
      </w:pPr>
      <w:r w:rsidRPr="0013178E">
        <w:rPr>
          <w:sz w:val="22"/>
          <w:szCs w:val="22"/>
          <w:lang w:val="hr-HR"/>
        </w:rPr>
        <w:t xml:space="preserve">Metilprednizolon nije zvanično ispitan u studijama genotoksičnosti. </w:t>
      </w:r>
    </w:p>
    <w:p w14:paraId="6CDFCF28" w14:textId="17768698" w:rsidR="00E40785" w:rsidRPr="0013178E" w:rsidRDefault="00E40785" w:rsidP="00430A60">
      <w:pPr>
        <w:overflowPunct w:val="0"/>
        <w:autoSpaceDN w:val="0"/>
        <w:adjustRightInd w:val="0"/>
        <w:jc w:val="both"/>
        <w:textAlignment w:val="baseline"/>
        <w:rPr>
          <w:sz w:val="22"/>
          <w:szCs w:val="22"/>
          <w:lang w:val="hr-HR"/>
        </w:rPr>
      </w:pPr>
      <w:r w:rsidRPr="0013178E">
        <w:rPr>
          <w:sz w:val="22"/>
          <w:szCs w:val="22"/>
          <w:lang w:val="hr-HR"/>
        </w:rPr>
        <w:t xml:space="preserve">U </w:t>
      </w:r>
      <w:r w:rsidR="002F3DC1" w:rsidRPr="0013178E">
        <w:rPr>
          <w:sz w:val="22"/>
          <w:szCs w:val="22"/>
          <w:lang w:val="hr-HR"/>
        </w:rPr>
        <w:t xml:space="preserve">testovima </w:t>
      </w:r>
      <w:r w:rsidRPr="0013178E">
        <w:rPr>
          <w:sz w:val="22"/>
          <w:szCs w:val="22"/>
          <w:lang w:val="hr-HR"/>
        </w:rPr>
        <w:t>strukturno sličnih analoga u ograničenim studijama o bakterijama i ćelijama sisara, nije bilo dokaza o genotoksičnom/mutagenom potencijalu.</w:t>
      </w:r>
    </w:p>
    <w:p w14:paraId="611B2F69" w14:textId="77777777" w:rsidR="00E40785" w:rsidRPr="0013178E" w:rsidRDefault="00E40785" w:rsidP="00430A60">
      <w:pPr>
        <w:overflowPunct w:val="0"/>
        <w:autoSpaceDN w:val="0"/>
        <w:adjustRightInd w:val="0"/>
        <w:jc w:val="both"/>
        <w:textAlignment w:val="baseline"/>
        <w:rPr>
          <w:sz w:val="22"/>
          <w:szCs w:val="22"/>
          <w:lang w:val="hr-HR"/>
        </w:rPr>
      </w:pPr>
    </w:p>
    <w:p w14:paraId="6AF6AEFA" w14:textId="77777777" w:rsidR="00E40785" w:rsidRPr="0013178E" w:rsidRDefault="00E40785" w:rsidP="00430A60">
      <w:pPr>
        <w:overflowPunct w:val="0"/>
        <w:autoSpaceDN w:val="0"/>
        <w:adjustRightInd w:val="0"/>
        <w:jc w:val="both"/>
        <w:textAlignment w:val="baseline"/>
        <w:rPr>
          <w:sz w:val="22"/>
          <w:szCs w:val="22"/>
          <w:lang w:val="hr-HR"/>
        </w:rPr>
      </w:pPr>
      <w:r w:rsidRPr="0013178E">
        <w:rPr>
          <w:sz w:val="22"/>
          <w:szCs w:val="22"/>
          <w:u w:val="single"/>
          <w:lang w:val="hr-HR"/>
        </w:rPr>
        <w:t>Reproduktivna toksičnost</w:t>
      </w:r>
    </w:p>
    <w:p w14:paraId="14A392E0" w14:textId="77777777" w:rsidR="00E40785" w:rsidRPr="0013178E" w:rsidRDefault="00E40785" w:rsidP="00430A60">
      <w:pPr>
        <w:overflowPunct w:val="0"/>
        <w:autoSpaceDN w:val="0"/>
        <w:adjustRightInd w:val="0"/>
        <w:jc w:val="both"/>
        <w:textAlignment w:val="baseline"/>
        <w:rPr>
          <w:sz w:val="22"/>
          <w:szCs w:val="22"/>
          <w:lang w:val="hr-HR"/>
        </w:rPr>
      </w:pPr>
      <w:r w:rsidRPr="0013178E">
        <w:rPr>
          <w:sz w:val="22"/>
          <w:szCs w:val="22"/>
          <w:lang w:val="hr-HR"/>
        </w:rPr>
        <w:lastRenderedPageBreak/>
        <w:t xml:space="preserve">Metilprednizolon nije zvanično ispitan u studijama reproduktivne i razvojne toksičnosti. </w:t>
      </w:r>
    </w:p>
    <w:p w14:paraId="62465E22" w14:textId="77777777" w:rsidR="00E40785" w:rsidRPr="0013178E" w:rsidRDefault="00E40785" w:rsidP="00430A60">
      <w:pPr>
        <w:overflowPunct w:val="0"/>
        <w:autoSpaceDN w:val="0"/>
        <w:adjustRightInd w:val="0"/>
        <w:jc w:val="both"/>
        <w:textAlignment w:val="baseline"/>
        <w:rPr>
          <w:sz w:val="22"/>
          <w:szCs w:val="22"/>
          <w:lang w:val="hr-HR"/>
        </w:rPr>
      </w:pPr>
      <w:r w:rsidRPr="0013178E">
        <w:rPr>
          <w:sz w:val="22"/>
          <w:szCs w:val="22"/>
          <w:lang w:val="hr-HR"/>
        </w:rPr>
        <w:t>Smanjen fertilitet, smanjen broj implantacija i živi fetusi, povećan embriofetalni mortalitet, povećana incidencija malformacija kod mladunčadi (rascjep nepca) i intrauterini zastoj rasta uočeni su u ispitivanjima na životinjama sa drugim glukokortikoidima.</w:t>
      </w:r>
    </w:p>
    <w:p w14:paraId="4096387C" w14:textId="3568D2CB" w:rsidR="00E40785" w:rsidRPr="0013178E" w:rsidRDefault="00E40785">
      <w:pPr>
        <w:overflowPunct w:val="0"/>
        <w:autoSpaceDN w:val="0"/>
        <w:adjustRightInd w:val="0"/>
        <w:jc w:val="both"/>
        <w:textAlignment w:val="baseline"/>
        <w:rPr>
          <w:spacing w:val="-3"/>
          <w:sz w:val="22"/>
          <w:szCs w:val="22"/>
          <w:lang w:val="hr-HR"/>
        </w:rPr>
      </w:pPr>
      <w:r w:rsidRPr="0013178E">
        <w:rPr>
          <w:sz w:val="22"/>
          <w:szCs w:val="22"/>
          <w:lang w:val="hr-HR"/>
        </w:rPr>
        <w:t xml:space="preserve">Kortikosteroidi su pokazali da su teratogeni kod mnogih vrsta životinja kada se daju u dozama koje su slične ili manje od onih kod ljudi: povećana učestalost kardiovaskularnih malformacija i smanjena tjelesna </w:t>
      </w:r>
      <w:r w:rsidR="007A0AEE">
        <w:rPr>
          <w:sz w:val="22"/>
          <w:szCs w:val="22"/>
          <w:lang w:val="hr-HR"/>
        </w:rPr>
        <w:t>masa</w:t>
      </w:r>
      <w:r w:rsidR="007A0AEE" w:rsidRPr="0013178E">
        <w:rPr>
          <w:sz w:val="22"/>
          <w:szCs w:val="22"/>
          <w:lang w:val="hr-HR"/>
        </w:rPr>
        <w:t xml:space="preserve"> </w:t>
      </w:r>
      <w:r w:rsidRPr="0013178E">
        <w:rPr>
          <w:sz w:val="22"/>
          <w:szCs w:val="22"/>
          <w:lang w:val="hr-HR"/>
        </w:rPr>
        <w:t xml:space="preserve">kod mladunčadi pacova tretiranih metilprednizolonom, visoka incidencija smrti fetusa i razne anomalije centralnog nervnog sistema i skeleta. </w:t>
      </w:r>
    </w:p>
    <w:p w14:paraId="5E01C9BB" w14:textId="77777777" w:rsidR="00E40785" w:rsidRPr="0013178E" w:rsidRDefault="00E40785" w:rsidP="00430A60">
      <w:pPr>
        <w:overflowPunct w:val="0"/>
        <w:autoSpaceDN w:val="0"/>
        <w:adjustRightInd w:val="0"/>
        <w:jc w:val="both"/>
        <w:textAlignment w:val="baseline"/>
        <w:rPr>
          <w:sz w:val="22"/>
          <w:szCs w:val="22"/>
          <w:lang w:val="hr-HR"/>
        </w:rPr>
      </w:pPr>
      <w:r w:rsidRPr="0013178E">
        <w:rPr>
          <w:sz w:val="22"/>
          <w:szCs w:val="22"/>
          <w:lang w:val="hr-HR"/>
        </w:rPr>
        <w:t>Klinički značaj ovih podataka nije poznat.</w:t>
      </w:r>
    </w:p>
    <w:p w14:paraId="05A4FF3A" w14:textId="77777777" w:rsidR="007259A3" w:rsidRPr="0013178E" w:rsidRDefault="007259A3" w:rsidP="00321713">
      <w:pPr>
        <w:widowControl/>
        <w:suppressAutoHyphens w:val="0"/>
        <w:autoSpaceDN w:val="0"/>
        <w:adjustRightInd w:val="0"/>
        <w:jc w:val="both"/>
        <w:rPr>
          <w:color w:val="FF0000"/>
          <w:sz w:val="22"/>
          <w:szCs w:val="22"/>
          <w:lang w:val="hr-HR" w:eastAsia="en-US"/>
        </w:rPr>
      </w:pPr>
    </w:p>
    <w:p w14:paraId="25E003F4" w14:textId="77777777" w:rsidR="0071236A" w:rsidRPr="0013178E" w:rsidRDefault="0071236A" w:rsidP="00321713">
      <w:pPr>
        <w:widowControl/>
        <w:suppressAutoHyphens w:val="0"/>
        <w:autoSpaceDN w:val="0"/>
        <w:adjustRightInd w:val="0"/>
        <w:jc w:val="both"/>
        <w:rPr>
          <w:color w:val="FF0000"/>
          <w:sz w:val="22"/>
          <w:szCs w:val="22"/>
          <w:lang w:val="hr-HR" w:eastAsia="en-US"/>
        </w:rPr>
      </w:pPr>
    </w:p>
    <w:p w14:paraId="1E045DBE" w14:textId="77777777" w:rsidR="00C25A6F" w:rsidRPr="0013178E" w:rsidRDefault="00C25A6F" w:rsidP="00321713">
      <w:pPr>
        <w:widowControl/>
        <w:shd w:val="clear" w:color="auto" w:fill="FFFFFF"/>
        <w:tabs>
          <w:tab w:val="left" w:pos="548"/>
        </w:tabs>
        <w:autoSpaceDE/>
        <w:jc w:val="both"/>
        <w:rPr>
          <w:b/>
          <w:bCs/>
          <w:spacing w:val="-9"/>
          <w:kern w:val="1"/>
          <w:sz w:val="22"/>
          <w:szCs w:val="22"/>
          <w:lang w:val="hr-HR"/>
        </w:rPr>
      </w:pPr>
      <w:r w:rsidRPr="0013178E">
        <w:rPr>
          <w:rFonts w:eastAsia="Lucida Sans Unicode"/>
          <w:b/>
          <w:bCs/>
          <w:spacing w:val="-24"/>
          <w:kern w:val="1"/>
          <w:sz w:val="22"/>
          <w:szCs w:val="22"/>
          <w:lang w:val="hr-HR"/>
        </w:rPr>
        <w:t>6.</w:t>
      </w:r>
      <w:r w:rsidRPr="0013178E">
        <w:rPr>
          <w:rFonts w:eastAsia="Lucida Sans Unicode"/>
          <w:b/>
          <w:bCs/>
          <w:kern w:val="1"/>
          <w:sz w:val="22"/>
          <w:szCs w:val="22"/>
          <w:lang w:val="hr-HR"/>
        </w:rPr>
        <w:tab/>
      </w:r>
      <w:r w:rsidRPr="0013178E">
        <w:rPr>
          <w:rFonts w:eastAsia="Lucida Sans Unicode"/>
          <w:b/>
          <w:bCs/>
          <w:spacing w:val="-13"/>
          <w:kern w:val="1"/>
          <w:sz w:val="22"/>
          <w:szCs w:val="22"/>
          <w:lang w:val="hr-HR"/>
        </w:rPr>
        <w:t>FARMACEUTSKI PODACI</w:t>
      </w:r>
    </w:p>
    <w:p w14:paraId="288CFB0C" w14:textId="77777777" w:rsidR="007259A3" w:rsidRPr="0013178E" w:rsidRDefault="007259A3" w:rsidP="00321713">
      <w:pPr>
        <w:widowControl/>
        <w:shd w:val="clear" w:color="auto" w:fill="FFFFFF"/>
        <w:tabs>
          <w:tab w:val="left" w:pos="446"/>
        </w:tabs>
        <w:autoSpaceDE/>
        <w:jc w:val="both"/>
        <w:rPr>
          <w:b/>
          <w:sz w:val="22"/>
          <w:szCs w:val="22"/>
          <w:lang w:val="hr-HR" w:eastAsia="en-US"/>
        </w:rPr>
      </w:pPr>
    </w:p>
    <w:p w14:paraId="4387B79A" w14:textId="77777777" w:rsidR="00C25A6F" w:rsidRPr="0013178E" w:rsidRDefault="00C25A6F" w:rsidP="00321713">
      <w:pPr>
        <w:widowControl/>
        <w:shd w:val="clear" w:color="auto" w:fill="FFFFFF"/>
        <w:tabs>
          <w:tab w:val="left" w:pos="446"/>
        </w:tabs>
        <w:autoSpaceDE/>
        <w:jc w:val="both"/>
        <w:rPr>
          <w:b/>
          <w:sz w:val="22"/>
          <w:szCs w:val="22"/>
          <w:lang w:val="hr-HR" w:eastAsia="en-US"/>
        </w:rPr>
      </w:pPr>
      <w:r w:rsidRPr="0013178E">
        <w:rPr>
          <w:b/>
          <w:sz w:val="22"/>
          <w:szCs w:val="22"/>
          <w:lang w:val="hr-HR" w:eastAsia="en-US"/>
        </w:rPr>
        <w:t>6.1.</w:t>
      </w:r>
      <w:r w:rsidRPr="0013178E">
        <w:rPr>
          <w:b/>
          <w:sz w:val="22"/>
          <w:szCs w:val="22"/>
          <w:lang w:val="hr-HR" w:eastAsia="en-US"/>
        </w:rPr>
        <w:tab/>
        <w:t>Lista pomoćnih supstanci</w:t>
      </w:r>
      <w:r w:rsidR="00E83661" w:rsidRPr="0013178E">
        <w:rPr>
          <w:b/>
          <w:sz w:val="22"/>
          <w:szCs w:val="22"/>
          <w:lang w:val="hr-HR" w:eastAsia="en-US"/>
        </w:rPr>
        <w:t xml:space="preserve"> (ekscipijenasa)</w:t>
      </w:r>
    </w:p>
    <w:p w14:paraId="489B6A48" w14:textId="77777777" w:rsidR="007259A3" w:rsidRPr="0013178E" w:rsidRDefault="007259A3" w:rsidP="00321713">
      <w:pPr>
        <w:shd w:val="clear" w:color="auto" w:fill="FFFFFF"/>
        <w:tabs>
          <w:tab w:val="left" w:pos="0"/>
        </w:tabs>
        <w:jc w:val="both"/>
        <w:rPr>
          <w:color w:val="FF0000"/>
          <w:sz w:val="22"/>
          <w:szCs w:val="22"/>
          <w:lang w:val="hr-HR" w:eastAsia="en-US"/>
        </w:rPr>
      </w:pPr>
    </w:p>
    <w:p w14:paraId="0D49361C" w14:textId="77777777" w:rsidR="00897866" w:rsidRPr="0013178E" w:rsidRDefault="00897866" w:rsidP="00321713">
      <w:pPr>
        <w:shd w:val="clear" w:color="auto" w:fill="FFFFFF"/>
        <w:tabs>
          <w:tab w:val="left" w:pos="0"/>
        </w:tabs>
        <w:jc w:val="both"/>
        <w:rPr>
          <w:sz w:val="22"/>
          <w:szCs w:val="22"/>
          <w:lang w:val="hr-HR" w:eastAsia="en-US"/>
        </w:rPr>
      </w:pPr>
      <w:r w:rsidRPr="00430A60">
        <w:rPr>
          <w:sz w:val="22"/>
          <w:szCs w:val="22"/>
          <w:u w:val="single"/>
          <w:lang w:val="hr-HR" w:eastAsia="en-US"/>
        </w:rPr>
        <w:t>Prašak</w:t>
      </w:r>
      <w:r w:rsidRPr="0013178E">
        <w:rPr>
          <w:sz w:val="22"/>
          <w:szCs w:val="22"/>
          <w:lang w:val="hr-HR" w:eastAsia="en-US"/>
        </w:rPr>
        <w:t>:</w:t>
      </w:r>
    </w:p>
    <w:p w14:paraId="4CAD7D81" w14:textId="40B74EF8" w:rsidR="00897866" w:rsidRPr="0013178E" w:rsidRDefault="001C49DE" w:rsidP="00321713">
      <w:pPr>
        <w:shd w:val="clear" w:color="auto" w:fill="FFFFFF"/>
        <w:tabs>
          <w:tab w:val="left" w:pos="0"/>
        </w:tabs>
        <w:jc w:val="both"/>
        <w:rPr>
          <w:sz w:val="22"/>
          <w:szCs w:val="22"/>
          <w:lang w:val="hr-HR" w:eastAsia="en-US"/>
        </w:rPr>
      </w:pPr>
      <w:r>
        <w:rPr>
          <w:sz w:val="22"/>
          <w:szCs w:val="22"/>
          <w:lang w:val="hr-HR" w:eastAsia="en-US"/>
        </w:rPr>
        <w:t xml:space="preserve">- </w:t>
      </w:r>
      <w:r w:rsidR="009B0F00" w:rsidRPr="0013178E">
        <w:rPr>
          <w:sz w:val="22"/>
          <w:szCs w:val="22"/>
          <w:lang w:val="hr-HR" w:eastAsia="en-US"/>
        </w:rPr>
        <w:t xml:space="preserve">saharoza </w:t>
      </w:r>
      <w:r w:rsidR="009E48EA" w:rsidRPr="0013178E">
        <w:rPr>
          <w:sz w:val="22"/>
          <w:szCs w:val="22"/>
          <w:lang w:val="hr-HR" w:eastAsia="en-US"/>
        </w:rPr>
        <w:t>(samo Solu-Medrol 40 mg)</w:t>
      </w:r>
    </w:p>
    <w:p w14:paraId="36B49395" w14:textId="33C30498" w:rsidR="00D22C13" w:rsidRPr="0013178E" w:rsidRDefault="001C49DE" w:rsidP="00321713">
      <w:pPr>
        <w:shd w:val="clear" w:color="auto" w:fill="FFFFFF"/>
        <w:tabs>
          <w:tab w:val="left" w:pos="0"/>
        </w:tabs>
        <w:jc w:val="both"/>
        <w:rPr>
          <w:sz w:val="22"/>
          <w:szCs w:val="22"/>
          <w:lang w:val="hr-HR" w:eastAsia="en-US"/>
        </w:rPr>
      </w:pPr>
      <w:r>
        <w:rPr>
          <w:sz w:val="22"/>
          <w:szCs w:val="22"/>
          <w:lang w:val="hr-HR" w:eastAsia="en-US"/>
        </w:rPr>
        <w:t xml:space="preserve">- </w:t>
      </w:r>
      <w:r w:rsidR="00B400D8" w:rsidRPr="0013178E">
        <w:rPr>
          <w:sz w:val="22"/>
          <w:szCs w:val="22"/>
          <w:lang w:val="hr-HR" w:eastAsia="en-US"/>
        </w:rPr>
        <w:t>natrijum</w:t>
      </w:r>
      <w:r w:rsidR="00EF7F04" w:rsidRPr="0013178E">
        <w:rPr>
          <w:sz w:val="22"/>
          <w:szCs w:val="22"/>
          <w:lang w:val="hr-HR" w:eastAsia="en-US"/>
        </w:rPr>
        <w:t xml:space="preserve"> </w:t>
      </w:r>
      <w:r w:rsidR="00897866" w:rsidRPr="0013178E">
        <w:rPr>
          <w:sz w:val="22"/>
          <w:szCs w:val="22"/>
          <w:lang w:val="hr-HR" w:eastAsia="en-US"/>
        </w:rPr>
        <w:t>dihidrogen fosfat</w:t>
      </w:r>
      <w:r w:rsidR="009B0F00" w:rsidRPr="0013178E">
        <w:rPr>
          <w:sz w:val="22"/>
          <w:szCs w:val="22"/>
          <w:lang w:val="hr-HR" w:eastAsia="en-US"/>
        </w:rPr>
        <w:t>, hidrat</w:t>
      </w:r>
    </w:p>
    <w:p w14:paraId="488E8D2D" w14:textId="721AEA5C" w:rsidR="00D22C13" w:rsidRPr="0013178E" w:rsidRDefault="001C49DE" w:rsidP="00321713">
      <w:pPr>
        <w:shd w:val="clear" w:color="auto" w:fill="FFFFFF"/>
        <w:tabs>
          <w:tab w:val="left" w:pos="0"/>
        </w:tabs>
        <w:jc w:val="both"/>
        <w:rPr>
          <w:sz w:val="22"/>
          <w:szCs w:val="22"/>
          <w:lang w:val="hr-HR" w:eastAsia="en-US"/>
        </w:rPr>
      </w:pPr>
      <w:r>
        <w:rPr>
          <w:sz w:val="22"/>
          <w:szCs w:val="22"/>
          <w:lang w:val="hr-HR" w:eastAsia="en-US"/>
        </w:rPr>
        <w:t xml:space="preserve">- </w:t>
      </w:r>
      <w:r w:rsidR="00D22C13" w:rsidRPr="0013178E">
        <w:rPr>
          <w:sz w:val="22"/>
          <w:szCs w:val="22"/>
          <w:lang w:val="hr-HR" w:eastAsia="en-US"/>
        </w:rPr>
        <w:t xml:space="preserve">natrijum </w:t>
      </w:r>
      <w:r w:rsidR="00897866" w:rsidRPr="0013178E">
        <w:rPr>
          <w:sz w:val="22"/>
          <w:szCs w:val="22"/>
          <w:lang w:val="hr-HR" w:eastAsia="en-US"/>
        </w:rPr>
        <w:t xml:space="preserve">hidrogen </w:t>
      </w:r>
      <w:r w:rsidR="00D22C13" w:rsidRPr="0013178E">
        <w:rPr>
          <w:sz w:val="22"/>
          <w:szCs w:val="22"/>
          <w:lang w:val="hr-HR" w:eastAsia="en-US"/>
        </w:rPr>
        <w:t>fosfat</w:t>
      </w:r>
      <w:r w:rsidR="009B0F00" w:rsidRPr="0013178E">
        <w:rPr>
          <w:sz w:val="22"/>
          <w:szCs w:val="22"/>
          <w:lang w:val="hr-HR" w:eastAsia="en-US"/>
        </w:rPr>
        <w:t>, bezvodni</w:t>
      </w:r>
    </w:p>
    <w:p w14:paraId="1FCACD38" w14:textId="2130C74B" w:rsidR="00B91B99" w:rsidRPr="0013178E" w:rsidRDefault="001C49DE" w:rsidP="00321713">
      <w:pPr>
        <w:shd w:val="clear" w:color="auto" w:fill="FFFFFF"/>
        <w:tabs>
          <w:tab w:val="left" w:pos="0"/>
        </w:tabs>
        <w:jc w:val="both"/>
        <w:rPr>
          <w:sz w:val="22"/>
          <w:szCs w:val="22"/>
          <w:lang w:val="hr-HR" w:eastAsia="en-US"/>
        </w:rPr>
      </w:pPr>
      <w:r>
        <w:rPr>
          <w:sz w:val="22"/>
          <w:szCs w:val="22"/>
          <w:lang w:val="hr-HR" w:eastAsia="en-US"/>
        </w:rPr>
        <w:t xml:space="preserve">- </w:t>
      </w:r>
      <w:r w:rsidR="00B400D8" w:rsidRPr="0013178E">
        <w:rPr>
          <w:sz w:val="22"/>
          <w:szCs w:val="22"/>
          <w:lang w:val="hr-HR" w:eastAsia="en-US"/>
        </w:rPr>
        <w:t>natrijum hidroksid</w:t>
      </w:r>
      <w:r w:rsidR="002A4BA6" w:rsidRPr="0013178E">
        <w:rPr>
          <w:sz w:val="22"/>
          <w:szCs w:val="22"/>
          <w:lang w:val="hr-HR" w:eastAsia="en-US"/>
        </w:rPr>
        <w:t>, 10% rastvor</w:t>
      </w:r>
      <w:r w:rsidR="00B400D8" w:rsidRPr="0013178E">
        <w:rPr>
          <w:sz w:val="22"/>
          <w:szCs w:val="22"/>
          <w:lang w:val="hr-HR" w:eastAsia="en-US"/>
        </w:rPr>
        <w:t xml:space="preserve"> </w:t>
      </w:r>
    </w:p>
    <w:p w14:paraId="422F96F7" w14:textId="77777777" w:rsidR="00644788" w:rsidRPr="0013178E" w:rsidRDefault="00644788" w:rsidP="00321713">
      <w:pPr>
        <w:shd w:val="clear" w:color="auto" w:fill="FFFFFF"/>
        <w:tabs>
          <w:tab w:val="left" w:pos="0"/>
        </w:tabs>
        <w:jc w:val="both"/>
        <w:rPr>
          <w:sz w:val="22"/>
          <w:szCs w:val="22"/>
          <w:lang w:val="hr-HR" w:eastAsia="en-US"/>
        </w:rPr>
      </w:pPr>
    </w:p>
    <w:p w14:paraId="36BF4F5B" w14:textId="77777777" w:rsidR="00B21DC8" w:rsidRPr="0013178E" w:rsidRDefault="009E48EA" w:rsidP="00321713">
      <w:pPr>
        <w:shd w:val="clear" w:color="auto" w:fill="FFFFFF"/>
        <w:tabs>
          <w:tab w:val="left" w:pos="0"/>
        </w:tabs>
        <w:jc w:val="both"/>
        <w:rPr>
          <w:sz w:val="22"/>
          <w:szCs w:val="22"/>
          <w:lang w:val="hr-HR" w:eastAsia="en-US"/>
        </w:rPr>
      </w:pPr>
      <w:r w:rsidRPr="00430A60">
        <w:rPr>
          <w:sz w:val="22"/>
          <w:szCs w:val="22"/>
          <w:u w:val="single"/>
          <w:lang w:val="hr-HR" w:eastAsia="en-US"/>
        </w:rPr>
        <w:t>Rastvarač</w:t>
      </w:r>
      <w:r w:rsidRPr="0013178E">
        <w:rPr>
          <w:sz w:val="22"/>
          <w:szCs w:val="22"/>
          <w:lang w:val="hr-HR" w:eastAsia="en-US"/>
        </w:rPr>
        <w:t>:</w:t>
      </w:r>
    </w:p>
    <w:p w14:paraId="645436CA" w14:textId="09907CAC" w:rsidR="00B21DC8" w:rsidRPr="0013178E" w:rsidRDefault="001C49DE" w:rsidP="00B21DC8">
      <w:pPr>
        <w:rPr>
          <w:sz w:val="22"/>
          <w:szCs w:val="22"/>
          <w:lang w:val="hr-HR"/>
        </w:rPr>
      </w:pPr>
      <w:r>
        <w:rPr>
          <w:sz w:val="22"/>
          <w:szCs w:val="22"/>
          <w:lang w:val="hr-HR"/>
        </w:rPr>
        <w:t xml:space="preserve">- </w:t>
      </w:r>
      <w:r w:rsidR="009E48EA" w:rsidRPr="0013178E">
        <w:rPr>
          <w:sz w:val="22"/>
          <w:szCs w:val="22"/>
          <w:lang w:val="hr-HR"/>
        </w:rPr>
        <w:t>benzil</w:t>
      </w:r>
      <w:r w:rsidR="00B21DC8" w:rsidRPr="0013178E">
        <w:rPr>
          <w:sz w:val="22"/>
          <w:szCs w:val="22"/>
          <w:lang w:val="hr-HR"/>
        </w:rPr>
        <w:t xml:space="preserve"> alkohol (</w:t>
      </w:r>
      <w:r w:rsidR="006C36D7" w:rsidRPr="0013178E">
        <w:rPr>
          <w:sz w:val="22"/>
          <w:szCs w:val="22"/>
          <w:lang w:val="hr-HR"/>
        </w:rPr>
        <w:t>E1519) (</w:t>
      </w:r>
      <w:r w:rsidR="00B21DC8" w:rsidRPr="0013178E">
        <w:rPr>
          <w:sz w:val="22"/>
          <w:szCs w:val="22"/>
          <w:lang w:val="hr-HR"/>
        </w:rPr>
        <w:t>samo Solu-Medrol 500 mg)</w:t>
      </w:r>
    </w:p>
    <w:p w14:paraId="0DC6D055" w14:textId="33568153" w:rsidR="00B21DC8" w:rsidRPr="0013178E" w:rsidRDefault="001C49DE" w:rsidP="00B21DC8">
      <w:pPr>
        <w:rPr>
          <w:sz w:val="22"/>
          <w:szCs w:val="22"/>
          <w:lang w:val="hr-HR"/>
        </w:rPr>
      </w:pPr>
      <w:r>
        <w:rPr>
          <w:sz w:val="22"/>
          <w:szCs w:val="22"/>
          <w:lang w:val="hr-HR"/>
        </w:rPr>
        <w:t xml:space="preserve">- </w:t>
      </w:r>
      <w:r w:rsidR="00B21DC8" w:rsidRPr="0013178E">
        <w:rPr>
          <w:sz w:val="22"/>
          <w:szCs w:val="22"/>
          <w:lang w:val="hr-HR"/>
        </w:rPr>
        <w:t>voda za injekcije</w:t>
      </w:r>
    </w:p>
    <w:p w14:paraId="1F330467" w14:textId="77777777" w:rsidR="00B21DC8" w:rsidRPr="0013178E" w:rsidRDefault="00B21DC8" w:rsidP="00321713">
      <w:pPr>
        <w:shd w:val="clear" w:color="auto" w:fill="FFFFFF"/>
        <w:tabs>
          <w:tab w:val="left" w:pos="0"/>
        </w:tabs>
        <w:jc w:val="both"/>
        <w:rPr>
          <w:sz w:val="22"/>
          <w:szCs w:val="22"/>
          <w:lang w:val="hr-HR" w:eastAsia="en-US"/>
        </w:rPr>
      </w:pPr>
    </w:p>
    <w:p w14:paraId="033CADC0" w14:textId="77777777" w:rsidR="007259A3" w:rsidRPr="0013178E" w:rsidRDefault="00C25A6F" w:rsidP="007259A3">
      <w:pPr>
        <w:widowControl/>
        <w:shd w:val="clear" w:color="auto" w:fill="FFFFFF"/>
        <w:tabs>
          <w:tab w:val="left" w:pos="446"/>
        </w:tabs>
        <w:autoSpaceDE/>
        <w:jc w:val="both"/>
        <w:rPr>
          <w:b/>
          <w:sz w:val="22"/>
          <w:szCs w:val="22"/>
          <w:lang w:val="hr-HR" w:eastAsia="en-US"/>
        </w:rPr>
      </w:pPr>
      <w:r w:rsidRPr="0013178E">
        <w:rPr>
          <w:b/>
          <w:sz w:val="22"/>
          <w:szCs w:val="22"/>
          <w:lang w:val="hr-HR" w:eastAsia="en-US"/>
        </w:rPr>
        <w:t>6.2.</w:t>
      </w:r>
      <w:r w:rsidRPr="0013178E">
        <w:rPr>
          <w:b/>
          <w:sz w:val="22"/>
          <w:szCs w:val="22"/>
          <w:lang w:val="hr-HR" w:eastAsia="en-US"/>
        </w:rPr>
        <w:tab/>
      </w:r>
      <w:r w:rsidR="00C13A89" w:rsidRPr="0013178E">
        <w:rPr>
          <w:b/>
          <w:sz w:val="22"/>
          <w:szCs w:val="22"/>
          <w:lang w:val="hr-HR" w:eastAsia="en-US"/>
        </w:rPr>
        <w:t>Inkompatibilnosti</w:t>
      </w:r>
    </w:p>
    <w:p w14:paraId="49E2596B" w14:textId="77777777" w:rsidR="00644788" w:rsidRPr="0013178E" w:rsidRDefault="00644788" w:rsidP="00321713">
      <w:pPr>
        <w:jc w:val="both"/>
        <w:rPr>
          <w:color w:val="FF0000"/>
          <w:sz w:val="22"/>
          <w:szCs w:val="22"/>
          <w:lang w:val="hr-HR"/>
        </w:rPr>
      </w:pPr>
    </w:p>
    <w:p w14:paraId="0B8D4055" w14:textId="1F9F6FBD" w:rsidR="006A08E2" w:rsidRPr="0013178E" w:rsidRDefault="00AF55F9" w:rsidP="00321713">
      <w:pPr>
        <w:jc w:val="both"/>
        <w:rPr>
          <w:rStyle w:val="st"/>
          <w:sz w:val="22"/>
          <w:szCs w:val="22"/>
          <w:lang w:val="hr-HR"/>
        </w:rPr>
      </w:pPr>
      <w:r w:rsidRPr="0013178E">
        <w:rPr>
          <w:sz w:val="22"/>
          <w:szCs w:val="22"/>
          <w:lang w:val="hr-HR"/>
        </w:rPr>
        <w:t>Intravenska k</w:t>
      </w:r>
      <w:r w:rsidR="002A4BA6" w:rsidRPr="0013178E">
        <w:rPr>
          <w:sz w:val="22"/>
          <w:szCs w:val="22"/>
          <w:lang w:val="hr-HR"/>
        </w:rPr>
        <w:t xml:space="preserve">ompatibilnost </w:t>
      </w:r>
      <w:r w:rsidR="002A6082" w:rsidRPr="0013178E">
        <w:rPr>
          <w:sz w:val="22"/>
          <w:szCs w:val="22"/>
          <w:lang w:val="hr-HR"/>
        </w:rPr>
        <w:t xml:space="preserve">i stabilnost </w:t>
      </w:r>
      <w:r w:rsidR="002A4BA6" w:rsidRPr="0013178E">
        <w:rPr>
          <w:sz w:val="22"/>
          <w:szCs w:val="22"/>
          <w:lang w:val="hr-HR"/>
        </w:rPr>
        <w:t xml:space="preserve">rastvora natrijum metilprednizolon sukcinata </w:t>
      </w:r>
      <w:r w:rsidR="00AD24E2" w:rsidRPr="0013178E">
        <w:rPr>
          <w:sz w:val="22"/>
          <w:szCs w:val="22"/>
          <w:lang w:val="hr-HR"/>
        </w:rPr>
        <w:t>prilikom mije</w:t>
      </w:r>
      <w:r w:rsidR="004B41A4" w:rsidRPr="0013178E">
        <w:rPr>
          <w:sz w:val="22"/>
          <w:szCs w:val="22"/>
          <w:lang w:val="hr-HR" w:eastAsia="en-US"/>
        </w:rPr>
        <w:t>š</w:t>
      </w:r>
      <w:r w:rsidR="00AD24E2" w:rsidRPr="0013178E">
        <w:rPr>
          <w:sz w:val="22"/>
          <w:szCs w:val="22"/>
          <w:lang w:val="hr-HR"/>
        </w:rPr>
        <w:t>anja sa drugim ljekovima</w:t>
      </w:r>
      <w:r w:rsidR="006A08E2" w:rsidRPr="0013178E">
        <w:rPr>
          <w:sz w:val="22"/>
          <w:szCs w:val="22"/>
          <w:lang w:val="hr-HR"/>
        </w:rPr>
        <w:t xml:space="preserve"> </w:t>
      </w:r>
      <w:r w:rsidR="002A4BA6" w:rsidRPr="0013178E">
        <w:rPr>
          <w:sz w:val="22"/>
          <w:szCs w:val="22"/>
          <w:lang w:val="hr-HR"/>
        </w:rPr>
        <w:t xml:space="preserve">za intravensku primjenu </w:t>
      </w:r>
      <w:r w:rsidR="006A08E2" w:rsidRPr="0013178E">
        <w:rPr>
          <w:sz w:val="22"/>
          <w:szCs w:val="22"/>
          <w:lang w:val="hr-HR"/>
        </w:rPr>
        <w:t>zavis</w:t>
      </w:r>
      <w:r w:rsidR="00C61D53" w:rsidRPr="0013178E">
        <w:rPr>
          <w:sz w:val="22"/>
          <w:szCs w:val="22"/>
          <w:lang w:val="hr-HR"/>
        </w:rPr>
        <w:t>e</w:t>
      </w:r>
      <w:r w:rsidR="006A08E2" w:rsidRPr="0013178E">
        <w:rPr>
          <w:sz w:val="22"/>
          <w:szCs w:val="22"/>
          <w:lang w:val="hr-HR"/>
        </w:rPr>
        <w:t xml:space="preserve"> </w:t>
      </w:r>
      <w:r w:rsidR="004B41A4" w:rsidRPr="0013178E">
        <w:rPr>
          <w:sz w:val="22"/>
          <w:szCs w:val="22"/>
          <w:lang w:val="hr-HR"/>
        </w:rPr>
        <w:t>od ukupnog pH, koncentracije</w:t>
      </w:r>
      <w:r w:rsidR="006A08E2" w:rsidRPr="0013178E">
        <w:rPr>
          <w:sz w:val="22"/>
          <w:szCs w:val="22"/>
          <w:lang w:val="hr-HR"/>
        </w:rPr>
        <w:t>, vremena</w:t>
      </w:r>
      <w:r w:rsidR="004B41A4" w:rsidRPr="0013178E">
        <w:rPr>
          <w:sz w:val="22"/>
          <w:szCs w:val="22"/>
          <w:lang w:val="hr-HR"/>
        </w:rPr>
        <w:t>, temperature</w:t>
      </w:r>
      <w:r w:rsidR="006A08E2" w:rsidRPr="0013178E">
        <w:rPr>
          <w:sz w:val="22"/>
          <w:szCs w:val="22"/>
          <w:lang w:val="hr-HR"/>
        </w:rPr>
        <w:t xml:space="preserve"> i sposobnosti </w:t>
      </w:r>
      <w:r w:rsidR="004B41A4" w:rsidRPr="0013178E">
        <w:rPr>
          <w:sz w:val="22"/>
          <w:szCs w:val="22"/>
          <w:lang w:val="hr-HR"/>
        </w:rPr>
        <w:t>rastvaranja m</w:t>
      </w:r>
      <w:r w:rsidR="006A08E2" w:rsidRPr="0013178E">
        <w:rPr>
          <w:sz w:val="22"/>
          <w:szCs w:val="22"/>
          <w:lang w:val="hr-HR"/>
        </w:rPr>
        <w:t>etilprednizolon</w:t>
      </w:r>
      <w:r w:rsidR="004B41A4" w:rsidRPr="0013178E">
        <w:rPr>
          <w:sz w:val="22"/>
          <w:szCs w:val="22"/>
          <w:lang w:val="hr-HR"/>
        </w:rPr>
        <w:t>a. K</w:t>
      </w:r>
      <w:r w:rsidR="006A08E2" w:rsidRPr="0013178E">
        <w:rPr>
          <w:sz w:val="22"/>
          <w:szCs w:val="22"/>
          <w:lang w:val="hr-HR"/>
        </w:rPr>
        <w:t xml:space="preserve">ako bi </w:t>
      </w:r>
      <w:r w:rsidR="00EB1AC7" w:rsidRPr="0013178E">
        <w:rPr>
          <w:sz w:val="22"/>
          <w:szCs w:val="22"/>
          <w:lang w:val="hr-HR"/>
        </w:rPr>
        <w:t xml:space="preserve">se </w:t>
      </w:r>
      <w:r w:rsidR="006A08E2" w:rsidRPr="0013178E">
        <w:rPr>
          <w:sz w:val="22"/>
          <w:szCs w:val="22"/>
          <w:lang w:val="hr-HR"/>
        </w:rPr>
        <w:t>izb</w:t>
      </w:r>
      <w:r w:rsidR="004B41A4" w:rsidRPr="0013178E">
        <w:rPr>
          <w:sz w:val="22"/>
          <w:szCs w:val="22"/>
          <w:lang w:val="hr-HR"/>
        </w:rPr>
        <w:t>jegli problem</w:t>
      </w:r>
      <w:r w:rsidR="00AD504D" w:rsidRPr="0013178E">
        <w:rPr>
          <w:sz w:val="22"/>
          <w:szCs w:val="22"/>
          <w:lang w:val="hr-HR"/>
        </w:rPr>
        <w:t>i</w:t>
      </w:r>
      <w:r w:rsidR="004B41A4" w:rsidRPr="0013178E">
        <w:rPr>
          <w:sz w:val="22"/>
          <w:szCs w:val="22"/>
          <w:lang w:val="hr-HR"/>
        </w:rPr>
        <w:t xml:space="preserve"> sa </w:t>
      </w:r>
      <w:r w:rsidR="000D3287" w:rsidRPr="0013178E">
        <w:rPr>
          <w:sz w:val="22"/>
          <w:szCs w:val="22"/>
          <w:lang w:val="hr-HR" w:eastAsia="en-US"/>
        </w:rPr>
        <w:t>kompatibilnošću</w:t>
      </w:r>
      <w:r w:rsidR="004B41A4" w:rsidRPr="0013178E">
        <w:rPr>
          <w:sz w:val="22"/>
          <w:szCs w:val="22"/>
          <w:lang w:val="hr-HR"/>
        </w:rPr>
        <w:t xml:space="preserve"> i </w:t>
      </w:r>
      <w:r w:rsidR="000D3287" w:rsidRPr="0013178E">
        <w:rPr>
          <w:sz w:val="22"/>
          <w:szCs w:val="22"/>
          <w:lang w:val="hr-HR"/>
        </w:rPr>
        <w:t>stabilno</w:t>
      </w:r>
      <w:r w:rsidR="000D3287" w:rsidRPr="0013178E">
        <w:rPr>
          <w:sz w:val="22"/>
          <w:szCs w:val="22"/>
          <w:lang w:val="hr-HR" w:eastAsia="en-US"/>
        </w:rPr>
        <w:t>šću</w:t>
      </w:r>
      <w:r w:rsidR="006A08E2" w:rsidRPr="0013178E">
        <w:rPr>
          <w:sz w:val="22"/>
          <w:szCs w:val="22"/>
          <w:lang w:val="hr-HR"/>
        </w:rPr>
        <w:t xml:space="preserve">, kad god je </w:t>
      </w:r>
      <w:r w:rsidR="000D3287" w:rsidRPr="0013178E">
        <w:rPr>
          <w:sz w:val="22"/>
          <w:szCs w:val="22"/>
          <w:lang w:val="hr-HR"/>
        </w:rPr>
        <w:t>moguće</w:t>
      </w:r>
      <w:r w:rsidR="006A08E2" w:rsidRPr="0013178E">
        <w:rPr>
          <w:sz w:val="22"/>
          <w:szCs w:val="22"/>
          <w:lang w:val="hr-HR"/>
        </w:rPr>
        <w:t xml:space="preserve">, preporučuje se da </w:t>
      </w:r>
      <w:r w:rsidR="004B41A4" w:rsidRPr="0013178E">
        <w:rPr>
          <w:sz w:val="22"/>
          <w:szCs w:val="22"/>
          <w:lang w:val="hr-HR"/>
        </w:rPr>
        <w:t xml:space="preserve">se </w:t>
      </w:r>
      <w:r w:rsidR="002A4BA6" w:rsidRPr="0013178E">
        <w:rPr>
          <w:sz w:val="22"/>
          <w:szCs w:val="22"/>
          <w:lang w:val="hr-HR"/>
        </w:rPr>
        <w:t>natrijum metilprednizolon sukcinat</w:t>
      </w:r>
      <w:r w:rsidR="006A08E2" w:rsidRPr="0013178E">
        <w:rPr>
          <w:sz w:val="22"/>
          <w:szCs w:val="22"/>
          <w:lang w:val="hr-HR"/>
        </w:rPr>
        <w:t xml:space="preserve"> </w:t>
      </w:r>
      <w:r w:rsidR="004B41A4" w:rsidRPr="0013178E">
        <w:rPr>
          <w:sz w:val="22"/>
          <w:szCs w:val="22"/>
          <w:lang w:val="hr-HR"/>
        </w:rPr>
        <w:t>daje</w:t>
      </w:r>
      <w:r w:rsidR="006A08E2" w:rsidRPr="0013178E">
        <w:rPr>
          <w:sz w:val="22"/>
          <w:szCs w:val="22"/>
          <w:lang w:val="hr-HR"/>
        </w:rPr>
        <w:t xml:space="preserve"> odvojeno od drugih l</w:t>
      </w:r>
      <w:r w:rsidR="004B41A4" w:rsidRPr="0013178E">
        <w:rPr>
          <w:sz w:val="22"/>
          <w:szCs w:val="22"/>
          <w:lang w:val="hr-HR"/>
        </w:rPr>
        <w:t>j</w:t>
      </w:r>
      <w:r w:rsidR="006A08E2" w:rsidRPr="0013178E">
        <w:rPr>
          <w:sz w:val="22"/>
          <w:szCs w:val="22"/>
          <w:lang w:val="hr-HR"/>
        </w:rPr>
        <w:t xml:space="preserve">ekova </w:t>
      </w:r>
      <w:r w:rsidR="001A3C78" w:rsidRPr="0013178E">
        <w:rPr>
          <w:sz w:val="22"/>
          <w:szCs w:val="22"/>
          <w:lang w:val="hr-HR"/>
        </w:rPr>
        <w:t xml:space="preserve">ili </w:t>
      </w:r>
      <w:r w:rsidR="00EB1AC7" w:rsidRPr="0013178E">
        <w:rPr>
          <w:sz w:val="22"/>
          <w:szCs w:val="22"/>
          <w:lang w:val="hr-HR"/>
        </w:rPr>
        <w:t xml:space="preserve">pomoću </w:t>
      </w:r>
      <w:r w:rsidR="001A3C78" w:rsidRPr="0013178E">
        <w:rPr>
          <w:sz w:val="22"/>
          <w:szCs w:val="22"/>
          <w:lang w:val="hr-HR"/>
        </w:rPr>
        <w:t xml:space="preserve">katetera i seta za davanje koji sadrži komoru za kapanje ili </w:t>
      </w:r>
      <w:r w:rsidR="001A3C78" w:rsidRPr="0013178E">
        <w:rPr>
          <w:rStyle w:val="st"/>
          <w:sz w:val="22"/>
          <w:szCs w:val="22"/>
          <w:lang w:val="hr-HR"/>
        </w:rPr>
        <w:t xml:space="preserve">režima sekundarne </w:t>
      </w:r>
      <w:r w:rsidR="002A4BA6" w:rsidRPr="0013178E">
        <w:rPr>
          <w:rStyle w:val="st"/>
          <w:sz w:val="22"/>
          <w:szCs w:val="22"/>
          <w:lang w:val="hr-HR"/>
        </w:rPr>
        <w:t>(„</w:t>
      </w:r>
      <w:r w:rsidR="001A3C78" w:rsidRPr="0013178E">
        <w:rPr>
          <w:rStyle w:val="Emphasis"/>
          <w:sz w:val="22"/>
          <w:szCs w:val="22"/>
          <w:lang w:val="hr-HR"/>
        </w:rPr>
        <w:t>piggyback</w:t>
      </w:r>
      <w:r w:rsidR="002A4BA6" w:rsidRPr="0013178E">
        <w:rPr>
          <w:rStyle w:val="st"/>
          <w:sz w:val="22"/>
          <w:szCs w:val="22"/>
          <w:lang w:val="hr-HR"/>
        </w:rPr>
        <w:t xml:space="preserve">“) </w:t>
      </w:r>
      <w:r w:rsidR="001A3C78" w:rsidRPr="0013178E">
        <w:rPr>
          <w:rStyle w:val="st"/>
          <w:sz w:val="22"/>
          <w:szCs w:val="22"/>
          <w:lang w:val="hr-HR"/>
        </w:rPr>
        <w:t>infuzije</w:t>
      </w:r>
      <w:r w:rsidR="002A4BA6" w:rsidRPr="0013178E">
        <w:rPr>
          <w:rStyle w:val="st"/>
          <w:sz w:val="22"/>
          <w:szCs w:val="22"/>
          <w:lang w:val="hr-HR"/>
        </w:rPr>
        <w:t xml:space="preserve"> (vidjeti </w:t>
      </w:r>
      <w:r w:rsidR="009E76C5">
        <w:rPr>
          <w:rStyle w:val="st"/>
          <w:sz w:val="22"/>
          <w:szCs w:val="22"/>
          <w:lang w:val="hr-HR"/>
        </w:rPr>
        <w:t>dio</w:t>
      </w:r>
      <w:r w:rsidR="002A4BA6" w:rsidRPr="0013178E">
        <w:rPr>
          <w:rStyle w:val="st"/>
          <w:sz w:val="22"/>
          <w:szCs w:val="22"/>
          <w:lang w:val="hr-HR"/>
        </w:rPr>
        <w:t xml:space="preserve"> 4.5</w:t>
      </w:r>
      <w:r w:rsidR="007D674B">
        <w:rPr>
          <w:rStyle w:val="st"/>
          <w:sz w:val="22"/>
          <w:szCs w:val="22"/>
          <w:lang w:val="hr-HR"/>
        </w:rPr>
        <w:t>.</w:t>
      </w:r>
      <w:r w:rsidR="002A4BA6" w:rsidRPr="0013178E">
        <w:rPr>
          <w:rStyle w:val="st"/>
          <w:sz w:val="22"/>
          <w:szCs w:val="22"/>
          <w:lang w:val="hr-HR"/>
        </w:rPr>
        <w:t>)</w:t>
      </w:r>
      <w:r w:rsidR="001A3C78" w:rsidRPr="0013178E">
        <w:rPr>
          <w:rStyle w:val="st"/>
          <w:sz w:val="22"/>
          <w:szCs w:val="22"/>
          <w:lang w:val="hr-HR"/>
        </w:rPr>
        <w:t>.</w:t>
      </w:r>
    </w:p>
    <w:p w14:paraId="44E9BAEB" w14:textId="77777777" w:rsidR="00644788" w:rsidRPr="0013178E" w:rsidRDefault="00644788" w:rsidP="00321713">
      <w:pPr>
        <w:jc w:val="both"/>
        <w:rPr>
          <w:sz w:val="22"/>
          <w:szCs w:val="22"/>
          <w:lang w:val="hr-HR" w:eastAsia="en-US"/>
        </w:rPr>
      </w:pPr>
    </w:p>
    <w:p w14:paraId="55B4B27F" w14:textId="77777777" w:rsidR="00C25A6F" w:rsidRPr="0013178E" w:rsidRDefault="00C25A6F" w:rsidP="00321713">
      <w:pPr>
        <w:widowControl/>
        <w:shd w:val="clear" w:color="auto" w:fill="FFFFFF"/>
        <w:tabs>
          <w:tab w:val="left" w:pos="446"/>
        </w:tabs>
        <w:autoSpaceDE/>
        <w:jc w:val="both"/>
        <w:rPr>
          <w:b/>
          <w:sz w:val="22"/>
          <w:szCs w:val="22"/>
          <w:lang w:val="hr-HR"/>
        </w:rPr>
      </w:pPr>
      <w:r w:rsidRPr="0013178E">
        <w:rPr>
          <w:b/>
          <w:sz w:val="22"/>
          <w:szCs w:val="22"/>
          <w:lang w:val="hr-HR"/>
        </w:rPr>
        <w:t>6.3.</w:t>
      </w:r>
      <w:r w:rsidRPr="0013178E">
        <w:rPr>
          <w:b/>
          <w:sz w:val="22"/>
          <w:szCs w:val="22"/>
          <w:lang w:val="hr-HR"/>
        </w:rPr>
        <w:tab/>
        <w:t>Rok upotrebe</w:t>
      </w:r>
    </w:p>
    <w:p w14:paraId="103085E9" w14:textId="77777777" w:rsidR="00644788" w:rsidRPr="0013178E" w:rsidRDefault="00644788" w:rsidP="00321713">
      <w:pPr>
        <w:shd w:val="clear" w:color="auto" w:fill="FFFFFF"/>
        <w:tabs>
          <w:tab w:val="left" w:pos="0"/>
        </w:tabs>
        <w:jc w:val="both"/>
        <w:rPr>
          <w:color w:val="FF0000"/>
          <w:sz w:val="22"/>
          <w:szCs w:val="22"/>
          <w:lang w:val="hr-HR" w:eastAsia="en-US"/>
        </w:rPr>
      </w:pPr>
    </w:p>
    <w:p w14:paraId="308DF1F8" w14:textId="77777777" w:rsidR="003312DC" w:rsidRPr="0013178E" w:rsidRDefault="003312DC" w:rsidP="006F44C7">
      <w:pPr>
        <w:shd w:val="clear" w:color="auto" w:fill="FFFFFF"/>
        <w:tabs>
          <w:tab w:val="left" w:pos="0"/>
        </w:tabs>
        <w:jc w:val="both"/>
        <w:rPr>
          <w:sz w:val="22"/>
          <w:szCs w:val="22"/>
          <w:lang w:val="hr-HR" w:eastAsia="en-US"/>
        </w:rPr>
      </w:pPr>
      <w:r w:rsidRPr="00430A60">
        <w:rPr>
          <w:sz w:val="22"/>
          <w:szCs w:val="22"/>
          <w:u w:val="single"/>
          <w:lang w:val="hr-HR" w:eastAsia="en-US"/>
        </w:rPr>
        <w:t>Neotvorene bo</w:t>
      </w:r>
      <w:r w:rsidR="009C1D05" w:rsidRPr="00430A60">
        <w:rPr>
          <w:sz w:val="22"/>
          <w:szCs w:val="22"/>
          <w:u w:val="single"/>
          <w:lang w:val="hr-HR" w:eastAsia="en-US"/>
        </w:rPr>
        <w:t>č</w:t>
      </w:r>
      <w:r w:rsidRPr="00430A60">
        <w:rPr>
          <w:sz w:val="22"/>
          <w:szCs w:val="22"/>
          <w:u w:val="single"/>
          <w:lang w:val="hr-HR" w:eastAsia="en-US"/>
        </w:rPr>
        <w:t>ice</w:t>
      </w:r>
      <w:r w:rsidRPr="0013178E">
        <w:rPr>
          <w:sz w:val="22"/>
          <w:szCs w:val="22"/>
          <w:lang w:val="hr-HR" w:eastAsia="en-US"/>
        </w:rPr>
        <w:t>:</w:t>
      </w:r>
    </w:p>
    <w:p w14:paraId="50888505" w14:textId="39162E8A" w:rsidR="00B21DC8" w:rsidRPr="0013178E" w:rsidRDefault="00B21DC8" w:rsidP="006F44C7">
      <w:pPr>
        <w:shd w:val="clear" w:color="auto" w:fill="FFFFFF"/>
        <w:tabs>
          <w:tab w:val="left" w:pos="0"/>
        </w:tabs>
        <w:jc w:val="both"/>
        <w:rPr>
          <w:sz w:val="22"/>
          <w:szCs w:val="22"/>
          <w:lang w:val="hr-HR" w:eastAsia="en-US"/>
        </w:rPr>
      </w:pPr>
      <w:r w:rsidRPr="0013178E">
        <w:rPr>
          <w:sz w:val="22"/>
          <w:szCs w:val="22"/>
          <w:lang w:val="hr-HR" w:eastAsia="en-US"/>
        </w:rPr>
        <w:t>Solu-Medrol 40 mg</w:t>
      </w:r>
      <w:r w:rsidR="00F1563A" w:rsidRPr="0013178E">
        <w:rPr>
          <w:sz w:val="22"/>
          <w:szCs w:val="22"/>
          <w:lang w:val="hr-HR" w:eastAsia="en-US"/>
        </w:rPr>
        <w:t xml:space="preserve"> (sadrži </w:t>
      </w:r>
      <w:r w:rsidR="00702E79" w:rsidRPr="0013178E">
        <w:rPr>
          <w:sz w:val="22"/>
          <w:szCs w:val="22"/>
          <w:lang w:val="hr-HR" w:eastAsia="en-US"/>
        </w:rPr>
        <w:t>saharozu)</w:t>
      </w:r>
      <w:r w:rsidRPr="0013178E">
        <w:rPr>
          <w:sz w:val="22"/>
          <w:szCs w:val="22"/>
          <w:lang w:val="hr-HR" w:eastAsia="en-US"/>
        </w:rPr>
        <w:t>, 125 mg: 2 godine</w:t>
      </w:r>
    </w:p>
    <w:p w14:paraId="2063E710" w14:textId="23043C40" w:rsidR="00B21DC8" w:rsidRPr="0013178E" w:rsidRDefault="00B21DC8" w:rsidP="006F44C7">
      <w:pPr>
        <w:shd w:val="clear" w:color="auto" w:fill="FFFFFF"/>
        <w:tabs>
          <w:tab w:val="left" w:pos="0"/>
        </w:tabs>
        <w:jc w:val="both"/>
        <w:rPr>
          <w:sz w:val="22"/>
          <w:szCs w:val="22"/>
          <w:lang w:val="hr-HR" w:eastAsia="en-US"/>
        </w:rPr>
      </w:pPr>
      <w:r w:rsidRPr="0013178E">
        <w:rPr>
          <w:sz w:val="22"/>
          <w:szCs w:val="22"/>
          <w:lang w:val="hr-HR" w:eastAsia="en-US"/>
        </w:rPr>
        <w:t>Solu-Medrol 500 mg: 5 godina</w:t>
      </w:r>
    </w:p>
    <w:p w14:paraId="7D00F290" w14:textId="77777777" w:rsidR="001C49DE" w:rsidRDefault="001C49DE" w:rsidP="00321713">
      <w:pPr>
        <w:shd w:val="clear" w:color="auto" w:fill="FFFFFF"/>
        <w:tabs>
          <w:tab w:val="left" w:pos="0"/>
        </w:tabs>
        <w:jc w:val="both"/>
        <w:rPr>
          <w:sz w:val="22"/>
          <w:szCs w:val="22"/>
          <w:lang w:val="hr-HR"/>
        </w:rPr>
      </w:pPr>
    </w:p>
    <w:p w14:paraId="33A406E9" w14:textId="27E1408D" w:rsidR="002A4BA6" w:rsidRPr="0013178E" w:rsidRDefault="001C49DE" w:rsidP="00321713">
      <w:pPr>
        <w:shd w:val="clear" w:color="auto" w:fill="FFFFFF"/>
        <w:tabs>
          <w:tab w:val="left" w:pos="0"/>
        </w:tabs>
        <w:jc w:val="both"/>
        <w:rPr>
          <w:color w:val="FF0000"/>
          <w:sz w:val="22"/>
          <w:szCs w:val="22"/>
          <w:lang w:val="hr-HR" w:eastAsia="en-US"/>
        </w:rPr>
      </w:pPr>
      <w:r>
        <w:rPr>
          <w:sz w:val="22"/>
          <w:szCs w:val="22"/>
          <w:lang w:val="hr-HR"/>
        </w:rPr>
        <w:t>Lijek</w:t>
      </w:r>
      <w:r w:rsidRPr="0013178E">
        <w:rPr>
          <w:sz w:val="22"/>
          <w:szCs w:val="22"/>
          <w:lang w:val="hr-HR"/>
        </w:rPr>
        <w:t xml:space="preserve"> ne zahtijeva posebne uslove čuvanja</w:t>
      </w:r>
      <w:r>
        <w:rPr>
          <w:sz w:val="22"/>
          <w:szCs w:val="22"/>
          <w:lang w:val="hr-HR"/>
        </w:rPr>
        <w:t>.</w:t>
      </w:r>
    </w:p>
    <w:p w14:paraId="5FD4845C" w14:textId="77777777" w:rsidR="001C49DE" w:rsidRDefault="001C49DE" w:rsidP="00702E79">
      <w:pPr>
        <w:shd w:val="clear" w:color="auto" w:fill="FFFFFF"/>
        <w:tabs>
          <w:tab w:val="left" w:pos="0"/>
        </w:tabs>
        <w:jc w:val="both"/>
        <w:rPr>
          <w:sz w:val="22"/>
          <w:szCs w:val="22"/>
          <w:lang w:val="hr-HR" w:eastAsia="en-US"/>
        </w:rPr>
      </w:pPr>
    </w:p>
    <w:p w14:paraId="36A9F807" w14:textId="0E474952" w:rsidR="00702E79" w:rsidRPr="0013178E" w:rsidRDefault="00702E79" w:rsidP="00702E79">
      <w:pPr>
        <w:shd w:val="clear" w:color="auto" w:fill="FFFFFF"/>
        <w:tabs>
          <w:tab w:val="left" w:pos="0"/>
        </w:tabs>
        <w:jc w:val="both"/>
        <w:rPr>
          <w:sz w:val="22"/>
          <w:szCs w:val="22"/>
          <w:lang w:val="hr-HR" w:eastAsia="en-US"/>
        </w:rPr>
      </w:pPr>
      <w:r w:rsidRPr="00430A60">
        <w:rPr>
          <w:b/>
          <w:sz w:val="22"/>
          <w:szCs w:val="22"/>
          <w:lang w:val="hr-HR" w:eastAsia="en-US"/>
        </w:rPr>
        <w:t>Solu-Medrol 40 mg</w:t>
      </w:r>
      <w:r w:rsidRPr="0013178E">
        <w:rPr>
          <w:sz w:val="22"/>
          <w:szCs w:val="22"/>
          <w:lang w:val="hr-HR" w:eastAsia="en-US"/>
        </w:rPr>
        <w:t>:</w:t>
      </w:r>
    </w:p>
    <w:p w14:paraId="4D330707" w14:textId="77777777" w:rsidR="0072568E" w:rsidRPr="0013178E" w:rsidRDefault="0072568E" w:rsidP="0072568E">
      <w:pPr>
        <w:rPr>
          <w:sz w:val="22"/>
          <w:szCs w:val="22"/>
          <w:lang w:val="hr-HR"/>
        </w:rPr>
      </w:pPr>
    </w:p>
    <w:p w14:paraId="39A16B63" w14:textId="77777777" w:rsidR="0072568E" w:rsidRPr="0013178E" w:rsidRDefault="0072568E" w:rsidP="00430A60">
      <w:pPr>
        <w:jc w:val="both"/>
        <w:rPr>
          <w:sz w:val="22"/>
          <w:szCs w:val="22"/>
          <w:lang w:val="hr-HR"/>
        </w:rPr>
      </w:pPr>
      <w:r w:rsidRPr="00430A60">
        <w:rPr>
          <w:sz w:val="22"/>
          <w:szCs w:val="22"/>
          <w:u w:val="single"/>
          <w:lang w:val="hr-HR"/>
        </w:rPr>
        <w:t>Nakon rekonstitucije rastvaračem</w:t>
      </w:r>
      <w:r w:rsidRPr="0013178E">
        <w:rPr>
          <w:sz w:val="22"/>
          <w:szCs w:val="22"/>
          <w:lang w:val="hr-HR"/>
        </w:rPr>
        <w:t>:</w:t>
      </w:r>
    </w:p>
    <w:p w14:paraId="00A198A0" w14:textId="3B5C7447" w:rsidR="0072568E" w:rsidRPr="0013178E" w:rsidRDefault="0072568E" w:rsidP="00430A60">
      <w:pPr>
        <w:jc w:val="both"/>
        <w:rPr>
          <w:sz w:val="22"/>
          <w:szCs w:val="22"/>
          <w:lang w:val="hr-HR"/>
        </w:rPr>
      </w:pPr>
      <w:r w:rsidRPr="0013178E">
        <w:rPr>
          <w:sz w:val="22"/>
          <w:szCs w:val="22"/>
          <w:lang w:val="hr-HR"/>
        </w:rPr>
        <w:t>Dokazana hemijska i fizička stabilnost rekonstituisanog rastvora</w:t>
      </w:r>
      <w:r w:rsidR="00E719DA" w:rsidRPr="0013178E">
        <w:rPr>
          <w:sz w:val="22"/>
          <w:szCs w:val="22"/>
          <w:lang w:val="hr-HR"/>
        </w:rPr>
        <w:t xml:space="preserve"> u primje</w:t>
      </w:r>
      <w:r w:rsidR="00FC7A4E" w:rsidRPr="0013178E">
        <w:rPr>
          <w:sz w:val="22"/>
          <w:szCs w:val="22"/>
          <w:lang w:val="hr-HR"/>
        </w:rPr>
        <w:t>ni</w:t>
      </w:r>
      <w:r w:rsidRPr="0013178E">
        <w:rPr>
          <w:sz w:val="22"/>
          <w:szCs w:val="22"/>
          <w:lang w:val="hr-HR"/>
        </w:rPr>
        <w:t xml:space="preserve"> je 48 sati </w:t>
      </w:r>
      <w:r w:rsidR="0075469D" w:rsidRPr="0013178E">
        <w:rPr>
          <w:sz w:val="22"/>
          <w:szCs w:val="22"/>
          <w:lang w:val="hr-HR"/>
        </w:rPr>
        <w:t>uz čuvanje</w:t>
      </w:r>
      <w:r w:rsidR="00E02C3A" w:rsidRPr="0013178E">
        <w:rPr>
          <w:sz w:val="22"/>
          <w:szCs w:val="22"/>
          <w:lang w:val="hr-HR"/>
        </w:rPr>
        <w:t xml:space="preserve"> </w:t>
      </w:r>
      <w:r w:rsidRPr="0013178E">
        <w:rPr>
          <w:sz w:val="22"/>
          <w:szCs w:val="22"/>
          <w:lang w:val="hr-HR"/>
        </w:rPr>
        <w:t>na temperaturi od 2</w:t>
      </w:r>
      <w:r w:rsidR="006D5EC9">
        <w:rPr>
          <w:sz w:val="22"/>
          <w:szCs w:val="22"/>
          <w:lang w:val="hr-HR"/>
        </w:rPr>
        <w:t> </w:t>
      </w:r>
      <w:r w:rsidRPr="0013178E">
        <w:rPr>
          <w:sz w:val="22"/>
          <w:szCs w:val="22"/>
          <w:lang w:val="hr-HR"/>
        </w:rPr>
        <w:t>°C do 8</w:t>
      </w:r>
      <w:r w:rsidR="006D5EC9">
        <w:rPr>
          <w:sz w:val="22"/>
          <w:szCs w:val="22"/>
          <w:lang w:val="hr-HR"/>
        </w:rPr>
        <w:t> </w:t>
      </w:r>
      <w:r w:rsidRPr="0013178E">
        <w:rPr>
          <w:sz w:val="22"/>
          <w:szCs w:val="22"/>
          <w:lang w:val="hr-HR"/>
        </w:rPr>
        <w:t>°C. Ako se čuva na temperaturi do 25</w:t>
      </w:r>
      <w:r w:rsidR="006D5EC9">
        <w:rPr>
          <w:sz w:val="22"/>
          <w:szCs w:val="22"/>
          <w:lang w:val="hr-HR"/>
        </w:rPr>
        <w:t> </w:t>
      </w:r>
      <w:r w:rsidRPr="0013178E">
        <w:rPr>
          <w:sz w:val="22"/>
          <w:szCs w:val="22"/>
          <w:lang w:val="hr-HR"/>
        </w:rPr>
        <w:t xml:space="preserve">°C, </w:t>
      </w:r>
      <w:r w:rsidR="00BD00C1" w:rsidRPr="0013178E">
        <w:rPr>
          <w:sz w:val="22"/>
          <w:szCs w:val="22"/>
          <w:lang w:val="hr-HR"/>
        </w:rPr>
        <w:t xml:space="preserve">mora se </w:t>
      </w:r>
      <w:r w:rsidRPr="0013178E">
        <w:rPr>
          <w:sz w:val="22"/>
          <w:szCs w:val="22"/>
          <w:lang w:val="hr-HR"/>
        </w:rPr>
        <w:t xml:space="preserve">odmah </w:t>
      </w:r>
      <w:r w:rsidR="00BD00C1" w:rsidRPr="0013178E">
        <w:rPr>
          <w:sz w:val="22"/>
          <w:szCs w:val="22"/>
          <w:lang w:val="hr-HR"/>
        </w:rPr>
        <w:t>upotrijebiti</w:t>
      </w:r>
      <w:r w:rsidRPr="0013178E">
        <w:rPr>
          <w:sz w:val="22"/>
          <w:szCs w:val="22"/>
          <w:lang w:val="hr-HR"/>
        </w:rPr>
        <w:t>.</w:t>
      </w:r>
    </w:p>
    <w:p w14:paraId="5268D591" w14:textId="77777777" w:rsidR="0072568E" w:rsidRPr="0013178E" w:rsidRDefault="0072568E" w:rsidP="0072568E">
      <w:pPr>
        <w:rPr>
          <w:sz w:val="22"/>
          <w:szCs w:val="22"/>
          <w:lang w:val="hr-HR"/>
        </w:rPr>
      </w:pPr>
    </w:p>
    <w:p w14:paraId="1AD5F24C" w14:textId="498FA320" w:rsidR="0072568E" w:rsidRPr="0013178E" w:rsidRDefault="00F25904" w:rsidP="00430A60">
      <w:pPr>
        <w:jc w:val="both"/>
        <w:rPr>
          <w:sz w:val="22"/>
          <w:szCs w:val="22"/>
          <w:lang w:val="hr-HR"/>
        </w:rPr>
      </w:pPr>
      <w:r w:rsidRPr="00430A60">
        <w:rPr>
          <w:sz w:val="22"/>
          <w:szCs w:val="22"/>
          <w:u w:val="single"/>
          <w:lang w:val="hr-HR"/>
        </w:rPr>
        <w:t>Rekonstituisani rastvor</w:t>
      </w:r>
      <w:r w:rsidR="0072568E" w:rsidRPr="00430A60">
        <w:rPr>
          <w:sz w:val="22"/>
          <w:szCs w:val="22"/>
          <w:u w:val="single"/>
          <w:lang w:val="hr-HR"/>
        </w:rPr>
        <w:t xml:space="preserve"> </w:t>
      </w:r>
      <w:r w:rsidR="002A600D" w:rsidRPr="00430A60">
        <w:rPr>
          <w:sz w:val="22"/>
          <w:szCs w:val="22"/>
          <w:u w:val="single"/>
          <w:lang w:val="hr-HR"/>
        </w:rPr>
        <w:t>dodatno</w:t>
      </w:r>
      <w:r w:rsidR="0072568E" w:rsidRPr="00430A60">
        <w:rPr>
          <w:sz w:val="22"/>
          <w:szCs w:val="22"/>
          <w:u w:val="single"/>
          <w:lang w:val="hr-HR"/>
        </w:rPr>
        <w:t xml:space="preserve"> </w:t>
      </w:r>
      <w:r w:rsidRPr="00430A60">
        <w:rPr>
          <w:sz w:val="22"/>
          <w:szCs w:val="22"/>
          <w:u w:val="single"/>
          <w:lang w:val="hr-HR"/>
        </w:rPr>
        <w:t>razblažen</w:t>
      </w:r>
      <w:r w:rsidR="00487C25" w:rsidRPr="00430A60">
        <w:rPr>
          <w:sz w:val="22"/>
          <w:szCs w:val="22"/>
          <w:u w:val="single"/>
          <w:lang w:val="hr-HR"/>
        </w:rPr>
        <w:t xml:space="preserve"> za infuziju</w:t>
      </w:r>
      <w:r w:rsidR="0072568E" w:rsidRPr="0013178E">
        <w:rPr>
          <w:sz w:val="22"/>
          <w:szCs w:val="22"/>
          <w:lang w:val="hr-HR"/>
        </w:rPr>
        <w:t>:</w:t>
      </w:r>
    </w:p>
    <w:p w14:paraId="1CBD0BA7" w14:textId="4E926089" w:rsidR="0072568E" w:rsidRPr="0013178E" w:rsidRDefault="0072568E" w:rsidP="00430A60">
      <w:pPr>
        <w:jc w:val="both"/>
        <w:rPr>
          <w:sz w:val="22"/>
          <w:szCs w:val="22"/>
          <w:lang w:val="hr-HR"/>
        </w:rPr>
      </w:pPr>
      <w:r w:rsidRPr="0013178E">
        <w:rPr>
          <w:sz w:val="22"/>
          <w:szCs w:val="22"/>
          <w:lang w:val="hr-HR"/>
        </w:rPr>
        <w:t xml:space="preserve">Dokazana hemijska i fizička stabilnost rekonstituisanog </w:t>
      </w:r>
      <w:r w:rsidR="008F7591" w:rsidRPr="0013178E">
        <w:rPr>
          <w:sz w:val="22"/>
          <w:szCs w:val="22"/>
          <w:lang w:val="hr-HR"/>
        </w:rPr>
        <w:t xml:space="preserve">i dodatno razblaženog </w:t>
      </w:r>
      <w:r w:rsidRPr="0013178E">
        <w:rPr>
          <w:sz w:val="22"/>
          <w:szCs w:val="22"/>
          <w:lang w:val="hr-HR"/>
        </w:rPr>
        <w:t>rastvora</w:t>
      </w:r>
      <w:r w:rsidR="00CA72EB" w:rsidRPr="0013178E">
        <w:rPr>
          <w:sz w:val="22"/>
          <w:szCs w:val="22"/>
          <w:lang w:val="hr-HR"/>
        </w:rPr>
        <w:t xml:space="preserve"> u primjeni</w:t>
      </w:r>
      <w:r w:rsidRPr="0013178E">
        <w:rPr>
          <w:sz w:val="22"/>
          <w:szCs w:val="22"/>
          <w:lang w:val="hr-HR"/>
        </w:rPr>
        <w:t xml:space="preserve"> je 24 sata </w:t>
      </w:r>
      <w:r w:rsidR="00D7335F" w:rsidRPr="0013178E">
        <w:rPr>
          <w:sz w:val="22"/>
          <w:szCs w:val="22"/>
          <w:lang w:val="hr-HR"/>
        </w:rPr>
        <w:t>uz čuvanje</w:t>
      </w:r>
      <w:r w:rsidR="00D91D6C" w:rsidRPr="0013178E">
        <w:rPr>
          <w:sz w:val="22"/>
          <w:szCs w:val="22"/>
          <w:lang w:val="hr-HR"/>
        </w:rPr>
        <w:t xml:space="preserve"> </w:t>
      </w:r>
      <w:r w:rsidRPr="0013178E">
        <w:rPr>
          <w:sz w:val="22"/>
          <w:szCs w:val="22"/>
          <w:lang w:val="hr-HR"/>
        </w:rPr>
        <w:t>na temperatur</w:t>
      </w:r>
      <w:r w:rsidR="000733AF" w:rsidRPr="0013178E">
        <w:rPr>
          <w:sz w:val="22"/>
          <w:szCs w:val="22"/>
          <w:lang w:val="hr-HR"/>
        </w:rPr>
        <w:t>i</w:t>
      </w:r>
      <w:r w:rsidRPr="0013178E">
        <w:rPr>
          <w:sz w:val="22"/>
          <w:szCs w:val="22"/>
          <w:lang w:val="hr-HR"/>
        </w:rPr>
        <w:t xml:space="preserve"> od 2</w:t>
      </w:r>
      <w:r w:rsidR="006D5EC9">
        <w:rPr>
          <w:sz w:val="22"/>
          <w:szCs w:val="22"/>
          <w:lang w:val="hr-HR"/>
        </w:rPr>
        <w:t> </w:t>
      </w:r>
      <w:r w:rsidRPr="0013178E">
        <w:rPr>
          <w:sz w:val="22"/>
          <w:szCs w:val="22"/>
          <w:lang w:val="hr-HR"/>
        </w:rPr>
        <w:t>°C do 8</w:t>
      </w:r>
      <w:r w:rsidR="006D5EC9">
        <w:rPr>
          <w:sz w:val="22"/>
          <w:szCs w:val="22"/>
          <w:lang w:val="hr-HR"/>
        </w:rPr>
        <w:t> </w:t>
      </w:r>
      <w:r w:rsidRPr="0013178E">
        <w:rPr>
          <w:sz w:val="22"/>
          <w:szCs w:val="22"/>
          <w:lang w:val="hr-HR"/>
        </w:rPr>
        <w:t xml:space="preserve">°C. Ako se čuva na </w:t>
      </w:r>
      <w:r w:rsidR="00E26501" w:rsidRPr="0013178E">
        <w:rPr>
          <w:sz w:val="22"/>
          <w:szCs w:val="22"/>
          <w:lang w:val="hr-HR"/>
        </w:rPr>
        <w:t>temperaturi</w:t>
      </w:r>
      <w:r w:rsidRPr="0013178E">
        <w:rPr>
          <w:sz w:val="22"/>
          <w:szCs w:val="22"/>
          <w:lang w:val="hr-HR"/>
        </w:rPr>
        <w:t xml:space="preserve"> od 20 °C do 25</w:t>
      </w:r>
      <w:r w:rsidR="006D5EC9">
        <w:rPr>
          <w:sz w:val="22"/>
          <w:szCs w:val="22"/>
          <w:lang w:val="hr-HR"/>
        </w:rPr>
        <w:t> </w:t>
      </w:r>
      <w:r w:rsidRPr="0013178E">
        <w:rPr>
          <w:sz w:val="22"/>
          <w:szCs w:val="22"/>
          <w:lang w:val="hr-HR"/>
        </w:rPr>
        <w:t xml:space="preserve">°C, </w:t>
      </w:r>
      <w:r w:rsidR="00BD00C1" w:rsidRPr="0013178E">
        <w:rPr>
          <w:sz w:val="22"/>
          <w:szCs w:val="22"/>
          <w:lang w:val="hr-HR"/>
        </w:rPr>
        <w:t>mora se upotrijebiti</w:t>
      </w:r>
      <w:r w:rsidR="00F445E6" w:rsidRPr="0013178E">
        <w:rPr>
          <w:sz w:val="22"/>
          <w:szCs w:val="22"/>
          <w:lang w:val="hr-HR"/>
        </w:rPr>
        <w:t xml:space="preserve"> u roku od 3 sata</w:t>
      </w:r>
      <w:r w:rsidRPr="0013178E">
        <w:rPr>
          <w:sz w:val="22"/>
          <w:szCs w:val="22"/>
          <w:lang w:val="hr-HR"/>
        </w:rPr>
        <w:t>.</w:t>
      </w:r>
    </w:p>
    <w:p w14:paraId="1B74C86E" w14:textId="77777777" w:rsidR="0072568E" w:rsidRPr="0013178E" w:rsidRDefault="0072568E" w:rsidP="00430A60">
      <w:pPr>
        <w:jc w:val="both"/>
        <w:rPr>
          <w:sz w:val="22"/>
          <w:szCs w:val="22"/>
          <w:lang w:val="hr-HR"/>
        </w:rPr>
      </w:pPr>
    </w:p>
    <w:p w14:paraId="6A39F7BB" w14:textId="77777777" w:rsidR="0072568E" w:rsidRPr="0013178E" w:rsidRDefault="00D30CB4" w:rsidP="00430A60">
      <w:pPr>
        <w:jc w:val="both"/>
        <w:rPr>
          <w:sz w:val="22"/>
          <w:szCs w:val="22"/>
          <w:lang w:val="hr-HR"/>
        </w:rPr>
      </w:pPr>
      <w:r w:rsidRPr="0013178E">
        <w:rPr>
          <w:sz w:val="22"/>
          <w:szCs w:val="22"/>
          <w:lang w:val="hr-HR"/>
        </w:rPr>
        <w:t>S mikrobiološe tačke gledišta, osim ako način otvaranja/</w:t>
      </w:r>
      <w:r w:rsidR="00BD00C1" w:rsidRPr="0013178E">
        <w:rPr>
          <w:sz w:val="22"/>
          <w:szCs w:val="22"/>
          <w:lang w:val="hr-HR"/>
        </w:rPr>
        <w:t>rekonstitucije/</w:t>
      </w:r>
      <w:r w:rsidR="0072568E" w:rsidRPr="0013178E">
        <w:rPr>
          <w:sz w:val="22"/>
          <w:szCs w:val="22"/>
          <w:lang w:val="hr-HR"/>
        </w:rPr>
        <w:t>razblaživanja ne eliminiše rizik od mikrobne kontaminacije, l</w:t>
      </w:r>
      <w:r w:rsidR="00077FE1" w:rsidRPr="0013178E">
        <w:rPr>
          <w:sz w:val="22"/>
          <w:szCs w:val="22"/>
          <w:lang w:val="hr-HR"/>
        </w:rPr>
        <w:t>ij</w:t>
      </w:r>
      <w:r w:rsidR="0072568E" w:rsidRPr="0013178E">
        <w:rPr>
          <w:sz w:val="22"/>
          <w:szCs w:val="22"/>
          <w:lang w:val="hr-HR"/>
        </w:rPr>
        <w:t xml:space="preserve">ek se mora </w:t>
      </w:r>
      <w:r w:rsidR="00077FE1" w:rsidRPr="0013178E">
        <w:rPr>
          <w:sz w:val="22"/>
          <w:szCs w:val="22"/>
          <w:lang w:val="hr-HR"/>
        </w:rPr>
        <w:t>odmah upotrijebiti</w:t>
      </w:r>
      <w:r w:rsidR="0072568E" w:rsidRPr="0013178E">
        <w:rPr>
          <w:sz w:val="22"/>
          <w:szCs w:val="22"/>
          <w:lang w:val="hr-HR"/>
        </w:rPr>
        <w:t xml:space="preserve">. Ako se ne </w:t>
      </w:r>
      <w:r w:rsidR="00077FE1" w:rsidRPr="0013178E">
        <w:rPr>
          <w:sz w:val="22"/>
          <w:szCs w:val="22"/>
          <w:lang w:val="hr-HR"/>
        </w:rPr>
        <w:t xml:space="preserve">upotrijebi </w:t>
      </w:r>
      <w:r w:rsidR="0072568E" w:rsidRPr="0013178E">
        <w:rPr>
          <w:sz w:val="22"/>
          <w:szCs w:val="22"/>
          <w:lang w:val="hr-HR"/>
        </w:rPr>
        <w:t>odmah, vr</w:t>
      </w:r>
      <w:r w:rsidR="00077FE1" w:rsidRPr="0013178E">
        <w:rPr>
          <w:sz w:val="22"/>
          <w:szCs w:val="22"/>
          <w:lang w:val="hr-HR"/>
        </w:rPr>
        <w:t>ij</w:t>
      </w:r>
      <w:r w:rsidR="0072568E" w:rsidRPr="0013178E">
        <w:rPr>
          <w:sz w:val="22"/>
          <w:szCs w:val="22"/>
          <w:lang w:val="hr-HR"/>
        </w:rPr>
        <w:t xml:space="preserve">eme i uslovi </w:t>
      </w:r>
      <w:r w:rsidR="00077FE1" w:rsidRPr="0013178E">
        <w:rPr>
          <w:sz w:val="22"/>
          <w:szCs w:val="22"/>
          <w:lang w:val="hr-HR"/>
        </w:rPr>
        <w:t>čuvanja</w:t>
      </w:r>
      <w:r w:rsidR="0072568E" w:rsidRPr="0013178E">
        <w:rPr>
          <w:sz w:val="22"/>
          <w:szCs w:val="22"/>
          <w:lang w:val="hr-HR"/>
        </w:rPr>
        <w:t xml:space="preserve"> </w:t>
      </w:r>
      <w:r w:rsidR="00077FE1" w:rsidRPr="0013178E">
        <w:rPr>
          <w:sz w:val="22"/>
          <w:szCs w:val="22"/>
          <w:lang w:val="hr-HR"/>
        </w:rPr>
        <w:t>prije primjene</w:t>
      </w:r>
      <w:r w:rsidR="0072568E" w:rsidRPr="0013178E">
        <w:rPr>
          <w:sz w:val="22"/>
          <w:szCs w:val="22"/>
          <w:lang w:val="hr-HR"/>
        </w:rPr>
        <w:t xml:space="preserve"> su odgovornost korisnika.</w:t>
      </w:r>
    </w:p>
    <w:p w14:paraId="4CE19D9F" w14:textId="77777777" w:rsidR="00CC3474" w:rsidRPr="0013178E" w:rsidRDefault="00CC3474" w:rsidP="0072568E">
      <w:pPr>
        <w:rPr>
          <w:sz w:val="22"/>
          <w:szCs w:val="22"/>
          <w:lang w:val="hr-HR"/>
        </w:rPr>
      </w:pPr>
    </w:p>
    <w:p w14:paraId="0668AAB1" w14:textId="77777777" w:rsidR="00CC3474" w:rsidRPr="0013178E" w:rsidRDefault="00CC3474" w:rsidP="00CC3474">
      <w:pPr>
        <w:shd w:val="clear" w:color="auto" w:fill="FFFFFF"/>
        <w:tabs>
          <w:tab w:val="left" w:pos="0"/>
        </w:tabs>
        <w:jc w:val="both"/>
        <w:rPr>
          <w:color w:val="FF0000"/>
          <w:sz w:val="22"/>
          <w:szCs w:val="22"/>
          <w:lang w:val="hr-HR" w:eastAsia="en-US"/>
        </w:rPr>
      </w:pPr>
      <w:r w:rsidRPr="00430A60">
        <w:rPr>
          <w:b/>
          <w:sz w:val="22"/>
          <w:szCs w:val="22"/>
          <w:lang w:val="hr-HR" w:eastAsia="en-US"/>
        </w:rPr>
        <w:t>Solu-Medrol 125 mg, 500 mg</w:t>
      </w:r>
      <w:r w:rsidRPr="0013178E">
        <w:rPr>
          <w:sz w:val="22"/>
          <w:szCs w:val="22"/>
          <w:lang w:val="hr-HR" w:eastAsia="en-US"/>
        </w:rPr>
        <w:t>:</w:t>
      </w:r>
    </w:p>
    <w:p w14:paraId="7868F82D" w14:textId="77777777" w:rsidR="00CC3474" w:rsidRPr="0013178E" w:rsidRDefault="00CC3474" w:rsidP="0072568E">
      <w:pPr>
        <w:rPr>
          <w:sz w:val="22"/>
          <w:szCs w:val="22"/>
          <w:lang w:val="hr-HR"/>
        </w:rPr>
      </w:pPr>
    </w:p>
    <w:p w14:paraId="6E05D92C" w14:textId="77777777" w:rsidR="00702E79" w:rsidRPr="0013178E" w:rsidRDefault="00702E79" w:rsidP="00321713">
      <w:pPr>
        <w:shd w:val="clear" w:color="auto" w:fill="FFFFFF"/>
        <w:tabs>
          <w:tab w:val="left" w:pos="0"/>
        </w:tabs>
        <w:jc w:val="both"/>
        <w:rPr>
          <w:color w:val="FF0000"/>
          <w:sz w:val="22"/>
          <w:szCs w:val="22"/>
          <w:lang w:val="hr-HR" w:eastAsia="en-US"/>
        </w:rPr>
      </w:pPr>
    </w:p>
    <w:p w14:paraId="71694C84" w14:textId="77777777" w:rsidR="003312DC" w:rsidRPr="0013178E" w:rsidRDefault="003312DC" w:rsidP="00321713">
      <w:pPr>
        <w:shd w:val="clear" w:color="auto" w:fill="FFFFFF"/>
        <w:tabs>
          <w:tab w:val="left" w:pos="0"/>
        </w:tabs>
        <w:jc w:val="both"/>
        <w:rPr>
          <w:sz w:val="22"/>
          <w:szCs w:val="22"/>
          <w:lang w:val="hr-HR" w:eastAsia="en-US"/>
        </w:rPr>
      </w:pPr>
      <w:r w:rsidRPr="00430A60">
        <w:rPr>
          <w:sz w:val="22"/>
          <w:szCs w:val="22"/>
          <w:u w:val="single"/>
          <w:lang w:val="hr-HR" w:eastAsia="en-US"/>
        </w:rPr>
        <w:t>Rekonstituisani rastvor</w:t>
      </w:r>
      <w:r w:rsidRPr="0013178E">
        <w:rPr>
          <w:sz w:val="22"/>
          <w:szCs w:val="22"/>
          <w:lang w:val="hr-HR" w:eastAsia="en-US"/>
        </w:rPr>
        <w:t>:</w:t>
      </w:r>
    </w:p>
    <w:p w14:paraId="6FA95491" w14:textId="608E49A0" w:rsidR="002A4BA6" w:rsidRPr="0013178E" w:rsidRDefault="0075469D" w:rsidP="00321713">
      <w:pPr>
        <w:shd w:val="clear" w:color="auto" w:fill="FFFFFF"/>
        <w:tabs>
          <w:tab w:val="left" w:pos="0"/>
        </w:tabs>
        <w:jc w:val="both"/>
        <w:rPr>
          <w:sz w:val="22"/>
          <w:szCs w:val="22"/>
          <w:lang w:val="hr-HR" w:eastAsia="en-US"/>
        </w:rPr>
      </w:pPr>
      <w:r w:rsidRPr="0013178E">
        <w:rPr>
          <w:sz w:val="22"/>
          <w:szCs w:val="22"/>
          <w:lang w:val="hr-HR" w:eastAsia="en-US"/>
        </w:rPr>
        <w:t>Dokazana h</w:t>
      </w:r>
      <w:r w:rsidR="002A4BA6" w:rsidRPr="0013178E">
        <w:rPr>
          <w:sz w:val="22"/>
          <w:szCs w:val="22"/>
          <w:lang w:val="hr-HR" w:eastAsia="en-US"/>
        </w:rPr>
        <w:t xml:space="preserve">emijska i fizička stabilnost </w:t>
      </w:r>
      <w:r w:rsidR="00B03A4B" w:rsidRPr="0013178E">
        <w:rPr>
          <w:sz w:val="22"/>
          <w:szCs w:val="22"/>
          <w:lang w:val="hr-HR" w:eastAsia="en-US"/>
        </w:rPr>
        <w:t>u</w:t>
      </w:r>
      <w:r w:rsidRPr="0013178E">
        <w:rPr>
          <w:sz w:val="22"/>
          <w:szCs w:val="22"/>
          <w:lang w:val="hr-HR" w:eastAsia="en-US"/>
        </w:rPr>
        <w:t xml:space="preserve"> primjeni </w:t>
      </w:r>
      <w:r w:rsidR="002A4BA6" w:rsidRPr="0013178E">
        <w:rPr>
          <w:sz w:val="22"/>
          <w:szCs w:val="22"/>
          <w:lang w:val="hr-HR" w:eastAsia="en-US"/>
        </w:rPr>
        <w:t xml:space="preserve">je 12 sati </w:t>
      </w:r>
      <w:r w:rsidR="003312DC" w:rsidRPr="0013178E">
        <w:rPr>
          <w:sz w:val="22"/>
          <w:szCs w:val="22"/>
          <w:lang w:val="hr-HR" w:eastAsia="en-US"/>
        </w:rPr>
        <w:t xml:space="preserve">uz čuvanje </w:t>
      </w:r>
      <w:r w:rsidR="002A4BA6" w:rsidRPr="0013178E">
        <w:rPr>
          <w:sz w:val="22"/>
          <w:szCs w:val="22"/>
          <w:lang w:val="hr-HR" w:eastAsia="en-US"/>
        </w:rPr>
        <w:t>na temperaturi do 25</w:t>
      </w:r>
      <w:r w:rsidR="006D5EC9">
        <w:rPr>
          <w:sz w:val="22"/>
          <w:szCs w:val="22"/>
          <w:lang w:val="hr-HR" w:eastAsia="en-US"/>
        </w:rPr>
        <w:t> </w:t>
      </w:r>
      <w:r w:rsidR="002A4BA6" w:rsidRPr="0013178E">
        <w:rPr>
          <w:sz w:val="22"/>
          <w:szCs w:val="22"/>
          <w:lang w:val="hr-HR" w:eastAsia="en-US"/>
        </w:rPr>
        <w:t>°C.</w:t>
      </w:r>
    </w:p>
    <w:p w14:paraId="4E1E3F2D" w14:textId="77777777" w:rsidR="00B400D8" w:rsidRPr="0013178E" w:rsidRDefault="00630B6E" w:rsidP="00321713">
      <w:pPr>
        <w:shd w:val="clear" w:color="auto" w:fill="FFFFFF"/>
        <w:tabs>
          <w:tab w:val="left" w:pos="0"/>
        </w:tabs>
        <w:jc w:val="both"/>
        <w:rPr>
          <w:lang w:val="hr-HR" w:eastAsia="en-GB" w:bidi="en-GB"/>
        </w:rPr>
      </w:pPr>
      <w:r w:rsidRPr="0013178E">
        <w:rPr>
          <w:sz w:val="22"/>
          <w:szCs w:val="22"/>
          <w:lang w:val="hr-HR" w:eastAsia="en-US"/>
        </w:rPr>
        <w:t>Sa mikrobiolo</w:t>
      </w:r>
      <w:r w:rsidRPr="0013178E">
        <w:rPr>
          <w:sz w:val="22"/>
          <w:szCs w:val="22"/>
          <w:lang w:val="hr-HR"/>
        </w:rPr>
        <w:t>š</w:t>
      </w:r>
      <w:r w:rsidRPr="0013178E">
        <w:rPr>
          <w:sz w:val="22"/>
          <w:szCs w:val="22"/>
          <w:lang w:val="hr-HR" w:eastAsia="en-US"/>
        </w:rPr>
        <w:t>ke tačke gledi</w:t>
      </w:r>
      <w:r w:rsidRPr="0013178E">
        <w:rPr>
          <w:sz w:val="22"/>
          <w:szCs w:val="22"/>
          <w:lang w:val="hr-HR"/>
        </w:rPr>
        <w:t>š</w:t>
      </w:r>
      <w:r w:rsidRPr="0013178E">
        <w:rPr>
          <w:sz w:val="22"/>
          <w:szCs w:val="22"/>
          <w:lang w:val="hr-HR" w:eastAsia="en-US"/>
        </w:rPr>
        <w:t>ta, lijek se nakon rekonstitucije mora odmah upotrijebiti.</w:t>
      </w:r>
      <w:r w:rsidR="002A4BA6" w:rsidRPr="0013178E">
        <w:rPr>
          <w:sz w:val="22"/>
          <w:szCs w:val="22"/>
          <w:lang w:val="hr-HR" w:eastAsia="en-US"/>
        </w:rPr>
        <w:t xml:space="preserve"> </w:t>
      </w:r>
      <w:r w:rsidR="002A4BA6" w:rsidRPr="0013178E">
        <w:rPr>
          <w:sz w:val="22"/>
          <w:szCs w:val="22"/>
          <w:lang w:val="hr-HR"/>
        </w:rPr>
        <w:t>Ako se ne upotrijebi odmah, vr</w:t>
      </w:r>
      <w:r w:rsidR="000D3287" w:rsidRPr="0013178E">
        <w:rPr>
          <w:sz w:val="22"/>
          <w:szCs w:val="22"/>
          <w:lang w:val="hr-HR"/>
        </w:rPr>
        <w:t>ij</w:t>
      </w:r>
      <w:r w:rsidR="002A4BA6" w:rsidRPr="0013178E">
        <w:rPr>
          <w:sz w:val="22"/>
          <w:szCs w:val="22"/>
          <w:lang w:val="hr-HR"/>
        </w:rPr>
        <w:t xml:space="preserve">eme i uslovi čuvanja </w:t>
      </w:r>
      <w:r w:rsidR="003312DC" w:rsidRPr="0013178E">
        <w:rPr>
          <w:sz w:val="22"/>
          <w:szCs w:val="22"/>
          <w:lang w:val="hr-HR"/>
        </w:rPr>
        <w:t xml:space="preserve">prije primjene </w:t>
      </w:r>
      <w:r w:rsidR="002A4BA6" w:rsidRPr="0013178E">
        <w:rPr>
          <w:sz w:val="22"/>
          <w:szCs w:val="22"/>
          <w:lang w:val="hr-HR"/>
        </w:rPr>
        <w:t>su odgovornost korisnika</w:t>
      </w:r>
      <w:r w:rsidR="002A4BA6" w:rsidRPr="0013178E">
        <w:rPr>
          <w:lang w:val="hr-HR" w:eastAsia="en-GB" w:bidi="en-GB"/>
        </w:rPr>
        <w:t>.</w:t>
      </w:r>
    </w:p>
    <w:p w14:paraId="796A8EF7" w14:textId="77777777" w:rsidR="003312DC" w:rsidRPr="0013178E" w:rsidRDefault="003312DC" w:rsidP="00321713">
      <w:pPr>
        <w:shd w:val="clear" w:color="auto" w:fill="FFFFFF"/>
        <w:tabs>
          <w:tab w:val="left" w:pos="0"/>
        </w:tabs>
        <w:jc w:val="both"/>
        <w:rPr>
          <w:lang w:val="hr-HR" w:eastAsia="en-GB" w:bidi="en-GB"/>
        </w:rPr>
      </w:pPr>
    </w:p>
    <w:p w14:paraId="14C798D0" w14:textId="77777777" w:rsidR="003312DC" w:rsidRPr="00A81BE4" w:rsidRDefault="003312DC" w:rsidP="003312DC">
      <w:pPr>
        <w:shd w:val="clear" w:color="auto" w:fill="FFFFFF"/>
        <w:tabs>
          <w:tab w:val="left" w:pos="0"/>
        </w:tabs>
        <w:jc w:val="both"/>
        <w:rPr>
          <w:sz w:val="22"/>
          <w:szCs w:val="22"/>
          <w:lang w:val="hr-HR" w:eastAsia="en-US"/>
        </w:rPr>
      </w:pPr>
      <w:r w:rsidRPr="00A81BE4">
        <w:rPr>
          <w:sz w:val="22"/>
          <w:szCs w:val="22"/>
          <w:u w:val="single"/>
          <w:lang w:val="hr-HR" w:eastAsia="en-US"/>
        </w:rPr>
        <w:t>Rekonstituirani rastvor dodatno razblažen za infuziju:</w:t>
      </w:r>
    </w:p>
    <w:p w14:paraId="483E1E15" w14:textId="1797A78B" w:rsidR="003312DC" w:rsidRPr="00A81BE4" w:rsidRDefault="003312DC" w:rsidP="003312DC">
      <w:pPr>
        <w:shd w:val="clear" w:color="auto" w:fill="FFFFFF"/>
        <w:tabs>
          <w:tab w:val="left" w:pos="0"/>
        </w:tabs>
        <w:jc w:val="both"/>
        <w:rPr>
          <w:sz w:val="22"/>
          <w:szCs w:val="22"/>
          <w:lang w:val="hr-HR" w:eastAsia="en-US"/>
        </w:rPr>
      </w:pPr>
      <w:r w:rsidRPr="00A81BE4">
        <w:rPr>
          <w:sz w:val="22"/>
          <w:szCs w:val="22"/>
          <w:lang w:val="hr-HR" w:eastAsia="en-US"/>
        </w:rPr>
        <w:t xml:space="preserve">Dokazana hemijska i fizička stabilnost rastvora </w:t>
      </w:r>
      <w:r w:rsidR="0003611F" w:rsidRPr="00A81BE4">
        <w:rPr>
          <w:sz w:val="22"/>
          <w:szCs w:val="22"/>
          <w:lang w:val="hr-HR" w:eastAsia="en-US"/>
        </w:rPr>
        <w:t>za intravensku infuziju za</w:t>
      </w:r>
      <w:r w:rsidRPr="00A81BE4">
        <w:rPr>
          <w:sz w:val="22"/>
          <w:szCs w:val="22"/>
          <w:lang w:val="hr-HR" w:eastAsia="en-US"/>
        </w:rPr>
        <w:t xml:space="preserve"> primjen</w:t>
      </w:r>
      <w:r w:rsidR="0003611F" w:rsidRPr="00A81BE4">
        <w:rPr>
          <w:sz w:val="22"/>
          <w:szCs w:val="22"/>
          <w:lang w:val="hr-HR" w:eastAsia="en-US"/>
        </w:rPr>
        <w:t>u</w:t>
      </w:r>
      <w:r w:rsidRPr="00A81BE4">
        <w:rPr>
          <w:sz w:val="22"/>
          <w:szCs w:val="22"/>
          <w:lang w:val="hr-HR" w:eastAsia="en-US"/>
        </w:rPr>
        <w:t>, razblaženog sa 0,9%-tnim rastvorom natrijum hlorida, 5%-tnim rastvorom glukoze ili 5%-tnim rastvorom glukoze u 0,9%-tnom rastvoru natrijum hlorida je 3 sata od rekonstitucije uz čuvanje na temperaturi od 2</w:t>
      </w:r>
      <w:r w:rsidR="0003611F" w:rsidRPr="00A81BE4">
        <w:rPr>
          <w:sz w:val="22"/>
          <w:szCs w:val="22"/>
          <w:lang w:val="hr-HR" w:eastAsia="en-US"/>
        </w:rPr>
        <w:t>0</w:t>
      </w:r>
      <w:r w:rsidR="006D5EC9">
        <w:rPr>
          <w:sz w:val="22"/>
          <w:szCs w:val="22"/>
          <w:lang w:val="hr-HR" w:eastAsia="en-US"/>
        </w:rPr>
        <w:t> </w:t>
      </w:r>
      <w:r w:rsidRPr="00A81BE4">
        <w:rPr>
          <w:sz w:val="22"/>
          <w:szCs w:val="22"/>
          <w:lang w:val="hr-HR" w:eastAsia="en-US"/>
        </w:rPr>
        <w:t>°C do 25</w:t>
      </w:r>
      <w:r w:rsidR="006D5EC9">
        <w:rPr>
          <w:sz w:val="22"/>
          <w:szCs w:val="22"/>
          <w:lang w:val="hr-HR" w:eastAsia="en-US"/>
        </w:rPr>
        <w:t> </w:t>
      </w:r>
      <w:r w:rsidRPr="00A81BE4">
        <w:rPr>
          <w:sz w:val="22"/>
          <w:szCs w:val="22"/>
          <w:lang w:val="hr-HR" w:eastAsia="en-US"/>
        </w:rPr>
        <w:t>°C ili 24 sata od rekonstitucije uz čuvanje na temperaturi od 2</w:t>
      </w:r>
      <w:r w:rsidR="006D5EC9">
        <w:rPr>
          <w:sz w:val="22"/>
          <w:szCs w:val="22"/>
          <w:lang w:val="hr-HR" w:eastAsia="en-US"/>
        </w:rPr>
        <w:t> </w:t>
      </w:r>
      <w:r w:rsidRPr="00A81BE4">
        <w:rPr>
          <w:sz w:val="22"/>
          <w:szCs w:val="22"/>
          <w:lang w:val="hr-HR" w:eastAsia="en-US"/>
        </w:rPr>
        <w:t>°C do 8</w:t>
      </w:r>
      <w:r w:rsidR="006D5EC9">
        <w:rPr>
          <w:sz w:val="22"/>
          <w:szCs w:val="22"/>
          <w:lang w:val="hr-HR" w:eastAsia="en-US"/>
        </w:rPr>
        <w:t> </w:t>
      </w:r>
      <w:r w:rsidRPr="00A81BE4">
        <w:rPr>
          <w:sz w:val="22"/>
          <w:szCs w:val="22"/>
          <w:lang w:val="hr-HR" w:eastAsia="en-US"/>
        </w:rPr>
        <w:t>°C. S mikrobiološk</w:t>
      </w:r>
      <w:r w:rsidR="0003611F" w:rsidRPr="00A81BE4">
        <w:rPr>
          <w:sz w:val="22"/>
          <w:szCs w:val="22"/>
          <w:lang w:val="hr-HR" w:eastAsia="en-US"/>
        </w:rPr>
        <w:t>e tačke gledišta</w:t>
      </w:r>
      <w:r w:rsidRPr="00A81BE4">
        <w:rPr>
          <w:sz w:val="22"/>
          <w:szCs w:val="22"/>
          <w:lang w:val="hr-HR" w:eastAsia="en-US"/>
        </w:rPr>
        <w:t>, raz</w:t>
      </w:r>
      <w:r w:rsidR="0003611F" w:rsidRPr="00A81BE4">
        <w:rPr>
          <w:sz w:val="22"/>
          <w:szCs w:val="22"/>
          <w:lang w:val="hr-HR" w:eastAsia="en-US"/>
        </w:rPr>
        <w:t>blaženi rastvor</w:t>
      </w:r>
      <w:r w:rsidRPr="00A81BE4">
        <w:rPr>
          <w:sz w:val="22"/>
          <w:szCs w:val="22"/>
          <w:lang w:val="hr-HR" w:eastAsia="en-US"/>
        </w:rPr>
        <w:t xml:space="preserve"> </w:t>
      </w:r>
      <w:r w:rsidR="0003611F" w:rsidRPr="00A81BE4">
        <w:rPr>
          <w:sz w:val="22"/>
          <w:szCs w:val="22"/>
          <w:lang w:val="hr-HR" w:eastAsia="en-US"/>
        </w:rPr>
        <w:t xml:space="preserve">se </w:t>
      </w:r>
      <w:r w:rsidRPr="00A81BE4">
        <w:rPr>
          <w:sz w:val="22"/>
          <w:szCs w:val="22"/>
          <w:lang w:val="hr-HR" w:eastAsia="en-US"/>
        </w:rPr>
        <w:t xml:space="preserve">mora odmah upotrijebiti. Ako se ne upotrijebi odmah, vrijeme i </w:t>
      </w:r>
      <w:r w:rsidR="0003611F" w:rsidRPr="00A81BE4">
        <w:rPr>
          <w:sz w:val="22"/>
          <w:szCs w:val="22"/>
          <w:lang w:val="hr-HR" w:eastAsia="en-US"/>
        </w:rPr>
        <w:t>uslovi</w:t>
      </w:r>
      <w:r w:rsidRPr="00A81BE4">
        <w:rPr>
          <w:sz w:val="22"/>
          <w:szCs w:val="22"/>
          <w:lang w:val="hr-HR" w:eastAsia="en-US"/>
        </w:rPr>
        <w:t xml:space="preserve"> čuvanja prije primjene su odgovornost korisnika.</w:t>
      </w:r>
      <w:bookmarkStart w:id="1" w:name="_GoBack"/>
      <w:bookmarkEnd w:id="1"/>
    </w:p>
    <w:p w14:paraId="1214E027" w14:textId="77777777" w:rsidR="003312DC" w:rsidRPr="0013178E" w:rsidRDefault="003312DC" w:rsidP="00321713">
      <w:pPr>
        <w:shd w:val="clear" w:color="auto" w:fill="FFFFFF"/>
        <w:tabs>
          <w:tab w:val="left" w:pos="0"/>
        </w:tabs>
        <w:jc w:val="both"/>
        <w:rPr>
          <w:sz w:val="22"/>
          <w:szCs w:val="22"/>
          <w:lang w:val="hr-HR" w:eastAsia="en-US"/>
        </w:rPr>
      </w:pPr>
    </w:p>
    <w:p w14:paraId="45E7E773" w14:textId="77777777" w:rsidR="00537283" w:rsidRPr="0013178E" w:rsidRDefault="00644788" w:rsidP="00644788">
      <w:pPr>
        <w:widowControl/>
        <w:shd w:val="clear" w:color="auto" w:fill="FFFFFF"/>
        <w:tabs>
          <w:tab w:val="left" w:pos="426"/>
        </w:tabs>
        <w:autoSpaceDE/>
        <w:jc w:val="both"/>
        <w:rPr>
          <w:b/>
          <w:sz w:val="22"/>
          <w:szCs w:val="22"/>
          <w:lang w:val="hr-HR"/>
        </w:rPr>
      </w:pPr>
      <w:r w:rsidRPr="0013178E">
        <w:rPr>
          <w:b/>
          <w:sz w:val="22"/>
          <w:szCs w:val="22"/>
          <w:lang w:val="hr-HR"/>
        </w:rPr>
        <w:t>6.4.</w:t>
      </w:r>
      <w:r w:rsidRPr="0013178E">
        <w:rPr>
          <w:b/>
          <w:sz w:val="22"/>
          <w:szCs w:val="22"/>
          <w:lang w:val="hr-HR"/>
        </w:rPr>
        <w:tab/>
      </w:r>
      <w:r w:rsidR="00C25A6F" w:rsidRPr="0013178E">
        <w:rPr>
          <w:b/>
          <w:sz w:val="22"/>
          <w:szCs w:val="22"/>
          <w:lang w:val="hr-HR"/>
        </w:rPr>
        <w:t>Posebne mjere upozorenj</w:t>
      </w:r>
      <w:r w:rsidR="008E0C6D" w:rsidRPr="0013178E">
        <w:rPr>
          <w:b/>
          <w:sz w:val="22"/>
          <w:szCs w:val="22"/>
          <w:lang w:val="hr-HR"/>
        </w:rPr>
        <w:t>a</w:t>
      </w:r>
      <w:r w:rsidR="00C25A6F" w:rsidRPr="0013178E">
        <w:rPr>
          <w:b/>
          <w:sz w:val="22"/>
          <w:szCs w:val="22"/>
          <w:lang w:val="hr-HR"/>
        </w:rPr>
        <w:t xml:space="preserve"> pri čuvanju lijeka</w:t>
      </w:r>
    </w:p>
    <w:p w14:paraId="6CA6F1DA" w14:textId="77777777" w:rsidR="00037346" w:rsidRPr="0013178E" w:rsidRDefault="00037346" w:rsidP="00321713">
      <w:pPr>
        <w:shd w:val="clear" w:color="auto" w:fill="FFFFFF"/>
        <w:tabs>
          <w:tab w:val="left" w:pos="0"/>
        </w:tabs>
        <w:jc w:val="both"/>
        <w:rPr>
          <w:color w:val="FF0000"/>
          <w:spacing w:val="-2"/>
          <w:sz w:val="22"/>
          <w:szCs w:val="22"/>
          <w:lang w:val="hr-HR"/>
        </w:rPr>
      </w:pPr>
    </w:p>
    <w:p w14:paraId="201B328C" w14:textId="07636AAC" w:rsidR="002A4BA6" w:rsidRPr="0013178E" w:rsidRDefault="001C49DE" w:rsidP="00321713">
      <w:pPr>
        <w:shd w:val="clear" w:color="auto" w:fill="FFFFFF"/>
        <w:tabs>
          <w:tab w:val="left" w:pos="0"/>
        </w:tabs>
        <w:jc w:val="both"/>
        <w:rPr>
          <w:sz w:val="22"/>
          <w:szCs w:val="22"/>
          <w:lang w:val="hr-HR" w:eastAsia="en-US"/>
        </w:rPr>
      </w:pPr>
      <w:r>
        <w:rPr>
          <w:sz w:val="22"/>
          <w:szCs w:val="22"/>
          <w:lang w:val="hr-HR" w:eastAsia="en-US"/>
        </w:rPr>
        <w:t>Lijek</w:t>
      </w:r>
      <w:r w:rsidR="00C4431C" w:rsidRPr="0013178E">
        <w:rPr>
          <w:sz w:val="22"/>
          <w:szCs w:val="22"/>
          <w:lang w:val="hr-HR" w:eastAsia="en-US"/>
        </w:rPr>
        <w:t xml:space="preserve"> ne zahtijeva posebne u</w:t>
      </w:r>
      <w:r w:rsidR="00C51F2F" w:rsidRPr="0013178E">
        <w:rPr>
          <w:sz w:val="22"/>
          <w:szCs w:val="22"/>
          <w:lang w:val="hr-HR" w:eastAsia="en-US"/>
        </w:rPr>
        <w:t>slov</w:t>
      </w:r>
      <w:r w:rsidR="00C4431C" w:rsidRPr="0013178E">
        <w:rPr>
          <w:sz w:val="22"/>
          <w:szCs w:val="22"/>
          <w:lang w:val="hr-HR" w:eastAsia="en-US"/>
        </w:rPr>
        <w:t xml:space="preserve">e čuvanja. </w:t>
      </w:r>
    </w:p>
    <w:p w14:paraId="4E6ED69C" w14:textId="77777777" w:rsidR="006F44C7" w:rsidRPr="0013178E" w:rsidRDefault="006F44C7" w:rsidP="00321713">
      <w:pPr>
        <w:shd w:val="clear" w:color="auto" w:fill="FFFFFF"/>
        <w:tabs>
          <w:tab w:val="left" w:pos="0"/>
        </w:tabs>
        <w:jc w:val="both"/>
        <w:rPr>
          <w:color w:val="FF0000"/>
          <w:spacing w:val="-2"/>
          <w:sz w:val="22"/>
          <w:szCs w:val="22"/>
          <w:lang w:val="hr-HR"/>
        </w:rPr>
      </w:pPr>
    </w:p>
    <w:p w14:paraId="0D2C0FE4" w14:textId="5567F9F9" w:rsidR="00B400D8" w:rsidRPr="0013178E" w:rsidRDefault="002A4BA6" w:rsidP="00321713">
      <w:pPr>
        <w:shd w:val="clear" w:color="auto" w:fill="FFFFFF"/>
        <w:tabs>
          <w:tab w:val="left" w:pos="0"/>
        </w:tabs>
        <w:jc w:val="both"/>
        <w:rPr>
          <w:sz w:val="22"/>
          <w:szCs w:val="22"/>
          <w:lang w:val="hr-HR"/>
        </w:rPr>
      </w:pPr>
      <w:r w:rsidRPr="0013178E">
        <w:rPr>
          <w:spacing w:val="-2"/>
          <w:sz w:val="22"/>
          <w:szCs w:val="22"/>
          <w:lang w:val="hr-HR"/>
        </w:rPr>
        <w:t xml:space="preserve">Da biste saznali uslove čuvanja nakon rekonstitucije i rastvaranja lijeka, vidite </w:t>
      </w:r>
      <w:r w:rsidR="009E76C5">
        <w:rPr>
          <w:spacing w:val="-2"/>
          <w:sz w:val="22"/>
          <w:szCs w:val="22"/>
          <w:lang w:val="hr-HR"/>
        </w:rPr>
        <w:t>dio</w:t>
      </w:r>
      <w:r w:rsidRPr="0013178E">
        <w:rPr>
          <w:spacing w:val="-2"/>
          <w:sz w:val="22"/>
          <w:szCs w:val="22"/>
          <w:lang w:val="hr-HR"/>
        </w:rPr>
        <w:t xml:space="preserve"> 6.3.</w:t>
      </w:r>
    </w:p>
    <w:p w14:paraId="6E6A62E9" w14:textId="77777777" w:rsidR="00037346" w:rsidRPr="0013178E" w:rsidRDefault="00037346" w:rsidP="00321713">
      <w:pPr>
        <w:shd w:val="clear" w:color="auto" w:fill="FFFFFF"/>
        <w:tabs>
          <w:tab w:val="left" w:pos="0"/>
        </w:tabs>
        <w:jc w:val="both"/>
        <w:rPr>
          <w:color w:val="FF0000"/>
          <w:sz w:val="22"/>
          <w:szCs w:val="22"/>
          <w:lang w:val="hr-HR"/>
        </w:rPr>
      </w:pPr>
    </w:p>
    <w:p w14:paraId="0261709F" w14:textId="77777777" w:rsidR="00650F27" w:rsidRPr="0013178E" w:rsidRDefault="00037346" w:rsidP="00037346">
      <w:pPr>
        <w:widowControl/>
        <w:shd w:val="clear" w:color="auto" w:fill="FFFFFF"/>
        <w:tabs>
          <w:tab w:val="left" w:pos="426"/>
        </w:tabs>
        <w:autoSpaceDE/>
        <w:jc w:val="both"/>
        <w:rPr>
          <w:b/>
          <w:sz w:val="22"/>
          <w:szCs w:val="22"/>
          <w:lang w:val="hr-HR"/>
        </w:rPr>
      </w:pPr>
      <w:r w:rsidRPr="0013178E">
        <w:rPr>
          <w:b/>
          <w:sz w:val="22"/>
          <w:szCs w:val="22"/>
          <w:lang w:val="hr-HR"/>
        </w:rPr>
        <w:t>6.5.</w:t>
      </w:r>
      <w:r w:rsidRPr="0013178E">
        <w:rPr>
          <w:b/>
          <w:sz w:val="22"/>
          <w:szCs w:val="22"/>
          <w:lang w:val="hr-HR"/>
        </w:rPr>
        <w:tab/>
        <w:t>Vrsta</w:t>
      </w:r>
      <w:r w:rsidR="000A7F98" w:rsidRPr="0013178E">
        <w:rPr>
          <w:b/>
          <w:sz w:val="22"/>
          <w:szCs w:val="22"/>
          <w:lang w:val="hr-HR"/>
        </w:rPr>
        <w:t xml:space="preserve"> i sadržaj pakovanja</w:t>
      </w:r>
    </w:p>
    <w:p w14:paraId="6F2A2D7F" w14:textId="77777777" w:rsidR="00037346" w:rsidRPr="0013178E" w:rsidRDefault="00037346" w:rsidP="00321713">
      <w:pPr>
        <w:shd w:val="clear" w:color="auto" w:fill="FFFFFF"/>
        <w:tabs>
          <w:tab w:val="left" w:pos="0"/>
        </w:tabs>
        <w:jc w:val="both"/>
        <w:rPr>
          <w:color w:val="FF0000"/>
          <w:spacing w:val="-2"/>
          <w:sz w:val="22"/>
          <w:szCs w:val="22"/>
          <w:lang w:val="hr-HR"/>
        </w:rPr>
      </w:pPr>
    </w:p>
    <w:p w14:paraId="402041A6" w14:textId="1EB1AC6A" w:rsidR="00D6309D" w:rsidRDefault="002A4BA6" w:rsidP="00D6309D">
      <w:pPr>
        <w:shd w:val="clear" w:color="auto" w:fill="FFFFFF"/>
        <w:tabs>
          <w:tab w:val="left" w:pos="0"/>
        </w:tabs>
        <w:jc w:val="both"/>
        <w:rPr>
          <w:spacing w:val="-2"/>
          <w:sz w:val="22"/>
          <w:szCs w:val="22"/>
          <w:lang w:val="hr-HR"/>
        </w:rPr>
      </w:pPr>
      <w:r w:rsidRPr="0013178E">
        <w:rPr>
          <w:spacing w:val="-2"/>
          <w:sz w:val="22"/>
          <w:szCs w:val="22"/>
          <w:lang w:val="hr-HR"/>
        </w:rPr>
        <w:t xml:space="preserve">Solu-Medrol 40 mg </w:t>
      </w:r>
      <w:r w:rsidRPr="0013178E">
        <w:rPr>
          <w:bCs/>
          <w:sz w:val="22"/>
          <w:szCs w:val="22"/>
          <w:lang w:val="hr-HR"/>
        </w:rPr>
        <w:t>prašak i rastvarač za rastvor za injekciju</w:t>
      </w:r>
      <w:r w:rsidR="00C148A2" w:rsidRPr="0013178E">
        <w:rPr>
          <w:bCs/>
          <w:sz w:val="22"/>
          <w:szCs w:val="22"/>
          <w:lang w:val="hr-HR"/>
        </w:rPr>
        <w:t>/</w:t>
      </w:r>
      <w:r w:rsidRPr="0013178E">
        <w:rPr>
          <w:bCs/>
          <w:sz w:val="22"/>
          <w:szCs w:val="22"/>
          <w:lang w:val="hr-HR"/>
        </w:rPr>
        <w:t>infuziju:</w:t>
      </w:r>
      <w:r w:rsidRPr="0013178E">
        <w:rPr>
          <w:spacing w:val="-2"/>
          <w:sz w:val="22"/>
          <w:szCs w:val="22"/>
          <w:lang w:val="hr-HR"/>
        </w:rPr>
        <w:t xml:space="preserve"> staklena </w:t>
      </w:r>
      <w:r w:rsidR="00D6309D" w:rsidRPr="0013178E">
        <w:rPr>
          <w:spacing w:val="-2"/>
          <w:sz w:val="22"/>
          <w:szCs w:val="22"/>
          <w:lang w:val="hr-HR"/>
        </w:rPr>
        <w:t>bočica sa praškom u donjem dijelu i 1 ml rastvarača u gornjem dijelu.</w:t>
      </w:r>
    </w:p>
    <w:p w14:paraId="213020F9" w14:textId="77777777" w:rsidR="001C49DE" w:rsidRPr="0013178E" w:rsidRDefault="001C49DE" w:rsidP="00D6309D">
      <w:pPr>
        <w:shd w:val="clear" w:color="auto" w:fill="FFFFFF"/>
        <w:tabs>
          <w:tab w:val="left" w:pos="0"/>
        </w:tabs>
        <w:jc w:val="both"/>
        <w:rPr>
          <w:spacing w:val="-2"/>
          <w:sz w:val="22"/>
          <w:szCs w:val="22"/>
          <w:lang w:val="hr-HR"/>
        </w:rPr>
      </w:pPr>
    </w:p>
    <w:p w14:paraId="30834610" w14:textId="5731977C" w:rsidR="00D6309D" w:rsidRDefault="006F44C7" w:rsidP="00D6309D">
      <w:pPr>
        <w:shd w:val="clear" w:color="auto" w:fill="FFFFFF"/>
        <w:tabs>
          <w:tab w:val="left" w:pos="0"/>
        </w:tabs>
        <w:ind w:firstLine="11"/>
        <w:jc w:val="both"/>
        <w:rPr>
          <w:spacing w:val="-2"/>
          <w:sz w:val="22"/>
          <w:szCs w:val="22"/>
          <w:lang w:val="hr-HR"/>
        </w:rPr>
      </w:pPr>
      <w:r w:rsidRPr="0013178E">
        <w:rPr>
          <w:spacing w:val="-2"/>
          <w:sz w:val="22"/>
          <w:szCs w:val="22"/>
          <w:lang w:val="hr-HR"/>
        </w:rPr>
        <w:t xml:space="preserve">Solu-Medrol 125 mg </w:t>
      </w:r>
      <w:r w:rsidRPr="0013178E">
        <w:rPr>
          <w:bCs/>
          <w:sz w:val="22"/>
          <w:szCs w:val="22"/>
          <w:lang w:val="hr-HR"/>
        </w:rPr>
        <w:t>prašak i rastvarač za rastvor za injekciju</w:t>
      </w:r>
      <w:r w:rsidR="00C148A2" w:rsidRPr="0013178E">
        <w:rPr>
          <w:bCs/>
          <w:sz w:val="22"/>
          <w:szCs w:val="22"/>
          <w:lang w:val="hr-HR"/>
        </w:rPr>
        <w:t>/</w:t>
      </w:r>
      <w:r w:rsidRPr="0013178E">
        <w:rPr>
          <w:bCs/>
          <w:sz w:val="22"/>
          <w:szCs w:val="22"/>
          <w:lang w:val="hr-HR"/>
        </w:rPr>
        <w:t>infuziju:</w:t>
      </w:r>
      <w:r w:rsidRPr="0013178E">
        <w:rPr>
          <w:spacing w:val="-2"/>
          <w:sz w:val="22"/>
          <w:szCs w:val="22"/>
          <w:lang w:val="hr-HR"/>
        </w:rPr>
        <w:t xml:space="preserve"> </w:t>
      </w:r>
      <w:r w:rsidR="00D6309D" w:rsidRPr="0013178E">
        <w:rPr>
          <w:spacing w:val="-2"/>
          <w:sz w:val="22"/>
          <w:szCs w:val="22"/>
          <w:lang w:val="hr-HR"/>
        </w:rPr>
        <w:t>staklena bočica sa praškom u donjem dijelu i 2 ml rastvarača u gornjem dijelu.</w:t>
      </w:r>
    </w:p>
    <w:p w14:paraId="248D532E" w14:textId="77777777" w:rsidR="001C49DE" w:rsidRPr="0013178E" w:rsidRDefault="001C49DE" w:rsidP="00D6309D">
      <w:pPr>
        <w:shd w:val="clear" w:color="auto" w:fill="FFFFFF"/>
        <w:tabs>
          <w:tab w:val="left" w:pos="0"/>
        </w:tabs>
        <w:ind w:firstLine="11"/>
        <w:jc w:val="both"/>
        <w:rPr>
          <w:spacing w:val="-2"/>
          <w:sz w:val="22"/>
          <w:szCs w:val="22"/>
          <w:lang w:val="hr-HR"/>
        </w:rPr>
      </w:pPr>
    </w:p>
    <w:p w14:paraId="3723959A" w14:textId="7CA84C43" w:rsidR="00B400D8" w:rsidRPr="0013178E" w:rsidRDefault="006F44C7" w:rsidP="00321713">
      <w:pPr>
        <w:shd w:val="clear" w:color="auto" w:fill="FFFFFF"/>
        <w:tabs>
          <w:tab w:val="left" w:pos="0"/>
        </w:tabs>
        <w:jc w:val="both"/>
        <w:rPr>
          <w:color w:val="FF0000"/>
          <w:spacing w:val="-2"/>
          <w:sz w:val="22"/>
          <w:szCs w:val="22"/>
          <w:lang w:val="hr-HR"/>
        </w:rPr>
      </w:pPr>
      <w:r w:rsidRPr="0013178E">
        <w:rPr>
          <w:spacing w:val="-2"/>
          <w:sz w:val="22"/>
          <w:szCs w:val="22"/>
          <w:lang w:val="hr-HR"/>
        </w:rPr>
        <w:t>Solu-Medrol 500 mg prašak i rastvarač za rastvor za injekciju</w:t>
      </w:r>
      <w:r w:rsidR="00C148A2" w:rsidRPr="0013178E">
        <w:rPr>
          <w:spacing w:val="-2"/>
          <w:sz w:val="22"/>
          <w:szCs w:val="22"/>
          <w:lang w:val="hr-HR"/>
        </w:rPr>
        <w:t>/</w:t>
      </w:r>
      <w:r w:rsidRPr="0013178E">
        <w:rPr>
          <w:spacing w:val="-2"/>
          <w:sz w:val="22"/>
          <w:szCs w:val="22"/>
          <w:lang w:val="hr-HR"/>
        </w:rPr>
        <w:t xml:space="preserve">infuziju: </w:t>
      </w:r>
      <w:r w:rsidR="00D6309D" w:rsidRPr="0013178E">
        <w:rPr>
          <w:spacing w:val="-2"/>
          <w:sz w:val="22"/>
          <w:szCs w:val="22"/>
          <w:lang w:val="hr-HR"/>
        </w:rPr>
        <w:t xml:space="preserve">staklena bočica sa praškom </w:t>
      </w:r>
      <w:r w:rsidR="00F00AA8">
        <w:rPr>
          <w:spacing w:val="-2"/>
          <w:sz w:val="22"/>
          <w:szCs w:val="22"/>
          <w:lang w:val="hr-HR"/>
        </w:rPr>
        <w:t>i staklena bočica sa</w:t>
      </w:r>
      <w:r w:rsidR="00D6309D" w:rsidRPr="0013178E">
        <w:rPr>
          <w:spacing w:val="-2"/>
          <w:sz w:val="22"/>
          <w:szCs w:val="22"/>
          <w:lang w:val="hr-HR"/>
        </w:rPr>
        <w:t xml:space="preserve"> 7,8 </w:t>
      </w:r>
      <w:r w:rsidR="00D6309D" w:rsidRPr="0013178E">
        <w:rPr>
          <w:sz w:val="22"/>
          <w:szCs w:val="22"/>
          <w:lang w:val="hr-HR"/>
        </w:rPr>
        <w:t xml:space="preserve">ml </w:t>
      </w:r>
      <w:r w:rsidR="00D6309D" w:rsidRPr="0013178E">
        <w:rPr>
          <w:spacing w:val="-2"/>
          <w:sz w:val="22"/>
          <w:szCs w:val="22"/>
          <w:lang w:val="hr-HR"/>
        </w:rPr>
        <w:t>rastvarača</w:t>
      </w:r>
      <w:r w:rsidR="00E71C3F" w:rsidRPr="0013178E">
        <w:rPr>
          <w:spacing w:val="-2"/>
          <w:sz w:val="22"/>
          <w:szCs w:val="22"/>
          <w:lang w:val="hr-HR"/>
        </w:rPr>
        <w:t>.</w:t>
      </w:r>
    </w:p>
    <w:p w14:paraId="6B2EFADA" w14:textId="77777777" w:rsidR="00037346" w:rsidRPr="0013178E" w:rsidRDefault="00037346" w:rsidP="00321713">
      <w:pPr>
        <w:shd w:val="clear" w:color="auto" w:fill="FFFFFF"/>
        <w:tabs>
          <w:tab w:val="left" w:pos="0"/>
        </w:tabs>
        <w:jc w:val="both"/>
        <w:rPr>
          <w:b/>
          <w:bCs/>
          <w:color w:val="FF0000"/>
          <w:spacing w:val="-2"/>
          <w:sz w:val="22"/>
          <w:szCs w:val="22"/>
          <w:lang w:val="hr-HR"/>
        </w:rPr>
      </w:pPr>
    </w:p>
    <w:p w14:paraId="045A6919" w14:textId="77777777" w:rsidR="00537283" w:rsidRPr="0013178E" w:rsidRDefault="00BD2C14" w:rsidP="00037346">
      <w:pPr>
        <w:widowControl/>
        <w:shd w:val="clear" w:color="auto" w:fill="FFFFFF"/>
        <w:tabs>
          <w:tab w:val="left" w:pos="426"/>
        </w:tabs>
        <w:autoSpaceDE/>
        <w:jc w:val="both"/>
        <w:rPr>
          <w:b/>
          <w:sz w:val="22"/>
          <w:szCs w:val="22"/>
          <w:lang w:val="hr-HR"/>
        </w:rPr>
      </w:pPr>
      <w:r w:rsidRPr="0013178E">
        <w:rPr>
          <w:b/>
          <w:sz w:val="22"/>
          <w:szCs w:val="22"/>
          <w:lang w:val="hr-HR"/>
        </w:rPr>
        <w:t>6.6.</w:t>
      </w:r>
      <w:r w:rsidR="00037346" w:rsidRPr="0013178E">
        <w:rPr>
          <w:b/>
          <w:sz w:val="22"/>
          <w:szCs w:val="22"/>
          <w:lang w:val="hr-HR"/>
        </w:rPr>
        <w:tab/>
      </w:r>
      <w:r w:rsidRPr="0013178E">
        <w:rPr>
          <w:b/>
          <w:sz w:val="22"/>
          <w:szCs w:val="22"/>
          <w:lang w:val="hr-HR"/>
        </w:rPr>
        <w:t>Posebne mjere opreza pri odlaganju materijala koji treba odbaciti nakon primjene lijeka</w:t>
      </w:r>
      <w:r w:rsidR="00E83661" w:rsidRPr="0013178E">
        <w:rPr>
          <w:b/>
          <w:sz w:val="22"/>
          <w:szCs w:val="22"/>
          <w:lang w:val="hr-HR"/>
        </w:rPr>
        <w:t xml:space="preserve"> (i druga uputstva za rukovanje lijekom)</w:t>
      </w:r>
    </w:p>
    <w:p w14:paraId="1B7E86C7" w14:textId="77777777" w:rsidR="00037346" w:rsidRPr="0013178E" w:rsidRDefault="00037346" w:rsidP="00321713">
      <w:pPr>
        <w:shd w:val="clear" w:color="auto" w:fill="FFFFFF"/>
        <w:tabs>
          <w:tab w:val="left" w:pos="0"/>
        </w:tabs>
        <w:jc w:val="both"/>
        <w:rPr>
          <w:sz w:val="22"/>
          <w:szCs w:val="22"/>
          <w:lang w:val="hr-HR"/>
        </w:rPr>
      </w:pPr>
    </w:p>
    <w:p w14:paraId="60053797" w14:textId="26DAB9A0" w:rsidR="00353FB4" w:rsidRPr="0013178E" w:rsidRDefault="00353FB4" w:rsidP="00353FB4">
      <w:pPr>
        <w:widowControl/>
        <w:shd w:val="clear" w:color="auto" w:fill="FFFFFF"/>
        <w:tabs>
          <w:tab w:val="left" w:pos="360"/>
          <w:tab w:val="left" w:pos="468"/>
        </w:tabs>
        <w:autoSpaceDE/>
        <w:rPr>
          <w:i/>
          <w:iCs/>
          <w:spacing w:val="-2"/>
          <w:sz w:val="22"/>
          <w:szCs w:val="22"/>
          <w:lang w:val="hr-HR"/>
        </w:rPr>
      </w:pPr>
      <w:r w:rsidRPr="0013178E">
        <w:rPr>
          <w:spacing w:val="-2"/>
          <w:sz w:val="22"/>
          <w:szCs w:val="22"/>
          <w:lang w:val="hr-HR"/>
        </w:rPr>
        <w:t>UPUTSTVO ZA UPOTREBU DVODJELNE BOČIC</w:t>
      </w:r>
      <w:r w:rsidR="0026352B" w:rsidRPr="0013178E">
        <w:rPr>
          <w:spacing w:val="-2"/>
          <w:sz w:val="22"/>
          <w:szCs w:val="22"/>
          <w:lang w:val="hr-HR"/>
        </w:rPr>
        <w:t>A</w:t>
      </w:r>
      <w:r w:rsidRPr="0013178E">
        <w:rPr>
          <w:spacing w:val="-2"/>
          <w:sz w:val="22"/>
          <w:szCs w:val="22"/>
          <w:lang w:val="hr-HR"/>
        </w:rPr>
        <w:t xml:space="preserve"> </w:t>
      </w:r>
      <w:r w:rsidR="00880D15" w:rsidRPr="0013178E">
        <w:rPr>
          <w:sz w:val="22"/>
          <w:szCs w:val="22"/>
          <w:lang w:val="hr-HR"/>
        </w:rPr>
        <w:t>„</w:t>
      </w:r>
      <w:r w:rsidR="00880D15" w:rsidRPr="0013178E">
        <w:rPr>
          <w:i/>
          <w:iCs/>
          <w:spacing w:val="-2"/>
          <w:sz w:val="22"/>
          <w:szCs w:val="22"/>
          <w:lang w:val="hr-HR"/>
        </w:rPr>
        <w:t>ACT-O-VIAL</w:t>
      </w:r>
      <w:r w:rsidR="00880D15" w:rsidRPr="0013178E">
        <w:rPr>
          <w:sz w:val="22"/>
          <w:szCs w:val="22"/>
          <w:lang w:val="hr-HR"/>
        </w:rPr>
        <w:t>“</w:t>
      </w:r>
      <w:r w:rsidRPr="0013178E">
        <w:rPr>
          <w:i/>
          <w:iCs/>
          <w:spacing w:val="-2"/>
          <w:sz w:val="22"/>
          <w:szCs w:val="22"/>
          <w:lang w:val="hr-HR"/>
        </w:rPr>
        <w:t>:</w:t>
      </w:r>
    </w:p>
    <w:p w14:paraId="433277A5" w14:textId="77777777" w:rsidR="001B5791" w:rsidRPr="0013178E" w:rsidRDefault="001B5791" w:rsidP="00E046EE">
      <w:pPr>
        <w:shd w:val="clear" w:color="auto" w:fill="FFFFFF"/>
        <w:tabs>
          <w:tab w:val="left" w:pos="851"/>
        </w:tabs>
        <w:ind w:left="426"/>
        <w:jc w:val="both"/>
        <w:rPr>
          <w:sz w:val="22"/>
          <w:szCs w:val="22"/>
          <w:lang w:val="hr-HR"/>
        </w:rPr>
      </w:pPr>
      <w:r w:rsidRPr="0013178E">
        <w:rPr>
          <w:sz w:val="22"/>
          <w:szCs w:val="22"/>
          <w:lang w:val="hr-HR"/>
        </w:rPr>
        <w:t>1.</w:t>
      </w:r>
      <w:r w:rsidRPr="0013178E">
        <w:rPr>
          <w:sz w:val="22"/>
          <w:szCs w:val="22"/>
          <w:lang w:val="hr-HR"/>
        </w:rPr>
        <w:tab/>
        <w:t>Pritisnite plastični aktivator da biste potisli rastvarač u donj</w:t>
      </w:r>
      <w:r w:rsidR="00353FB4" w:rsidRPr="0013178E">
        <w:rPr>
          <w:sz w:val="22"/>
          <w:szCs w:val="22"/>
          <w:lang w:val="hr-HR"/>
        </w:rPr>
        <w:t>i dio</w:t>
      </w:r>
      <w:r w:rsidRPr="0013178E">
        <w:rPr>
          <w:sz w:val="22"/>
          <w:szCs w:val="22"/>
          <w:lang w:val="hr-HR"/>
        </w:rPr>
        <w:t>.</w:t>
      </w:r>
    </w:p>
    <w:p w14:paraId="0224BBFA" w14:textId="77777777" w:rsidR="001B5791" w:rsidRPr="0013178E" w:rsidRDefault="001B5791" w:rsidP="00E046EE">
      <w:pPr>
        <w:shd w:val="clear" w:color="auto" w:fill="FFFFFF"/>
        <w:tabs>
          <w:tab w:val="left" w:pos="851"/>
        </w:tabs>
        <w:ind w:left="426"/>
        <w:jc w:val="both"/>
        <w:rPr>
          <w:sz w:val="22"/>
          <w:szCs w:val="22"/>
          <w:lang w:val="hr-HR"/>
        </w:rPr>
      </w:pPr>
      <w:r w:rsidRPr="0013178E">
        <w:rPr>
          <w:sz w:val="22"/>
          <w:szCs w:val="22"/>
          <w:lang w:val="hr-HR"/>
        </w:rPr>
        <w:t>2.</w:t>
      </w:r>
      <w:r w:rsidRPr="0013178E">
        <w:rPr>
          <w:sz w:val="22"/>
          <w:szCs w:val="22"/>
          <w:lang w:val="hr-HR"/>
        </w:rPr>
        <w:tab/>
        <w:t>Blago protresite da biste rastvorili lijek.</w:t>
      </w:r>
    </w:p>
    <w:p w14:paraId="564C20CA" w14:textId="77777777" w:rsidR="001B5791" w:rsidRPr="0013178E" w:rsidRDefault="001B5791" w:rsidP="00E046EE">
      <w:pPr>
        <w:shd w:val="clear" w:color="auto" w:fill="FFFFFF"/>
        <w:tabs>
          <w:tab w:val="left" w:pos="851"/>
        </w:tabs>
        <w:ind w:left="426"/>
        <w:jc w:val="both"/>
        <w:rPr>
          <w:sz w:val="22"/>
          <w:szCs w:val="22"/>
          <w:lang w:val="hr-HR"/>
        </w:rPr>
      </w:pPr>
      <w:r w:rsidRPr="0013178E">
        <w:rPr>
          <w:sz w:val="22"/>
          <w:szCs w:val="22"/>
          <w:lang w:val="hr-HR"/>
        </w:rPr>
        <w:t>3.</w:t>
      </w:r>
      <w:r w:rsidRPr="0013178E">
        <w:rPr>
          <w:sz w:val="22"/>
          <w:szCs w:val="22"/>
          <w:lang w:val="hr-HR"/>
        </w:rPr>
        <w:tab/>
        <w:t xml:space="preserve">Skinite plastični </w:t>
      </w:r>
      <w:r w:rsidR="00EF052B" w:rsidRPr="0013178E">
        <w:rPr>
          <w:sz w:val="22"/>
          <w:szCs w:val="22"/>
          <w:lang w:val="hr-HR"/>
        </w:rPr>
        <w:t>element</w:t>
      </w:r>
      <w:r w:rsidRPr="0013178E">
        <w:rPr>
          <w:sz w:val="22"/>
          <w:szCs w:val="22"/>
          <w:lang w:val="hr-HR"/>
        </w:rPr>
        <w:t xml:space="preserve"> koji prekriva centralni dio </w:t>
      </w:r>
      <w:r w:rsidR="000B6B86" w:rsidRPr="0013178E">
        <w:rPr>
          <w:sz w:val="22"/>
          <w:szCs w:val="22"/>
          <w:lang w:val="hr-HR"/>
        </w:rPr>
        <w:t>čepa</w:t>
      </w:r>
      <w:r w:rsidRPr="0013178E">
        <w:rPr>
          <w:sz w:val="22"/>
          <w:szCs w:val="22"/>
          <w:lang w:val="hr-HR"/>
        </w:rPr>
        <w:t>.</w:t>
      </w:r>
    </w:p>
    <w:p w14:paraId="4192BD5A" w14:textId="77777777" w:rsidR="001B5791" w:rsidRPr="0013178E" w:rsidRDefault="001B5791" w:rsidP="00E046EE">
      <w:pPr>
        <w:shd w:val="clear" w:color="auto" w:fill="FFFFFF"/>
        <w:tabs>
          <w:tab w:val="left" w:pos="851"/>
        </w:tabs>
        <w:ind w:left="426"/>
        <w:jc w:val="both"/>
        <w:rPr>
          <w:sz w:val="22"/>
          <w:szCs w:val="22"/>
          <w:lang w:val="hr-HR"/>
        </w:rPr>
      </w:pPr>
      <w:r w:rsidRPr="0013178E">
        <w:rPr>
          <w:sz w:val="22"/>
          <w:szCs w:val="22"/>
          <w:lang w:val="hr-HR"/>
        </w:rPr>
        <w:t>4.</w:t>
      </w:r>
      <w:r w:rsidRPr="0013178E">
        <w:rPr>
          <w:sz w:val="22"/>
          <w:szCs w:val="22"/>
          <w:lang w:val="hr-HR"/>
        </w:rPr>
        <w:tab/>
        <w:t xml:space="preserve">Sterilišite vrh </w:t>
      </w:r>
      <w:r w:rsidR="000B6B86" w:rsidRPr="0013178E">
        <w:rPr>
          <w:sz w:val="22"/>
          <w:szCs w:val="22"/>
          <w:lang w:val="hr-HR"/>
        </w:rPr>
        <w:t>čepa</w:t>
      </w:r>
      <w:r w:rsidRPr="0013178E">
        <w:rPr>
          <w:sz w:val="22"/>
          <w:szCs w:val="22"/>
          <w:lang w:val="hr-HR"/>
        </w:rPr>
        <w:t>.</w:t>
      </w:r>
    </w:p>
    <w:p w14:paraId="3576F99E" w14:textId="77777777" w:rsidR="001B5791" w:rsidRPr="0013178E" w:rsidRDefault="001B5791" w:rsidP="00E046EE">
      <w:pPr>
        <w:shd w:val="clear" w:color="auto" w:fill="FFFFFF"/>
        <w:tabs>
          <w:tab w:val="left" w:pos="851"/>
        </w:tabs>
        <w:ind w:left="426"/>
        <w:jc w:val="both"/>
        <w:rPr>
          <w:sz w:val="22"/>
          <w:szCs w:val="22"/>
          <w:lang w:val="hr-HR"/>
        </w:rPr>
      </w:pPr>
      <w:r w:rsidRPr="0013178E">
        <w:rPr>
          <w:sz w:val="22"/>
          <w:szCs w:val="22"/>
          <w:lang w:val="hr-HR"/>
        </w:rPr>
        <w:t>5.</w:t>
      </w:r>
      <w:r w:rsidRPr="0013178E">
        <w:rPr>
          <w:sz w:val="22"/>
          <w:szCs w:val="22"/>
          <w:lang w:val="hr-HR"/>
        </w:rPr>
        <w:tab/>
        <w:t>U</w:t>
      </w:r>
      <w:r w:rsidR="001B60E3" w:rsidRPr="0013178E">
        <w:rPr>
          <w:sz w:val="22"/>
          <w:szCs w:val="22"/>
          <w:lang w:val="hr-HR"/>
        </w:rPr>
        <w:t xml:space="preserve">vedite </w:t>
      </w:r>
      <w:r w:rsidR="000B6B86" w:rsidRPr="0013178E">
        <w:rPr>
          <w:sz w:val="22"/>
          <w:szCs w:val="22"/>
          <w:lang w:val="hr-HR"/>
        </w:rPr>
        <w:t>iglu kroz centralni dio č</w:t>
      </w:r>
      <w:r w:rsidRPr="0013178E">
        <w:rPr>
          <w:sz w:val="22"/>
          <w:szCs w:val="22"/>
          <w:lang w:val="hr-HR"/>
        </w:rPr>
        <w:t>e</w:t>
      </w:r>
      <w:r w:rsidR="000B6B86" w:rsidRPr="0013178E">
        <w:rPr>
          <w:sz w:val="22"/>
          <w:szCs w:val="22"/>
          <w:lang w:val="hr-HR"/>
        </w:rPr>
        <w:t>pa</w:t>
      </w:r>
      <w:r w:rsidRPr="0013178E">
        <w:rPr>
          <w:sz w:val="22"/>
          <w:szCs w:val="22"/>
          <w:lang w:val="hr-HR"/>
        </w:rPr>
        <w:t xml:space="preserve"> sve dok vrh </w:t>
      </w:r>
      <w:r w:rsidR="00E046EE" w:rsidRPr="0013178E">
        <w:rPr>
          <w:sz w:val="22"/>
          <w:szCs w:val="22"/>
          <w:lang w:val="hr-HR"/>
        </w:rPr>
        <w:t>ne bude skoro potpuno nevidljiv</w:t>
      </w:r>
      <w:r w:rsidRPr="0013178E">
        <w:rPr>
          <w:sz w:val="22"/>
          <w:szCs w:val="22"/>
          <w:lang w:val="hr-HR"/>
        </w:rPr>
        <w:t xml:space="preserve">. </w:t>
      </w:r>
      <w:r w:rsidR="00E046EE" w:rsidRPr="0013178E">
        <w:rPr>
          <w:sz w:val="22"/>
          <w:szCs w:val="22"/>
          <w:lang w:val="hr-HR"/>
        </w:rPr>
        <w:t xml:space="preserve">Okrenite bočicu i </w:t>
      </w:r>
      <w:r w:rsidR="00EF052B" w:rsidRPr="0013178E">
        <w:rPr>
          <w:sz w:val="22"/>
          <w:szCs w:val="22"/>
          <w:lang w:val="hr-HR"/>
        </w:rPr>
        <w:t>izvucite</w:t>
      </w:r>
      <w:r w:rsidR="00E046EE" w:rsidRPr="0013178E">
        <w:rPr>
          <w:sz w:val="22"/>
          <w:szCs w:val="22"/>
          <w:lang w:val="hr-HR"/>
        </w:rPr>
        <w:t xml:space="preserve"> dozu</w:t>
      </w:r>
      <w:r w:rsidRPr="0013178E">
        <w:rPr>
          <w:sz w:val="22"/>
          <w:szCs w:val="22"/>
          <w:lang w:val="hr-HR"/>
        </w:rPr>
        <w:t>.</w:t>
      </w:r>
    </w:p>
    <w:p w14:paraId="3052E6A9" w14:textId="77777777" w:rsidR="001B5791" w:rsidRPr="0013178E" w:rsidRDefault="001B5791" w:rsidP="001B5791">
      <w:pPr>
        <w:shd w:val="clear" w:color="auto" w:fill="FFFFFF"/>
        <w:tabs>
          <w:tab w:val="left" w:pos="0"/>
        </w:tabs>
        <w:jc w:val="both"/>
        <w:rPr>
          <w:color w:val="FF0000"/>
          <w:sz w:val="22"/>
          <w:szCs w:val="22"/>
          <w:lang w:val="hr-HR"/>
        </w:rPr>
      </w:pPr>
    </w:p>
    <w:p w14:paraId="7767A713" w14:textId="77777777" w:rsidR="001B5791" w:rsidRPr="0013178E" w:rsidRDefault="00E046EE" w:rsidP="001B5791">
      <w:pPr>
        <w:shd w:val="clear" w:color="auto" w:fill="FFFFFF"/>
        <w:tabs>
          <w:tab w:val="left" w:pos="0"/>
        </w:tabs>
        <w:jc w:val="both"/>
        <w:rPr>
          <w:sz w:val="22"/>
          <w:szCs w:val="22"/>
          <w:lang w:val="hr-HR"/>
        </w:rPr>
      </w:pPr>
      <w:r w:rsidRPr="0013178E">
        <w:rPr>
          <w:sz w:val="22"/>
          <w:szCs w:val="22"/>
          <w:lang w:val="hr-HR"/>
        </w:rPr>
        <w:t>UPUTSTVO ZA KORIŠĆENJE BOČICE</w:t>
      </w:r>
      <w:r w:rsidR="001B5791" w:rsidRPr="0013178E">
        <w:rPr>
          <w:sz w:val="22"/>
          <w:szCs w:val="22"/>
          <w:lang w:val="hr-HR"/>
        </w:rPr>
        <w:t>:</w:t>
      </w:r>
    </w:p>
    <w:p w14:paraId="5E818141" w14:textId="77777777" w:rsidR="001B5791" w:rsidRPr="0013178E" w:rsidRDefault="00E046EE" w:rsidP="001B5791">
      <w:pPr>
        <w:shd w:val="clear" w:color="auto" w:fill="FFFFFF"/>
        <w:tabs>
          <w:tab w:val="left" w:pos="0"/>
        </w:tabs>
        <w:jc w:val="both"/>
        <w:rPr>
          <w:sz w:val="22"/>
          <w:szCs w:val="22"/>
          <w:lang w:val="hr-HR"/>
        </w:rPr>
      </w:pPr>
      <w:r w:rsidRPr="0013178E">
        <w:rPr>
          <w:sz w:val="22"/>
          <w:szCs w:val="22"/>
          <w:lang w:val="hr-HR"/>
        </w:rPr>
        <w:t xml:space="preserve">U aseptičnim uslovima dodajte rastvarač bočici sa sterilnim </w:t>
      </w:r>
      <w:r w:rsidR="001B60E3" w:rsidRPr="0013178E">
        <w:rPr>
          <w:sz w:val="22"/>
          <w:szCs w:val="22"/>
          <w:lang w:val="hr-HR"/>
        </w:rPr>
        <w:t>praškom</w:t>
      </w:r>
      <w:r w:rsidR="001B5791" w:rsidRPr="0013178E">
        <w:rPr>
          <w:sz w:val="22"/>
          <w:szCs w:val="22"/>
          <w:lang w:val="hr-HR"/>
        </w:rPr>
        <w:t>.</w:t>
      </w:r>
      <w:r w:rsidRPr="0013178E">
        <w:rPr>
          <w:sz w:val="22"/>
          <w:szCs w:val="22"/>
          <w:lang w:val="hr-HR"/>
        </w:rPr>
        <w:t xml:space="preserve"> Koristite </w:t>
      </w:r>
      <w:r w:rsidR="00EF052B" w:rsidRPr="0013178E">
        <w:rPr>
          <w:sz w:val="22"/>
          <w:szCs w:val="22"/>
          <w:lang w:val="hr-HR"/>
        </w:rPr>
        <w:t xml:space="preserve">samo </w:t>
      </w:r>
      <w:r w:rsidR="008E2779" w:rsidRPr="0013178E">
        <w:rPr>
          <w:sz w:val="22"/>
          <w:szCs w:val="22"/>
          <w:lang w:val="hr-HR"/>
        </w:rPr>
        <w:t>prilož</w:t>
      </w:r>
      <w:r w:rsidRPr="0013178E">
        <w:rPr>
          <w:sz w:val="22"/>
          <w:szCs w:val="22"/>
          <w:lang w:val="hr-HR"/>
        </w:rPr>
        <w:t>eni rastvarač</w:t>
      </w:r>
      <w:r w:rsidR="001B5791" w:rsidRPr="0013178E">
        <w:rPr>
          <w:sz w:val="22"/>
          <w:szCs w:val="22"/>
          <w:lang w:val="hr-HR"/>
        </w:rPr>
        <w:t>.</w:t>
      </w:r>
    </w:p>
    <w:p w14:paraId="29489679" w14:textId="77777777" w:rsidR="001B5791" w:rsidRPr="0013178E" w:rsidRDefault="001B5791" w:rsidP="001B5791">
      <w:pPr>
        <w:shd w:val="clear" w:color="auto" w:fill="FFFFFF"/>
        <w:tabs>
          <w:tab w:val="left" w:pos="0"/>
        </w:tabs>
        <w:jc w:val="both"/>
        <w:rPr>
          <w:sz w:val="22"/>
          <w:szCs w:val="22"/>
          <w:lang w:val="hr-HR"/>
        </w:rPr>
      </w:pPr>
    </w:p>
    <w:p w14:paraId="60C15D19" w14:textId="77777777" w:rsidR="001B5791" w:rsidRPr="0013178E" w:rsidRDefault="00E046EE" w:rsidP="0071236A">
      <w:pPr>
        <w:keepNext/>
        <w:shd w:val="clear" w:color="auto" w:fill="FFFFFF"/>
        <w:tabs>
          <w:tab w:val="left" w:pos="0"/>
        </w:tabs>
        <w:jc w:val="both"/>
        <w:rPr>
          <w:sz w:val="22"/>
          <w:szCs w:val="22"/>
          <w:lang w:val="hr-HR"/>
        </w:rPr>
      </w:pPr>
      <w:r w:rsidRPr="0013178E">
        <w:rPr>
          <w:sz w:val="22"/>
          <w:szCs w:val="22"/>
          <w:lang w:val="hr-HR"/>
        </w:rPr>
        <w:t>PRIPREMA RASTVORA ZA INTRAVENSKU INFUZIJU</w:t>
      </w:r>
      <w:r w:rsidR="001B5791" w:rsidRPr="0013178E">
        <w:rPr>
          <w:sz w:val="22"/>
          <w:szCs w:val="22"/>
          <w:lang w:val="hr-HR"/>
        </w:rPr>
        <w:t>:</w:t>
      </w:r>
    </w:p>
    <w:p w14:paraId="751D6A4F" w14:textId="77777777" w:rsidR="001B5791" w:rsidRPr="0013178E" w:rsidRDefault="00E046EE" w:rsidP="001B5791">
      <w:pPr>
        <w:shd w:val="clear" w:color="auto" w:fill="FFFFFF"/>
        <w:tabs>
          <w:tab w:val="left" w:pos="0"/>
        </w:tabs>
        <w:jc w:val="both"/>
        <w:rPr>
          <w:sz w:val="22"/>
          <w:szCs w:val="22"/>
          <w:lang w:val="hr-HR"/>
        </w:rPr>
      </w:pPr>
      <w:r w:rsidRPr="0013178E">
        <w:rPr>
          <w:sz w:val="22"/>
          <w:szCs w:val="22"/>
          <w:lang w:val="hr-HR"/>
        </w:rPr>
        <w:t>Da biste pripremili rastvor za intravensku infuziju</w:t>
      </w:r>
      <w:r w:rsidR="001B5791" w:rsidRPr="0013178E">
        <w:rPr>
          <w:sz w:val="22"/>
          <w:szCs w:val="22"/>
          <w:lang w:val="hr-HR"/>
        </w:rPr>
        <w:t xml:space="preserve">, </w:t>
      </w:r>
      <w:r w:rsidRPr="0013178E">
        <w:rPr>
          <w:sz w:val="22"/>
          <w:szCs w:val="22"/>
          <w:lang w:val="hr-HR"/>
        </w:rPr>
        <w:t xml:space="preserve">prvo rastvorite </w:t>
      </w:r>
      <w:r w:rsidR="008E2779" w:rsidRPr="0013178E">
        <w:rPr>
          <w:sz w:val="22"/>
          <w:szCs w:val="22"/>
          <w:lang w:val="hr-HR"/>
        </w:rPr>
        <w:t xml:space="preserve">lijek </w:t>
      </w:r>
      <w:r w:rsidRPr="0013178E">
        <w:rPr>
          <w:sz w:val="22"/>
          <w:szCs w:val="22"/>
          <w:lang w:val="hr-HR"/>
        </w:rPr>
        <w:t xml:space="preserve">Solu-Medrol sterilni </w:t>
      </w:r>
      <w:r w:rsidR="001B60E3" w:rsidRPr="0013178E">
        <w:rPr>
          <w:sz w:val="22"/>
          <w:szCs w:val="22"/>
          <w:lang w:val="hr-HR"/>
        </w:rPr>
        <w:t>prašak</w:t>
      </w:r>
      <w:r w:rsidRPr="0013178E">
        <w:rPr>
          <w:sz w:val="22"/>
          <w:szCs w:val="22"/>
          <w:lang w:val="hr-HR"/>
        </w:rPr>
        <w:t xml:space="preserve"> u skladu sa uputstvima</w:t>
      </w:r>
      <w:r w:rsidR="001B5791" w:rsidRPr="0013178E">
        <w:rPr>
          <w:sz w:val="22"/>
          <w:szCs w:val="22"/>
          <w:lang w:val="hr-HR"/>
        </w:rPr>
        <w:t xml:space="preserve">. </w:t>
      </w:r>
      <w:r w:rsidRPr="0013178E">
        <w:rPr>
          <w:sz w:val="22"/>
          <w:szCs w:val="22"/>
          <w:lang w:val="hr-HR"/>
        </w:rPr>
        <w:t xml:space="preserve">Terapiju možete da započnete intravenskom primjenom lijeka </w:t>
      </w:r>
      <w:r w:rsidR="001B5791" w:rsidRPr="0013178E">
        <w:rPr>
          <w:sz w:val="22"/>
          <w:szCs w:val="22"/>
          <w:lang w:val="hr-HR"/>
        </w:rPr>
        <w:t xml:space="preserve">Solu-Medrol </w:t>
      </w:r>
      <w:r w:rsidRPr="0013178E">
        <w:rPr>
          <w:sz w:val="22"/>
          <w:szCs w:val="22"/>
          <w:lang w:val="hr-HR"/>
        </w:rPr>
        <w:t>u periodu od najmanje pet minuta</w:t>
      </w:r>
      <w:r w:rsidR="001B5791" w:rsidRPr="0013178E">
        <w:rPr>
          <w:sz w:val="22"/>
          <w:szCs w:val="22"/>
          <w:lang w:val="hr-HR"/>
        </w:rPr>
        <w:t xml:space="preserve"> (</w:t>
      </w:r>
      <w:r w:rsidRPr="0013178E">
        <w:rPr>
          <w:sz w:val="22"/>
          <w:szCs w:val="22"/>
          <w:lang w:val="hr-HR"/>
        </w:rPr>
        <w:t xml:space="preserve">doze </w:t>
      </w:r>
      <w:r w:rsidR="001B5791" w:rsidRPr="0013178E">
        <w:rPr>
          <w:sz w:val="22"/>
          <w:szCs w:val="22"/>
          <w:lang w:val="hr-HR"/>
        </w:rPr>
        <w:t xml:space="preserve">&lt; 250 mg) </w:t>
      </w:r>
      <w:r w:rsidRPr="0013178E">
        <w:rPr>
          <w:sz w:val="22"/>
          <w:szCs w:val="22"/>
          <w:lang w:val="hr-HR"/>
        </w:rPr>
        <w:t xml:space="preserve">do najmanje </w:t>
      </w:r>
      <w:r w:rsidR="001B5791" w:rsidRPr="0013178E">
        <w:rPr>
          <w:sz w:val="22"/>
          <w:szCs w:val="22"/>
          <w:lang w:val="hr-HR"/>
        </w:rPr>
        <w:t>30 minut</w:t>
      </w:r>
      <w:r w:rsidRPr="0013178E">
        <w:rPr>
          <w:sz w:val="22"/>
          <w:szCs w:val="22"/>
          <w:lang w:val="hr-HR"/>
        </w:rPr>
        <w:t>a</w:t>
      </w:r>
      <w:r w:rsidR="001B5791" w:rsidRPr="0013178E">
        <w:rPr>
          <w:sz w:val="22"/>
          <w:szCs w:val="22"/>
          <w:lang w:val="hr-HR"/>
        </w:rPr>
        <w:t xml:space="preserve"> (</w:t>
      </w:r>
      <w:r w:rsidRPr="0013178E">
        <w:rPr>
          <w:sz w:val="22"/>
          <w:szCs w:val="22"/>
          <w:lang w:val="hr-HR"/>
        </w:rPr>
        <w:t xml:space="preserve">doze </w:t>
      </w:r>
      <w:r w:rsidR="001B5791" w:rsidRPr="0013178E">
        <w:rPr>
          <w:sz w:val="22"/>
          <w:szCs w:val="22"/>
          <w:lang w:val="hr-HR"/>
        </w:rPr>
        <w:t xml:space="preserve">&gt; 250 mg). </w:t>
      </w:r>
      <w:r w:rsidRPr="0013178E">
        <w:rPr>
          <w:sz w:val="22"/>
          <w:szCs w:val="22"/>
          <w:lang w:val="hr-HR"/>
        </w:rPr>
        <w:t>Sljedeće doze se pripremaju i primjenjuju na isti način</w:t>
      </w:r>
      <w:r w:rsidR="001B5791" w:rsidRPr="0013178E">
        <w:rPr>
          <w:sz w:val="22"/>
          <w:szCs w:val="22"/>
          <w:lang w:val="hr-HR"/>
        </w:rPr>
        <w:t xml:space="preserve">. </w:t>
      </w:r>
      <w:r w:rsidRPr="0013178E">
        <w:rPr>
          <w:sz w:val="22"/>
          <w:szCs w:val="22"/>
          <w:lang w:val="hr-HR"/>
        </w:rPr>
        <w:t xml:space="preserve">Ako je to potrebno, doze mogu da se primjene u rastvoru miješanjem rastvorenog lijeka sa </w:t>
      </w:r>
      <w:r w:rsidR="001B5791" w:rsidRPr="0013178E">
        <w:rPr>
          <w:sz w:val="22"/>
          <w:szCs w:val="22"/>
          <w:lang w:val="hr-HR"/>
        </w:rPr>
        <w:t xml:space="preserve">5% </w:t>
      </w:r>
      <w:r w:rsidRPr="0013178E">
        <w:rPr>
          <w:sz w:val="22"/>
          <w:szCs w:val="22"/>
          <w:lang w:val="hr-HR"/>
        </w:rPr>
        <w:t>glukoze</w:t>
      </w:r>
      <w:r w:rsidR="001B5791" w:rsidRPr="0013178E">
        <w:rPr>
          <w:sz w:val="22"/>
          <w:szCs w:val="22"/>
          <w:lang w:val="hr-HR"/>
        </w:rPr>
        <w:t xml:space="preserve">, </w:t>
      </w:r>
      <w:r w:rsidRPr="0013178E">
        <w:rPr>
          <w:sz w:val="22"/>
          <w:szCs w:val="22"/>
          <w:lang w:val="hr-HR"/>
        </w:rPr>
        <w:t>fiziološkim rastvorom ili izoton</w:t>
      </w:r>
      <w:r w:rsidR="001B60E3" w:rsidRPr="0013178E">
        <w:rPr>
          <w:sz w:val="22"/>
          <w:szCs w:val="22"/>
          <w:lang w:val="hr-HR"/>
        </w:rPr>
        <w:t>i</w:t>
      </w:r>
      <w:r w:rsidRPr="0013178E">
        <w:rPr>
          <w:sz w:val="22"/>
          <w:szCs w:val="22"/>
          <w:lang w:val="hr-HR"/>
        </w:rPr>
        <w:t>čnim rastvorom</w:t>
      </w:r>
      <w:r w:rsidR="001B5791" w:rsidRPr="0013178E">
        <w:rPr>
          <w:sz w:val="22"/>
          <w:szCs w:val="22"/>
          <w:lang w:val="hr-HR"/>
        </w:rPr>
        <w:t xml:space="preserve"> 5% </w:t>
      </w:r>
      <w:r w:rsidRPr="0013178E">
        <w:rPr>
          <w:sz w:val="22"/>
          <w:szCs w:val="22"/>
          <w:lang w:val="hr-HR"/>
        </w:rPr>
        <w:t>glukoze u fiziološkom rastvoru</w:t>
      </w:r>
      <w:r w:rsidR="001B5791" w:rsidRPr="0013178E">
        <w:rPr>
          <w:sz w:val="22"/>
          <w:szCs w:val="22"/>
          <w:lang w:val="hr-HR"/>
        </w:rPr>
        <w:t xml:space="preserve">. </w:t>
      </w:r>
    </w:p>
    <w:p w14:paraId="04845DED" w14:textId="77777777" w:rsidR="00CC3474" w:rsidRPr="0013178E" w:rsidRDefault="00C86F45" w:rsidP="001B5791">
      <w:pPr>
        <w:shd w:val="clear" w:color="auto" w:fill="FFFFFF"/>
        <w:tabs>
          <w:tab w:val="left" w:pos="0"/>
        </w:tabs>
        <w:jc w:val="both"/>
        <w:rPr>
          <w:sz w:val="22"/>
          <w:szCs w:val="22"/>
          <w:lang w:val="hr-HR"/>
        </w:rPr>
      </w:pPr>
      <w:r w:rsidRPr="0013178E">
        <w:rPr>
          <w:sz w:val="22"/>
          <w:szCs w:val="22"/>
          <w:lang w:val="hr-HR"/>
        </w:rPr>
        <w:t xml:space="preserve">Ne preporučuje se upotreba rastvarača, osim </w:t>
      </w:r>
      <w:r w:rsidR="00640405" w:rsidRPr="0013178E">
        <w:rPr>
          <w:sz w:val="22"/>
          <w:szCs w:val="22"/>
          <w:lang w:val="hr-HR"/>
        </w:rPr>
        <w:t xml:space="preserve">onih </w:t>
      </w:r>
      <w:r w:rsidRPr="0013178E">
        <w:rPr>
          <w:sz w:val="22"/>
          <w:szCs w:val="22"/>
          <w:lang w:val="hr-HR"/>
        </w:rPr>
        <w:t xml:space="preserve">koji su </w:t>
      </w:r>
      <w:r w:rsidR="00E046EE" w:rsidRPr="0013178E">
        <w:rPr>
          <w:sz w:val="22"/>
          <w:szCs w:val="22"/>
          <w:lang w:val="hr-HR"/>
        </w:rPr>
        <w:t>preporučeni</w:t>
      </w:r>
      <w:r w:rsidRPr="0013178E">
        <w:rPr>
          <w:sz w:val="22"/>
          <w:szCs w:val="22"/>
          <w:lang w:val="hr-HR"/>
        </w:rPr>
        <w:t>.</w:t>
      </w:r>
    </w:p>
    <w:p w14:paraId="6513FF13" w14:textId="10EDB3E8" w:rsidR="00CC3474" w:rsidRPr="0013178E" w:rsidRDefault="00AF6156" w:rsidP="001B5791">
      <w:pPr>
        <w:shd w:val="clear" w:color="auto" w:fill="FFFFFF"/>
        <w:tabs>
          <w:tab w:val="left" w:pos="0"/>
        </w:tabs>
        <w:jc w:val="both"/>
        <w:rPr>
          <w:sz w:val="22"/>
          <w:szCs w:val="22"/>
          <w:lang w:val="hr-HR"/>
        </w:rPr>
      </w:pPr>
      <w:r w:rsidRPr="0013178E">
        <w:rPr>
          <w:sz w:val="22"/>
          <w:szCs w:val="22"/>
          <w:lang w:val="hr-HR"/>
        </w:rPr>
        <w:t xml:space="preserve">Za rok upotrebe i uslove čuvanja, vidite </w:t>
      </w:r>
      <w:r w:rsidR="009E76C5">
        <w:rPr>
          <w:sz w:val="22"/>
          <w:szCs w:val="22"/>
          <w:lang w:val="hr-HR"/>
        </w:rPr>
        <w:t>didio</w:t>
      </w:r>
      <w:r w:rsidRPr="0013178E">
        <w:rPr>
          <w:sz w:val="22"/>
          <w:szCs w:val="22"/>
          <w:lang w:val="hr-HR"/>
        </w:rPr>
        <w:t xml:space="preserve"> 6.3. </w:t>
      </w:r>
    </w:p>
    <w:p w14:paraId="4B2D5BA9" w14:textId="26095E4E" w:rsidR="00F72355" w:rsidRPr="0013178E" w:rsidRDefault="00C86F45" w:rsidP="001B5791">
      <w:pPr>
        <w:shd w:val="clear" w:color="auto" w:fill="FFFFFF"/>
        <w:tabs>
          <w:tab w:val="left" w:pos="0"/>
        </w:tabs>
        <w:jc w:val="both"/>
        <w:rPr>
          <w:sz w:val="22"/>
          <w:szCs w:val="22"/>
          <w:lang w:val="hr-HR"/>
        </w:rPr>
      </w:pPr>
      <w:r w:rsidRPr="0013178E">
        <w:rPr>
          <w:sz w:val="22"/>
          <w:szCs w:val="22"/>
          <w:lang w:val="hr-HR"/>
        </w:rPr>
        <w:lastRenderedPageBreak/>
        <w:t xml:space="preserve">Parenteralne preparate treba neposredno prije primjene vizuelno pregledati na prisustvo vidljivih </w:t>
      </w:r>
      <w:r w:rsidR="004A661F" w:rsidRPr="0013178E">
        <w:rPr>
          <w:sz w:val="22"/>
          <w:szCs w:val="22"/>
          <w:lang w:val="hr-HR"/>
        </w:rPr>
        <w:t xml:space="preserve">stranih </w:t>
      </w:r>
      <w:r w:rsidRPr="0013178E">
        <w:rPr>
          <w:sz w:val="22"/>
          <w:szCs w:val="22"/>
          <w:lang w:val="hr-HR"/>
        </w:rPr>
        <w:t xml:space="preserve">čestica ili promjene boje rastvora. </w:t>
      </w:r>
      <w:r w:rsidR="00F72355" w:rsidRPr="0013178E">
        <w:rPr>
          <w:sz w:val="22"/>
          <w:szCs w:val="22"/>
          <w:lang w:val="hr-HR"/>
        </w:rPr>
        <w:t>Pripremljeni rastvor je bistar ili blago s</w:t>
      </w:r>
      <w:r w:rsidR="00640405" w:rsidRPr="0013178E">
        <w:rPr>
          <w:sz w:val="22"/>
          <w:szCs w:val="22"/>
          <w:lang w:val="hr-HR"/>
        </w:rPr>
        <w:t>v</w:t>
      </w:r>
      <w:r w:rsidR="001940B9" w:rsidRPr="0013178E">
        <w:rPr>
          <w:sz w:val="22"/>
          <w:szCs w:val="22"/>
          <w:lang w:val="hr-HR"/>
        </w:rPr>
        <w:t>j</w:t>
      </w:r>
      <w:r w:rsidR="00640405" w:rsidRPr="0013178E">
        <w:rPr>
          <w:sz w:val="22"/>
          <w:szCs w:val="22"/>
          <w:lang w:val="hr-HR"/>
        </w:rPr>
        <w:t>etlucav, bezbojan ili svijetlo</w:t>
      </w:r>
      <w:r w:rsidR="00F72355" w:rsidRPr="0013178E">
        <w:rPr>
          <w:sz w:val="22"/>
          <w:szCs w:val="22"/>
          <w:lang w:val="hr-HR"/>
        </w:rPr>
        <w:t xml:space="preserve">žut. Nemojte da koristite rastvor ako je zamućen ili ima talog. </w:t>
      </w:r>
    </w:p>
    <w:p w14:paraId="2622417B" w14:textId="77777777" w:rsidR="00F72355" w:rsidRPr="0013178E" w:rsidRDefault="00F72355" w:rsidP="001B5791">
      <w:pPr>
        <w:shd w:val="clear" w:color="auto" w:fill="FFFFFF"/>
        <w:tabs>
          <w:tab w:val="left" w:pos="0"/>
        </w:tabs>
        <w:jc w:val="both"/>
        <w:rPr>
          <w:sz w:val="22"/>
          <w:szCs w:val="22"/>
          <w:lang w:val="hr-HR"/>
        </w:rPr>
      </w:pPr>
    </w:p>
    <w:p w14:paraId="0B36D26B" w14:textId="77777777" w:rsidR="00BD2C14" w:rsidRPr="0013178E" w:rsidRDefault="00F72355" w:rsidP="001B5791">
      <w:pPr>
        <w:shd w:val="clear" w:color="auto" w:fill="FFFFFF"/>
        <w:tabs>
          <w:tab w:val="left" w:pos="0"/>
        </w:tabs>
        <w:jc w:val="both"/>
        <w:rPr>
          <w:sz w:val="22"/>
          <w:szCs w:val="22"/>
          <w:lang w:val="hr-HR"/>
        </w:rPr>
      </w:pPr>
      <w:r w:rsidRPr="0013178E">
        <w:rPr>
          <w:sz w:val="22"/>
          <w:szCs w:val="22"/>
          <w:lang w:val="hr-HR"/>
        </w:rPr>
        <w:t>O</w:t>
      </w:r>
      <w:r w:rsidR="00BD2C14" w:rsidRPr="0013178E">
        <w:rPr>
          <w:sz w:val="22"/>
          <w:szCs w:val="22"/>
          <w:lang w:val="hr-HR"/>
        </w:rPr>
        <w:t xml:space="preserve">statak neupotrebljenog lijeka </w:t>
      </w:r>
      <w:r w:rsidRPr="0013178E">
        <w:rPr>
          <w:sz w:val="22"/>
          <w:szCs w:val="22"/>
          <w:lang w:val="hr-HR"/>
        </w:rPr>
        <w:t xml:space="preserve">ili otpadni materijal </w:t>
      </w:r>
      <w:r w:rsidR="00BD2C14" w:rsidRPr="0013178E">
        <w:rPr>
          <w:sz w:val="22"/>
          <w:szCs w:val="22"/>
          <w:lang w:val="hr-HR"/>
        </w:rPr>
        <w:t>uništava se u skladu sa važećim propisima.</w:t>
      </w:r>
    </w:p>
    <w:p w14:paraId="51331854" w14:textId="77777777" w:rsidR="00CB0302" w:rsidRPr="0013178E" w:rsidRDefault="00CB0302" w:rsidP="00321713">
      <w:pPr>
        <w:widowControl/>
        <w:shd w:val="clear" w:color="auto" w:fill="FFFFFF"/>
        <w:tabs>
          <w:tab w:val="left" w:pos="3994"/>
        </w:tabs>
        <w:autoSpaceDE/>
        <w:jc w:val="both"/>
        <w:rPr>
          <w:rFonts w:eastAsia="Lucida Sans Unicode"/>
          <w:bCs/>
          <w:color w:val="FF0000"/>
          <w:kern w:val="1"/>
          <w:sz w:val="22"/>
          <w:szCs w:val="22"/>
          <w:lang w:val="hr-HR"/>
        </w:rPr>
      </w:pPr>
    </w:p>
    <w:p w14:paraId="303936F8" w14:textId="77777777" w:rsidR="002D3698" w:rsidRPr="0013178E" w:rsidRDefault="002D3698" w:rsidP="00321713">
      <w:pPr>
        <w:widowControl/>
        <w:shd w:val="clear" w:color="auto" w:fill="FFFFFF"/>
        <w:tabs>
          <w:tab w:val="left" w:pos="3994"/>
        </w:tabs>
        <w:autoSpaceDE/>
        <w:jc w:val="both"/>
        <w:rPr>
          <w:rFonts w:eastAsia="Lucida Sans Unicode"/>
          <w:bCs/>
          <w:color w:val="FF0000"/>
          <w:kern w:val="1"/>
          <w:sz w:val="22"/>
          <w:szCs w:val="22"/>
          <w:lang w:val="hr-HR"/>
        </w:rPr>
      </w:pPr>
    </w:p>
    <w:p w14:paraId="1DFE8384" w14:textId="77777777" w:rsidR="00CB0302" w:rsidRPr="0013178E" w:rsidRDefault="00CB0302" w:rsidP="00321713">
      <w:pPr>
        <w:widowControl/>
        <w:shd w:val="clear" w:color="auto" w:fill="FFFFFF"/>
        <w:tabs>
          <w:tab w:val="left" w:pos="381"/>
        </w:tabs>
        <w:autoSpaceDE/>
        <w:jc w:val="both"/>
        <w:rPr>
          <w:b/>
          <w:bCs/>
          <w:spacing w:val="-11"/>
          <w:kern w:val="1"/>
          <w:sz w:val="22"/>
          <w:szCs w:val="22"/>
          <w:lang w:val="hr-HR"/>
        </w:rPr>
      </w:pPr>
      <w:r w:rsidRPr="0013178E">
        <w:rPr>
          <w:rFonts w:eastAsia="Lucida Sans Unicode"/>
          <w:b/>
          <w:bCs/>
          <w:spacing w:val="-19"/>
          <w:kern w:val="1"/>
          <w:sz w:val="22"/>
          <w:szCs w:val="22"/>
          <w:lang w:val="hr-HR"/>
        </w:rPr>
        <w:t>7.</w:t>
      </w:r>
      <w:r w:rsidRPr="0013178E">
        <w:rPr>
          <w:rFonts w:eastAsia="Lucida Sans Unicode"/>
          <w:b/>
          <w:bCs/>
          <w:kern w:val="1"/>
          <w:sz w:val="22"/>
          <w:szCs w:val="22"/>
          <w:lang w:val="hr-HR"/>
        </w:rPr>
        <w:tab/>
        <w:t>NOSILAC DOZVOLE</w:t>
      </w:r>
    </w:p>
    <w:p w14:paraId="48081401" w14:textId="77777777" w:rsidR="002D3698" w:rsidRPr="0013178E" w:rsidRDefault="002D3698" w:rsidP="00321713">
      <w:pPr>
        <w:widowControl/>
        <w:shd w:val="clear" w:color="auto" w:fill="FFFFFF"/>
        <w:tabs>
          <w:tab w:val="left" w:pos="3994"/>
        </w:tabs>
        <w:autoSpaceDE/>
        <w:jc w:val="both"/>
        <w:rPr>
          <w:rFonts w:eastAsia="Lucida Sans Unicode"/>
          <w:bCs/>
          <w:kern w:val="1"/>
          <w:sz w:val="22"/>
          <w:szCs w:val="22"/>
          <w:lang w:val="hr-HR"/>
        </w:rPr>
      </w:pPr>
    </w:p>
    <w:p w14:paraId="78F434EA" w14:textId="77777777" w:rsidR="00C7051C" w:rsidRPr="0013178E" w:rsidRDefault="00C7051C" w:rsidP="00C7051C">
      <w:pPr>
        <w:widowControl/>
        <w:shd w:val="clear" w:color="auto" w:fill="FFFFFF"/>
        <w:tabs>
          <w:tab w:val="left" w:pos="3994"/>
        </w:tabs>
        <w:autoSpaceDE/>
        <w:autoSpaceDN w:val="0"/>
        <w:jc w:val="both"/>
        <w:rPr>
          <w:rFonts w:eastAsia="Lucida Sans Unicode"/>
          <w:bCs/>
          <w:kern w:val="2"/>
          <w:sz w:val="22"/>
          <w:szCs w:val="22"/>
          <w:lang w:val="hr-HR"/>
        </w:rPr>
      </w:pPr>
      <w:r w:rsidRPr="0013178E">
        <w:rPr>
          <w:rFonts w:eastAsia="Lucida Sans Unicode"/>
          <w:bCs/>
          <w:kern w:val="2"/>
          <w:sz w:val="22"/>
          <w:szCs w:val="22"/>
          <w:lang w:val="hr-HR"/>
        </w:rPr>
        <w:t>Evropa Lek Pharma d.o.o. Podgorica</w:t>
      </w:r>
    </w:p>
    <w:p w14:paraId="4B9EEAF2" w14:textId="77777777" w:rsidR="002D3698" w:rsidRPr="0013178E" w:rsidRDefault="00CB0302" w:rsidP="002D3698">
      <w:pPr>
        <w:widowControl/>
        <w:shd w:val="clear" w:color="auto" w:fill="FFFFFF"/>
        <w:tabs>
          <w:tab w:val="left" w:pos="3994"/>
        </w:tabs>
        <w:autoSpaceDE/>
        <w:jc w:val="both"/>
        <w:rPr>
          <w:rFonts w:eastAsia="Lucida Sans Unicode"/>
          <w:bCs/>
          <w:kern w:val="1"/>
          <w:sz w:val="22"/>
          <w:szCs w:val="22"/>
          <w:lang w:val="hr-HR"/>
        </w:rPr>
      </w:pPr>
      <w:r w:rsidRPr="0013178E">
        <w:rPr>
          <w:rFonts w:eastAsia="Lucida Sans Unicode"/>
          <w:bCs/>
          <w:kern w:val="1"/>
          <w:sz w:val="22"/>
          <w:szCs w:val="22"/>
          <w:lang w:val="hr-HR"/>
        </w:rPr>
        <w:t>Kritskog odreda 4/1, 81000 Podgorica</w:t>
      </w:r>
      <w:r w:rsidR="00E83661" w:rsidRPr="0013178E">
        <w:rPr>
          <w:rFonts w:eastAsia="Lucida Sans Unicode"/>
          <w:bCs/>
          <w:kern w:val="1"/>
          <w:sz w:val="22"/>
          <w:szCs w:val="22"/>
          <w:lang w:val="hr-HR"/>
        </w:rPr>
        <w:t>, Crna Gora</w:t>
      </w:r>
    </w:p>
    <w:p w14:paraId="2AA81C28" w14:textId="77777777" w:rsidR="002D3698" w:rsidRPr="0013178E" w:rsidRDefault="002D3698" w:rsidP="002D3698">
      <w:pPr>
        <w:widowControl/>
        <w:shd w:val="clear" w:color="auto" w:fill="FFFFFF"/>
        <w:tabs>
          <w:tab w:val="left" w:pos="3994"/>
        </w:tabs>
        <w:autoSpaceDE/>
        <w:jc w:val="both"/>
        <w:rPr>
          <w:rFonts w:eastAsia="Lucida Sans Unicode"/>
          <w:bCs/>
          <w:color w:val="FF0000"/>
          <w:kern w:val="1"/>
          <w:sz w:val="22"/>
          <w:szCs w:val="22"/>
          <w:lang w:val="hr-HR"/>
        </w:rPr>
      </w:pPr>
    </w:p>
    <w:p w14:paraId="0E4D06FF" w14:textId="77777777" w:rsidR="00576BD2" w:rsidRPr="0013178E" w:rsidRDefault="00576BD2" w:rsidP="002D3698">
      <w:pPr>
        <w:widowControl/>
        <w:shd w:val="clear" w:color="auto" w:fill="FFFFFF"/>
        <w:tabs>
          <w:tab w:val="left" w:pos="3994"/>
        </w:tabs>
        <w:autoSpaceDE/>
        <w:jc w:val="both"/>
        <w:rPr>
          <w:rFonts w:eastAsia="Lucida Sans Unicode"/>
          <w:bCs/>
          <w:color w:val="FF0000"/>
          <w:kern w:val="1"/>
          <w:sz w:val="22"/>
          <w:szCs w:val="22"/>
          <w:lang w:val="hr-HR"/>
        </w:rPr>
      </w:pPr>
    </w:p>
    <w:p w14:paraId="3C121DA8" w14:textId="77777777" w:rsidR="00CB0302" w:rsidRPr="0013178E" w:rsidRDefault="004953C1" w:rsidP="004953C1">
      <w:pPr>
        <w:widowControl/>
        <w:shd w:val="clear" w:color="auto" w:fill="FFFFFF"/>
        <w:tabs>
          <w:tab w:val="left" w:pos="426"/>
          <w:tab w:val="left" w:pos="3994"/>
        </w:tabs>
        <w:autoSpaceDE/>
        <w:jc w:val="both"/>
        <w:rPr>
          <w:rFonts w:eastAsia="Lucida Sans Unicode"/>
          <w:b/>
          <w:bCs/>
          <w:spacing w:val="-10"/>
          <w:kern w:val="1"/>
          <w:sz w:val="22"/>
          <w:szCs w:val="22"/>
          <w:lang w:val="hr-HR"/>
        </w:rPr>
      </w:pPr>
      <w:r w:rsidRPr="0013178E">
        <w:rPr>
          <w:rFonts w:eastAsia="Lucida Sans Unicode"/>
          <w:b/>
          <w:bCs/>
          <w:spacing w:val="-10"/>
          <w:kern w:val="1"/>
          <w:sz w:val="22"/>
          <w:szCs w:val="22"/>
          <w:lang w:val="hr-HR"/>
        </w:rPr>
        <w:t>8.</w:t>
      </w:r>
      <w:r w:rsidRPr="0013178E">
        <w:rPr>
          <w:rFonts w:eastAsia="Lucida Sans Unicode"/>
          <w:b/>
          <w:bCs/>
          <w:spacing w:val="-10"/>
          <w:kern w:val="1"/>
          <w:sz w:val="22"/>
          <w:szCs w:val="22"/>
          <w:lang w:val="hr-HR"/>
        </w:rPr>
        <w:tab/>
      </w:r>
      <w:r w:rsidR="00E83661" w:rsidRPr="0013178E">
        <w:rPr>
          <w:rFonts w:eastAsia="Lucida Sans Unicode"/>
          <w:b/>
          <w:bCs/>
          <w:spacing w:val="-10"/>
          <w:kern w:val="1"/>
          <w:sz w:val="22"/>
          <w:szCs w:val="22"/>
          <w:lang w:val="hr-HR"/>
        </w:rPr>
        <w:t>BROJ DOZVOLE ZA STAVLJANJE LIJEKA U PROMET</w:t>
      </w:r>
    </w:p>
    <w:p w14:paraId="1E0898A4" w14:textId="77777777" w:rsidR="004953C1" w:rsidRPr="0013178E" w:rsidRDefault="004953C1" w:rsidP="004953C1">
      <w:pPr>
        <w:widowControl/>
        <w:shd w:val="clear" w:color="auto" w:fill="FFFFFF"/>
        <w:tabs>
          <w:tab w:val="left" w:pos="426"/>
          <w:tab w:val="left" w:pos="3994"/>
        </w:tabs>
        <w:autoSpaceDE/>
        <w:jc w:val="both"/>
        <w:rPr>
          <w:rFonts w:eastAsia="Lucida Sans Unicode"/>
          <w:bCs/>
          <w:color w:val="FF0000"/>
          <w:spacing w:val="-10"/>
          <w:kern w:val="1"/>
          <w:sz w:val="22"/>
          <w:szCs w:val="22"/>
          <w:lang w:val="hr-HR"/>
        </w:rPr>
      </w:pPr>
    </w:p>
    <w:p w14:paraId="4AD4808D" w14:textId="6080917A" w:rsidR="00605ED5" w:rsidRPr="0013178E" w:rsidRDefault="00605ED5" w:rsidP="00605ED5">
      <w:pPr>
        <w:widowControl/>
        <w:shd w:val="clear" w:color="auto" w:fill="FFFFFF"/>
        <w:tabs>
          <w:tab w:val="left" w:pos="426"/>
          <w:tab w:val="left" w:pos="3994"/>
        </w:tabs>
        <w:autoSpaceDE/>
        <w:jc w:val="both"/>
        <w:rPr>
          <w:rFonts w:eastAsia="Lucida Sans Unicode"/>
          <w:bCs/>
          <w:kern w:val="1"/>
          <w:sz w:val="22"/>
          <w:szCs w:val="22"/>
          <w:lang w:val="hr-HR"/>
        </w:rPr>
      </w:pPr>
      <w:r w:rsidRPr="0013178E">
        <w:rPr>
          <w:rFonts w:eastAsia="Lucida Sans Unicode"/>
          <w:bCs/>
          <w:kern w:val="1"/>
          <w:sz w:val="22"/>
          <w:szCs w:val="22"/>
          <w:lang w:val="hr-HR"/>
        </w:rPr>
        <w:t>SOLU-MEDROL, prašak i rastvarač za rastvor za injekciju</w:t>
      </w:r>
      <w:r w:rsidR="00C148A2" w:rsidRPr="0013178E">
        <w:rPr>
          <w:rFonts w:eastAsia="Lucida Sans Unicode"/>
          <w:bCs/>
          <w:kern w:val="1"/>
          <w:sz w:val="22"/>
          <w:szCs w:val="22"/>
          <w:lang w:val="hr-HR"/>
        </w:rPr>
        <w:t>/infuziju</w:t>
      </w:r>
      <w:r w:rsidRPr="0013178E">
        <w:rPr>
          <w:rFonts w:eastAsia="Lucida Sans Unicode"/>
          <w:bCs/>
          <w:kern w:val="1"/>
          <w:sz w:val="22"/>
          <w:szCs w:val="22"/>
          <w:lang w:val="hr-HR"/>
        </w:rPr>
        <w:t>, 40mg/ml, 1 staklena dvodjelna bočica sa 40mg praška i 1ml rastvarača: 2030/16/348 - 2865</w:t>
      </w:r>
    </w:p>
    <w:p w14:paraId="34B58176" w14:textId="77777777" w:rsidR="001C49DE" w:rsidRDefault="001C49DE" w:rsidP="00605ED5">
      <w:pPr>
        <w:widowControl/>
        <w:shd w:val="clear" w:color="auto" w:fill="FFFFFF"/>
        <w:tabs>
          <w:tab w:val="left" w:pos="3994"/>
        </w:tabs>
        <w:autoSpaceDE/>
        <w:ind w:firstLine="11"/>
        <w:jc w:val="both"/>
        <w:rPr>
          <w:rFonts w:eastAsia="Lucida Sans Unicode"/>
          <w:bCs/>
          <w:kern w:val="1"/>
          <w:sz w:val="22"/>
          <w:szCs w:val="22"/>
          <w:lang w:val="hr-HR"/>
        </w:rPr>
      </w:pPr>
    </w:p>
    <w:p w14:paraId="55548B2C" w14:textId="439B37B9" w:rsidR="00605ED5" w:rsidRPr="0013178E" w:rsidRDefault="00605ED5" w:rsidP="00605ED5">
      <w:pPr>
        <w:widowControl/>
        <w:shd w:val="clear" w:color="auto" w:fill="FFFFFF"/>
        <w:tabs>
          <w:tab w:val="left" w:pos="3994"/>
        </w:tabs>
        <w:autoSpaceDE/>
        <w:ind w:firstLine="11"/>
        <w:jc w:val="both"/>
        <w:rPr>
          <w:rFonts w:eastAsia="Lucida Sans Unicode"/>
          <w:bCs/>
          <w:kern w:val="1"/>
          <w:sz w:val="22"/>
          <w:szCs w:val="22"/>
          <w:lang w:val="hr-HR"/>
        </w:rPr>
      </w:pPr>
      <w:r w:rsidRPr="0013178E">
        <w:rPr>
          <w:rFonts w:eastAsia="Lucida Sans Unicode"/>
          <w:bCs/>
          <w:kern w:val="1"/>
          <w:sz w:val="22"/>
          <w:szCs w:val="22"/>
          <w:lang w:val="hr-HR"/>
        </w:rPr>
        <w:t>SOLU-MEDROL, prašak i rastvarač za rastvor za injekciju</w:t>
      </w:r>
      <w:r w:rsidR="00C148A2" w:rsidRPr="0013178E">
        <w:rPr>
          <w:rFonts w:eastAsia="Lucida Sans Unicode"/>
          <w:bCs/>
          <w:kern w:val="1"/>
          <w:sz w:val="22"/>
          <w:szCs w:val="22"/>
          <w:lang w:val="hr-HR"/>
        </w:rPr>
        <w:t>/infuziju</w:t>
      </w:r>
      <w:r w:rsidRPr="0013178E">
        <w:rPr>
          <w:rFonts w:eastAsia="Lucida Sans Unicode"/>
          <w:bCs/>
          <w:kern w:val="1"/>
          <w:sz w:val="22"/>
          <w:szCs w:val="22"/>
          <w:lang w:val="hr-HR"/>
        </w:rPr>
        <w:t>, 125mg/2ml, 1 staklena dvodjelna bočica sa 125mg praška i 2ml rastvarača: 2030/16/349 - 2866</w:t>
      </w:r>
    </w:p>
    <w:p w14:paraId="6CCF9C1F" w14:textId="77777777" w:rsidR="001C49DE" w:rsidRDefault="001C49DE" w:rsidP="00605ED5">
      <w:pPr>
        <w:widowControl/>
        <w:shd w:val="clear" w:color="auto" w:fill="FFFFFF"/>
        <w:tabs>
          <w:tab w:val="left" w:pos="3994"/>
        </w:tabs>
        <w:autoSpaceDE/>
        <w:jc w:val="both"/>
        <w:rPr>
          <w:rFonts w:eastAsia="Lucida Sans Unicode"/>
          <w:bCs/>
          <w:kern w:val="1"/>
          <w:sz w:val="22"/>
          <w:szCs w:val="22"/>
          <w:lang w:val="hr-HR"/>
        </w:rPr>
      </w:pPr>
    </w:p>
    <w:p w14:paraId="276BEAAE" w14:textId="06ED7967" w:rsidR="00605ED5" w:rsidRPr="0013178E" w:rsidRDefault="00605ED5" w:rsidP="00605ED5">
      <w:pPr>
        <w:widowControl/>
        <w:shd w:val="clear" w:color="auto" w:fill="FFFFFF"/>
        <w:tabs>
          <w:tab w:val="left" w:pos="3994"/>
        </w:tabs>
        <w:autoSpaceDE/>
        <w:jc w:val="both"/>
        <w:rPr>
          <w:rFonts w:eastAsia="Lucida Sans Unicode"/>
          <w:bCs/>
          <w:kern w:val="1"/>
          <w:sz w:val="22"/>
          <w:szCs w:val="22"/>
          <w:lang w:val="hr-HR"/>
        </w:rPr>
      </w:pPr>
      <w:r w:rsidRPr="0013178E">
        <w:rPr>
          <w:rFonts w:eastAsia="Lucida Sans Unicode"/>
          <w:bCs/>
          <w:kern w:val="1"/>
          <w:sz w:val="22"/>
          <w:szCs w:val="22"/>
          <w:lang w:val="hr-HR"/>
        </w:rPr>
        <w:t>SOLU-MEDROL, prašak i rastvarač za rastvor za injekciju</w:t>
      </w:r>
      <w:r w:rsidR="00C148A2" w:rsidRPr="0013178E">
        <w:rPr>
          <w:rFonts w:eastAsia="Lucida Sans Unicode"/>
          <w:bCs/>
          <w:kern w:val="1"/>
          <w:sz w:val="22"/>
          <w:szCs w:val="22"/>
          <w:lang w:val="hr-HR"/>
        </w:rPr>
        <w:t>/infuziju</w:t>
      </w:r>
      <w:r w:rsidRPr="0013178E">
        <w:rPr>
          <w:rFonts w:eastAsia="Lucida Sans Unicode"/>
          <w:bCs/>
          <w:kern w:val="1"/>
          <w:sz w:val="22"/>
          <w:szCs w:val="22"/>
          <w:lang w:val="hr-HR"/>
        </w:rPr>
        <w:t>, 500mg, 1 staklena bočica sa 500mg praška i 1 staklena bočica s</w:t>
      </w:r>
      <w:r w:rsidR="00F00AA8">
        <w:rPr>
          <w:rFonts w:eastAsia="Lucida Sans Unicode"/>
          <w:bCs/>
          <w:kern w:val="1"/>
          <w:sz w:val="22"/>
          <w:szCs w:val="22"/>
          <w:lang w:val="hr-HR"/>
        </w:rPr>
        <w:t>a</w:t>
      </w:r>
      <w:r w:rsidRPr="0013178E">
        <w:rPr>
          <w:rFonts w:eastAsia="Lucida Sans Unicode"/>
          <w:bCs/>
          <w:kern w:val="1"/>
          <w:sz w:val="22"/>
          <w:szCs w:val="22"/>
          <w:lang w:val="hr-HR"/>
        </w:rPr>
        <w:t xml:space="preserve"> 7,8ml rastvarača: 2030/16/350 - 2867</w:t>
      </w:r>
    </w:p>
    <w:p w14:paraId="7216EAED" w14:textId="77777777" w:rsidR="004953C1" w:rsidRPr="0013178E" w:rsidRDefault="004953C1" w:rsidP="004953C1">
      <w:pPr>
        <w:widowControl/>
        <w:shd w:val="clear" w:color="auto" w:fill="FFFFFF"/>
        <w:tabs>
          <w:tab w:val="left" w:pos="426"/>
          <w:tab w:val="left" w:pos="3994"/>
        </w:tabs>
        <w:autoSpaceDE/>
        <w:jc w:val="both"/>
        <w:rPr>
          <w:rFonts w:eastAsia="Lucida Sans Unicode"/>
          <w:bCs/>
          <w:color w:val="FF0000"/>
          <w:spacing w:val="-10"/>
          <w:kern w:val="1"/>
          <w:sz w:val="22"/>
          <w:szCs w:val="22"/>
          <w:lang w:val="hr-HR"/>
        </w:rPr>
      </w:pPr>
    </w:p>
    <w:p w14:paraId="743F7E81" w14:textId="77777777" w:rsidR="004953C1" w:rsidRPr="0013178E" w:rsidRDefault="004953C1" w:rsidP="004953C1">
      <w:pPr>
        <w:widowControl/>
        <w:shd w:val="clear" w:color="auto" w:fill="FFFFFF"/>
        <w:tabs>
          <w:tab w:val="left" w:pos="426"/>
          <w:tab w:val="left" w:pos="3994"/>
        </w:tabs>
        <w:autoSpaceDE/>
        <w:jc w:val="both"/>
        <w:rPr>
          <w:rFonts w:eastAsia="Lucida Sans Unicode"/>
          <w:bCs/>
          <w:color w:val="FF0000"/>
          <w:spacing w:val="-10"/>
          <w:kern w:val="1"/>
          <w:sz w:val="22"/>
          <w:szCs w:val="22"/>
          <w:lang w:val="hr-HR"/>
        </w:rPr>
      </w:pPr>
    </w:p>
    <w:p w14:paraId="42E5172B" w14:textId="5C4F2192" w:rsidR="00CB0302" w:rsidRPr="0013178E" w:rsidRDefault="004953C1" w:rsidP="004953C1">
      <w:pPr>
        <w:widowControl/>
        <w:shd w:val="clear" w:color="auto" w:fill="FFFFFF"/>
        <w:tabs>
          <w:tab w:val="left" w:pos="426"/>
        </w:tabs>
        <w:autoSpaceDE/>
        <w:jc w:val="both"/>
        <w:rPr>
          <w:rFonts w:eastAsia="Lucida Sans Unicode"/>
          <w:b/>
          <w:bCs/>
          <w:spacing w:val="-10"/>
          <w:kern w:val="1"/>
          <w:sz w:val="22"/>
          <w:szCs w:val="22"/>
          <w:lang w:val="hr-HR"/>
        </w:rPr>
      </w:pPr>
      <w:r w:rsidRPr="0013178E">
        <w:rPr>
          <w:rFonts w:eastAsia="Lucida Sans Unicode"/>
          <w:b/>
          <w:bCs/>
          <w:spacing w:val="-10"/>
          <w:kern w:val="1"/>
          <w:sz w:val="22"/>
          <w:szCs w:val="22"/>
          <w:lang w:val="hr-HR"/>
        </w:rPr>
        <w:t>9.</w:t>
      </w:r>
      <w:r w:rsidRPr="0013178E">
        <w:rPr>
          <w:rFonts w:eastAsia="Lucida Sans Unicode"/>
          <w:b/>
          <w:bCs/>
          <w:spacing w:val="-10"/>
          <w:kern w:val="1"/>
          <w:sz w:val="22"/>
          <w:szCs w:val="22"/>
          <w:lang w:val="hr-HR"/>
        </w:rPr>
        <w:tab/>
      </w:r>
      <w:r w:rsidR="00E83661" w:rsidRPr="0013178E">
        <w:rPr>
          <w:rFonts w:eastAsia="Lucida Sans Unicode"/>
          <w:b/>
          <w:bCs/>
          <w:spacing w:val="-10"/>
          <w:kern w:val="1"/>
          <w:sz w:val="22"/>
          <w:szCs w:val="22"/>
          <w:lang w:val="hr-HR"/>
        </w:rPr>
        <w:t>DATUM PRVE DOZVOLE/</w:t>
      </w:r>
      <w:r w:rsidR="00CB0302" w:rsidRPr="0013178E">
        <w:rPr>
          <w:rFonts w:eastAsia="Lucida Sans Unicode"/>
          <w:b/>
          <w:bCs/>
          <w:spacing w:val="-10"/>
          <w:kern w:val="1"/>
          <w:sz w:val="22"/>
          <w:szCs w:val="22"/>
          <w:lang w:val="hr-HR"/>
        </w:rPr>
        <w:t>OBNOVE DOZVOLE</w:t>
      </w:r>
      <w:r w:rsidR="00E83661" w:rsidRPr="0013178E">
        <w:rPr>
          <w:rFonts w:eastAsia="Lucida Sans Unicode"/>
          <w:b/>
          <w:bCs/>
          <w:spacing w:val="-10"/>
          <w:kern w:val="1"/>
          <w:sz w:val="22"/>
          <w:szCs w:val="22"/>
          <w:lang w:val="hr-HR"/>
        </w:rPr>
        <w:t xml:space="preserve"> ZA STAVLJANJE LIJEKA U PROMET</w:t>
      </w:r>
    </w:p>
    <w:p w14:paraId="69B6B3A5" w14:textId="77777777" w:rsidR="004953C1" w:rsidRPr="0013178E" w:rsidRDefault="004953C1" w:rsidP="004953C1">
      <w:pPr>
        <w:widowControl/>
        <w:shd w:val="clear" w:color="auto" w:fill="FFFFFF"/>
        <w:tabs>
          <w:tab w:val="left" w:pos="426"/>
        </w:tabs>
        <w:autoSpaceDE/>
        <w:jc w:val="both"/>
        <w:rPr>
          <w:rFonts w:eastAsia="Lucida Sans Unicode"/>
          <w:bCs/>
          <w:color w:val="FF0000"/>
          <w:spacing w:val="-10"/>
          <w:kern w:val="1"/>
          <w:sz w:val="22"/>
          <w:szCs w:val="22"/>
          <w:lang w:val="hr-HR"/>
        </w:rPr>
      </w:pPr>
    </w:p>
    <w:p w14:paraId="2116B7C8" w14:textId="2A1F4182" w:rsidR="00605ED5" w:rsidRDefault="00605ED5" w:rsidP="00605ED5">
      <w:pPr>
        <w:widowControl/>
        <w:shd w:val="clear" w:color="auto" w:fill="FFFFFF"/>
        <w:tabs>
          <w:tab w:val="left" w:pos="426"/>
          <w:tab w:val="left" w:pos="3994"/>
        </w:tabs>
        <w:autoSpaceDE/>
        <w:jc w:val="both"/>
        <w:rPr>
          <w:rFonts w:eastAsia="Lucida Sans Unicode"/>
          <w:bCs/>
          <w:kern w:val="1"/>
          <w:sz w:val="22"/>
          <w:szCs w:val="22"/>
          <w:lang w:val="hr-HR"/>
        </w:rPr>
      </w:pPr>
      <w:r w:rsidRPr="0013178E">
        <w:rPr>
          <w:rFonts w:eastAsia="Lucida Sans Unicode"/>
          <w:bCs/>
          <w:kern w:val="1"/>
          <w:sz w:val="22"/>
          <w:szCs w:val="22"/>
          <w:lang w:val="hr-HR"/>
        </w:rPr>
        <w:t>SOLU-MEDROL, prašak i rastvarač za rastvor za injekciju</w:t>
      </w:r>
      <w:r w:rsidR="00510F0D" w:rsidRPr="0013178E">
        <w:rPr>
          <w:rFonts w:eastAsia="Lucida Sans Unicode"/>
          <w:bCs/>
          <w:kern w:val="1"/>
          <w:sz w:val="22"/>
          <w:szCs w:val="22"/>
          <w:lang w:val="hr-HR"/>
        </w:rPr>
        <w:t>/inf</w:t>
      </w:r>
      <w:r w:rsidR="00C148A2" w:rsidRPr="0013178E">
        <w:rPr>
          <w:rFonts w:eastAsia="Lucida Sans Unicode"/>
          <w:bCs/>
          <w:kern w:val="1"/>
          <w:sz w:val="22"/>
          <w:szCs w:val="22"/>
          <w:lang w:val="hr-HR"/>
        </w:rPr>
        <w:t>z</w:t>
      </w:r>
      <w:r w:rsidR="00510F0D" w:rsidRPr="0013178E">
        <w:rPr>
          <w:rFonts w:eastAsia="Lucida Sans Unicode"/>
          <w:bCs/>
          <w:kern w:val="1"/>
          <w:sz w:val="22"/>
          <w:szCs w:val="22"/>
          <w:lang w:val="hr-HR"/>
        </w:rPr>
        <w:t>iju</w:t>
      </w:r>
      <w:r w:rsidRPr="0013178E">
        <w:rPr>
          <w:rFonts w:eastAsia="Lucida Sans Unicode"/>
          <w:bCs/>
          <w:kern w:val="1"/>
          <w:sz w:val="22"/>
          <w:szCs w:val="22"/>
          <w:lang w:val="hr-HR"/>
        </w:rPr>
        <w:t>, 40mg/ml, 1 staklena dvodjelna bočica sa 40mg praška i 1ml rastvarača: 23.06.2016. godine</w:t>
      </w:r>
    </w:p>
    <w:p w14:paraId="0C20DDB0" w14:textId="77777777" w:rsidR="001C49DE" w:rsidRPr="0013178E" w:rsidRDefault="001C49DE" w:rsidP="00605ED5">
      <w:pPr>
        <w:widowControl/>
        <w:shd w:val="clear" w:color="auto" w:fill="FFFFFF"/>
        <w:tabs>
          <w:tab w:val="left" w:pos="426"/>
          <w:tab w:val="left" w:pos="3994"/>
        </w:tabs>
        <w:autoSpaceDE/>
        <w:jc w:val="both"/>
        <w:rPr>
          <w:rFonts w:eastAsia="Lucida Sans Unicode"/>
          <w:bCs/>
          <w:kern w:val="1"/>
          <w:sz w:val="22"/>
          <w:szCs w:val="22"/>
          <w:lang w:val="hr-HR"/>
        </w:rPr>
      </w:pPr>
    </w:p>
    <w:p w14:paraId="7F952A47" w14:textId="4CE05DAA" w:rsidR="00605ED5" w:rsidRDefault="00605ED5" w:rsidP="00605ED5">
      <w:pPr>
        <w:widowControl/>
        <w:shd w:val="clear" w:color="auto" w:fill="FFFFFF"/>
        <w:tabs>
          <w:tab w:val="left" w:pos="3994"/>
        </w:tabs>
        <w:autoSpaceDE/>
        <w:ind w:firstLine="11"/>
        <w:jc w:val="both"/>
        <w:rPr>
          <w:rFonts w:eastAsia="Lucida Sans Unicode"/>
          <w:bCs/>
          <w:kern w:val="1"/>
          <w:sz w:val="22"/>
          <w:szCs w:val="22"/>
          <w:lang w:val="hr-HR"/>
        </w:rPr>
      </w:pPr>
      <w:r w:rsidRPr="0013178E">
        <w:rPr>
          <w:rFonts w:eastAsia="Lucida Sans Unicode"/>
          <w:bCs/>
          <w:kern w:val="1"/>
          <w:sz w:val="22"/>
          <w:szCs w:val="22"/>
          <w:lang w:val="hr-HR"/>
        </w:rPr>
        <w:t>SOLU-MEDROL, prašak i rastvarač za rastvor za injekciju</w:t>
      </w:r>
      <w:r w:rsidR="00C148A2" w:rsidRPr="0013178E">
        <w:rPr>
          <w:rFonts w:eastAsia="Lucida Sans Unicode"/>
          <w:bCs/>
          <w:kern w:val="1"/>
          <w:sz w:val="22"/>
          <w:szCs w:val="22"/>
          <w:lang w:val="hr-HR"/>
        </w:rPr>
        <w:t>/infuziju</w:t>
      </w:r>
      <w:r w:rsidRPr="0013178E">
        <w:rPr>
          <w:rFonts w:eastAsia="Lucida Sans Unicode"/>
          <w:bCs/>
          <w:kern w:val="1"/>
          <w:sz w:val="22"/>
          <w:szCs w:val="22"/>
          <w:lang w:val="hr-HR"/>
        </w:rPr>
        <w:t>, 125mg/2ml, 1 staklena dvodjelna bočica sa 125mg praška i 2ml rastvarača: 23.06.2016. godine</w:t>
      </w:r>
    </w:p>
    <w:p w14:paraId="56762523" w14:textId="77777777" w:rsidR="001C49DE" w:rsidRPr="0013178E" w:rsidRDefault="001C49DE" w:rsidP="00605ED5">
      <w:pPr>
        <w:widowControl/>
        <w:shd w:val="clear" w:color="auto" w:fill="FFFFFF"/>
        <w:tabs>
          <w:tab w:val="left" w:pos="3994"/>
        </w:tabs>
        <w:autoSpaceDE/>
        <w:ind w:firstLine="11"/>
        <w:jc w:val="both"/>
        <w:rPr>
          <w:rFonts w:eastAsia="Lucida Sans Unicode"/>
          <w:bCs/>
          <w:kern w:val="1"/>
          <w:sz w:val="22"/>
          <w:szCs w:val="22"/>
          <w:lang w:val="hr-HR"/>
        </w:rPr>
      </w:pPr>
    </w:p>
    <w:p w14:paraId="1883CF98" w14:textId="104F6069" w:rsidR="00605ED5" w:rsidRPr="0013178E" w:rsidRDefault="00605ED5" w:rsidP="00605ED5">
      <w:pPr>
        <w:widowControl/>
        <w:shd w:val="clear" w:color="auto" w:fill="FFFFFF"/>
        <w:tabs>
          <w:tab w:val="left" w:pos="3994"/>
        </w:tabs>
        <w:autoSpaceDE/>
        <w:jc w:val="both"/>
        <w:rPr>
          <w:rFonts w:eastAsia="Lucida Sans Unicode"/>
          <w:bCs/>
          <w:kern w:val="1"/>
          <w:sz w:val="22"/>
          <w:szCs w:val="22"/>
          <w:lang w:val="hr-HR"/>
        </w:rPr>
      </w:pPr>
      <w:r w:rsidRPr="0013178E">
        <w:rPr>
          <w:rFonts w:eastAsia="Lucida Sans Unicode"/>
          <w:bCs/>
          <w:kern w:val="1"/>
          <w:sz w:val="22"/>
          <w:szCs w:val="22"/>
          <w:lang w:val="hr-HR"/>
        </w:rPr>
        <w:t>SOLU-MEDROL, prašak i rastvarač za rastvor za injekciju</w:t>
      </w:r>
      <w:r w:rsidR="00C148A2" w:rsidRPr="0013178E">
        <w:rPr>
          <w:rFonts w:eastAsia="Lucida Sans Unicode"/>
          <w:bCs/>
          <w:kern w:val="1"/>
          <w:sz w:val="22"/>
          <w:szCs w:val="22"/>
          <w:lang w:val="hr-HR"/>
        </w:rPr>
        <w:t>/infuziju</w:t>
      </w:r>
      <w:r w:rsidRPr="0013178E">
        <w:rPr>
          <w:rFonts w:eastAsia="Lucida Sans Unicode"/>
          <w:bCs/>
          <w:kern w:val="1"/>
          <w:sz w:val="22"/>
          <w:szCs w:val="22"/>
          <w:lang w:val="hr-HR"/>
        </w:rPr>
        <w:t>, 500mg, 1 staklena bočica sa 500mg praška i 1 staklena bočica s</w:t>
      </w:r>
      <w:r w:rsidR="00F00AA8">
        <w:rPr>
          <w:rFonts w:eastAsia="Lucida Sans Unicode"/>
          <w:bCs/>
          <w:kern w:val="1"/>
          <w:sz w:val="22"/>
          <w:szCs w:val="22"/>
          <w:lang w:val="hr-HR"/>
        </w:rPr>
        <w:t>a</w:t>
      </w:r>
      <w:r w:rsidRPr="0013178E">
        <w:rPr>
          <w:rFonts w:eastAsia="Lucida Sans Unicode"/>
          <w:bCs/>
          <w:kern w:val="1"/>
          <w:sz w:val="22"/>
          <w:szCs w:val="22"/>
          <w:lang w:val="hr-HR"/>
        </w:rPr>
        <w:t xml:space="preserve"> 7,8ml rastvarača: 23.06.2016. godine</w:t>
      </w:r>
    </w:p>
    <w:p w14:paraId="13BFBFFB" w14:textId="77777777" w:rsidR="004953C1" w:rsidRPr="0013178E" w:rsidRDefault="004953C1" w:rsidP="004953C1">
      <w:pPr>
        <w:widowControl/>
        <w:shd w:val="clear" w:color="auto" w:fill="FFFFFF"/>
        <w:tabs>
          <w:tab w:val="left" w:pos="426"/>
        </w:tabs>
        <w:autoSpaceDE/>
        <w:jc w:val="both"/>
        <w:rPr>
          <w:rFonts w:eastAsia="Lucida Sans Unicode"/>
          <w:bCs/>
          <w:color w:val="FF0000"/>
          <w:spacing w:val="-10"/>
          <w:kern w:val="1"/>
          <w:sz w:val="22"/>
          <w:szCs w:val="22"/>
          <w:lang w:val="hr-HR"/>
        </w:rPr>
      </w:pPr>
    </w:p>
    <w:p w14:paraId="3E34B7C8" w14:textId="77777777" w:rsidR="004953C1" w:rsidRPr="0013178E" w:rsidRDefault="004953C1" w:rsidP="004953C1">
      <w:pPr>
        <w:widowControl/>
        <w:shd w:val="clear" w:color="auto" w:fill="FFFFFF"/>
        <w:tabs>
          <w:tab w:val="left" w:pos="426"/>
        </w:tabs>
        <w:autoSpaceDE/>
        <w:jc w:val="both"/>
        <w:rPr>
          <w:rFonts w:eastAsia="Lucida Sans Unicode"/>
          <w:bCs/>
          <w:color w:val="FF0000"/>
          <w:spacing w:val="-10"/>
          <w:kern w:val="1"/>
          <w:sz w:val="22"/>
          <w:szCs w:val="22"/>
          <w:lang w:val="hr-HR"/>
        </w:rPr>
      </w:pPr>
    </w:p>
    <w:p w14:paraId="077B44F5" w14:textId="77777777" w:rsidR="008E0C6D" w:rsidRPr="0013178E" w:rsidRDefault="004953C1" w:rsidP="004953C1">
      <w:pPr>
        <w:widowControl/>
        <w:shd w:val="clear" w:color="auto" w:fill="FFFFFF"/>
        <w:tabs>
          <w:tab w:val="left" w:pos="426"/>
        </w:tabs>
        <w:autoSpaceDE/>
        <w:jc w:val="both"/>
        <w:rPr>
          <w:rFonts w:eastAsia="Lucida Sans Unicode"/>
          <w:b/>
          <w:bCs/>
          <w:spacing w:val="-10"/>
          <w:kern w:val="1"/>
          <w:sz w:val="22"/>
          <w:szCs w:val="22"/>
          <w:lang w:val="hr-HR"/>
        </w:rPr>
      </w:pPr>
      <w:r w:rsidRPr="0013178E">
        <w:rPr>
          <w:b/>
          <w:bCs/>
          <w:spacing w:val="-10"/>
          <w:sz w:val="22"/>
          <w:szCs w:val="22"/>
          <w:lang w:val="hr-HR"/>
        </w:rPr>
        <w:t>10.</w:t>
      </w:r>
      <w:r w:rsidRPr="0013178E">
        <w:rPr>
          <w:b/>
          <w:bCs/>
          <w:spacing w:val="-10"/>
          <w:sz w:val="22"/>
          <w:szCs w:val="22"/>
          <w:lang w:val="hr-HR"/>
        </w:rPr>
        <w:tab/>
      </w:r>
      <w:r w:rsidR="008E0C6D" w:rsidRPr="0013178E">
        <w:rPr>
          <w:b/>
          <w:bCs/>
          <w:spacing w:val="-10"/>
          <w:sz w:val="22"/>
          <w:szCs w:val="22"/>
          <w:lang w:val="hr-HR"/>
        </w:rPr>
        <w:t xml:space="preserve">DATUM REVIZIJE TEKSTA </w:t>
      </w:r>
    </w:p>
    <w:p w14:paraId="1F11218E" w14:textId="77777777" w:rsidR="00B400D8" w:rsidRPr="0013178E" w:rsidRDefault="00B400D8" w:rsidP="00321713">
      <w:pPr>
        <w:tabs>
          <w:tab w:val="left" w:pos="0"/>
        </w:tabs>
        <w:jc w:val="both"/>
        <w:rPr>
          <w:color w:val="FF0000"/>
          <w:sz w:val="22"/>
          <w:szCs w:val="22"/>
          <w:lang w:val="hr-HR"/>
        </w:rPr>
      </w:pPr>
    </w:p>
    <w:p w14:paraId="6F41010D" w14:textId="1A0AFCDC" w:rsidR="00C5140F" w:rsidRPr="0013178E" w:rsidRDefault="00E73FD5" w:rsidP="00321713">
      <w:pPr>
        <w:tabs>
          <w:tab w:val="left" w:pos="0"/>
        </w:tabs>
        <w:jc w:val="both"/>
        <w:rPr>
          <w:sz w:val="22"/>
          <w:szCs w:val="22"/>
          <w:lang w:val="hr-HR"/>
        </w:rPr>
      </w:pPr>
      <w:r>
        <w:rPr>
          <w:sz w:val="22"/>
          <w:szCs w:val="22"/>
          <w:lang w:val="hr-HR"/>
        </w:rPr>
        <w:t>Jun</w:t>
      </w:r>
      <w:r w:rsidR="001C49DE">
        <w:rPr>
          <w:sz w:val="22"/>
          <w:szCs w:val="22"/>
          <w:lang w:val="hr-HR"/>
        </w:rPr>
        <w:t>, 2025. godine</w:t>
      </w:r>
    </w:p>
    <w:sectPr w:rsidR="00C5140F" w:rsidRPr="0013178E" w:rsidSect="007967E3">
      <w:headerReference w:type="default" r:id="rId12"/>
      <w:footerReference w:type="default" r:id="rId13"/>
      <w:type w:val="continuous"/>
      <w:pgSz w:w="11905" w:h="16837"/>
      <w:pgMar w:top="360" w:right="1132" w:bottom="36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98B91F" w14:textId="77777777" w:rsidR="00056DB7" w:rsidRDefault="00056DB7">
      <w:r>
        <w:separator/>
      </w:r>
    </w:p>
  </w:endnote>
  <w:endnote w:type="continuationSeparator" w:id="0">
    <w:p w14:paraId="66060CA1" w14:textId="77777777" w:rsidR="00056DB7" w:rsidRDefault="00056DB7">
      <w:r>
        <w:continuationSeparator/>
      </w:r>
    </w:p>
  </w:endnote>
  <w:endnote w:type="continuationNotice" w:id="1">
    <w:p w14:paraId="7FC026D0" w14:textId="77777777" w:rsidR="00056DB7" w:rsidRDefault="00056D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7" w:usb1="08070000" w:usb2="00000010" w:usb3="00000000" w:csb0="00020003"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A94B1" w14:textId="77777777" w:rsidR="00E444E3" w:rsidRPr="00916368" w:rsidRDefault="00E444E3" w:rsidP="00916368">
    <w:pPr>
      <w:widowControl/>
      <w:tabs>
        <w:tab w:val="center" w:pos="4320"/>
        <w:tab w:val="right" w:pos="8640"/>
      </w:tabs>
      <w:suppressAutoHyphens w:val="0"/>
      <w:autoSpaceDE/>
      <w:jc w:val="center"/>
      <w:rPr>
        <w:sz w:val="16"/>
        <w:szCs w:val="18"/>
        <w:lang w:val="sr-Latn-ME" w:eastAsia="en-US"/>
      </w:rPr>
    </w:pPr>
  </w:p>
  <w:p w14:paraId="56A6F130" w14:textId="77777777" w:rsidR="00E444E3" w:rsidRPr="00916368" w:rsidRDefault="00E444E3" w:rsidP="00916368">
    <w:pPr>
      <w:widowControl/>
      <w:tabs>
        <w:tab w:val="center" w:pos="4320"/>
        <w:tab w:val="right" w:pos="8640"/>
      </w:tabs>
      <w:suppressAutoHyphens w:val="0"/>
      <w:autoSpaceDE/>
      <w:rPr>
        <w:lang w:val="sr-Latn-ME" w:eastAsia="en-US"/>
      </w:rPr>
    </w:pPr>
  </w:p>
  <w:p w14:paraId="5D7FA2B1" w14:textId="2C4FE416" w:rsidR="00E444E3" w:rsidRPr="00916368" w:rsidRDefault="00E444E3" w:rsidP="00916368">
    <w:pPr>
      <w:widowControl/>
      <w:tabs>
        <w:tab w:val="center" w:pos="4320"/>
        <w:tab w:val="right" w:pos="8640"/>
      </w:tabs>
      <w:suppressAutoHyphens w:val="0"/>
      <w:autoSpaceDE/>
      <w:jc w:val="center"/>
      <w:rPr>
        <w:sz w:val="22"/>
        <w:szCs w:val="22"/>
        <w:lang w:val="sr-Latn-ME" w:eastAsia="en-US"/>
      </w:rPr>
    </w:pPr>
    <w:r w:rsidRPr="00916368">
      <w:rPr>
        <w:lang w:val="sr-Latn-ME" w:eastAsia="en-US"/>
      </w:rPr>
      <w:fldChar w:fldCharType="begin"/>
    </w:r>
    <w:r w:rsidRPr="00916368">
      <w:rPr>
        <w:lang w:val="sr-Latn-ME" w:eastAsia="en-US"/>
      </w:rPr>
      <w:instrText xml:space="preserve"> PAGE </w:instrText>
    </w:r>
    <w:r w:rsidRPr="00916368">
      <w:rPr>
        <w:lang w:val="sr-Latn-ME" w:eastAsia="en-US"/>
      </w:rPr>
      <w:fldChar w:fldCharType="separate"/>
    </w:r>
    <w:r w:rsidR="00F00AA8">
      <w:rPr>
        <w:noProof/>
        <w:lang w:val="sr-Latn-ME" w:eastAsia="en-US"/>
      </w:rPr>
      <w:t>20</w:t>
    </w:r>
    <w:r w:rsidRPr="00916368">
      <w:rPr>
        <w:lang w:val="sr-Latn-ME" w:eastAsia="en-US"/>
      </w:rPr>
      <w:fldChar w:fldCharType="end"/>
    </w:r>
    <w:r w:rsidRPr="00916368">
      <w:rPr>
        <w:lang w:val="sr-Latn-ME" w:eastAsia="en-US"/>
      </w:rPr>
      <w:t xml:space="preserve"> / </w:t>
    </w:r>
    <w:r w:rsidRPr="00916368">
      <w:rPr>
        <w:lang w:val="sr-Latn-ME" w:eastAsia="en-US"/>
      </w:rPr>
      <w:fldChar w:fldCharType="begin"/>
    </w:r>
    <w:r w:rsidRPr="00916368">
      <w:rPr>
        <w:lang w:val="sr-Latn-ME" w:eastAsia="en-US"/>
      </w:rPr>
      <w:instrText xml:space="preserve"> NUMPAGES </w:instrText>
    </w:r>
    <w:r w:rsidRPr="00916368">
      <w:rPr>
        <w:lang w:val="sr-Latn-ME" w:eastAsia="en-US"/>
      </w:rPr>
      <w:fldChar w:fldCharType="separate"/>
    </w:r>
    <w:r w:rsidR="00F00AA8">
      <w:rPr>
        <w:noProof/>
        <w:lang w:val="sr-Latn-ME" w:eastAsia="en-US"/>
      </w:rPr>
      <w:t>20</w:t>
    </w:r>
    <w:r w:rsidRPr="00916368">
      <w:rPr>
        <w:lang w:val="sr-Latn-ME" w:eastAsia="en-US"/>
      </w:rPr>
      <w:fldChar w:fldCharType="end"/>
    </w:r>
  </w:p>
  <w:p w14:paraId="049146F5" w14:textId="77777777" w:rsidR="00E444E3" w:rsidRPr="009948D5" w:rsidRDefault="00E444E3" w:rsidP="009948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3C43F8" w14:textId="77777777" w:rsidR="00056DB7" w:rsidRDefault="00056DB7">
      <w:r>
        <w:separator/>
      </w:r>
    </w:p>
  </w:footnote>
  <w:footnote w:type="continuationSeparator" w:id="0">
    <w:p w14:paraId="1B1EF745" w14:textId="77777777" w:rsidR="00056DB7" w:rsidRDefault="00056DB7">
      <w:r>
        <w:continuationSeparator/>
      </w:r>
    </w:p>
  </w:footnote>
  <w:footnote w:type="continuationNotice" w:id="1">
    <w:p w14:paraId="52BD8818" w14:textId="77777777" w:rsidR="00056DB7" w:rsidRDefault="00056DB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82762" w14:textId="77777777" w:rsidR="00E444E3" w:rsidRPr="009948D5" w:rsidRDefault="00E444E3" w:rsidP="009948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0"/>
        </w:tabs>
        <w:ind w:left="0" w:firstLine="0"/>
      </w:pPr>
      <w:rPr>
        <w:rFonts w:ascii="Arial" w:hAnsi="Arial" w:cs="Arial"/>
      </w:rPr>
    </w:lvl>
  </w:abstractNum>
  <w:abstractNum w:abstractNumId="1" w15:restartNumberingAfterBreak="0">
    <w:nsid w:val="00000002"/>
    <w:multiLevelType w:val="singleLevel"/>
    <w:tmpl w:val="00000002"/>
    <w:name w:val="WW8Num2"/>
    <w:lvl w:ilvl="0">
      <w:start w:val="4"/>
      <w:numFmt w:val="decimal"/>
      <w:lvlText w:val="%1."/>
      <w:lvlJc w:val="left"/>
      <w:pPr>
        <w:tabs>
          <w:tab w:val="num" w:pos="0"/>
        </w:tabs>
        <w:ind w:left="0" w:firstLine="0"/>
      </w:pPr>
      <w:rPr>
        <w:rFonts w:ascii="Arial" w:hAnsi="Arial" w:cs="Arial"/>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0" w:firstLine="0"/>
      </w:pPr>
      <w:rPr>
        <w:rFonts w:ascii="Arial" w:hAnsi="Arial" w:cs="Arial"/>
      </w:rPr>
    </w:lvl>
  </w:abstractNum>
  <w:abstractNum w:abstractNumId="3" w15:restartNumberingAfterBreak="0">
    <w:nsid w:val="00000004"/>
    <w:multiLevelType w:val="singleLevel"/>
    <w:tmpl w:val="00000004"/>
    <w:name w:val="WW8Num4"/>
    <w:lvl w:ilvl="0">
      <w:start w:val="1"/>
      <w:numFmt w:val="decimal"/>
      <w:lvlText w:val="%1."/>
      <w:lvlJc w:val="left"/>
      <w:pPr>
        <w:tabs>
          <w:tab w:val="num" w:pos="1135"/>
        </w:tabs>
        <w:ind w:left="1135" w:firstLine="0"/>
      </w:pPr>
      <w:rPr>
        <w:rFonts w:ascii="Arial" w:hAnsi="Arial" w:cs="Arial"/>
      </w:rPr>
    </w:lvl>
  </w:abstractNum>
  <w:abstractNum w:abstractNumId="4" w15:restartNumberingAfterBreak="0">
    <w:nsid w:val="00000005"/>
    <w:multiLevelType w:val="singleLevel"/>
    <w:tmpl w:val="00000005"/>
    <w:name w:val="WW8Num5"/>
    <w:lvl w:ilvl="0">
      <w:start w:val="10"/>
      <w:numFmt w:val="decimal"/>
      <w:lvlText w:val="%1."/>
      <w:lvlJc w:val="left"/>
      <w:pPr>
        <w:tabs>
          <w:tab w:val="num" w:pos="0"/>
        </w:tabs>
        <w:ind w:left="0" w:firstLine="0"/>
      </w:pPr>
      <w:rPr>
        <w:rFonts w:ascii="Arial" w:hAnsi="Arial" w:cs="Arial"/>
      </w:r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0" w:firstLine="0"/>
      </w:pPr>
      <w:rPr>
        <w:rFonts w:ascii="Arial" w:hAnsi="Arial" w:cs="Arial"/>
      </w:rPr>
    </w:lvl>
  </w:abstractNum>
  <w:abstractNum w:abstractNumId="6" w15:restartNumberingAfterBreak="0">
    <w:nsid w:val="00000007"/>
    <w:multiLevelType w:val="singleLevel"/>
    <w:tmpl w:val="00000007"/>
    <w:name w:val="WW8Num7"/>
    <w:lvl w:ilvl="0">
      <w:start w:val="12"/>
      <w:numFmt w:val="decimal"/>
      <w:lvlText w:val="%1."/>
      <w:lvlJc w:val="left"/>
      <w:pPr>
        <w:tabs>
          <w:tab w:val="num" w:pos="0"/>
        </w:tabs>
        <w:ind w:left="0" w:firstLine="0"/>
      </w:pPr>
      <w:rPr>
        <w:rFonts w:ascii="Arial" w:hAnsi="Arial" w:cs="Arial"/>
      </w:rPr>
    </w:lvl>
  </w:abstractNum>
  <w:abstractNum w:abstractNumId="7" w15:restartNumberingAfterBreak="0">
    <w:nsid w:val="00000008"/>
    <w:multiLevelType w:val="multilevel"/>
    <w:tmpl w:val="00000008"/>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8" w15:restartNumberingAfterBreak="0">
    <w:nsid w:val="00365301"/>
    <w:multiLevelType w:val="hybridMultilevel"/>
    <w:tmpl w:val="283A94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662CB1"/>
    <w:multiLevelType w:val="hybridMultilevel"/>
    <w:tmpl w:val="8194AE8C"/>
    <w:lvl w:ilvl="0" w:tplc="041A0011">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 w15:restartNumberingAfterBreak="0">
    <w:nsid w:val="0CFD6E88"/>
    <w:multiLevelType w:val="hybridMultilevel"/>
    <w:tmpl w:val="3FDC5106"/>
    <w:lvl w:ilvl="0" w:tplc="041A0011">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 w15:restartNumberingAfterBreak="0">
    <w:nsid w:val="11260E49"/>
    <w:multiLevelType w:val="hybridMultilevel"/>
    <w:tmpl w:val="79680058"/>
    <w:lvl w:ilvl="0" w:tplc="E654B792">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32B1879"/>
    <w:multiLevelType w:val="hybridMultilevel"/>
    <w:tmpl w:val="2670FEC8"/>
    <w:lvl w:ilvl="0" w:tplc="07525124">
      <w:start w:val="4"/>
      <w:numFmt w:val="bullet"/>
      <w:lvlText w:val="-"/>
      <w:lvlJc w:val="left"/>
      <w:pPr>
        <w:ind w:left="720" w:hanging="360"/>
      </w:pPr>
      <w:rPr>
        <w:rFonts w:ascii="TimesNewRomanPSMT" w:eastAsia="Times New Roman" w:hAnsi="TimesNewRomanPSMT" w:cs="TimesNewRomanPSMT"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7F1DB4"/>
    <w:multiLevelType w:val="hybridMultilevel"/>
    <w:tmpl w:val="2AE282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AE0EA9"/>
    <w:multiLevelType w:val="hybridMultilevel"/>
    <w:tmpl w:val="306649EC"/>
    <w:lvl w:ilvl="0" w:tplc="07525124">
      <w:start w:val="4"/>
      <w:numFmt w:val="bullet"/>
      <w:lvlText w:val="-"/>
      <w:lvlJc w:val="left"/>
      <w:pPr>
        <w:ind w:left="720" w:hanging="360"/>
      </w:pPr>
      <w:rPr>
        <w:rFonts w:ascii="TimesNewRomanPSMT" w:eastAsia="Times New Roman" w:hAnsi="TimesNewRomanPSMT" w:cs="TimesNewRomanPSMT"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BB6135"/>
    <w:multiLevelType w:val="hybridMultilevel"/>
    <w:tmpl w:val="283A94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9D235D4"/>
    <w:multiLevelType w:val="hybridMultilevel"/>
    <w:tmpl w:val="9E64F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09751B"/>
    <w:multiLevelType w:val="hybridMultilevel"/>
    <w:tmpl w:val="624EBE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1D06C83"/>
    <w:multiLevelType w:val="singleLevel"/>
    <w:tmpl w:val="73866900"/>
    <w:lvl w:ilvl="0">
      <w:start w:val="3"/>
      <w:numFmt w:val="decimal"/>
      <w:lvlText w:val="5.%1. "/>
      <w:legacy w:legacy="1" w:legacySpace="0" w:legacyIndent="283"/>
      <w:lvlJc w:val="left"/>
      <w:pPr>
        <w:ind w:left="283" w:hanging="283"/>
      </w:pPr>
      <w:rPr>
        <w:b/>
        <w:i w:val="0"/>
        <w:sz w:val="22"/>
      </w:rPr>
    </w:lvl>
  </w:abstractNum>
  <w:abstractNum w:abstractNumId="19" w15:restartNumberingAfterBreak="0">
    <w:nsid w:val="23314621"/>
    <w:multiLevelType w:val="hybridMultilevel"/>
    <w:tmpl w:val="283A94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4A21D07"/>
    <w:multiLevelType w:val="multilevel"/>
    <w:tmpl w:val="13BECD70"/>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269134F7"/>
    <w:multiLevelType w:val="singleLevel"/>
    <w:tmpl w:val="5F361CF2"/>
    <w:lvl w:ilvl="0">
      <w:start w:val="1"/>
      <w:numFmt w:val="decimal"/>
      <w:lvlText w:val="5.%1. "/>
      <w:legacy w:legacy="1" w:legacySpace="0" w:legacyIndent="283"/>
      <w:lvlJc w:val="left"/>
      <w:pPr>
        <w:ind w:left="283" w:hanging="283"/>
      </w:pPr>
      <w:rPr>
        <w:b/>
        <w:i w:val="0"/>
        <w:sz w:val="22"/>
      </w:rPr>
    </w:lvl>
  </w:abstractNum>
  <w:abstractNum w:abstractNumId="22" w15:restartNumberingAfterBreak="0">
    <w:nsid w:val="284C37B8"/>
    <w:multiLevelType w:val="hybridMultilevel"/>
    <w:tmpl w:val="A82C1AB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38B360EA"/>
    <w:multiLevelType w:val="hybridMultilevel"/>
    <w:tmpl w:val="888E4ED6"/>
    <w:lvl w:ilvl="0" w:tplc="041A0011">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4" w15:restartNumberingAfterBreak="0">
    <w:nsid w:val="3D453732"/>
    <w:multiLevelType w:val="hybridMultilevel"/>
    <w:tmpl w:val="6630B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6D3728"/>
    <w:multiLevelType w:val="hybridMultilevel"/>
    <w:tmpl w:val="500EA676"/>
    <w:lvl w:ilvl="0" w:tplc="B8B47712">
      <w:start w:val="5"/>
      <w:numFmt w:val="decimal"/>
      <w:lvlText w:val="%1."/>
      <w:lvlJc w:val="left"/>
      <w:pPr>
        <w:tabs>
          <w:tab w:val="num" w:pos="0"/>
        </w:tabs>
        <w:ind w:left="284" w:hanging="284"/>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6" w15:restartNumberingAfterBreak="0">
    <w:nsid w:val="4AB96689"/>
    <w:multiLevelType w:val="hybridMultilevel"/>
    <w:tmpl w:val="C29A16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AC4C20"/>
    <w:multiLevelType w:val="hybridMultilevel"/>
    <w:tmpl w:val="9DAA26CE"/>
    <w:lvl w:ilvl="0" w:tplc="3E50CEA8">
      <w:start w:val="1"/>
      <w:numFmt w:val="decimal"/>
      <w:lvlText w:val="%1."/>
      <w:lvlJc w:val="left"/>
      <w:pPr>
        <w:ind w:left="1085" w:hanging="360"/>
      </w:pPr>
      <w:rPr>
        <w:rFonts w:hint="default"/>
        <w:u w:val="none"/>
      </w:rPr>
    </w:lvl>
    <w:lvl w:ilvl="1" w:tplc="04090019" w:tentative="1">
      <w:start w:val="1"/>
      <w:numFmt w:val="lowerLetter"/>
      <w:lvlText w:val="%2."/>
      <w:lvlJc w:val="left"/>
      <w:pPr>
        <w:ind w:left="1805" w:hanging="360"/>
      </w:pPr>
    </w:lvl>
    <w:lvl w:ilvl="2" w:tplc="0409001B" w:tentative="1">
      <w:start w:val="1"/>
      <w:numFmt w:val="lowerRoman"/>
      <w:lvlText w:val="%3."/>
      <w:lvlJc w:val="right"/>
      <w:pPr>
        <w:ind w:left="2525" w:hanging="180"/>
      </w:pPr>
    </w:lvl>
    <w:lvl w:ilvl="3" w:tplc="0409000F" w:tentative="1">
      <w:start w:val="1"/>
      <w:numFmt w:val="decimal"/>
      <w:lvlText w:val="%4."/>
      <w:lvlJc w:val="left"/>
      <w:pPr>
        <w:ind w:left="3245" w:hanging="360"/>
      </w:pPr>
    </w:lvl>
    <w:lvl w:ilvl="4" w:tplc="04090019" w:tentative="1">
      <w:start w:val="1"/>
      <w:numFmt w:val="lowerLetter"/>
      <w:lvlText w:val="%5."/>
      <w:lvlJc w:val="left"/>
      <w:pPr>
        <w:ind w:left="3965" w:hanging="360"/>
      </w:pPr>
    </w:lvl>
    <w:lvl w:ilvl="5" w:tplc="0409001B" w:tentative="1">
      <w:start w:val="1"/>
      <w:numFmt w:val="lowerRoman"/>
      <w:lvlText w:val="%6."/>
      <w:lvlJc w:val="right"/>
      <w:pPr>
        <w:ind w:left="4685" w:hanging="180"/>
      </w:pPr>
    </w:lvl>
    <w:lvl w:ilvl="6" w:tplc="0409000F" w:tentative="1">
      <w:start w:val="1"/>
      <w:numFmt w:val="decimal"/>
      <w:lvlText w:val="%7."/>
      <w:lvlJc w:val="left"/>
      <w:pPr>
        <w:ind w:left="5405" w:hanging="360"/>
      </w:pPr>
    </w:lvl>
    <w:lvl w:ilvl="7" w:tplc="04090019" w:tentative="1">
      <w:start w:val="1"/>
      <w:numFmt w:val="lowerLetter"/>
      <w:lvlText w:val="%8."/>
      <w:lvlJc w:val="left"/>
      <w:pPr>
        <w:ind w:left="6125" w:hanging="360"/>
      </w:pPr>
    </w:lvl>
    <w:lvl w:ilvl="8" w:tplc="0409001B" w:tentative="1">
      <w:start w:val="1"/>
      <w:numFmt w:val="lowerRoman"/>
      <w:lvlText w:val="%9."/>
      <w:lvlJc w:val="right"/>
      <w:pPr>
        <w:ind w:left="6845" w:hanging="180"/>
      </w:pPr>
    </w:lvl>
  </w:abstractNum>
  <w:abstractNum w:abstractNumId="28" w15:restartNumberingAfterBreak="0">
    <w:nsid w:val="55876AB9"/>
    <w:multiLevelType w:val="hybridMultilevel"/>
    <w:tmpl w:val="CD00FCEA"/>
    <w:lvl w:ilvl="0" w:tplc="8154DA56">
      <w:start w:val="1"/>
      <w:numFmt w:val="decimal"/>
      <w:lvlText w:val="%1."/>
      <w:lvlJc w:val="left"/>
      <w:pPr>
        <w:tabs>
          <w:tab w:val="num" w:pos="1080"/>
        </w:tabs>
        <w:ind w:left="1080" w:hanging="360"/>
      </w:pPr>
      <w:rPr>
        <w:rFonts w:hint="default"/>
      </w:rPr>
    </w:lvl>
    <w:lvl w:ilvl="1" w:tplc="041A0019" w:tentative="1">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29" w15:restartNumberingAfterBreak="0">
    <w:nsid w:val="58945B88"/>
    <w:multiLevelType w:val="hybridMultilevel"/>
    <w:tmpl w:val="7F94BA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B03392"/>
    <w:multiLevelType w:val="hybridMultilevel"/>
    <w:tmpl w:val="3698B29C"/>
    <w:lvl w:ilvl="0" w:tplc="041A0001">
      <w:start w:val="1"/>
      <w:numFmt w:val="bullet"/>
      <w:lvlText w:val=""/>
      <w:lvlJc w:val="left"/>
      <w:pPr>
        <w:tabs>
          <w:tab w:val="num" w:pos="1440"/>
        </w:tabs>
        <w:ind w:left="1440" w:hanging="360"/>
      </w:pPr>
      <w:rPr>
        <w:rFonts w:ascii="Symbol" w:hAnsi="Symbol" w:hint="default"/>
      </w:rPr>
    </w:lvl>
    <w:lvl w:ilvl="1" w:tplc="041A0003" w:tentative="1">
      <w:start w:val="1"/>
      <w:numFmt w:val="bullet"/>
      <w:lvlText w:val="o"/>
      <w:lvlJc w:val="left"/>
      <w:pPr>
        <w:tabs>
          <w:tab w:val="num" w:pos="2160"/>
        </w:tabs>
        <w:ind w:left="2160" w:hanging="360"/>
      </w:pPr>
      <w:rPr>
        <w:rFonts w:ascii="Courier New" w:hAnsi="Courier New" w:cs="Courier New" w:hint="default"/>
      </w:rPr>
    </w:lvl>
    <w:lvl w:ilvl="2" w:tplc="041A0005" w:tentative="1">
      <w:start w:val="1"/>
      <w:numFmt w:val="bullet"/>
      <w:lvlText w:val=""/>
      <w:lvlJc w:val="left"/>
      <w:pPr>
        <w:tabs>
          <w:tab w:val="num" w:pos="2880"/>
        </w:tabs>
        <w:ind w:left="2880" w:hanging="360"/>
      </w:pPr>
      <w:rPr>
        <w:rFonts w:ascii="Wingdings" w:hAnsi="Wingdings" w:hint="default"/>
      </w:rPr>
    </w:lvl>
    <w:lvl w:ilvl="3" w:tplc="041A0001" w:tentative="1">
      <w:start w:val="1"/>
      <w:numFmt w:val="bullet"/>
      <w:lvlText w:val=""/>
      <w:lvlJc w:val="left"/>
      <w:pPr>
        <w:tabs>
          <w:tab w:val="num" w:pos="3600"/>
        </w:tabs>
        <w:ind w:left="3600" w:hanging="360"/>
      </w:pPr>
      <w:rPr>
        <w:rFonts w:ascii="Symbol" w:hAnsi="Symbol" w:hint="default"/>
      </w:rPr>
    </w:lvl>
    <w:lvl w:ilvl="4" w:tplc="041A0003" w:tentative="1">
      <w:start w:val="1"/>
      <w:numFmt w:val="bullet"/>
      <w:lvlText w:val="o"/>
      <w:lvlJc w:val="left"/>
      <w:pPr>
        <w:tabs>
          <w:tab w:val="num" w:pos="4320"/>
        </w:tabs>
        <w:ind w:left="4320" w:hanging="360"/>
      </w:pPr>
      <w:rPr>
        <w:rFonts w:ascii="Courier New" w:hAnsi="Courier New" w:cs="Courier New" w:hint="default"/>
      </w:rPr>
    </w:lvl>
    <w:lvl w:ilvl="5" w:tplc="041A0005" w:tentative="1">
      <w:start w:val="1"/>
      <w:numFmt w:val="bullet"/>
      <w:lvlText w:val=""/>
      <w:lvlJc w:val="left"/>
      <w:pPr>
        <w:tabs>
          <w:tab w:val="num" w:pos="5040"/>
        </w:tabs>
        <w:ind w:left="5040" w:hanging="360"/>
      </w:pPr>
      <w:rPr>
        <w:rFonts w:ascii="Wingdings" w:hAnsi="Wingdings" w:hint="default"/>
      </w:rPr>
    </w:lvl>
    <w:lvl w:ilvl="6" w:tplc="041A0001" w:tentative="1">
      <w:start w:val="1"/>
      <w:numFmt w:val="bullet"/>
      <w:lvlText w:val=""/>
      <w:lvlJc w:val="left"/>
      <w:pPr>
        <w:tabs>
          <w:tab w:val="num" w:pos="5760"/>
        </w:tabs>
        <w:ind w:left="5760" w:hanging="360"/>
      </w:pPr>
      <w:rPr>
        <w:rFonts w:ascii="Symbol" w:hAnsi="Symbol" w:hint="default"/>
      </w:rPr>
    </w:lvl>
    <w:lvl w:ilvl="7" w:tplc="041A0003" w:tentative="1">
      <w:start w:val="1"/>
      <w:numFmt w:val="bullet"/>
      <w:lvlText w:val="o"/>
      <w:lvlJc w:val="left"/>
      <w:pPr>
        <w:tabs>
          <w:tab w:val="num" w:pos="6480"/>
        </w:tabs>
        <w:ind w:left="6480" w:hanging="360"/>
      </w:pPr>
      <w:rPr>
        <w:rFonts w:ascii="Courier New" w:hAnsi="Courier New" w:cs="Courier New" w:hint="default"/>
      </w:rPr>
    </w:lvl>
    <w:lvl w:ilvl="8" w:tplc="041A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5F4F28F3"/>
    <w:multiLevelType w:val="multilevel"/>
    <w:tmpl w:val="718A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6879D4"/>
    <w:multiLevelType w:val="hybridMultilevel"/>
    <w:tmpl w:val="237A6CB4"/>
    <w:lvl w:ilvl="0" w:tplc="041A0011">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3" w15:restartNumberingAfterBreak="0">
    <w:nsid w:val="6E4C26DB"/>
    <w:multiLevelType w:val="hybridMultilevel"/>
    <w:tmpl w:val="D0666AD4"/>
    <w:lvl w:ilvl="0" w:tplc="E654B79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790A5C"/>
    <w:multiLevelType w:val="singleLevel"/>
    <w:tmpl w:val="4B94BAA8"/>
    <w:lvl w:ilvl="0">
      <w:start w:val="2"/>
      <w:numFmt w:val="decimal"/>
      <w:lvlText w:val="5.%1. "/>
      <w:legacy w:legacy="1" w:legacySpace="0" w:legacyIndent="283"/>
      <w:lvlJc w:val="left"/>
      <w:pPr>
        <w:ind w:left="283" w:hanging="283"/>
      </w:pPr>
      <w:rPr>
        <w:b/>
        <w:i w:val="0"/>
        <w:sz w:val="22"/>
      </w:rPr>
    </w:lvl>
  </w:abstractNum>
  <w:abstractNum w:abstractNumId="35" w15:restartNumberingAfterBreak="0">
    <w:nsid w:val="7A4D1EA3"/>
    <w:multiLevelType w:val="hybridMultilevel"/>
    <w:tmpl w:val="A84862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7"/>
  </w:num>
  <w:num w:numId="10">
    <w:abstractNumId w:val="26"/>
  </w:num>
  <w:num w:numId="11">
    <w:abstractNumId w:val="27"/>
  </w:num>
  <w:num w:numId="12">
    <w:abstractNumId w:val="8"/>
  </w:num>
  <w:num w:numId="13">
    <w:abstractNumId w:val="19"/>
  </w:num>
  <w:num w:numId="14">
    <w:abstractNumId w:val="15"/>
  </w:num>
  <w:num w:numId="15">
    <w:abstractNumId w:val="31"/>
  </w:num>
  <w:num w:numId="16">
    <w:abstractNumId w:val="35"/>
  </w:num>
  <w:num w:numId="17">
    <w:abstractNumId w:val="14"/>
  </w:num>
  <w:num w:numId="18">
    <w:abstractNumId w:val="13"/>
  </w:num>
  <w:num w:numId="19">
    <w:abstractNumId w:val="29"/>
  </w:num>
  <w:num w:numId="20">
    <w:abstractNumId w:val="20"/>
  </w:num>
  <w:num w:numId="21">
    <w:abstractNumId w:val="24"/>
  </w:num>
  <w:num w:numId="22">
    <w:abstractNumId w:val="12"/>
  </w:num>
  <w:num w:numId="23">
    <w:abstractNumId w:val="28"/>
  </w:num>
  <w:num w:numId="24">
    <w:abstractNumId w:val="22"/>
  </w:num>
  <w:num w:numId="25">
    <w:abstractNumId w:val="30"/>
  </w:num>
  <w:num w:numId="26">
    <w:abstractNumId w:val="33"/>
  </w:num>
  <w:num w:numId="27">
    <w:abstractNumId w:val="9"/>
  </w:num>
  <w:num w:numId="28">
    <w:abstractNumId w:val="32"/>
  </w:num>
  <w:num w:numId="29">
    <w:abstractNumId w:val="10"/>
  </w:num>
  <w:num w:numId="30">
    <w:abstractNumId w:val="23"/>
  </w:num>
  <w:num w:numId="31">
    <w:abstractNumId w:val="11"/>
  </w:num>
  <w:num w:numId="32">
    <w:abstractNumId w:val="21"/>
  </w:num>
  <w:num w:numId="33">
    <w:abstractNumId w:val="34"/>
  </w:num>
  <w:num w:numId="34">
    <w:abstractNumId w:val="18"/>
  </w:num>
  <w:num w:numId="35">
    <w:abstractNumId w:val="25"/>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0D8"/>
    <w:rsid w:val="000024C7"/>
    <w:rsid w:val="00003898"/>
    <w:rsid w:val="000042D7"/>
    <w:rsid w:val="000061CA"/>
    <w:rsid w:val="0000701E"/>
    <w:rsid w:val="0001325C"/>
    <w:rsid w:val="00015513"/>
    <w:rsid w:val="00015C74"/>
    <w:rsid w:val="0002071A"/>
    <w:rsid w:val="0002491C"/>
    <w:rsid w:val="000311CF"/>
    <w:rsid w:val="00031C12"/>
    <w:rsid w:val="00032166"/>
    <w:rsid w:val="000324EC"/>
    <w:rsid w:val="0003283F"/>
    <w:rsid w:val="000358F3"/>
    <w:rsid w:val="00035B6B"/>
    <w:rsid w:val="0003611F"/>
    <w:rsid w:val="00037346"/>
    <w:rsid w:val="000376BE"/>
    <w:rsid w:val="00040DCD"/>
    <w:rsid w:val="000431E1"/>
    <w:rsid w:val="00043288"/>
    <w:rsid w:val="000503CB"/>
    <w:rsid w:val="00053841"/>
    <w:rsid w:val="0005553C"/>
    <w:rsid w:val="00056DB7"/>
    <w:rsid w:val="000570C1"/>
    <w:rsid w:val="000635B4"/>
    <w:rsid w:val="0007159A"/>
    <w:rsid w:val="00071E1C"/>
    <w:rsid w:val="000733AF"/>
    <w:rsid w:val="000761B2"/>
    <w:rsid w:val="00077FE1"/>
    <w:rsid w:val="00081A0D"/>
    <w:rsid w:val="00085A69"/>
    <w:rsid w:val="00086025"/>
    <w:rsid w:val="00086813"/>
    <w:rsid w:val="000903BA"/>
    <w:rsid w:val="000918FE"/>
    <w:rsid w:val="000958E8"/>
    <w:rsid w:val="00096D68"/>
    <w:rsid w:val="000977F5"/>
    <w:rsid w:val="000A12C1"/>
    <w:rsid w:val="000A1DF1"/>
    <w:rsid w:val="000A51AC"/>
    <w:rsid w:val="000A6208"/>
    <w:rsid w:val="000A7F98"/>
    <w:rsid w:val="000A7FD2"/>
    <w:rsid w:val="000B5E76"/>
    <w:rsid w:val="000B6A46"/>
    <w:rsid w:val="000B6B86"/>
    <w:rsid w:val="000C17E2"/>
    <w:rsid w:val="000C1851"/>
    <w:rsid w:val="000C2A48"/>
    <w:rsid w:val="000C3128"/>
    <w:rsid w:val="000C4B74"/>
    <w:rsid w:val="000D0742"/>
    <w:rsid w:val="000D0D73"/>
    <w:rsid w:val="000D1B17"/>
    <w:rsid w:val="000D29C9"/>
    <w:rsid w:val="000D3287"/>
    <w:rsid w:val="000D4C4D"/>
    <w:rsid w:val="000E02CD"/>
    <w:rsid w:val="000E0B5A"/>
    <w:rsid w:val="000E10A5"/>
    <w:rsid w:val="000E659A"/>
    <w:rsid w:val="000F0B58"/>
    <w:rsid w:val="000F2728"/>
    <w:rsid w:val="000F30E3"/>
    <w:rsid w:val="000F3720"/>
    <w:rsid w:val="000F6D60"/>
    <w:rsid w:val="000F707D"/>
    <w:rsid w:val="001020AF"/>
    <w:rsid w:val="001051EF"/>
    <w:rsid w:val="00105461"/>
    <w:rsid w:val="00113470"/>
    <w:rsid w:val="00115DD6"/>
    <w:rsid w:val="00120F39"/>
    <w:rsid w:val="00123E5E"/>
    <w:rsid w:val="001248EC"/>
    <w:rsid w:val="00127137"/>
    <w:rsid w:val="001309CD"/>
    <w:rsid w:val="0013178E"/>
    <w:rsid w:val="00133E8F"/>
    <w:rsid w:val="0013425E"/>
    <w:rsid w:val="001414D5"/>
    <w:rsid w:val="001428BD"/>
    <w:rsid w:val="0014487D"/>
    <w:rsid w:val="00146273"/>
    <w:rsid w:val="001463A6"/>
    <w:rsid w:val="0015063A"/>
    <w:rsid w:val="00150E6C"/>
    <w:rsid w:val="00153B94"/>
    <w:rsid w:val="001540A0"/>
    <w:rsid w:val="0015594F"/>
    <w:rsid w:val="00157B5F"/>
    <w:rsid w:val="00157F5E"/>
    <w:rsid w:val="001610E1"/>
    <w:rsid w:val="001616B7"/>
    <w:rsid w:val="00161892"/>
    <w:rsid w:val="00162B53"/>
    <w:rsid w:val="00166EC0"/>
    <w:rsid w:val="00167AA4"/>
    <w:rsid w:val="00171041"/>
    <w:rsid w:val="00171AF1"/>
    <w:rsid w:val="00175B02"/>
    <w:rsid w:val="0018094C"/>
    <w:rsid w:val="00181DFC"/>
    <w:rsid w:val="001939B6"/>
    <w:rsid w:val="00193FF2"/>
    <w:rsid w:val="001940B9"/>
    <w:rsid w:val="00195335"/>
    <w:rsid w:val="001A0C41"/>
    <w:rsid w:val="001A1839"/>
    <w:rsid w:val="001A3C78"/>
    <w:rsid w:val="001B0B73"/>
    <w:rsid w:val="001B0C6D"/>
    <w:rsid w:val="001B54AD"/>
    <w:rsid w:val="001B5791"/>
    <w:rsid w:val="001B60E3"/>
    <w:rsid w:val="001C49DE"/>
    <w:rsid w:val="001C6705"/>
    <w:rsid w:val="001D104C"/>
    <w:rsid w:val="001D536B"/>
    <w:rsid w:val="001D6169"/>
    <w:rsid w:val="001D6FAB"/>
    <w:rsid w:val="001E147C"/>
    <w:rsid w:val="001E2CCD"/>
    <w:rsid w:val="001E5519"/>
    <w:rsid w:val="001E6DF8"/>
    <w:rsid w:val="001F4E5B"/>
    <w:rsid w:val="001F50C2"/>
    <w:rsid w:val="001F5A32"/>
    <w:rsid w:val="001F741A"/>
    <w:rsid w:val="00201D4B"/>
    <w:rsid w:val="0020550B"/>
    <w:rsid w:val="00206208"/>
    <w:rsid w:val="002067B0"/>
    <w:rsid w:val="00207BAF"/>
    <w:rsid w:val="00207CA5"/>
    <w:rsid w:val="00210433"/>
    <w:rsid w:val="0021344B"/>
    <w:rsid w:val="00215595"/>
    <w:rsid w:val="00216E25"/>
    <w:rsid w:val="00223522"/>
    <w:rsid w:val="00224E1B"/>
    <w:rsid w:val="0022611E"/>
    <w:rsid w:val="002300BD"/>
    <w:rsid w:val="002304EE"/>
    <w:rsid w:val="00235C1C"/>
    <w:rsid w:val="00236721"/>
    <w:rsid w:val="002371CF"/>
    <w:rsid w:val="00245AD8"/>
    <w:rsid w:val="00250C27"/>
    <w:rsid w:val="00250D92"/>
    <w:rsid w:val="0025151A"/>
    <w:rsid w:val="00251B4C"/>
    <w:rsid w:val="00253D82"/>
    <w:rsid w:val="00255915"/>
    <w:rsid w:val="00256385"/>
    <w:rsid w:val="00262867"/>
    <w:rsid w:val="002630AB"/>
    <w:rsid w:val="0026352B"/>
    <w:rsid w:val="00263670"/>
    <w:rsid w:val="002749E5"/>
    <w:rsid w:val="00275A73"/>
    <w:rsid w:val="00277A84"/>
    <w:rsid w:val="0028586F"/>
    <w:rsid w:val="00291E3C"/>
    <w:rsid w:val="00292861"/>
    <w:rsid w:val="00292CE7"/>
    <w:rsid w:val="002A34A8"/>
    <w:rsid w:val="002A453F"/>
    <w:rsid w:val="002A464A"/>
    <w:rsid w:val="002A4BA6"/>
    <w:rsid w:val="002A600D"/>
    <w:rsid w:val="002A6082"/>
    <w:rsid w:val="002A6120"/>
    <w:rsid w:val="002B7306"/>
    <w:rsid w:val="002B746F"/>
    <w:rsid w:val="002B7761"/>
    <w:rsid w:val="002D0630"/>
    <w:rsid w:val="002D325A"/>
    <w:rsid w:val="002D35FF"/>
    <w:rsid w:val="002D3698"/>
    <w:rsid w:val="002D4434"/>
    <w:rsid w:val="002D57D3"/>
    <w:rsid w:val="002D60C8"/>
    <w:rsid w:val="002D7A07"/>
    <w:rsid w:val="002E0F8D"/>
    <w:rsid w:val="002E1326"/>
    <w:rsid w:val="002E3044"/>
    <w:rsid w:val="002F3DC1"/>
    <w:rsid w:val="002F52BB"/>
    <w:rsid w:val="002F57C8"/>
    <w:rsid w:val="003001A9"/>
    <w:rsid w:val="003031BE"/>
    <w:rsid w:val="00305D3A"/>
    <w:rsid w:val="00307530"/>
    <w:rsid w:val="00311BC9"/>
    <w:rsid w:val="00313F09"/>
    <w:rsid w:val="0031564B"/>
    <w:rsid w:val="00321713"/>
    <w:rsid w:val="00321DCE"/>
    <w:rsid w:val="00330021"/>
    <w:rsid w:val="00330A5A"/>
    <w:rsid w:val="003311D0"/>
    <w:rsid w:val="003312CA"/>
    <w:rsid w:val="003312DC"/>
    <w:rsid w:val="00332443"/>
    <w:rsid w:val="00332664"/>
    <w:rsid w:val="00332B6C"/>
    <w:rsid w:val="00333169"/>
    <w:rsid w:val="003341E8"/>
    <w:rsid w:val="0033733F"/>
    <w:rsid w:val="00337973"/>
    <w:rsid w:val="00344820"/>
    <w:rsid w:val="00347961"/>
    <w:rsid w:val="00350AF7"/>
    <w:rsid w:val="00351A03"/>
    <w:rsid w:val="00353FB4"/>
    <w:rsid w:val="0035773E"/>
    <w:rsid w:val="00365570"/>
    <w:rsid w:val="00366AE0"/>
    <w:rsid w:val="00375FAA"/>
    <w:rsid w:val="0037755D"/>
    <w:rsid w:val="00380A6E"/>
    <w:rsid w:val="00380DC1"/>
    <w:rsid w:val="00384605"/>
    <w:rsid w:val="0039161A"/>
    <w:rsid w:val="00396866"/>
    <w:rsid w:val="003B1EA5"/>
    <w:rsid w:val="003B7590"/>
    <w:rsid w:val="003C1A0A"/>
    <w:rsid w:val="003C2676"/>
    <w:rsid w:val="003C327F"/>
    <w:rsid w:val="003C5402"/>
    <w:rsid w:val="003D126F"/>
    <w:rsid w:val="003D4129"/>
    <w:rsid w:val="003D4676"/>
    <w:rsid w:val="003D6FA0"/>
    <w:rsid w:val="003F16E3"/>
    <w:rsid w:val="003F32F2"/>
    <w:rsid w:val="003F743A"/>
    <w:rsid w:val="004001F9"/>
    <w:rsid w:val="00400AED"/>
    <w:rsid w:val="00400BB2"/>
    <w:rsid w:val="00400D61"/>
    <w:rsid w:val="004029C8"/>
    <w:rsid w:val="0040314C"/>
    <w:rsid w:val="00403C7B"/>
    <w:rsid w:val="004072B1"/>
    <w:rsid w:val="0041008E"/>
    <w:rsid w:val="004107A0"/>
    <w:rsid w:val="00410C1D"/>
    <w:rsid w:val="004114BA"/>
    <w:rsid w:val="00412397"/>
    <w:rsid w:val="00416F98"/>
    <w:rsid w:val="004221AC"/>
    <w:rsid w:val="00425041"/>
    <w:rsid w:val="004272AE"/>
    <w:rsid w:val="00430A60"/>
    <w:rsid w:val="004316E8"/>
    <w:rsid w:val="00433757"/>
    <w:rsid w:val="00434C03"/>
    <w:rsid w:val="00440252"/>
    <w:rsid w:val="00442DF2"/>
    <w:rsid w:val="0044434C"/>
    <w:rsid w:val="00445ECD"/>
    <w:rsid w:val="00452107"/>
    <w:rsid w:val="0045233A"/>
    <w:rsid w:val="0046299B"/>
    <w:rsid w:val="00462CD0"/>
    <w:rsid w:val="0046314F"/>
    <w:rsid w:val="004704CB"/>
    <w:rsid w:val="00471E5F"/>
    <w:rsid w:val="00472382"/>
    <w:rsid w:val="00472AF4"/>
    <w:rsid w:val="0047398A"/>
    <w:rsid w:val="00474FD9"/>
    <w:rsid w:val="004764C7"/>
    <w:rsid w:val="004777CD"/>
    <w:rsid w:val="0048261A"/>
    <w:rsid w:val="0048477B"/>
    <w:rsid w:val="00487C25"/>
    <w:rsid w:val="00492558"/>
    <w:rsid w:val="004929AA"/>
    <w:rsid w:val="00492BCC"/>
    <w:rsid w:val="0049356A"/>
    <w:rsid w:val="004944D1"/>
    <w:rsid w:val="004953C1"/>
    <w:rsid w:val="004A037A"/>
    <w:rsid w:val="004A1D9B"/>
    <w:rsid w:val="004A309F"/>
    <w:rsid w:val="004A629B"/>
    <w:rsid w:val="004A661F"/>
    <w:rsid w:val="004A6BDB"/>
    <w:rsid w:val="004B1156"/>
    <w:rsid w:val="004B1A9E"/>
    <w:rsid w:val="004B23F1"/>
    <w:rsid w:val="004B41A4"/>
    <w:rsid w:val="004B5F0A"/>
    <w:rsid w:val="004B7AEA"/>
    <w:rsid w:val="004C3B42"/>
    <w:rsid w:val="004C4A58"/>
    <w:rsid w:val="004C5FBF"/>
    <w:rsid w:val="004C6596"/>
    <w:rsid w:val="004C75C1"/>
    <w:rsid w:val="004D0085"/>
    <w:rsid w:val="004D4896"/>
    <w:rsid w:val="004D4E0C"/>
    <w:rsid w:val="004D6980"/>
    <w:rsid w:val="004E09A8"/>
    <w:rsid w:val="004E1702"/>
    <w:rsid w:val="004E266F"/>
    <w:rsid w:val="004E3E50"/>
    <w:rsid w:val="004E4571"/>
    <w:rsid w:val="004E5E0D"/>
    <w:rsid w:val="00500803"/>
    <w:rsid w:val="00501941"/>
    <w:rsid w:val="00501DA5"/>
    <w:rsid w:val="00501DE0"/>
    <w:rsid w:val="005021D8"/>
    <w:rsid w:val="005060C2"/>
    <w:rsid w:val="00510F0D"/>
    <w:rsid w:val="00511343"/>
    <w:rsid w:val="00515F2B"/>
    <w:rsid w:val="005217AD"/>
    <w:rsid w:val="00521A0C"/>
    <w:rsid w:val="005240EA"/>
    <w:rsid w:val="00524AC1"/>
    <w:rsid w:val="00525BDA"/>
    <w:rsid w:val="005354E9"/>
    <w:rsid w:val="0053643E"/>
    <w:rsid w:val="00536537"/>
    <w:rsid w:val="00537283"/>
    <w:rsid w:val="00540FEE"/>
    <w:rsid w:val="00544682"/>
    <w:rsid w:val="005462AA"/>
    <w:rsid w:val="005466AF"/>
    <w:rsid w:val="00546D7F"/>
    <w:rsid w:val="00547A6C"/>
    <w:rsid w:val="00547E0D"/>
    <w:rsid w:val="005505F2"/>
    <w:rsid w:val="00553FED"/>
    <w:rsid w:val="00555752"/>
    <w:rsid w:val="00575661"/>
    <w:rsid w:val="00576BD2"/>
    <w:rsid w:val="00576D7E"/>
    <w:rsid w:val="00576E06"/>
    <w:rsid w:val="005830B1"/>
    <w:rsid w:val="0058355A"/>
    <w:rsid w:val="00583701"/>
    <w:rsid w:val="0058531B"/>
    <w:rsid w:val="00586D86"/>
    <w:rsid w:val="005872D9"/>
    <w:rsid w:val="00587896"/>
    <w:rsid w:val="00591B4C"/>
    <w:rsid w:val="00592E9D"/>
    <w:rsid w:val="00593470"/>
    <w:rsid w:val="0059407F"/>
    <w:rsid w:val="00597AC7"/>
    <w:rsid w:val="005A0120"/>
    <w:rsid w:val="005A4432"/>
    <w:rsid w:val="005A4772"/>
    <w:rsid w:val="005A6155"/>
    <w:rsid w:val="005B04E4"/>
    <w:rsid w:val="005B10F3"/>
    <w:rsid w:val="005C1E6B"/>
    <w:rsid w:val="005C5839"/>
    <w:rsid w:val="005C5F82"/>
    <w:rsid w:val="005C601A"/>
    <w:rsid w:val="005C6219"/>
    <w:rsid w:val="005C73B6"/>
    <w:rsid w:val="005D0467"/>
    <w:rsid w:val="005D103D"/>
    <w:rsid w:val="005D360B"/>
    <w:rsid w:val="005E0DE3"/>
    <w:rsid w:val="005E14E3"/>
    <w:rsid w:val="005E3623"/>
    <w:rsid w:val="005E4930"/>
    <w:rsid w:val="005E60E3"/>
    <w:rsid w:val="005F0EDB"/>
    <w:rsid w:val="005F1684"/>
    <w:rsid w:val="005F3FB9"/>
    <w:rsid w:val="005F43F9"/>
    <w:rsid w:val="005F4BCB"/>
    <w:rsid w:val="005F5586"/>
    <w:rsid w:val="005F7028"/>
    <w:rsid w:val="005F75BF"/>
    <w:rsid w:val="00605ED5"/>
    <w:rsid w:val="0060712B"/>
    <w:rsid w:val="00610537"/>
    <w:rsid w:val="00610D7D"/>
    <w:rsid w:val="00611CD0"/>
    <w:rsid w:val="00612DF1"/>
    <w:rsid w:val="00612FAD"/>
    <w:rsid w:val="006164C8"/>
    <w:rsid w:val="0061789A"/>
    <w:rsid w:val="00622D2B"/>
    <w:rsid w:val="00625356"/>
    <w:rsid w:val="00630B6E"/>
    <w:rsid w:val="0063146F"/>
    <w:rsid w:val="00633A98"/>
    <w:rsid w:val="0063614C"/>
    <w:rsid w:val="00640405"/>
    <w:rsid w:val="00640458"/>
    <w:rsid w:val="0064057D"/>
    <w:rsid w:val="00642198"/>
    <w:rsid w:val="0064243B"/>
    <w:rsid w:val="0064363D"/>
    <w:rsid w:val="00644788"/>
    <w:rsid w:val="00647DA8"/>
    <w:rsid w:val="00650CAD"/>
    <w:rsid w:val="00650F27"/>
    <w:rsid w:val="00651901"/>
    <w:rsid w:val="00651B65"/>
    <w:rsid w:val="00652A2C"/>
    <w:rsid w:val="006547E4"/>
    <w:rsid w:val="00657BCF"/>
    <w:rsid w:val="00660D49"/>
    <w:rsid w:val="0066774E"/>
    <w:rsid w:val="00671764"/>
    <w:rsid w:val="006736F5"/>
    <w:rsid w:val="00676DD6"/>
    <w:rsid w:val="00682245"/>
    <w:rsid w:val="00682EFF"/>
    <w:rsid w:val="00684E30"/>
    <w:rsid w:val="00684EB7"/>
    <w:rsid w:val="006856C8"/>
    <w:rsid w:val="00685F8E"/>
    <w:rsid w:val="00691ABA"/>
    <w:rsid w:val="00693384"/>
    <w:rsid w:val="0069372B"/>
    <w:rsid w:val="00696442"/>
    <w:rsid w:val="006A08E2"/>
    <w:rsid w:val="006A13EE"/>
    <w:rsid w:val="006A14C4"/>
    <w:rsid w:val="006A179B"/>
    <w:rsid w:val="006A2298"/>
    <w:rsid w:val="006A2FD7"/>
    <w:rsid w:val="006A3BFD"/>
    <w:rsid w:val="006A5AF3"/>
    <w:rsid w:val="006A7A69"/>
    <w:rsid w:val="006B3D81"/>
    <w:rsid w:val="006B4085"/>
    <w:rsid w:val="006B5735"/>
    <w:rsid w:val="006C08E3"/>
    <w:rsid w:val="006C0FBD"/>
    <w:rsid w:val="006C3641"/>
    <w:rsid w:val="006C36D7"/>
    <w:rsid w:val="006C3960"/>
    <w:rsid w:val="006C4FB7"/>
    <w:rsid w:val="006C629D"/>
    <w:rsid w:val="006C711E"/>
    <w:rsid w:val="006D0BAC"/>
    <w:rsid w:val="006D2196"/>
    <w:rsid w:val="006D25B4"/>
    <w:rsid w:val="006D5EC9"/>
    <w:rsid w:val="006D6F92"/>
    <w:rsid w:val="006E5D12"/>
    <w:rsid w:val="006F3F63"/>
    <w:rsid w:val="006F44C7"/>
    <w:rsid w:val="006F4AA5"/>
    <w:rsid w:val="006F5BC6"/>
    <w:rsid w:val="006F6375"/>
    <w:rsid w:val="006F6EED"/>
    <w:rsid w:val="00701949"/>
    <w:rsid w:val="00702201"/>
    <w:rsid w:val="00702E79"/>
    <w:rsid w:val="007042B1"/>
    <w:rsid w:val="00706C5B"/>
    <w:rsid w:val="00710134"/>
    <w:rsid w:val="00710D55"/>
    <w:rsid w:val="0071236A"/>
    <w:rsid w:val="00712829"/>
    <w:rsid w:val="00721116"/>
    <w:rsid w:val="0072568E"/>
    <w:rsid w:val="007259A3"/>
    <w:rsid w:val="00726F2B"/>
    <w:rsid w:val="00730544"/>
    <w:rsid w:val="007308AB"/>
    <w:rsid w:val="00731BB8"/>
    <w:rsid w:val="00732197"/>
    <w:rsid w:val="00735473"/>
    <w:rsid w:val="00735638"/>
    <w:rsid w:val="00736160"/>
    <w:rsid w:val="00736F84"/>
    <w:rsid w:val="00741CA3"/>
    <w:rsid w:val="00742B74"/>
    <w:rsid w:val="007444C2"/>
    <w:rsid w:val="007515F8"/>
    <w:rsid w:val="0075469D"/>
    <w:rsid w:val="007568BC"/>
    <w:rsid w:val="00757638"/>
    <w:rsid w:val="00760536"/>
    <w:rsid w:val="00763648"/>
    <w:rsid w:val="00764C6F"/>
    <w:rsid w:val="00775F74"/>
    <w:rsid w:val="00781D33"/>
    <w:rsid w:val="0078386B"/>
    <w:rsid w:val="00783DA2"/>
    <w:rsid w:val="0078637E"/>
    <w:rsid w:val="007906FA"/>
    <w:rsid w:val="0079166F"/>
    <w:rsid w:val="00792BBA"/>
    <w:rsid w:val="0079552B"/>
    <w:rsid w:val="007967E3"/>
    <w:rsid w:val="00797CC4"/>
    <w:rsid w:val="007A0AEE"/>
    <w:rsid w:val="007A31BE"/>
    <w:rsid w:val="007A363A"/>
    <w:rsid w:val="007A371E"/>
    <w:rsid w:val="007A63F7"/>
    <w:rsid w:val="007B016E"/>
    <w:rsid w:val="007B2AD3"/>
    <w:rsid w:val="007B615E"/>
    <w:rsid w:val="007B676C"/>
    <w:rsid w:val="007C208C"/>
    <w:rsid w:val="007C2286"/>
    <w:rsid w:val="007C2CB1"/>
    <w:rsid w:val="007D02F5"/>
    <w:rsid w:val="007D08EE"/>
    <w:rsid w:val="007D302F"/>
    <w:rsid w:val="007D3542"/>
    <w:rsid w:val="007D3E33"/>
    <w:rsid w:val="007D674B"/>
    <w:rsid w:val="007D69E3"/>
    <w:rsid w:val="007D716D"/>
    <w:rsid w:val="007E11AC"/>
    <w:rsid w:val="007E1F97"/>
    <w:rsid w:val="007E2F04"/>
    <w:rsid w:val="007E3F3C"/>
    <w:rsid w:val="007E6964"/>
    <w:rsid w:val="007F3B27"/>
    <w:rsid w:val="007F3FAE"/>
    <w:rsid w:val="0080005B"/>
    <w:rsid w:val="00800CC4"/>
    <w:rsid w:val="008052A4"/>
    <w:rsid w:val="00807C85"/>
    <w:rsid w:val="00810D22"/>
    <w:rsid w:val="00812619"/>
    <w:rsid w:val="00813BE0"/>
    <w:rsid w:val="0081789C"/>
    <w:rsid w:val="008233D2"/>
    <w:rsid w:val="0082387C"/>
    <w:rsid w:val="00824384"/>
    <w:rsid w:val="008314FE"/>
    <w:rsid w:val="0083354F"/>
    <w:rsid w:val="0083771F"/>
    <w:rsid w:val="008402AD"/>
    <w:rsid w:val="00841942"/>
    <w:rsid w:val="00843EC8"/>
    <w:rsid w:val="0084473C"/>
    <w:rsid w:val="00845F6F"/>
    <w:rsid w:val="00846390"/>
    <w:rsid w:val="00852CF7"/>
    <w:rsid w:val="00852FB4"/>
    <w:rsid w:val="00854EAB"/>
    <w:rsid w:val="00860ACA"/>
    <w:rsid w:val="00860FBE"/>
    <w:rsid w:val="008620B4"/>
    <w:rsid w:val="008620D0"/>
    <w:rsid w:val="00862CD8"/>
    <w:rsid w:val="00863A64"/>
    <w:rsid w:val="00864567"/>
    <w:rsid w:val="00864E01"/>
    <w:rsid w:val="00866CAF"/>
    <w:rsid w:val="0087363E"/>
    <w:rsid w:val="00880D15"/>
    <w:rsid w:val="00884388"/>
    <w:rsid w:val="00886155"/>
    <w:rsid w:val="008862EB"/>
    <w:rsid w:val="00886CC2"/>
    <w:rsid w:val="00892227"/>
    <w:rsid w:val="00897866"/>
    <w:rsid w:val="008A1666"/>
    <w:rsid w:val="008A269C"/>
    <w:rsid w:val="008A35AA"/>
    <w:rsid w:val="008A4E8E"/>
    <w:rsid w:val="008A77B4"/>
    <w:rsid w:val="008A7C78"/>
    <w:rsid w:val="008B12B9"/>
    <w:rsid w:val="008B1670"/>
    <w:rsid w:val="008B31D4"/>
    <w:rsid w:val="008B50B3"/>
    <w:rsid w:val="008B50F6"/>
    <w:rsid w:val="008B6ACB"/>
    <w:rsid w:val="008C2647"/>
    <w:rsid w:val="008C5594"/>
    <w:rsid w:val="008C7E36"/>
    <w:rsid w:val="008D0281"/>
    <w:rsid w:val="008D56F6"/>
    <w:rsid w:val="008D7F4B"/>
    <w:rsid w:val="008E0C6D"/>
    <w:rsid w:val="008E2779"/>
    <w:rsid w:val="008F1FDB"/>
    <w:rsid w:val="008F3C2D"/>
    <w:rsid w:val="008F4014"/>
    <w:rsid w:val="008F4679"/>
    <w:rsid w:val="008F555F"/>
    <w:rsid w:val="008F7591"/>
    <w:rsid w:val="008F75C4"/>
    <w:rsid w:val="008F7E81"/>
    <w:rsid w:val="00900B6A"/>
    <w:rsid w:val="00903710"/>
    <w:rsid w:val="00905836"/>
    <w:rsid w:val="00905A7E"/>
    <w:rsid w:val="00911B3F"/>
    <w:rsid w:val="009123CE"/>
    <w:rsid w:val="0091587F"/>
    <w:rsid w:val="00916368"/>
    <w:rsid w:val="009175AD"/>
    <w:rsid w:val="00922577"/>
    <w:rsid w:val="00923C99"/>
    <w:rsid w:val="00924ADC"/>
    <w:rsid w:val="00927D50"/>
    <w:rsid w:val="009340AF"/>
    <w:rsid w:val="00936F2A"/>
    <w:rsid w:val="00937FC4"/>
    <w:rsid w:val="00945678"/>
    <w:rsid w:val="009535AC"/>
    <w:rsid w:val="00963681"/>
    <w:rsid w:val="00965D73"/>
    <w:rsid w:val="00967164"/>
    <w:rsid w:val="009722B5"/>
    <w:rsid w:val="00972657"/>
    <w:rsid w:val="009747A4"/>
    <w:rsid w:val="00980973"/>
    <w:rsid w:val="009814D5"/>
    <w:rsid w:val="00992660"/>
    <w:rsid w:val="00993FFD"/>
    <w:rsid w:val="00994786"/>
    <w:rsid w:val="009948D5"/>
    <w:rsid w:val="009959D7"/>
    <w:rsid w:val="0099655F"/>
    <w:rsid w:val="009A0BB3"/>
    <w:rsid w:val="009A1BB9"/>
    <w:rsid w:val="009A2F36"/>
    <w:rsid w:val="009A4CEA"/>
    <w:rsid w:val="009A5410"/>
    <w:rsid w:val="009A64EE"/>
    <w:rsid w:val="009A66C6"/>
    <w:rsid w:val="009B040E"/>
    <w:rsid w:val="009B04F3"/>
    <w:rsid w:val="009B0F00"/>
    <w:rsid w:val="009B23FA"/>
    <w:rsid w:val="009B3505"/>
    <w:rsid w:val="009B3C39"/>
    <w:rsid w:val="009B5EEC"/>
    <w:rsid w:val="009C1D05"/>
    <w:rsid w:val="009C2300"/>
    <w:rsid w:val="009C279D"/>
    <w:rsid w:val="009C3A5F"/>
    <w:rsid w:val="009C3AE0"/>
    <w:rsid w:val="009C5D44"/>
    <w:rsid w:val="009C6CFE"/>
    <w:rsid w:val="009D22FA"/>
    <w:rsid w:val="009D2E41"/>
    <w:rsid w:val="009D43C9"/>
    <w:rsid w:val="009D5C13"/>
    <w:rsid w:val="009D7219"/>
    <w:rsid w:val="009E0529"/>
    <w:rsid w:val="009E06F4"/>
    <w:rsid w:val="009E35B6"/>
    <w:rsid w:val="009E3937"/>
    <w:rsid w:val="009E4874"/>
    <w:rsid w:val="009E48EA"/>
    <w:rsid w:val="009E76C5"/>
    <w:rsid w:val="009F0906"/>
    <w:rsid w:val="009F0922"/>
    <w:rsid w:val="009F55AB"/>
    <w:rsid w:val="009F62CB"/>
    <w:rsid w:val="009F67C4"/>
    <w:rsid w:val="009F6D11"/>
    <w:rsid w:val="00A01276"/>
    <w:rsid w:val="00A01F5D"/>
    <w:rsid w:val="00A116D5"/>
    <w:rsid w:val="00A117AE"/>
    <w:rsid w:val="00A12B89"/>
    <w:rsid w:val="00A130B9"/>
    <w:rsid w:val="00A155B5"/>
    <w:rsid w:val="00A22541"/>
    <w:rsid w:val="00A30111"/>
    <w:rsid w:val="00A30B21"/>
    <w:rsid w:val="00A367DB"/>
    <w:rsid w:val="00A367DF"/>
    <w:rsid w:val="00A40C8E"/>
    <w:rsid w:val="00A51B9A"/>
    <w:rsid w:val="00A52C29"/>
    <w:rsid w:val="00A52F12"/>
    <w:rsid w:val="00A53020"/>
    <w:rsid w:val="00A536ED"/>
    <w:rsid w:val="00A540C7"/>
    <w:rsid w:val="00A5628A"/>
    <w:rsid w:val="00A62490"/>
    <w:rsid w:val="00A664FE"/>
    <w:rsid w:val="00A7031D"/>
    <w:rsid w:val="00A76A00"/>
    <w:rsid w:val="00A771C4"/>
    <w:rsid w:val="00A7761E"/>
    <w:rsid w:val="00A81BE4"/>
    <w:rsid w:val="00A81CDE"/>
    <w:rsid w:val="00A861F9"/>
    <w:rsid w:val="00A86DDD"/>
    <w:rsid w:val="00A87BB3"/>
    <w:rsid w:val="00A915A3"/>
    <w:rsid w:val="00A93B9F"/>
    <w:rsid w:val="00AA1D4F"/>
    <w:rsid w:val="00AA6E3B"/>
    <w:rsid w:val="00AB0AF7"/>
    <w:rsid w:val="00AB4D5E"/>
    <w:rsid w:val="00AC1006"/>
    <w:rsid w:val="00AC1114"/>
    <w:rsid w:val="00AC1F6E"/>
    <w:rsid w:val="00AC3A93"/>
    <w:rsid w:val="00AD24E2"/>
    <w:rsid w:val="00AD2E3D"/>
    <w:rsid w:val="00AD4A74"/>
    <w:rsid w:val="00AD504D"/>
    <w:rsid w:val="00AE7679"/>
    <w:rsid w:val="00AE7B4C"/>
    <w:rsid w:val="00AF2651"/>
    <w:rsid w:val="00AF3739"/>
    <w:rsid w:val="00AF3C6F"/>
    <w:rsid w:val="00AF55F9"/>
    <w:rsid w:val="00AF60BD"/>
    <w:rsid w:val="00AF6156"/>
    <w:rsid w:val="00AF6165"/>
    <w:rsid w:val="00AF6F0E"/>
    <w:rsid w:val="00B0163A"/>
    <w:rsid w:val="00B01BFD"/>
    <w:rsid w:val="00B03A4B"/>
    <w:rsid w:val="00B05720"/>
    <w:rsid w:val="00B0799C"/>
    <w:rsid w:val="00B15E97"/>
    <w:rsid w:val="00B166F9"/>
    <w:rsid w:val="00B20904"/>
    <w:rsid w:val="00B21DC8"/>
    <w:rsid w:val="00B26730"/>
    <w:rsid w:val="00B27C4D"/>
    <w:rsid w:val="00B27EAC"/>
    <w:rsid w:val="00B32CCC"/>
    <w:rsid w:val="00B357D0"/>
    <w:rsid w:val="00B35D67"/>
    <w:rsid w:val="00B3635E"/>
    <w:rsid w:val="00B36999"/>
    <w:rsid w:val="00B400D8"/>
    <w:rsid w:val="00B45E18"/>
    <w:rsid w:val="00B465F2"/>
    <w:rsid w:val="00B4736E"/>
    <w:rsid w:val="00B51617"/>
    <w:rsid w:val="00B526D8"/>
    <w:rsid w:val="00B54DD8"/>
    <w:rsid w:val="00B5576E"/>
    <w:rsid w:val="00B57005"/>
    <w:rsid w:val="00B62F09"/>
    <w:rsid w:val="00B64585"/>
    <w:rsid w:val="00B65E0B"/>
    <w:rsid w:val="00B678FE"/>
    <w:rsid w:val="00B70EC5"/>
    <w:rsid w:val="00B7437B"/>
    <w:rsid w:val="00B74C4A"/>
    <w:rsid w:val="00B75EBD"/>
    <w:rsid w:val="00B775E1"/>
    <w:rsid w:val="00B804D0"/>
    <w:rsid w:val="00B80E22"/>
    <w:rsid w:val="00B82B1C"/>
    <w:rsid w:val="00B8344F"/>
    <w:rsid w:val="00B837D8"/>
    <w:rsid w:val="00B87F20"/>
    <w:rsid w:val="00B91B99"/>
    <w:rsid w:val="00B921F5"/>
    <w:rsid w:val="00B956AC"/>
    <w:rsid w:val="00B97A6F"/>
    <w:rsid w:val="00BA2073"/>
    <w:rsid w:val="00BA3805"/>
    <w:rsid w:val="00BA410E"/>
    <w:rsid w:val="00BA6CEF"/>
    <w:rsid w:val="00BB006A"/>
    <w:rsid w:val="00BB23DF"/>
    <w:rsid w:val="00BB2CEB"/>
    <w:rsid w:val="00BB3944"/>
    <w:rsid w:val="00BB788B"/>
    <w:rsid w:val="00BB7F81"/>
    <w:rsid w:val="00BC7D13"/>
    <w:rsid w:val="00BD00C1"/>
    <w:rsid w:val="00BD0680"/>
    <w:rsid w:val="00BD12AE"/>
    <w:rsid w:val="00BD1BBA"/>
    <w:rsid w:val="00BD2C14"/>
    <w:rsid w:val="00BE2EEC"/>
    <w:rsid w:val="00BE561A"/>
    <w:rsid w:val="00BE581C"/>
    <w:rsid w:val="00BE634C"/>
    <w:rsid w:val="00BF26AF"/>
    <w:rsid w:val="00BF515B"/>
    <w:rsid w:val="00BF5673"/>
    <w:rsid w:val="00BF7DF2"/>
    <w:rsid w:val="00C05E71"/>
    <w:rsid w:val="00C10431"/>
    <w:rsid w:val="00C10473"/>
    <w:rsid w:val="00C11D18"/>
    <w:rsid w:val="00C12214"/>
    <w:rsid w:val="00C123C6"/>
    <w:rsid w:val="00C13300"/>
    <w:rsid w:val="00C13A89"/>
    <w:rsid w:val="00C1476C"/>
    <w:rsid w:val="00C148A2"/>
    <w:rsid w:val="00C17E62"/>
    <w:rsid w:val="00C23957"/>
    <w:rsid w:val="00C24054"/>
    <w:rsid w:val="00C2504A"/>
    <w:rsid w:val="00C25A6F"/>
    <w:rsid w:val="00C30DC9"/>
    <w:rsid w:val="00C32193"/>
    <w:rsid w:val="00C40C00"/>
    <w:rsid w:val="00C41465"/>
    <w:rsid w:val="00C43B2C"/>
    <w:rsid w:val="00C4431C"/>
    <w:rsid w:val="00C4437C"/>
    <w:rsid w:val="00C4774F"/>
    <w:rsid w:val="00C5140F"/>
    <w:rsid w:val="00C51F2F"/>
    <w:rsid w:val="00C61D53"/>
    <w:rsid w:val="00C6435A"/>
    <w:rsid w:val="00C64D9E"/>
    <w:rsid w:val="00C670DC"/>
    <w:rsid w:val="00C67598"/>
    <w:rsid w:val="00C7051C"/>
    <w:rsid w:val="00C76F6F"/>
    <w:rsid w:val="00C8117D"/>
    <w:rsid w:val="00C82855"/>
    <w:rsid w:val="00C84042"/>
    <w:rsid w:val="00C847DA"/>
    <w:rsid w:val="00C857C5"/>
    <w:rsid w:val="00C86F45"/>
    <w:rsid w:val="00C903AF"/>
    <w:rsid w:val="00C9187B"/>
    <w:rsid w:val="00C9436E"/>
    <w:rsid w:val="00C95904"/>
    <w:rsid w:val="00C95CA6"/>
    <w:rsid w:val="00C97B10"/>
    <w:rsid w:val="00CA1880"/>
    <w:rsid w:val="00CA1F2C"/>
    <w:rsid w:val="00CA437D"/>
    <w:rsid w:val="00CA7159"/>
    <w:rsid w:val="00CA72EB"/>
    <w:rsid w:val="00CB0302"/>
    <w:rsid w:val="00CB2E8D"/>
    <w:rsid w:val="00CB3356"/>
    <w:rsid w:val="00CB48D3"/>
    <w:rsid w:val="00CC0AFC"/>
    <w:rsid w:val="00CC3474"/>
    <w:rsid w:val="00CC4A9A"/>
    <w:rsid w:val="00CC5CD2"/>
    <w:rsid w:val="00CD16F5"/>
    <w:rsid w:val="00CD3D7B"/>
    <w:rsid w:val="00CD7079"/>
    <w:rsid w:val="00CE02C8"/>
    <w:rsid w:val="00CE160C"/>
    <w:rsid w:val="00CE2D55"/>
    <w:rsid w:val="00CF17BD"/>
    <w:rsid w:val="00CF26EC"/>
    <w:rsid w:val="00CF4543"/>
    <w:rsid w:val="00D01AED"/>
    <w:rsid w:val="00D02102"/>
    <w:rsid w:val="00D13F9F"/>
    <w:rsid w:val="00D15735"/>
    <w:rsid w:val="00D15E0E"/>
    <w:rsid w:val="00D22C13"/>
    <w:rsid w:val="00D24FE1"/>
    <w:rsid w:val="00D26D2B"/>
    <w:rsid w:val="00D27C01"/>
    <w:rsid w:val="00D30CB4"/>
    <w:rsid w:val="00D32A0C"/>
    <w:rsid w:val="00D335A6"/>
    <w:rsid w:val="00D34A42"/>
    <w:rsid w:val="00D356A6"/>
    <w:rsid w:val="00D420C8"/>
    <w:rsid w:val="00D47FBE"/>
    <w:rsid w:val="00D55323"/>
    <w:rsid w:val="00D56C21"/>
    <w:rsid w:val="00D62320"/>
    <w:rsid w:val="00D6309D"/>
    <w:rsid w:val="00D70475"/>
    <w:rsid w:val="00D7335F"/>
    <w:rsid w:val="00D81AC8"/>
    <w:rsid w:val="00D81E70"/>
    <w:rsid w:val="00D90902"/>
    <w:rsid w:val="00D91D6C"/>
    <w:rsid w:val="00D91F16"/>
    <w:rsid w:val="00D92255"/>
    <w:rsid w:val="00D936DD"/>
    <w:rsid w:val="00D952AA"/>
    <w:rsid w:val="00D962DC"/>
    <w:rsid w:val="00D9669A"/>
    <w:rsid w:val="00DA0ECF"/>
    <w:rsid w:val="00DA5343"/>
    <w:rsid w:val="00DA656E"/>
    <w:rsid w:val="00DA6DBF"/>
    <w:rsid w:val="00DA7363"/>
    <w:rsid w:val="00DB064A"/>
    <w:rsid w:val="00DB1914"/>
    <w:rsid w:val="00DB277F"/>
    <w:rsid w:val="00DB525E"/>
    <w:rsid w:val="00DB55CC"/>
    <w:rsid w:val="00DB5B93"/>
    <w:rsid w:val="00DB6B8C"/>
    <w:rsid w:val="00DB6F8B"/>
    <w:rsid w:val="00DC0B90"/>
    <w:rsid w:val="00DC33A8"/>
    <w:rsid w:val="00DC3F37"/>
    <w:rsid w:val="00DC4F34"/>
    <w:rsid w:val="00DC53CF"/>
    <w:rsid w:val="00DC6119"/>
    <w:rsid w:val="00DC651A"/>
    <w:rsid w:val="00DC6A86"/>
    <w:rsid w:val="00DD46B2"/>
    <w:rsid w:val="00DE3D41"/>
    <w:rsid w:val="00DF0F12"/>
    <w:rsid w:val="00DF17DB"/>
    <w:rsid w:val="00DF4FD8"/>
    <w:rsid w:val="00E01691"/>
    <w:rsid w:val="00E02C3A"/>
    <w:rsid w:val="00E02E4B"/>
    <w:rsid w:val="00E046EE"/>
    <w:rsid w:val="00E06137"/>
    <w:rsid w:val="00E07703"/>
    <w:rsid w:val="00E12935"/>
    <w:rsid w:val="00E141B6"/>
    <w:rsid w:val="00E14A3F"/>
    <w:rsid w:val="00E202E9"/>
    <w:rsid w:val="00E250B7"/>
    <w:rsid w:val="00E26219"/>
    <w:rsid w:val="00E26501"/>
    <w:rsid w:val="00E31228"/>
    <w:rsid w:val="00E31FD4"/>
    <w:rsid w:val="00E32513"/>
    <w:rsid w:val="00E343B7"/>
    <w:rsid w:val="00E35A26"/>
    <w:rsid w:val="00E40323"/>
    <w:rsid w:val="00E40785"/>
    <w:rsid w:val="00E41F1A"/>
    <w:rsid w:val="00E444E3"/>
    <w:rsid w:val="00E447A2"/>
    <w:rsid w:val="00E5138F"/>
    <w:rsid w:val="00E544B7"/>
    <w:rsid w:val="00E54927"/>
    <w:rsid w:val="00E54E05"/>
    <w:rsid w:val="00E615E5"/>
    <w:rsid w:val="00E61E84"/>
    <w:rsid w:val="00E6778C"/>
    <w:rsid w:val="00E719DA"/>
    <w:rsid w:val="00E71C3F"/>
    <w:rsid w:val="00E73237"/>
    <w:rsid w:val="00E73E60"/>
    <w:rsid w:val="00E73FD5"/>
    <w:rsid w:val="00E76A06"/>
    <w:rsid w:val="00E83661"/>
    <w:rsid w:val="00E84EF5"/>
    <w:rsid w:val="00E85C11"/>
    <w:rsid w:val="00E87B20"/>
    <w:rsid w:val="00E902BE"/>
    <w:rsid w:val="00E913FC"/>
    <w:rsid w:val="00E921C7"/>
    <w:rsid w:val="00EA2444"/>
    <w:rsid w:val="00EA49B1"/>
    <w:rsid w:val="00EA6CA5"/>
    <w:rsid w:val="00EA7283"/>
    <w:rsid w:val="00EB1AC7"/>
    <w:rsid w:val="00EB1FB7"/>
    <w:rsid w:val="00EB2381"/>
    <w:rsid w:val="00EB47F0"/>
    <w:rsid w:val="00EB5C88"/>
    <w:rsid w:val="00EC15E2"/>
    <w:rsid w:val="00EC192B"/>
    <w:rsid w:val="00EC44CC"/>
    <w:rsid w:val="00EC5ED6"/>
    <w:rsid w:val="00EC66C9"/>
    <w:rsid w:val="00ED0612"/>
    <w:rsid w:val="00ED06C9"/>
    <w:rsid w:val="00ED2FEB"/>
    <w:rsid w:val="00ED59D3"/>
    <w:rsid w:val="00ED5A9E"/>
    <w:rsid w:val="00EE1FB5"/>
    <w:rsid w:val="00EE328A"/>
    <w:rsid w:val="00EE4658"/>
    <w:rsid w:val="00EE7D97"/>
    <w:rsid w:val="00EF052B"/>
    <w:rsid w:val="00EF0C7D"/>
    <w:rsid w:val="00EF0D50"/>
    <w:rsid w:val="00EF28BB"/>
    <w:rsid w:val="00EF6398"/>
    <w:rsid w:val="00EF7F04"/>
    <w:rsid w:val="00F00AA8"/>
    <w:rsid w:val="00F0528E"/>
    <w:rsid w:val="00F076B8"/>
    <w:rsid w:val="00F10368"/>
    <w:rsid w:val="00F1563A"/>
    <w:rsid w:val="00F165A0"/>
    <w:rsid w:val="00F2321F"/>
    <w:rsid w:val="00F24E27"/>
    <w:rsid w:val="00F250E9"/>
    <w:rsid w:val="00F25904"/>
    <w:rsid w:val="00F31391"/>
    <w:rsid w:val="00F32537"/>
    <w:rsid w:val="00F334B7"/>
    <w:rsid w:val="00F33E67"/>
    <w:rsid w:val="00F3654C"/>
    <w:rsid w:val="00F36ECA"/>
    <w:rsid w:val="00F3763F"/>
    <w:rsid w:val="00F376DC"/>
    <w:rsid w:val="00F4028D"/>
    <w:rsid w:val="00F40C1B"/>
    <w:rsid w:val="00F42979"/>
    <w:rsid w:val="00F43072"/>
    <w:rsid w:val="00F445E6"/>
    <w:rsid w:val="00F46216"/>
    <w:rsid w:val="00F509DE"/>
    <w:rsid w:val="00F54514"/>
    <w:rsid w:val="00F56F55"/>
    <w:rsid w:val="00F57C73"/>
    <w:rsid w:val="00F72355"/>
    <w:rsid w:val="00F72A39"/>
    <w:rsid w:val="00F76964"/>
    <w:rsid w:val="00F77266"/>
    <w:rsid w:val="00F806F6"/>
    <w:rsid w:val="00F80A44"/>
    <w:rsid w:val="00F8271A"/>
    <w:rsid w:val="00F93F91"/>
    <w:rsid w:val="00F95168"/>
    <w:rsid w:val="00FA11CC"/>
    <w:rsid w:val="00FA23B9"/>
    <w:rsid w:val="00FB56BE"/>
    <w:rsid w:val="00FC028F"/>
    <w:rsid w:val="00FC0C31"/>
    <w:rsid w:val="00FC26E0"/>
    <w:rsid w:val="00FC2748"/>
    <w:rsid w:val="00FC4DCC"/>
    <w:rsid w:val="00FC7A4E"/>
    <w:rsid w:val="00FC7EBF"/>
    <w:rsid w:val="00FD1D98"/>
    <w:rsid w:val="00FD3C5E"/>
    <w:rsid w:val="00FD47F0"/>
    <w:rsid w:val="00FD6DCA"/>
    <w:rsid w:val="00FD7A79"/>
    <w:rsid w:val="00FE23A6"/>
    <w:rsid w:val="00FE5FC3"/>
    <w:rsid w:val="00FF1068"/>
    <w:rsid w:val="00FF33E9"/>
    <w:rsid w:val="00FF5D1A"/>
    <w:rsid w:val="00FF5EF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6D391E2F"/>
  <w15:docId w15:val="{26AA6AB3-CC40-4091-AA65-0FAF4B1B1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23DF"/>
    <w:pPr>
      <w:widowControl w:val="0"/>
      <w:suppressAutoHyphens/>
      <w:autoSpaceDE w:val="0"/>
    </w:pPr>
    <w:rPr>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BB23DF"/>
    <w:rPr>
      <w:rFonts w:ascii="Arial" w:hAnsi="Arial" w:cs="Arial"/>
    </w:rPr>
  </w:style>
  <w:style w:type="character" w:customStyle="1" w:styleId="WW8Num2z0">
    <w:name w:val="WW8Num2z0"/>
    <w:rsid w:val="00BB23DF"/>
    <w:rPr>
      <w:rFonts w:ascii="Arial" w:hAnsi="Arial" w:cs="Arial"/>
    </w:rPr>
  </w:style>
  <w:style w:type="character" w:customStyle="1" w:styleId="WW8Num3z0">
    <w:name w:val="WW8Num3z0"/>
    <w:rsid w:val="00BB23DF"/>
    <w:rPr>
      <w:rFonts w:ascii="Arial" w:hAnsi="Arial" w:cs="Arial"/>
    </w:rPr>
  </w:style>
  <w:style w:type="character" w:customStyle="1" w:styleId="WW8Num4z0">
    <w:name w:val="WW8Num4z0"/>
    <w:rsid w:val="00BB23DF"/>
    <w:rPr>
      <w:rFonts w:ascii="Arial" w:hAnsi="Arial" w:cs="Arial"/>
    </w:rPr>
  </w:style>
  <w:style w:type="character" w:customStyle="1" w:styleId="WW8Num5z0">
    <w:name w:val="WW8Num5z0"/>
    <w:rsid w:val="00BB23DF"/>
    <w:rPr>
      <w:rFonts w:ascii="Arial" w:hAnsi="Arial" w:cs="Arial"/>
    </w:rPr>
  </w:style>
  <w:style w:type="character" w:customStyle="1" w:styleId="WW8Num6z0">
    <w:name w:val="WW8Num6z0"/>
    <w:rsid w:val="00BB23DF"/>
    <w:rPr>
      <w:rFonts w:ascii="Arial" w:hAnsi="Arial" w:cs="Arial"/>
    </w:rPr>
  </w:style>
  <w:style w:type="character" w:customStyle="1" w:styleId="WW8Num7z0">
    <w:name w:val="WW8Num7z0"/>
    <w:rsid w:val="00BB23DF"/>
    <w:rPr>
      <w:rFonts w:ascii="Arial" w:hAnsi="Arial" w:cs="Arial"/>
    </w:rPr>
  </w:style>
  <w:style w:type="character" w:styleId="Hyperlink">
    <w:name w:val="Hyperlink"/>
    <w:rsid w:val="00BB23DF"/>
    <w:rPr>
      <w:color w:val="000080"/>
      <w:u w:val="single"/>
    </w:rPr>
  </w:style>
  <w:style w:type="paragraph" w:customStyle="1" w:styleId="Heading">
    <w:name w:val="Heading"/>
    <w:basedOn w:val="Normal"/>
    <w:next w:val="BodyText"/>
    <w:rsid w:val="00BB23DF"/>
    <w:pPr>
      <w:keepNext/>
      <w:spacing w:before="240" w:after="120"/>
    </w:pPr>
    <w:rPr>
      <w:rFonts w:ascii="Arial" w:eastAsia="Lucida Sans Unicode" w:hAnsi="Arial" w:cs="Tahoma"/>
      <w:sz w:val="28"/>
      <w:szCs w:val="28"/>
    </w:rPr>
  </w:style>
  <w:style w:type="paragraph" w:styleId="BodyText">
    <w:name w:val="Body Text"/>
    <w:basedOn w:val="Normal"/>
    <w:rsid w:val="00BB23DF"/>
    <w:pPr>
      <w:spacing w:after="120"/>
    </w:pPr>
  </w:style>
  <w:style w:type="paragraph" w:styleId="List">
    <w:name w:val="List"/>
    <w:basedOn w:val="BodyText"/>
    <w:rsid w:val="00BB23DF"/>
    <w:rPr>
      <w:rFonts w:cs="Tahoma"/>
    </w:rPr>
  </w:style>
  <w:style w:type="paragraph" w:styleId="Caption">
    <w:name w:val="caption"/>
    <w:basedOn w:val="Normal"/>
    <w:qFormat/>
    <w:rsid w:val="00BB23DF"/>
    <w:pPr>
      <w:suppressLineNumbers/>
      <w:spacing w:before="120" w:after="120"/>
    </w:pPr>
    <w:rPr>
      <w:rFonts w:cs="Tahoma"/>
      <w:i/>
      <w:iCs/>
      <w:sz w:val="24"/>
      <w:szCs w:val="24"/>
    </w:rPr>
  </w:style>
  <w:style w:type="paragraph" w:customStyle="1" w:styleId="Index">
    <w:name w:val="Index"/>
    <w:basedOn w:val="Normal"/>
    <w:rsid w:val="00BB23DF"/>
    <w:pPr>
      <w:suppressLineNumbers/>
    </w:pPr>
    <w:rPr>
      <w:rFonts w:cs="Tahoma"/>
    </w:rPr>
  </w:style>
  <w:style w:type="paragraph" w:customStyle="1" w:styleId="Framecontents">
    <w:name w:val="Frame contents"/>
    <w:basedOn w:val="BodyText"/>
    <w:rsid w:val="00BB23DF"/>
  </w:style>
  <w:style w:type="paragraph" w:customStyle="1" w:styleId="TableContents">
    <w:name w:val="Table Contents"/>
    <w:basedOn w:val="Normal"/>
    <w:rsid w:val="00BB23DF"/>
    <w:pPr>
      <w:suppressLineNumbers/>
    </w:pPr>
  </w:style>
  <w:style w:type="paragraph" w:customStyle="1" w:styleId="TableHeading">
    <w:name w:val="Table Heading"/>
    <w:basedOn w:val="TableContents"/>
    <w:rsid w:val="00BB23DF"/>
    <w:pPr>
      <w:jc w:val="center"/>
    </w:pPr>
    <w:rPr>
      <w:b/>
      <w:bCs/>
    </w:rPr>
  </w:style>
  <w:style w:type="paragraph" w:styleId="BalloonText">
    <w:name w:val="Balloon Text"/>
    <w:basedOn w:val="Normal"/>
    <w:link w:val="BalloonTextChar"/>
    <w:rsid w:val="00642198"/>
    <w:rPr>
      <w:rFonts w:ascii="Segoe UI" w:hAnsi="Segoe UI"/>
      <w:sz w:val="18"/>
      <w:szCs w:val="18"/>
    </w:rPr>
  </w:style>
  <w:style w:type="character" w:customStyle="1" w:styleId="BalloonTextChar">
    <w:name w:val="Balloon Text Char"/>
    <w:link w:val="BalloonText"/>
    <w:rsid w:val="00642198"/>
    <w:rPr>
      <w:rFonts w:ascii="Segoe UI" w:hAnsi="Segoe UI" w:cs="Segoe UI"/>
      <w:sz w:val="18"/>
      <w:szCs w:val="18"/>
      <w:lang w:eastAsia="ar-SA"/>
    </w:rPr>
  </w:style>
  <w:style w:type="table" w:styleId="TableGrid">
    <w:name w:val="Table Grid"/>
    <w:basedOn w:val="TableNormal"/>
    <w:rsid w:val="005835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D4434"/>
    <w:pPr>
      <w:widowControl/>
      <w:suppressAutoHyphens w:val="0"/>
      <w:autoSpaceDE/>
      <w:spacing w:before="100" w:beforeAutospacing="1" w:after="100" w:afterAutospacing="1"/>
    </w:pPr>
    <w:rPr>
      <w:sz w:val="24"/>
      <w:szCs w:val="24"/>
      <w:lang w:eastAsia="en-US"/>
    </w:rPr>
  </w:style>
  <w:style w:type="character" w:styleId="Strong">
    <w:name w:val="Strong"/>
    <w:uiPriority w:val="22"/>
    <w:qFormat/>
    <w:rsid w:val="006736F5"/>
    <w:rPr>
      <w:b/>
      <w:bCs/>
    </w:rPr>
  </w:style>
  <w:style w:type="paragraph" w:customStyle="1" w:styleId="Default">
    <w:name w:val="Default"/>
    <w:rsid w:val="00CD3D7B"/>
    <w:pPr>
      <w:autoSpaceDE w:val="0"/>
      <w:autoSpaceDN w:val="0"/>
      <w:adjustRightInd w:val="0"/>
    </w:pPr>
    <w:rPr>
      <w:color w:val="000000"/>
      <w:sz w:val="24"/>
      <w:szCs w:val="24"/>
    </w:rPr>
  </w:style>
  <w:style w:type="paragraph" w:styleId="z-TopofForm">
    <w:name w:val="HTML Top of Form"/>
    <w:basedOn w:val="Normal"/>
    <w:next w:val="Normal"/>
    <w:link w:val="z-TopofFormChar"/>
    <w:hidden/>
    <w:uiPriority w:val="99"/>
    <w:unhideWhenUsed/>
    <w:rsid w:val="006F6EED"/>
    <w:pPr>
      <w:widowControl/>
      <w:pBdr>
        <w:bottom w:val="single" w:sz="6" w:space="1" w:color="auto"/>
      </w:pBdr>
      <w:suppressAutoHyphens w:val="0"/>
      <w:autoSpaceDE/>
      <w:jc w:val="center"/>
    </w:pPr>
    <w:rPr>
      <w:rFonts w:ascii="Arial" w:hAnsi="Arial"/>
      <w:vanish/>
      <w:sz w:val="16"/>
      <w:szCs w:val="16"/>
    </w:rPr>
  </w:style>
  <w:style w:type="character" w:customStyle="1" w:styleId="z-TopofFormChar">
    <w:name w:val="z-Top of Form Char"/>
    <w:link w:val="z-TopofForm"/>
    <w:uiPriority w:val="99"/>
    <w:rsid w:val="006F6EED"/>
    <w:rPr>
      <w:rFonts w:ascii="Arial" w:hAnsi="Arial" w:cs="Arial"/>
      <w:vanish/>
      <w:sz w:val="16"/>
      <w:szCs w:val="16"/>
    </w:rPr>
  </w:style>
  <w:style w:type="character" w:customStyle="1" w:styleId="gt-ft-text">
    <w:name w:val="gt-ft-text"/>
    <w:rsid w:val="006F6EED"/>
  </w:style>
  <w:style w:type="paragraph" w:styleId="z-BottomofForm">
    <w:name w:val="HTML Bottom of Form"/>
    <w:basedOn w:val="Normal"/>
    <w:next w:val="Normal"/>
    <w:link w:val="z-BottomofFormChar"/>
    <w:hidden/>
    <w:uiPriority w:val="99"/>
    <w:unhideWhenUsed/>
    <w:rsid w:val="006F6EED"/>
    <w:pPr>
      <w:widowControl/>
      <w:pBdr>
        <w:top w:val="single" w:sz="6" w:space="1" w:color="auto"/>
      </w:pBdr>
      <w:suppressAutoHyphens w:val="0"/>
      <w:autoSpaceDE/>
      <w:jc w:val="center"/>
    </w:pPr>
    <w:rPr>
      <w:rFonts w:ascii="Arial" w:hAnsi="Arial"/>
      <w:vanish/>
      <w:sz w:val="16"/>
      <w:szCs w:val="16"/>
    </w:rPr>
  </w:style>
  <w:style w:type="character" w:customStyle="1" w:styleId="z-BottomofFormChar">
    <w:name w:val="z-Bottom of Form Char"/>
    <w:link w:val="z-BottomofForm"/>
    <w:uiPriority w:val="99"/>
    <w:rsid w:val="006F6EED"/>
    <w:rPr>
      <w:rFonts w:ascii="Arial" w:hAnsi="Arial" w:cs="Arial"/>
      <w:vanish/>
      <w:sz w:val="16"/>
      <w:szCs w:val="16"/>
    </w:rPr>
  </w:style>
  <w:style w:type="character" w:styleId="Emphasis">
    <w:name w:val="Emphasis"/>
    <w:uiPriority w:val="20"/>
    <w:qFormat/>
    <w:rsid w:val="00FC26E0"/>
    <w:rPr>
      <w:i/>
      <w:iCs/>
    </w:rPr>
  </w:style>
  <w:style w:type="character" w:customStyle="1" w:styleId="st">
    <w:name w:val="st"/>
    <w:basedOn w:val="DefaultParagraphFont"/>
    <w:rsid w:val="001A3C78"/>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2"/>
    <w:rsid w:val="001A3C78"/>
    <w:pPr>
      <w:widowControl/>
      <w:tabs>
        <w:tab w:val="center" w:pos="4320"/>
        <w:tab w:val="right" w:pos="8640"/>
      </w:tabs>
      <w:suppressAutoHyphens w:val="0"/>
      <w:autoSpaceDE/>
    </w:pPr>
    <w:rPr>
      <w:noProof/>
    </w:rPr>
  </w:style>
  <w:style w:type="character" w:customStyle="1" w:styleId="HeaderChar">
    <w:name w:val="Header Char"/>
    <w:rsid w:val="001A3C78"/>
    <w:rPr>
      <w:lang w:eastAsia="ar-SA"/>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ink w:val="Header"/>
    <w:locked/>
    <w:rsid w:val="001A3C78"/>
    <w:rPr>
      <w:noProof/>
    </w:rPr>
  </w:style>
  <w:style w:type="paragraph" w:styleId="Footer">
    <w:name w:val="footer"/>
    <w:basedOn w:val="Normal"/>
    <w:link w:val="FooterChar"/>
    <w:uiPriority w:val="99"/>
    <w:rsid w:val="003341E8"/>
    <w:pPr>
      <w:tabs>
        <w:tab w:val="center" w:pos="4680"/>
        <w:tab w:val="right" w:pos="9360"/>
      </w:tabs>
    </w:pPr>
  </w:style>
  <w:style w:type="character" w:customStyle="1" w:styleId="FooterChar">
    <w:name w:val="Footer Char"/>
    <w:link w:val="Footer"/>
    <w:uiPriority w:val="99"/>
    <w:rsid w:val="003341E8"/>
    <w:rPr>
      <w:lang w:eastAsia="ar-SA"/>
    </w:rPr>
  </w:style>
  <w:style w:type="paragraph" w:styleId="ListParagraph">
    <w:name w:val="List Paragraph"/>
    <w:basedOn w:val="Normal"/>
    <w:uiPriority w:val="34"/>
    <w:qFormat/>
    <w:rsid w:val="00F2321F"/>
    <w:pPr>
      <w:ind w:left="720"/>
      <w:contextualSpacing/>
    </w:pPr>
  </w:style>
  <w:style w:type="paragraph" w:styleId="Revision">
    <w:name w:val="Revision"/>
    <w:hidden/>
    <w:uiPriority w:val="99"/>
    <w:semiHidden/>
    <w:rsid w:val="0025151A"/>
    <w:rPr>
      <w:lang w:eastAsia="ar-SA"/>
    </w:rPr>
  </w:style>
  <w:style w:type="paragraph" w:styleId="NoSpacing">
    <w:name w:val="No Spacing"/>
    <w:uiPriority w:val="1"/>
    <w:qFormat/>
    <w:rsid w:val="001D6169"/>
    <w:rPr>
      <w:sz w:val="24"/>
      <w:szCs w:val="24"/>
    </w:rPr>
  </w:style>
  <w:style w:type="character" w:styleId="CommentReference">
    <w:name w:val="annotation reference"/>
    <w:basedOn w:val="DefaultParagraphFont"/>
    <w:semiHidden/>
    <w:unhideWhenUsed/>
    <w:rsid w:val="00922577"/>
    <w:rPr>
      <w:sz w:val="16"/>
      <w:szCs w:val="16"/>
    </w:rPr>
  </w:style>
  <w:style w:type="paragraph" w:styleId="CommentText">
    <w:name w:val="annotation text"/>
    <w:basedOn w:val="Normal"/>
    <w:link w:val="CommentTextChar"/>
    <w:semiHidden/>
    <w:unhideWhenUsed/>
    <w:rsid w:val="00922577"/>
  </w:style>
  <w:style w:type="character" w:customStyle="1" w:styleId="CommentTextChar">
    <w:name w:val="Comment Text Char"/>
    <w:basedOn w:val="DefaultParagraphFont"/>
    <w:link w:val="CommentText"/>
    <w:semiHidden/>
    <w:rsid w:val="00922577"/>
    <w:rPr>
      <w:lang w:eastAsia="ar-SA"/>
    </w:rPr>
  </w:style>
  <w:style w:type="paragraph" w:styleId="CommentSubject">
    <w:name w:val="annotation subject"/>
    <w:basedOn w:val="CommentText"/>
    <w:next w:val="CommentText"/>
    <w:link w:val="CommentSubjectChar"/>
    <w:semiHidden/>
    <w:unhideWhenUsed/>
    <w:rsid w:val="00922577"/>
    <w:rPr>
      <w:b/>
      <w:bCs/>
    </w:rPr>
  </w:style>
  <w:style w:type="character" w:customStyle="1" w:styleId="CommentSubjectChar">
    <w:name w:val="Comment Subject Char"/>
    <w:basedOn w:val="CommentTextChar"/>
    <w:link w:val="CommentSubject"/>
    <w:semiHidden/>
    <w:rsid w:val="00922577"/>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11467">
      <w:bodyDiv w:val="1"/>
      <w:marLeft w:val="0"/>
      <w:marRight w:val="0"/>
      <w:marTop w:val="0"/>
      <w:marBottom w:val="0"/>
      <w:divBdr>
        <w:top w:val="none" w:sz="0" w:space="0" w:color="auto"/>
        <w:left w:val="none" w:sz="0" w:space="0" w:color="auto"/>
        <w:bottom w:val="none" w:sz="0" w:space="0" w:color="auto"/>
        <w:right w:val="none" w:sz="0" w:space="0" w:color="auto"/>
      </w:divBdr>
    </w:div>
    <w:div w:id="417756523">
      <w:bodyDiv w:val="1"/>
      <w:marLeft w:val="0"/>
      <w:marRight w:val="0"/>
      <w:marTop w:val="0"/>
      <w:marBottom w:val="0"/>
      <w:divBdr>
        <w:top w:val="none" w:sz="0" w:space="0" w:color="auto"/>
        <w:left w:val="none" w:sz="0" w:space="0" w:color="auto"/>
        <w:bottom w:val="none" w:sz="0" w:space="0" w:color="auto"/>
        <w:right w:val="none" w:sz="0" w:space="0" w:color="auto"/>
      </w:divBdr>
    </w:div>
    <w:div w:id="513081595">
      <w:bodyDiv w:val="1"/>
      <w:marLeft w:val="0"/>
      <w:marRight w:val="0"/>
      <w:marTop w:val="0"/>
      <w:marBottom w:val="0"/>
      <w:divBdr>
        <w:top w:val="none" w:sz="0" w:space="0" w:color="auto"/>
        <w:left w:val="none" w:sz="0" w:space="0" w:color="auto"/>
        <w:bottom w:val="none" w:sz="0" w:space="0" w:color="auto"/>
        <w:right w:val="none" w:sz="0" w:space="0" w:color="auto"/>
      </w:divBdr>
    </w:div>
    <w:div w:id="534467784">
      <w:bodyDiv w:val="1"/>
      <w:marLeft w:val="0"/>
      <w:marRight w:val="0"/>
      <w:marTop w:val="0"/>
      <w:marBottom w:val="0"/>
      <w:divBdr>
        <w:top w:val="none" w:sz="0" w:space="0" w:color="auto"/>
        <w:left w:val="none" w:sz="0" w:space="0" w:color="auto"/>
        <w:bottom w:val="none" w:sz="0" w:space="0" w:color="auto"/>
        <w:right w:val="none" w:sz="0" w:space="0" w:color="auto"/>
      </w:divBdr>
    </w:div>
    <w:div w:id="560870321">
      <w:bodyDiv w:val="1"/>
      <w:marLeft w:val="0"/>
      <w:marRight w:val="0"/>
      <w:marTop w:val="0"/>
      <w:marBottom w:val="0"/>
      <w:divBdr>
        <w:top w:val="none" w:sz="0" w:space="0" w:color="auto"/>
        <w:left w:val="none" w:sz="0" w:space="0" w:color="auto"/>
        <w:bottom w:val="none" w:sz="0" w:space="0" w:color="auto"/>
        <w:right w:val="none" w:sz="0" w:space="0" w:color="auto"/>
      </w:divBdr>
    </w:div>
    <w:div w:id="837695422">
      <w:bodyDiv w:val="1"/>
      <w:marLeft w:val="0"/>
      <w:marRight w:val="0"/>
      <w:marTop w:val="0"/>
      <w:marBottom w:val="0"/>
      <w:divBdr>
        <w:top w:val="none" w:sz="0" w:space="0" w:color="auto"/>
        <w:left w:val="none" w:sz="0" w:space="0" w:color="auto"/>
        <w:bottom w:val="none" w:sz="0" w:space="0" w:color="auto"/>
        <w:right w:val="none" w:sz="0" w:space="0" w:color="auto"/>
      </w:divBdr>
      <w:divsChild>
        <w:div w:id="1629816930">
          <w:marLeft w:val="0"/>
          <w:marRight w:val="0"/>
          <w:marTop w:val="0"/>
          <w:marBottom w:val="0"/>
          <w:divBdr>
            <w:top w:val="none" w:sz="0" w:space="0" w:color="auto"/>
            <w:left w:val="none" w:sz="0" w:space="0" w:color="auto"/>
            <w:bottom w:val="none" w:sz="0" w:space="0" w:color="auto"/>
            <w:right w:val="none" w:sz="0" w:space="0" w:color="auto"/>
          </w:divBdr>
          <w:divsChild>
            <w:div w:id="1988704746">
              <w:marLeft w:val="0"/>
              <w:marRight w:val="0"/>
              <w:marTop w:val="0"/>
              <w:marBottom w:val="0"/>
              <w:divBdr>
                <w:top w:val="none" w:sz="0" w:space="0" w:color="auto"/>
                <w:left w:val="none" w:sz="0" w:space="0" w:color="auto"/>
                <w:bottom w:val="none" w:sz="0" w:space="0" w:color="auto"/>
                <w:right w:val="none" w:sz="0" w:space="0" w:color="auto"/>
              </w:divBdr>
              <w:divsChild>
                <w:div w:id="1314290900">
                  <w:marLeft w:val="0"/>
                  <w:marRight w:val="0"/>
                  <w:marTop w:val="0"/>
                  <w:marBottom w:val="0"/>
                  <w:divBdr>
                    <w:top w:val="none" w:sz="0" w:space="0" w:color="auto"/>
                    <w:left w:val="none" w:sz="0" w:space="0" w:color="auto"/>
                    <w:bottom w:val="none" w:sz="0" w:space="0" w:color="auto"/>
                    <w:right w:val="none" w:sz="0" w:space="0" w:color="auto"/>
                  </w:divBdr>
                  <w:divsChild>
                    <w:div w:id="809595404">
                      <w:marLeft w:val="0"/>
                      <w:marRight w:val="0"/>
                      <w:marTop w:val="0"/>
                      <w:marBottom w:val="0"/>
                      <w:divBdr>
                        <w:top w:val="none" w:sz="0" w:space="0" w:color="auto"/>
                        <w:left w:val="none" w:sz="0" w:space="0" w:color="auto"/>
                        <w:bottom w:val="none" w:sz="0" w:space="0" w:color="auto"/>
                        <w:right w:val="none" w:sz="0" w:space="0" w:color="auto"/>
                      </w:divBdr>
                      <w:divsChild>
                        <w:div w:id="310717828">
                          <w:marLeft w:val="0"/>
                          <w:marRight w:val="0"/>
                          <w:marTop w:val="0"/>
                          <w:marBottom w:val="0"/>
                          <w:divBdr>
                            <w:top w:val="none" w:sz="0" w:space="0" w:color="auto"/>
                            <w:left w:val="none" w:sz="0" w:space="0" w:color="auto"/>
                            <w:bottom w:val="none" w:sz="0" w:space="0" w:color="auto"/>
                            <w:right w:val="none" w:sz="0" w:space="0" w:color="auto"/>
                          </w:divBdr>
                          <w:divsChild>
                            <w:div w:id="519003376">
                              <w:marLeft w:val="0"/>
                              <w:marRight w:val="0"/>
                              <w:marTop w:val="0"/>
                              <w:marBottom w:val="0"/>
                              <w:divBdr>
                                <w:top w:val="none" w:sz="0" w:space="0" w:color="auto"/>
                                <w:left w:val="none" w:sz="0" w:space="0" w:color="auto"/>
                                <w:bottom w:val="none" w:sz="0" w:space="0" w:color="auto"/>
                                <w:right w:val="none" w:sz="0" w:space="0" w:color="auto"/>
                              </w:divBdr>
                              <w:divsChild>
                                <w:div w:id="149841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987183">
                          <w:marLeft w:val="0"/>
                          <w:marRight w:val="0"/>
                          <w:marTop w:val="0"/>
                          <w:marBottom w:val="0"/>
                          <w:divBdr>
                            <w:top w:val="none" w:sz="0" w:space="0" w:color="auto"/>
                            <w:left w:val="none" w:sz="0" w:space="0" w:color="auto"/>
                            <w:bottom w:val="none" w:sz="0" w:space="0" w:color="auto"/>
                            <w:right w:val="none" w:sz="0" w:space="0" w:color="auto"/>
                          </w:divBdr>
                          <w:divsChild>
                            <w:div w:id="1925608880">
                              <w:marLeft w:val="0"/>
                              <w:marRight w:val="0"/>
                              <w:marTop w:val="0"/>
                              <w:marBottom w:val="0"/>
                              <w:divBdr>
                                <w:top w:val="none" w:sz="0" w:space="0" w:color="auto"/>
                                <w:left w:val="none" w:sz="0" w:space="0" w:color="auto"/>
                                <w:bottom w:val="none" w:sz="0" w:space="0" w:color="auto"/>
                                <w:right w:val="none" w:sz="0" w:space="0" w:color="auto"/>
                              </w:divBdr>
                              <w:divsChild>
                                <w:div w:id="2117867798">
                                  <w:marLeft w:val="0"/>
                                  <w:marRight w:val="0"/>
                                  <w:marTop w:val="0"/>
                                  <w:marBottom w:val="0"/>
                                  <w:divBdr>
                                    <w:top w:val="none" w:sz="0" w:space="0" w:color="auto"/>
                                    <w:left w:val="none" w:sz="0" w:space="0" w:color="auto"/>
                                    <w:bottom w:val="none" w:sz="0" w:space="0" w:color="auto"/>
                                    <w:right w:val="none" w:sz="0" w:space="0" w:color="auto"/>
                                  </w:divBdr>
                                  <w:divsChild>
                                    <w:div w:id="90322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2300017">
      <w:bodyDiv w:val="1"/>
      <w:marLeft w:val="0"/>
      <w:marRight w:val="0"/>
      <w:marTop w:val="0"/>
      <w:marBottom w:val="0"/>
      <w:divBdr>
        <w:top w:val="none" w:sz="0" w:space="0" w:color="auto"/>
        <w:left w:val="none" w:sz="0" w:space="0" w:color="auto"/>
        <w:bottom w:val="none" w:sz="0" w:space="0" w:color="auto"/>
        <w:right w:val="none" w:sz="0" w:space="0" w:color="auto"/>
      </w:divBdr>
    </w:div>
    <w:div w:id="1011877387">
      <w:bodyDiv w:val="1"/>
      <w:marLeft w:val="0"/>
      <w:marRight w:val="0"/>
      <w:marTop w:val="0"/>
      <w:marBottom w:val="0"/>
      <w:divBdr>
        <w:top w:val="none" w:sz="0" w:space="0" w:color="auto"/>
        <w:left w:val="none" w:sz="0" w:space="0" w:color="auto"/>
        <w:bottom w:val="none" w:sz="0" w:space="0" w:color="auto"/>
        <w:right w:val="none" w:sz="0" w:space="0" w:color="auto"/>
      </w:divBdr>
    </w:div>
    <w:div w:id="1101728140">
      <w:bodyDiv w:val="1"/>
      <w:marLeft w:val="0"/>
      <w:marRight w:val="0"/>
      <w:marTop w:val="0"/>
      <w:marBottom w:val="0"/>
      <w:divBdr>
        <w:top w:val="none" w:sz="0" w:space="0" w:color="auto"/>
        <w:left w:val="none" w:sz="0" w:space="0" w:color="auto"/>
        <w:bottom w:val="none" w:sz="0" w:space="0" w:color="auto"/>
        <w:right w:val="none" w:sz="0" w:space="0" w:color="auto"/>
      </w:divBdr>
    </w:div>
    <w:div w:id="1117792627">
      <w:bodyDiv w:val="1"/>
      <w:marLeft w:val="0"/>
      <w:marRight w:val="0"/>
      <w:marTop w:val="0"/>
      <w:marBottom w:val="0"/>
      <w:divBdr>
        <w:top w:val="none" w:sz="0" w:space="0" w:color="auto"/>
        <w:left w:val="none" w:sz="0" w:space="0" w:color="auto"/>
        <w:bottom w:val="none" w:sz="0" w:space="0" w:color="auto"/>
        <w:right w:val="none" w:sz="0" w:space="0" w:color="auto"/>
      </w:divBdr>
    </w:div>
    <w:div w:id="1200388253">
      <w:bodyDiv w:val="1"/>
      <w:marLeft w:val="0"/>
      <w:marRight w:val="0"/>
      <w:marTop w:val="0"/>
      <w:marBottom w:val="0"/>
      <w:divBdr>
        <w:top w:val="none" w:sz="0" w:space="0" w:color="auto"/>
        <w:left w:val="none" w:sz="0" w:space="0" w:color="auto"/>
        <w:bottom w:val="none" w:sz="0" w:space="0" w:color="auto"/>
        <w:right w:val="none" w:sz="0" w:space="0" w:color="auto"/>
      </w:divBdr>
      <w:divsChild>
        <w:div w:id="129523190">
          <w:marLeft w:val="0"/>
          <w:marRight w:val="0"/>
          <w:marTop w:val="0"/>
          <w:marBottom w:val="0"/>
          <w:divBdr>
            <w:top w:val="none" w:sz="0" w:space="0" w:color="auto"/>
            <w:left w:val="none" w:sz="0" w:space="0" w:color="auto"/>
            <w:bottom w:val="none" w:sz="0" w:space="0" w:color="auto"/>
            <w:right w:val="none" w:sz="0" w:space="0" w:color="auto"/>
          </w:divBdr>
          <w:divsChild>
            <w:div w:id="678578848">
              <w:marLeft w:val="0"/>
              <w:marRight w:val="0"/>
              <w:marTop w:val="0"/>
              <w:marBottom w:val="0"/>
              <w:divBdr>
                <w:top w:val="none" w:sz="0" w:space="0" w:color="auto"/>
                <w:left w:val="none" w:sz="0" w:space="0" w:color="auto"/>
                <w:bottom w:val="none" w:sz="0" w:space="0" w:color="auto"/>
                <w:right w:val="none" w:sz="0" w:space="0" w:color="auto"/>
              </w:divBdr>
              <w:divsChild>
                <w:div w:id="579557563">
                  <w:marLeft w:val="0"/>
                  <w:marRight w:val="0"/>
                  <w:marTop w:val="0"/>
                  <w:marBottom w:val="0"/>
                  <w:divBdr>
                    <w:top w:val="none" w:sz="0" w:space="0" w:color="auto"/>
                    <w:left w:val="none" w:sz="0" w:space="0" w:color="auto"/>
                    <w:bottom w:val="none" w:sz="0" w:space="0" w:color="auto"/>
                    <w:right w:val="none" w:sz="0" w:space="0" w:color="auto"/>
                  </w:divBdr>
                  <w:divsChild>
                    <w:div w:id="141821937">
                      <w:marLeft w:val="0"/>
                      <w:marRight w:val="0"/>
                      <w:marTop w:val="0"/>
                      <w:marBottom w:val="0"/>
                      <w:divBdr>
                        <w:top w:val="none" w:sz="0" w:space="0" w:color="auto"/>
                        <w:left w:val="none" w:sz="0" w:space="0" w:color="auto"/>
                        <w:bottom w:val="none" w:sz="0" w:space="0" w:color="auto"/>
                        <w:right w:val="none" w:sz="0" w:space="0" w:color="auto"/>
                      </w:divBdr>
                      <w:divsChild>
                        <w:div w:id="74318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573665">
          <w:marLeft w:val="0"/>
          <w:marRight w:val="0"/>
          <w:marTop w:val="0"/>
          <w:marBottom w:val="0"/>
          <w:divBdr>
            <w:top w:val="none" w:sz="0" w:space="0" w:color="auto"/>
            <w:left w:val="none" w:sz="0" w:space="0" w:color="auto"/>
            <w:bottom w:val="none" w:sz="0" w:space="0" w:color="auto"/>
            <w:right w:val="none" w:sz="0" w:space="0" w:color="auto"/>
          </w:divBdr>
          <w:divsChild>
            <w:div w:id="313025421">
              <w:marLeft w:val="0"/>
              <w:marRight w:val="0"/>
              <w:marTop w:val="0"/>
              <w:marBottom w:val="0"/>
              <w:divBdr>
                <w:top w:val="none" w:sz="0" w:space="0" w:color="auto"/>
                <w:left w:val="none" w:sz="0" w:space="0" w:color="auto"/>
                <w:bottom w:val="none" w:sz="0" w:space="0" w:color="auto"/>
                <w:right w:val="none" w:sz="0" w:space="0" w:color="auto"/>
              </w:divBdr>
              <w:divsChild>
                <w:div w:id="1793016340">
                  <w:marLeft w:val="0"/>
                  <w:marRight w:val="0"/>
                  <w:marTop w:val="0"/>
                  <w:marBottom w:val="0"/>
                  <w:divBdr>
                    <w:top w:val="none" w:sz="0" w:space="0" w:color="auto"/>
                    <w:left w:val="none" w:sz="0" w:space="0" w:color="auto"/>
                    <w:bottom w:val="none" w:sz="0" w:space="0" w:color="auto"/>
                    <w:right w:val="none" w:sz="0" w:space="0" w:color="auto"/>
                  </w:divBdr>
                  <w:divsChild>
                    <w:div w:id="232470805">
                      <w:marLeft w:val="0"/>
                      <w:marRight w:val="0"/>
                      <w:marTop w:val="0"/>
                      <w:marBottom w:val="0"/>
                      <w:divBdr>
                        <w:top w:val="none" w:sz="0" w:space="0" w:color="auto"/>
                        <w:left w:val="none" w:sz="0" w:space="0" w:color="auto"/>
                        <w:bottom w:val="none" w:sz="0" w:space="0" w:color="auto"/>
                        <w:right w:val="none" w:sz="0" w:space="0" w:color="auto"/>
                      </w:divBdr>
                      <w:divsChild>
                        <w:div w:id="1604875269">
                          <w:marLeft w:val="0"/>
                          <w:marRight w:val="0"/>
                          <w:marTop w:val="0"/>
                          <w:marBottom w:val="0"/>
                          <w:divBdr>
                            <w:top w:val="none" w:sz="0" w:space="0" w:color="auto"/>
                            <w:left w:val="none" w:sz="0" w:space="0" w:color="auto"/>
                            <w:bottom w:val="none" w:sz="0" w:space="0" w:color="auto"/>
                            <w:right w:val="none" w:sz="0" w:space="0" w:color="auto"/>
                          </w:divBdr>
                          <w:divsChild>
                            <w:div w:id="171372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5532422">
          <w:marLeft w:val="0"/>
          <w:marRight w:val="0"/>
          <w:marTop w:val="0"/>
          <w:marBottom w:val="0"/>
          <w:divBdr>
            <w:top w:val="none" w:sz="0" w:space="0" w:color="auto"/>
            <w:left w:val="none" w:sz="0" w:space="0" w:color="auto"/>
            <w:bottom w:val="none" w:sz="0" w:space="0" w:color="auto"/>
            <w:right w:val="none" w:sz="0" w:space="0" w:color="auto"/>
          </w:divBdr>
        </w:div>
      </w:divsChild>
    </w:div>
    <w:div w:id="1243369702">
      <w:bodyDiv w:val="1"/>
      <w:marLeft w:val="0"/>
      <w:marRight w:val="0"/>
      <w:marTop w:val="0"/>
      <w:marBottom w:val="0"/>
      <w:divBdr>
        <w:top w:val="none" w:sz="0" w:space="0" w:color="auto"/>
        <w:left w:val="none" w:sz="0" w:space="0" w:color="auto"/>
        <w:bottom w:val="none" w:sz="0" w:space="0" w:color="auto"/>
        <w:right w:val="none" w:sz="0" w:space="0" w:color="auto"/>
      </w:divBdr>
      <w:divsChild>
        <w:div w:id="146945756">
          <w:marLeft w:val="0"/>
          <w:marRight w:val="0"/>
          <w:marTop w:val="0"/>
          <w:marBottom w:val="0"/>
          <w:divBdr>
            <w:top w:val="none" w:sz="0" w:space="0" w:color="auto"/>
            <w:left w:val="none" w:sz="0" w:space="0" w:color="auto"/>
            <w:bottom w:val="none" w:sz="0" w:space="0" w:color="auto"/>
            <w:right w:val="none" w:sz="0" w:space="0" w:color="auto"/>
          </w:divBdr>
          <w:divsChild>
            <w:div w:id="1201626776">
              <w:marLeft w:val="0"/>
              <w:marRight w:val="0"/>
              <w:marTop w:val="0"/>
              <w:marBottom w:val="0"/>
              <w:divBdr>
                <w:top w:val="none" w:sz="0" w:space="0" w:color="auto"/>
                <w:left w:val="none" w:sz="0" w:space="0" w:color="auto"/>
                <w:bottom w:val="none" w:sz="0" w:space="0" w:color="auto"/>
                <w:right w:val="none" w:sz="0" w:space="0" w:color="auto"/>
              </w:divBdr>
              <w:divsChild>
                <w:div w:id="1634404434">
                  <w:marLeft w:val="0"/>
                  <w:marRight w:val="0"/>
                  <w:marTop w:val="0"/>
                  <w:marBottom w:val="0"/>
                  <w:divBdr>
                    <w:top w:val="none" w:sz="0" w:space="0" w:color="auto"/>
                    <w:left w:val="none" w:sz="0" w:space="0" w:color="auto"/>
                    <w:bottom w:val="none" w:sz="0" w:space="0" w:color="auto"/>
                    <w:right w:val="none" w:sz="0" w:space="0" w:color="auto"/>
                  </w:divBdr>
                  <w:divsChild>
                    <w:div w:id="953707557">
                      <w:marLeft w:val="0"/>
                      <w:marRight w:val="0"/>
                      <w:marTop w:val="0"/>
                      <w:marBottom w:val="0"/>
                      <w:divBdr>
                        <w:top w:val="none" w:sz="0" w:space="0" w:color="auto"/>
                        <w:left w:val="none" w:sz="0" w:space="0" w:color="auto"/>
                        <w:bottom w:val="none" w:sz="0" w:space="0" w:color="auto"/>
                        <w:right w:val="none" w:sz="0" w:space="0" w:color="auto"/>
                      </w:divBdr>
                      <w:divsChild>
                        <w:div w:id="160657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338318">
          <w:marLeft w:val="0"/>
          <w:marRight w:val="0"/>
          <w:marTop w:val="0"/>
          <w:marBottom w:val="0"/>
          <w:divBdr>
            <w:top w:val="none" w:sz="0" w:space="0" w:color="auto"/>
            <w:left w:val="none" w:sz="0" w:space="0" w:color="auto"/>
            <w:bottom w:val="none" w:sz="0" w:space="0" w:color="auto"/>
            <w:right w:val="none" w:sz="0" w:space="0" w:color="auto"/>
          </w:divBdr>
          <w:divsChild>
            <w:div w:id="184445844">
              <w:marLeft w:val="0"/>
              <w:marRight w:val="0"/>
              <w:marTop w:val="0"/>
              <w:marBottom w:val="0"/>
              <w:divBdr>
                <w:top w:val="none" w:sz="0" w:space="0" w:color="auto"/>
                <w:left w:val="none" w:sz="0" w:space="0" w:color="auto"/>
                <w:bottom w:val="none" w:sz="0" w:space="0" w:color="auto"/>
                <w:right w:val="none" w:sz="0" w:space="0" w:color="auto"/>
              </w:divBdr>
              <w:divsChild>
                <w:div w:id="230391537">
                  <w:marLeft w:val="0"/>
                  <w:marRight w:val="0"/>
                  <w:marTop w:val="0"/>
                  <w:marBottom w:val="0"/>
                  <w:divBdr>
                    <w:top w:val="none" w:sz="0" w:space="0" w:color="auto"/>
                    <w:left w:val="none" w:sz="0" w:space="0" w:color="auto"/>
                    <w:bottom w:val="none" w:sz="0" w:space="0" w:color="auto"/>
                    <w:right w:val="none" w:sz="0" w:space="0" w:color="auto"/>
                  </w:divBdr>
                  <w:divsChild>
                    <w:div w:id="630482061">
                      <w:marLeft w:val="0"/>
                      <w:marRight w:val="0"/>
                      <w:marTop w:val="0"/>
                      <w:marBottom w:val="0"/>
                      <w:divBdr>
                        <w:top w:val="none" w:sz="0" w:space="0" w:color="auto"/>
                        <w:left w:val="none" w:sz="0" w:space="0" w:color="auto"/>
                        <w:bottom w:val="none" w:sz="0" w:space="0" w:color="auto"/>
                        <w:right w:val="none" w:sz="0" w:space="0" w:color="auto"/>
                      </w:divBdr>
                      <w:divsChild>
                        <w:div w:id="43528213">
                          <w:marLeft w:val="0"/>
                          <w:marRight w:val="0"/>
                          <w:marTop w:val="0"/>
                          <w:marBottom w:val="0"/>
                          <w:divBdr>
                            <w:top w:val="none" w:sz="0" w:space="0" w:color="auto"/>
                            <w:left w:val="none" w:sz="0" w:space="0" w:color="auto"/>
                            <w:bottom w:val="none" w:sz="0" w:space="0" w:color="auto"/>
                            <w:right w:val="none" w:sz="0" w:space="0" w:color="auto"/>
                          </w:divBdr>
                          <w:divsChild>
                            <w:div w:id="65595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5261759">
          <w:marLeft w:val="0"/>
          <w:marRight w:val="0"/>
          <w:marTop w:val="0"/>
          <w:marBottom w:val="0"/>
          <w:divBdr>
            <w:top w:val="none" w:sz="0" w:space="0" w:color="auto"/>
            <w:left w:val="none" w:sz="0" w:space="0" w:color="auto"/>
            <w:bottom w:val="none" w:sz="0" w:space="0" w:color="auto"/>
            <w:right w:val="none" w:sz="0" w:space="0" w:color="auto"/>
          </w:divBdr>
        </w:div>
      </w:divsChild>
    </w:div>
    <w:div w:id="1436244627">
      <w:bodyDiv w:val="1"/>
      <w:marLeft w:val="0"/>
      <w:marRight w:val="0"/>
      <w:marTop w:val="0"/>
      <w:marBottom w:val="0"/>
      <w:divBdr>
        <w:top w:val="none" w:sz="0" w:space="0" w:color="auto"/>
        <w:left w:val="none" w:sz="0" w:space="0" w:color="auto"/>
        <w:bottom w:val="none" w:sz="0" w:space="0" w:color="auto"/>
        <w:right w:val="none" w:sz="0" w:space="0" w:color="auto"/>
      </w:divBdr>
      <w:divsChild>
        <w:div w:id="2111731679">
          <w:marLeft w:val="0"/>
          <w:marRight w:val="0"/>
          <w:marTop w:val="0"/>
          <w:marBottom w:val="0"/>
          <w:divBdr>
            <w:top w:val="none" w:sz="0" w:space="0" w:color="auto"/>
            <w:left w:val="none" w:sz="0" w:space="0" w:color="auto"/>
            <w:bottom w:val="none" w:sz="0" w:space="0" w:color="auto"/>
            <w:right w:val="none" w:sz="0" w:space="0" w:color="auto"/>
          </w:divBdr>
          <w:divsChild>
            <w:div w:id="1502693284">
              <w:marLeft w:val="0"/>
              <w:marRight w:val="0"/>
              <w:marTop w:val="0"/>
              <w:marBottom w:val="0"/>
              <w:divBdr>
                <w:top w:val="none" w:sz="0" w:space="0" w:color="auto"/>
                <w:left w:val="none" w:sz="0" w:space="0" w:color="auto"/>
                <w:bottom w:val="none" w:sz="0" w:space="0" w:color="auto"/>
                <w:right w:val="none" w:sz="0" w:space="0" w:color="auto"/>
              </w:divBdr>
              <w:divsChild>
                <w:div w:id="1228806935">
                  <w:marLeft w:val="0"/>
                  <w:marRight w:val="0"/>
                  <w:marTop w:val="0"/>
                  <w:marBottom w:val="0"/>
                  <w:divBdr>
                    <w:top w:val="none" w:sz="0" w:space="0" w:color="auto"/>
                    <w:left w:val="none" w:sz="0" w:space="0" w:color="auto"/>
                    <w:bottom w:val="none" w:sz="0" w:space="0" w:color="auto"/>
                    <w:right w:val="none" w:sz="0" w:space="0" w:color="auto"/>
                  </w:divBdr>
                  <w:divsChild>
                    <w:div w:id="1269392259">
                      <w:marLeft w:val="0"/>
                      <w:marRight w:val="0"/>
                      <w:marTop w:val="0"/>
                      <w:marBottom w:val="0"/>
                      <w:divBdr>
                        <w:top w:val="none" w:sz="0" w:space="0" w:color="auto"/>
                        <w:left w:val="none" w:sz="0" w:space="0" w:color="auto"/>
                        <w:bottom w:val="none" w:sz="0" w:space="0" w:color="auto"/>
                        <w:right w:val="none" w:sz="0" w:space="0" w:color="auto"/>
                      </w:divBdr>
                      <w:divsChild>
                        <w:div w:id="767962898">
                          <w:marLeft w:val="0"/>
                          <w:marRight w:val="0"/>
                          <w:marTop w:val="0"/>
                          <w:marBottom w:val="0"/>
                          <w:divBdr>
                            <w:top w:val="none" w:sz="0" w:space="0" w:color="auto"/>
                            <w:left w:val="none" w:sz="0" w:space="0" w:color="auto"/>
                            <w:bottom w:val="none" w:sz="0" w:space="0" w:color="auto"/>
                            <w:right w:val="none" w:sz="0" w:space="0" w:color="auto"/>
                          </w:divBdr>
                          <w:divsChild>
                            <w:div w:id="1957323897">
                              <w:marLeft w:val="0"/>
                              <w:marRight w:val="0"/>
                              <w:marTop w:val="0"/>
                              <w:marBottom w:val="0"/>
                              <w:divBdr>
                                <w:top w:val="none" w:sz="0" w:space="0" w:color="auto"/>
                                <w:left w:val="none" w:sz="0" w:space="0" w:color="auto"/>
                                <w:bottom w:val="none" w:sz="0" w:space="0" w:color="auto"/>
                                <w:right w:val="none" w:sz="0" w:space="0" w:color="auto"/>
                              </w:divBdr>
                              <w:divsChild>
                                <w:div w:id="66305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368458">
                          <w:marLeft w:val="0"/>
                          <w:marRight w:val="0"/>
                          <w:marTop w:val="0"/>
                          <w:marBottom w:val="0"/>
                          <w:divBdr>
                            <w:top w:val="none" w:sz="0" w:space="0" w:color="auto"/>
                            <w:left w:val="none" w:sz="0" w:space="0" w:color="auto"/>
                            <w:bottom w:val="none" w:sz="0" w:space="0" w:color="auto"/>
                            <w:right w:val="none" w:sz="0" w:space="0" w:color="auto"/>
                          </w:divBdr>
                          <w:divsChild>
                            <w:div w:id="1345551368">
                              <w:marLeft w:val="0"/>
                              <w:marRight w:val="0"/>
                              <w:marTop w:val="0"/>
                              <w:marBottom w:val="0"/>
                              <w:divBdr>
                                <w:top w:val="none" w:sz="0" w:space="0" w:color="auto"/>
                                <w:left w:val="none" w:sz="0" w:space="0" w:color="auto"/>
                                <w:bottom w:val="none" w:sz="0" w:space="0" w:color="auto"/>
                                <w:right w:val="none" w:sz="0" w:space="0" w:color="auto"/>
                              </w:divBdr>
                              <w:divsChild>
                                <w:div w:id="912668091">
                                  <w:marLeft w:val="0"/>
                                  <w:marRight w:val="0"/>
                                  <w:marTop w:val="0"/>
                                  <w:marBottom w:val="0"/>
                                  <w:divBdr>
                                    <w:top w:val="none" w:sz="0" w:space="0" w:color="auto"/>
                                    <w:left w:val="none" w:sz="0" w:space="0" w:color="auto"/>
                                    <w:bottom w:val="none" w:sz="0" w:space="0" w:color="auto"/>
                                    <w:right w:val="none" w:sz="0" w:space="0" w:color="auto"/>
                                  </w:divBdr>
                                  <w:divsChild>
                                    <w:div w:id="136416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9749187">
      <w:bodyDiv w:val="1"/>
      <w:marLeft w:val="0"/>
      <w:marRight w:val="0"/>
      <w:marTop w:val="0"/>
      <w:marBottom w:val="0"/>
      <w:divBdr>
        <w:top w:val="none" w:sz="0" w:space="0" w:color="auto"/>
        <w:left w:val="none" w:sz="0" w:space="0" w:color="auto"/>
        <w:bottom w:val="none" w:sz="0" w:space="0" w:color="auto"/>
        <w:right w:val="none" w:sz="0" w:space="0" w:color="auto"/>
      </w:divBdr>
    </w:div>
    <w:div w:id="1762794173">
      <w:bodyDiv w:val="1"/>
      <w:marLeft w:val="0"/>
      <w:marRight w:val="0"/>
      <w:marTop w:val="0"/>
      <w:marBottom w:val="0"/>
      <w:divBdr>
        <w:top w:val="none" w:sz="0" w:space="0" w:color="auto"/>
        <w:left w:val="none" w:sz="0" w:space="0" w:color="auto"/>
        <w:bottom w:val="none" w:sz="0" w:space="0" w:color="auto"/>
        <w:right w:val="none" w:sz="0" w:space="0" w:color="auto"/>
      </w:divBdr>
    </w:div>
    <w:div w:id="1819495653">
      <w:bodyDiv w:val="1"/>
      <w:marLeft w:val="0"/>
      <w:marRight w:val="0"/>
      <w:marTop w:val="0"/>
      <w:marBottom w:val="0"/>
      <w:divBdr>
        <w:top w:val="none" w:sz="0" w:space="0" w:color="auto"/>
        <w:left w:val="none" w:sz="0" w:space="0" w:color="auto"/>
        <w:bottom w:val="none" w:sz="0" w:space="0" w:color="auto"/>
        <w:right w:val="none" w:sz="0" w:space="0" w:color="auto"/>
      </w:divBdr>
    </w:div>
    <w:div w:id="1952125488">
      <w:bodyDiv w:val="1"/>
      <w:marLeft w:val="0"/>
      <w:marRight w:val="0"/>
      <w:marTop w:val="0"/>
      <w:marBottom w:val="0"/>
      <w:divBdr>
        <w:top w:val="none" w:sz="0" w:space="0" w:color="auto"/>
        <w:left w:val="none" w:sz="0" w:space="0" w:color="auto"/>
        <w:bottom w:val="none" w:sz="0" w:space="0" w:color="auto"/>
        <w:right w:val="none" w:sz="0" w:space="0" w:color="auto"/>
      </w:divBdr>
    </w:div>
    <w:div w:id="2057922597">
      <w:bodyDiv w:val="1"/>
      <w:marLeft w:val="0"/>
      <w:marRight w:val="0"/>
      <w:marTop w:val="0"/>
      <w:marBottom w:val="0"/>
      <w:divBdr>
        <w:top w:val="none" w:sz="0" w:space="0" w:color="auto"/>
        <w:left w:val="none" w:sz="0" w:space="0" w:color="auto"/>
        <w:bottom w:val="none" w:sz="0" w:space="0" w:color="auto"/>
        <w:right w:val="none" w:sz="0" w:space="0" w:color="auto"/>
      </w:divBdr>
    </w:div>
    <w:div w:id="2083062623">
      <w:bodyDiv w:val="1"/>
      <w:marLeft w:val="0"/>
      <w:marRight w:val="0"/>
      <w:marTop w:val="0"/>
      <w:marBottom w:val="0"/>
      <w:divBdr>
        <w:top w:val="none" w:sz="0" w:space="0" w:color="auto"/>
        <w:left w:val="none" w:sz="0" w:space="0" w:color="auto"/>
        <w:bottom w:val="none" w:sz="0" w:space="0" w:color="auto"/>
        <w:right w:val="none" w:sz="0" w:space="0" w:color="auto"/>
      </w:divBdr>
      <w:divsChild>
        <w:div w:id="779255136">
          <w:marLeft w:val="0"/>
          <w:marRight w:val="0"/>
          <w:marTop w:val="0"/>
          <w:marBottom w:val="0"/>
          <w:divBdr>
            <w:top w:val="none" w:sz="0" w:space="0" w:color="auto"/>
            <w:left w:val="none" w:sz="0" w:space="0" w:color="auto"/>
            <w:bottom w:val="none" w:sz="0" w:space="0" w:color="auto"/>
            <w:right w:val="none" w:sz="0" w:space="0" w:color="auto"/>
          </w:divBdr>
          <w:divsChild>
            <w:div w:id="1127817179">
              <w:marLeft w:val="0"/>
              <w:marRight w:val="0"/>
              <w:marTop w:val="0"/>
              <w:marBottom w:val="0"/>
              <w:divBdr>
                <w:top w:val="none" w:sz="0" w:space="0" w:color="auto"/>
                <w:left w:val="none" w:sz="0" w:space="0" w:color="auto"/>
                <w:bottom w:val="none" w:sz="0" w:space="0" w:color="auto"/>
                <w:right w:val="none" w:sz="0" w:space="0" w:color="auto"/>
              </w:divBdr>
              <w:divsChild>
                <w:div w:id="1490636313">
                  <w:marLeft w:val="0"/>
                  <w:marRight w:val="0"/>
                  <w:marTop w:val="0"/>
                  <w:marBottom w:val="0"/>
                  <w:divBdr>
                    <w:top w:val="none" w:sz="0" w:space="0" w:color="auto"/>
                    <w:left w:val="none" w:sz="0" w:space="0" w:color="auto"/>
                    <w:bottom w:val="none" w:sz="0" w:space="0" w:color="auto"/>
                    <w:right w:val="none" w:sz="0" w:space="0" w:color="auto"/>
                  </w:divBdr>
                  <w:divsChild>
                    <w:div w:id="850224347">
                      <w:marLeft w:val="0"/>
                      <w:marRight w:val="0"/>
                      <w:marTop w:val="0"/>
                      <w:marBottom w:val="0"/>
                      <w:divBdr>
                        <w:top w:val="none" w:sz="0" w:space="0" w:color="auto"/>
                        <w:left w:val="none" w:sz="0" w:space="0" w:color="auto"/>
                        <w:bottom w:val="none" w:sz="0" w:space="0" w:color="auto"/>
                        <w:right w:val="none" w:sz="0" w:space="0" w:color="auto"/>
                      </w:divBdr>
                      <w:divsChild>
                        <w:div w:id="660741778">
                          <w:marLeft w:val="0"/>
                          <w:marRight w:val="0"/>
                          <w:marTop w:val="0"/>
                          <w:marBottom w:val="0"/>
                          <w:divBdr>
                            <w:top w:val="none" w:sz="0" w:space="0" w:color="auto"/>
                            <w:left w:val="none" w:sz="0" w:space="0" w:color="auto"/>
                            <w:bottom w:val="none" w:sz="0" w:space="0" w:color="auto"/>
                            <w:right w:val="none" w:sz="0" w:space="0" w:color="auto"/>
                          </w:divBdr>
                          <w:divsChild>
                            <w:div w:id="1077434732">
                              <w:marLeft w:val="0"/>
                              <w:marRight w:val="0"/>
                              <w:marTop w:val="0"/>
                              <w:marBottom w:val="0"/>
                              <w:divBdr>
                                <w:top w:val="none" w:sz="0" w:space="0" w:color="auto"/>
                                <w:left w:val="none" w:sz="0" w:space="0" w:color="auto"/>
                                <w:bottom w:val="none" w:sz="0" w:space="0" w:color="auto"/>
                                <w:right w:val="none" w:sz="0" w:space="0" w:color="auto"/>
                              </w:divBdr>
                              <w:divsChild>
                                <w:div w:id="2043551891">
                                  <w:marLeft w:val="0"/>
                                  <w:marRight w:val="0"/>
                                  <w:marTop w:val="0"/>
                                  <w:marBottom w:val="0"/>
                                  <w:divBdr>
                                    <w:top w:val="none" w:sz="0" w:space="0" w:color="auto"/>
                                    <w:left w:val="none" w:sz="0" w:space="0" w:color="auto"/>
                                    <w:bottom w:val="none" w:sz="0" w:space="0" w:color="auto"/>
                                    <w:right w:val="none" w:sz="0" w:space="0" w:color="auto"/>
                                  </w:divBdr>
                                  <w:divsChild>
                                    <w:div w:id="6992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181876">
                          <w:marLeft w:val="0"/>
                          <w:marRight w:val="0"/>
                          <w:marTop w:val="0"/>
                          <w:marBottom w:val="0"/>
                          <w:divBdr>
                            <w:top w:val="none" w:sz="0" w:space="0" w:color="auto"/>
                            <w:left w:val="none" w:sz="0" w:space="0" w:color="auto"/>
                            <w:bottom w:val="none" w:sz="0" w:space="0" w:color="auto"/>
                            <w:right w:val="none" w:sz="0" w:space="0" w:color="auto"/>
                          </w:divBdr>
                          <w:divsChild>
                            <w:div w:id="43679539">
                              <w:marLeft w:val="0"/>
                              <w:marRight w:val="0"/>
                              <w:marTop w:val="0"/>
                              <w:marBottom w:val="0"/>
                              <w:divBdr>
                                <w:top w:val="none" w:sz="0" w:space="0" w:color="auto"/>
                                <w:left w:val="none" w:sz="0" w:space="0" w:color="auto"/>
                                <w:bottom w:val="none" w:sz="0" w:space="0" w:color="auto"/>
                                <w:right w:val="none" w:sz="0" w:space="0" w:color="auto"/>
                              </w:divBdr>
                              <w:divsChild>
                                <w:div w:id="166724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72A1D-1D24-4A6B-A80A-05B858BBC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8610</Words>
  <Characters>49081</Characters>
  <Application>Microsoft Office Word</Application>
  <DocSecurity>0</DocSecurity>
  <Lines>409</Lines>
  <Paragraphs>115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SAŽETAK KARAKTERISTIKA LIJEKA</vt:lpstr>
      <vt:lpstr>SAŽETAK KARAKTERISTIKA LIJEKA</vt:lpstr>
    </vt:vector>
  </TitlesOfParts>
  <Company>FNGR</Company>
  <LinksUpToDate>false</LinksUpToDate>
  <CharactersWithSpaces>57576</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creator>Farmegra6</dc:creator>
  <cp:lastModifiedBy>Aleksandra Minić</cp:lastModifiedBy>
  <cp:revision>9</cp:revision>
  <cp:lastPrinted>2025-04-14T08:55:00Z</cp:lastPrinted>
  <dcterms:created xsi:type="dcterms:W3CDTF">2025-06-11T06:01:00Z</dcterms:created>
  <dcterms:modified xsi:type="dcterms:W3CDTF">2025-06-23T07:00:00Z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91b42f-c435-42ca-9531-75a3f42aae3d_Enabled">
    <vt:lpwstr>true</vt:lpwstr>
  </property>
  <property fmtid="{D5CDD505-2E9C-101B-9397-08002B2CF9AE}" pid="3" name="MSIP_Label_4791b42f-c435-42ca-9531-75a3f42aae3d_SetDate">
    <vt:lpwstr>2023-12-12T07:19:11Z</vt:lpwstr>
  </property>
  <property fmtid="{D5CDD505-2E9C-101B-9397-08002B2CF9AE}" pid="4" name="MSIP_Label_4791b42f-c435-42ca-9531-75a3f42aae3d_Method">
    <vt:lpwstr>Privileged</vt:lpwstr>
  </property>
  <property fmtid="{D5CDD505-2E9C-101B-9397-08002B2CF9AE}" pid="5" name="MSIP_Label_4791b42f-c435-42ca-9531-75a3f42aae3d_Name">
    <vt:lpwstr>4791b42f-c435-42ca-9531-75a3f42aae3d</vt:lpwstr>
  </property>
  <property fmtid="{D5CDD505-2E9C-101B-9397-08002B2CF9AE}" pid="6" name="MSIP_Label_4791b42f-c435-42ca-9531-75a3f42aae3d_SiteId">
    <vt:lpwstr>7a916015-20ae-4ad1-9170-eefd915e9272</vt:lpwstr>
  </property>
  <property fmtid="{D5CDD505-2E9C-101B-9397-08002B2CF9AE}" pid="7" name="MSIP_Label_4791b42f-c435-42ca-9531-75a3f42aae3d_ActionId">
    <vt:lpwstr>a1801e44-212e-4f76-8403-578d4d75db87</vt:lpwstr>
  </property>
  <property fmtid="{D5CDD505-2E9C-101B-9397-08002B2CF9AE}" pid="8" name="MSIP_Label_4791b42f-c435-42ca-9531-75a3f42aae3d_ContentBits">
    <vt:lpwstr>0</vt:lpwstr>
  </property>
</Properties>
</file>