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55744" w14:textId="77777777" w:rsidR="002510A5" w:rsidRPr="00C53453" w:rsidRDefault="002510A5" w:rsidP="00C53453">
      <w:pPr>
        <w:widowControl w:val="0"/>
        <w:jc w:val="center"/>
        <w:rPr>
          <w:b/>
          <w:bCs/>
          <w:iCs/>
          <w:sz w:val="22"/>
          <w:szCs w:val="22"/>
          <w:u w:val="single"/>
          <w:lang w:val="sr-Latn-ME"/>
        </w:rPr>
      </w:pPr>
      <w:r w:rsidRPr="00C53453">
        <w:rPr>
          <w:b/>
          <w:bCs/>
          <w:iCs/>
          <w:sz w:val="22"/>
          <w:szCs w:val="22"/>
          <w:u w:val="single"/>
          <w:lang w:val="sr-Latn-ME"/>
        </w:rPr>
        <w:t>SAŽETAK KARAKTERISTIKA LIJEKA</w:t>
      </w:r>
    </w:p>
    <w:p w14:paraId="1F855745" w14:textId="77777777" w:rsidR="002510A5" w:rsidRPr="00C53453" w:rsidRDefault="002510A5" w:rsidP="00C53453">
      <w:pPr>
        <w:widowControl w:val="0"/>
        <w:rPr>
          <w:b/>
          <w:bCs/>
          <w:i/>
          <w:iCs/>
          <w:sz w:val="22"/>
          <w:szCs w:val="22"/>
          <w:u w:val="single"/>
          <w:lang w:val="sr-Latn-ME"/>
        </w:rPr>
      </w:pPr>
    </w:p>
    <w:p w14:paraId="1F855749" w14:textId="77777777" w:rsidR="00C37FD7" w:rsidRPr="00C53453" w:rsidRDefault="00C37FD7" w:rsidP="00C53453">
      <w:pPr>
        <w:widowControl w:val="0"/>
        <w:tabs>
          <w:tab w:val="left" w:pos="540"/>
          <w:tab w:val="left" w:pos="569"/>
        </w:tabs>
        <w:rPr>
          <w:bCs/>
          <w:sz w:val="22"/>
          <w:szCs w:val="22"/>
          <w:lang w:val="sr-Latn-ME"/>
        </w:rPr>
      </w:pPr>
    </w:p>
    <w:p w14:paraId="1F85574A" w14:textId="77777777" w:rsidR="00411B4B" w:rsidRPr="00FC2EEC" w:rsidRDefault="00411B4B" w:rsidP="00814AE3">
      <w:pPr>
        <w:widowControl w:val="0"/>
        <w:tabs>
          <w:tab w:val="left" w:pos="540"/>
          <w:tab w:val="left" w:pos="569"/>
        </w:tabs>
        <w:jc w:val="both"/>
        <w:rPr>
          <w:b/>
          <w:bCs/>
          <w:sz w:val="22"/>
          <w:szCs w:val="22"/>
          <w:lang w:val="sr-Latn-ME"/>
        </w:rPr>
      </w:pPr>
      <w:r w:rsidRPr="00346B80">
        <w:rPr>
          <w:b/>
          <w:bCs/>
          <w:sz w:val="22"/>
          <w:szCs w:val="22"/>
          <w:lang w:val="sr-Latn-ME"/>
        </w:rPr>
        <w:t>1.</w:t>
      </w:r>
      <w:r w:rsidR="00F5167F" w:rsidRPr="00346B80">
        <w:rPr>
          <w:b/>
          <w:bCs/>
          <w:sz w:val="22"/>
          <w:szCs w:val="22"/>
          <w:lang w:val="sr-Latn-ME"/>
        </w:rPr>
        <w:tab/>
      </w:r>
      <w:r w:rsidR="002846DB" w:rsidRPr="00346B80">
        <w:rPr>
          <w:b/>
          <w:bCs/>
          <w:sz w:val="22"/>
          <w:szCs w:val="22"/>
          <w:lang w:val="sr-Latn-ME"/>
        </w:rPr>
        <w:t xml:space="preserve">NAZIV </w:t>
      </w:r>
      <w:r w:rsidRPr="00346B80">
        <w:rPr>
          <w:b/>
          <w:bCs/>
          <w:sz w:val="22"/>
          <w:szCs w:val="22"/>
          <w:lang w:val="sr-Latn-ME"/>
        </w:rPr>
        <w:t>LIJEKA</w:t>
      </w:r>
    </w:p>
    <w:p w14:paraId="1F85574B" w14:textId="77777777" w:rsidR="00EC2532" w:rsidRPr="00346B80" w:rsidRDefault="00EC2532" w:rsidP="00814AE3">
      <w:pPr>
        <w:widowControl w:val="0"/>
        <w:jc w:val="both"/>
        <w:rPr>
          <w:sz w:val="22"/>
          <w:szCs w:val="22"/>
          <w:lang w:val="sr-Latn-ME"/>
        </w:rPr>
      </w:pPr>
    </w:p>
    <w:p w14:paraId="1F85574C" w14:textId="6A91D7E5" w:rsidR="00107BF7" w:rsidRPr="00346B80" w:rsidRDefault="00044909" w:rsidP="00814AE3">
      <w:pPr>
        <w:widowControl w:val="0"/>
        <w:jc w:val="both"/>
        <w:rPr>
          <w:sz w:val="22"/>
          <w:szCs w:val="22"/>
          <w:lang w:val="sr-Latn-ME"/>
        </w:rPr>
      </w:pPr>
      <w:r w:rsidRPr="00346B80">
        <w:rPr>
          <w:sz w:val="22"/>
          <w:szCs w:val="22"/>
          <w:lang w:val="sr-Latn-ME"/>
        </w:rPr>
        <w:t>ALVODRONIC</w:t>
      </w:r>
      <w:r w:rsidR="00C37FD7" w:rsidRPr="00346B80">
        <w:rPr>
          <w:sz w:val="22"/>
          <w:szCs w:val="22"/>
          <w:lang w:val="sr-Latn-ME"/>
        </w:rPr>
        <w:t xml:space="preserve">, </w:t>
      </w:r>
      <w:r w:rsidRPr="00346B80">
        <w:rPr>
          <w:sz w:val="22"/>
          <w:szCs w:val="22"/>
          <w:lang w:val="sr-Latn-ME"/>
        </w:rPr>
        <w:t>150 mg, film tableta</w:t>
      </w:r>
    </w:p>
    <w:p w14:paraId="1F85574D" w14:textId="77777777" w:rsidR="000D425A" w:rsidRPr="00346B80" w:rsidRDefault="000D425A" w:rsidP="00814AE3">
      <w:pPr>
        <w:widowControl w:val="0"/>
        <w:jc w:val="both"/>
        <w:rPr>
          <w:bCs/>
          <w:sz w:val="22"/>
          <w:szCs w:val="22"/>
          <w:lang w:val="sr-Latn-ME"/>
        </w:rPr>
      </w:pPr>
    </w:p>
    <w:p w14:paraId="1F85574E" w14:textId="0FF9022A" w:rsidR="006D20A5" w:rsidRPr="00346B80" w:rsidRDefault="006D20A5" w:rsidP="00814AE3">
      <w:pPr>
        <w:widowControl w:val="0"/>
        <w:jc w:val="both"/>
        <w:rPr>
          <w:sz w:val="22"/>
          <w:szCs w:val="22"/>
          <w:lang w:val="sr-Latn-ME"/>
        </w:rPr>
      </w:pPr>
      <w:r w:rsidRPr="00346B80">
        <w:rPr>
          <w:sz w:val="22"/>
          <w:szCs w:val="22"/>
          <w:lang w:val="sr-Latn-ME"/>
        </w:rPr>
        <w:t>INN:</w:t>
      </w:r>
      <w:r w:rsidR="00044909" w:rsidRPr="00346B80">
        <w:rPr>
          <w:sz w:val="22"/>
          <w:szCs w:val="22"/>
          <w:lang w:val="sr-Latn-ME"/>
        </w:rPr>
        <w:t xml:space="preserve"> ibandronska kiselina</w:t>
      </w:r>
    </w:p>
    <w:p w14:paraId="1F85574F" w14:textId="77777777" w:rsidR="006D20A5" w:rsidRPr="00346B80" w:rsidRDefault="006D20A5" w:rsidP="00814AE3">
      <w:pPr>
        <w:widowControl w:val="0"/>
        <w:jc w:val="both"/>
        <w:rPr>
          <w:bCs/>
          <w:sz w:val="22"/>
          <w:szCs w:val="22"/>
          <w:lang w:val="sr-Latn-ME"/>
        </w:rPr>
      </w:pPr>
    </w:p>
    <w:p w14:paraId="1F855750" w14:textId="77777777" w:rsidR="00530BD7" w:rsidRPr="00346B80" w:rsidRDefault="00530BD7" w:rsidP="00814AE3">
      <w:pPr>
        <w:widowControl w:val="0"/>
        <w:jc w:val="both"/>
        <w:rPr>
          <w:bCs/>
          <w:sz w:val="22"/>
          <w:szCs w:val="22"/>
          <w:lang w:val="sr-Latn-ME"/>
        </w:rPr>
      </w:pPr>
    </w:p>
    <w:p w14:paraId="1F855751" w14:textId="77777777" w:rsidR="00411B4B" w:rsidRPr="00346B80" w:rsidRDefault="00411B4B" w:rsidP="00814AE3">
      <w:pPr>
        <w:widowControl w:val="0"/>
        <w:tabs>
          <w:tab w:val="left" w:pos="540"/>
          <w:tab w:val="left" w:pos="569"/>
        </w:tabs>
        <w:jc w:val="both"/>
        <w:rPr>
          <w:b/>
          <w:bCs/>
          <w:sz w:val="22"/>
          <w:szCs w:val="22"/>
          <w:lang w:val="sr-Latn-ME"/>
        </w:rPr>
      </w:pPr>
      <w:r w:rsidRPr="00346B80">
        <w:rPr>
          <w:b/>
          <w:bCs/>
          <w:sz w:val="22"/>
          <w:szCs w:val="22"/>
          <w:lang w:val="sr-Latn-ME"/>
        </w:rPr>
        <w:t xml:space="preserve">2. </w:t>
      </w:r>
      <w:r w:rsidR="00F5167F" w:rsidRPr="00346B80">
        <w:rPr>
          <w:b/>
          <w:bCs/>
          <w:sz w:val="22"/>
          <w:szCs w:val="22"/>
          <w:lang w:val="sr-Latn-ME"/>
        </w:rPr>
        <w:tab/>
      </w:r>
      <w:r w:rsidRPr="00346B80">
        <w:rPr>
          <w:b/>
          <w:bCs/>
          <w:sz w:val="22"/>
          <w:szCs w:val="22"/>
          <w:lang w:val="sr-Latn-ME"/>
        </w:rPr>
        <w:t>KVALITATIVNI I KVANTITATIVNI SASTAV</w:t>
      </w:r>
    </w:p>
    <w:p w14:paraId="1F855752" w14:textId="77777777" w:rsidR="005A0B2E" w:rsidRPr="00346B80" w:rsidRDefault="005A0B2E" w:rsidP="00814AE3">
      <w:pPr>
        <w:widowControl w:val="0"/>
        <w:jc w:val="both"/>
        <w:rPr>
          <w:sz w:val="22"/>
          <w:szCs w:val="22"/>
          <w:lang w:val="sr-Latn-ME"/>
        </w:rPr>
      </w:pPr>
    </w:p>
    <w:p w14:paraId="38FC6831" w14:textId="00EAE2B7" w:rsidR="00044909" w:rsidRPr="00346B80" w:rsidRDefault="00044909" w:rsidP="00814AE3">
      <w:pPr>
        <w:pStyle w:val="Header"/>
        <w:widowControl w:val="0"/>
        <w:tabs>
          <w:tab w:val="left" w:pos="284"/>
        </w:tabs>
        <w:jc w:val="both"/>
        <w:rPr>
          <w:b/>
          <w:bCs/>
          <w:sz w:val="22"/>
          <w:szCs w:val="22"/>
          <w:lang w:val="sr-Latn-ME"/>
        </w:rPr>
      </w:pPr>
      <w:r w:rsidRPr="00346B80">
        <w:rPr>
          <w:bCs/>
          <w:sz w:val="22"/>
          <w:szCs w:val="22"/>
          <w:lang w:val="sr-Latn-ME"/>
        </w:rPr>
        <w:t>Jedna tableta sadrži 150 mg ibandronske kiseline</w:t>
      </w:r>
      <w:r w:rsidRPr="00346B80">
        <w:rPr>
          <w:b/>
          <w:bCs/>
          <w:color w:val="FF0000"/>
          <w:sz w:val="22"/>
          <w:szCs w:val="22"/>
          <w:lang w:val="sr-Latn-ME"/>
        </w:rPr>
        <w:t xml:space="preserve"> </w:t>
      </w:r>
      <w:r w:rsidRPr="00346B80">
        <w:rPr>
          <w:b/>
          <w:bCs/>
          <w:sz w:val="22"/>
          <w:szCs w:val="22"/>
          <w:lang w:val="sr-Latn-ME"/>
        </w:rPr>
        <w:t>(</w:t>
      </w:r>
      <w:r w:rsidRPr="00346B80">
        <w:rPr>
          <w:bCs/>
          <w:sz w:val="22"/>
          <w:szCs w:val="22"/>
          <w:lang w:val="sr-Latn-ME"/>
        </w:rPr>
        <w:t>tj</w:t>
      </w:r>
      <w:r w:rsidR="00EA138F" w:rsidRPr="00346B80">
        <w:rPr>
          <w:bCs/>
          <w:sz w:val="22"/>
          <w:szCs w:val="22"/>
          <w:lang w:val="sr-Latn-ME"/>
        </w:rPr>
        <w:t>.</w:t>
      </w:r>
      <w:r w:rsidRPr="00346B80">
        <w:rPr>
          <w:bCs/>
          <w:sz w:val="22"/>
          <w:szCs w:val="22"/>
          <w:lang w:val="sr-Latn-ME"/>
        </w:rPr>
        <w:t xml:space="preserve"> 168,79 natrijum ibandronat, monohidrata). </w:t>
      </w:r>
    </w:p>
    <w:p w14:paraId="4635F226" w14:textId="0C42817F" w:rsidR="00044909" w:rsidRPr="00346B80" w:rsidRDefault="00044909" w:rsidP="00814AE3">
      <w:pPr>
        <w:widowControl w:val="0"/>
        <w:jc w:val="both"/>
        <w:rPr>
          <w:bCs/>
          <w:sz w:val="22"/>
          <w:szCs w:val="22"/>
          <w:lang w:val="sr-Latn-ME"/>
        </w:rPr>
      </w:pPr>
      <w:r w:rsidRPr="00346B80">
        <w:rPr>
          <w:bCs/>
          <w:sz w:val="22"/>
          <w:szCs w:val="22"/>
          <w:lang w:val="sr-Latn-ME"/>
        </w:rPr>
        <w:t xml:space="preserve">Pomoćna supstanca sa poznatim dejstvom: </w:t>
      </w:r>
      <w:r w:rsidR="00F922B9" w:rsidRPr="00346B80">
        <w:rPr>
          <w:bCs/>
          <w:sz w:val="22"/>
          <w:szCs w:val="22"/>
          <w:lang w:val="sr-Latn-ME"/>
        </w:rPr>
        <w:t>laktoza, monohidrat</w:t>
      </w:r>
    </w:p>
    <w:p w14:paraId="1E97672F" w14:textId="78145FA7" w:rsidR="00044909" w:rsidRPr="00346B80" w:rsidRDefault="00044909" w:rsidP="00814AE3">
      <w:pPr>
        <w:widowControl w:val="0"/>
        <w:jc w:val="both"/>
        <w:rPr>
          <w:bCs/>
          <w:sz w:val="22"/>
          <w:szCs w:val="22"/>
          <w:lang w:val="sr-Latn-ME"/>
        </w:rPr>
      </w:pPr>
      <w:r w:rsidRPr="00346B80">
        <w:rPr>
          <w:bCs/>
          <w:sz w:val="22"/>
          <w:szCs w:val="22"/>
          <w:lang w:val="sr-Latn-ME"/>
        </w:rPr>
        <w:t>Lijek sadrži 2,7 mg laktoz</w:t>
      </w:r>
      <w:r w:rsidR="00F922B9" w:rsidRPr="00346B80">
        <w:rPr>
          <w:bCs/>
          <w:sz w:val="22"/>
          <w:szCs w:val="22"/>
          <w:lang w:val="sr-Latn-ME"/>
        </w:rPr>
        <w:t>e</w:t>
      </w:r>
      <w:r w:rsidRPr="00346B80">
        <w:rPr>
          <w:bCs/>
          <w:sz w:val="22"/>
          <w:szCs w:val="22"/>
          <w:lang w:val="sr-Latn-ME"/>
        </w:rPr>
        <w:t>,</w:t>
      </w:r>
      <w:r w:rsidR="00F922B9" w:rsidRPr="00346B80">
        <w:rPr>
          <w:bCs/>
          <w:sz w:val="22"/>
          <w:szCs w:val="22"/>
          <w:lang w:val="sr-Latn-ME"/>
        </w:rPr>
        <w:t xml:space="preserve"> </w:t>
      </w:r>
      <w:r w:rsidRPr="00346B80">
        <w:rPr>
          <w:bCs/>
          <w:sz w:val="22"/>
          <w:szCs w:val="22"/>
          <w:lang w:val="sr-Latn-ME"/>
        </w:rPr>
        <w:t>monohidrata (što odgovara 2,56 mg anhidrovane laktoze).</w:t>
      </w:r>
    </w:p>
    <w:p w14:paraId="2017DF3A" w14:textId="77777777" w:rsidR="00044909" w:rsidRPr="00346B80" w:rsidRDefault="00044909" w:rsidP="00814AE3">
      <w:pPr>
        <w:widowControl w:val="0"/>
        <w:jc w:val="both"/>
        <w:rPr>
          <w:sz w:val="22"/>
          <w:szCs w:val="22"/>
          <w:lang w:val="sr-Latn-ME"/>
        </w:rPr>
      </w:pPr>
    </w:p>
    <w:p w14:paraId="1F855753" w14:textId="679A28B0" w:rsidR="0003793F" w:rsidRPr="00346B80" w:rsidRDefault="0003793F" w:rsidP="00814AE3">
      <w:pPr>
        <w:widowControl w:val="0"/>
        <w:jc w:val="both"/>
        <w:rPr>
          <w:sz w:val="22"/>
          <w:szCs w:val="22"/>
          <w:lang w:val="sr-Latn-ME"/>
        </w:rPr>
      </w:pPr>
      <w:r w:rsidRPr="00346B80">
        <w:rPr>
          <w:sz w:val="22"/>
          <w:szCs w:val="22"/>
          <w:lang w:val="sr-Latn-ME"/>
        </w:rPr>
        <w:t>Za spisak svih ekscipijenasa, pogledati dio 6.1.</w:t>
      </w:r>
    </w:p>
    <w:p w14:paraId="1F855754" w14:textId="77777777" w:rsidR="0003793F" w:rsidRPr="00346B80" w:rsidRDefault="0003793F" w:rsidP="00814AE3">
      <w:pPr>
        <w:widowControl w:val="0"/>
        <w:jc w:val="both"/>
        <w:rPr>
          <w:sz w:val="22"/>
          <w:szCs w:val="22"/>
          <w:lang w:val="sr-Latn-ME"/>
        </w:rPr>
      </w:pPr>
    </w:p>
    <w:p w14:paraId="1F855755" w14:textId="77777777" w:rsidR="00C37FD7" w:rsidRPr="00346B80" w:rsidRDefault="00C37FD7" w:rsidP="00814AE3">
      <w:pPr>
        <w:widowControl w:val="0"/>
        <w:jc w:val="both"/>
        <w:rPr>
          <w:sz w:val="22"/>
          <w:szCs w:val="22"/>
          <w:lang w:val="sr-Latn-ME"/>
        </w:rPr>
      </w:pPr>
    </w:p>
    <w:p w14:paraId="1F855756" w14:textId="77777777" w:rsidR="00411B4B" w:rsidRPr="00346B80" w:rsidRDefault="00411B4B" w:rsidP="00814AE3">
      <w:pPr>
        <w:widowControl w:val="0"/>
        <w:tabs>
          <w:tab w:val="left" w:pos="540"/>
          <w:tab w:val="left" w:pos="569"/>
        </w:tabs>
        <w:jc w:val="both"/>
        <w:rPr>
          <w:b/>
          <w:bCs/>
          <w:sz w:val="22"/>
          <w:szCs w:val="22"/>
          <w:lang w:val="sr-Latn-ME"/>
        </w:rPr>
      </w:pPr>
      <w:r w:rsidRPr="00346B80">
        <w:rPr>
          <w:b/>
          <w:bCs/>
          <w:sz w:val="22"/>
          <w:szCs w:val="22"/>
          <w:lang w:val="sr-Latn-ME"/>
        </w:rPr>
        <w:t xml:space="preserve">3. </w:t>
      </w:r>
      <w:r w:rsidR="00F5167F" w:rsidRPr="00346B80">
        <w:rPr>
          <w:b/>
          <w:bCs/>
          <w:sz w:val="22"/>
          <w:szCs w:val="22"/>
          <w:lang w:val="sr-Latn-ME"/>
        </w:rPr>
        <w:tab/>
      </w:r>
      <w:r w:rsidRPr="00346B80">
        <w:rPr>
          <w:b/>
          <w:bCs/>
          <w:sz w:val="22"/>
          <w:szCs w:val="22"/>
          <w:lang w:val="sr-Latn-ME"/>
        </w:rPr>
        <w:t>FARMACEUTSKI OBLIK</w:t>
      </w:r>
      <w:r w:rsidR="009F2D23" w:rsidRPr="00346B80">
        <w:rPr>
          <w:b/>
          <w:bCs/>
          <w:sz w:val="22"/>
          <w:szCs w:val="22"/>
          <w:lang w:val="sr-Latn-ME"/>
        </w:rPr>
        <w:t xml:space="preserve"> </w:t>
      </w:r>
    </w:p>
    <w:p w14:paraId="1F855757" w14:textId="77777777" w:rsidR="00411B4B" w:rsidRPr="00346B80" w:rsidRDefault="00411B4B" w:rsidP="00814AE3">
      <w:pPr>
        <w:widowControl w:val="0"/>
        <w:jc w:val="both"/>
        <w:rPr>
          <w:bCs/>
          <w:sz w:val="22"/>
          <w:szCs w:val="22"/>
          <w:lang w:val="sr-Latn-ME"/>
        </w:rPr>
      </w:pPr>
    </w:p>
    <w:p w14:paraId="21339C2D" w14:textId="77777777" w:rsidR="00044909" w:rsidRPr="00346B80" w:rsidRDefault="00044909" w:rsidP="00814AE3">
      <w:pPr>
        <w:pStyle w:val="Header"/>
        <w:widowControl w:val="0"/>
        <w:tabs>
          <w:tab w:val="left" w:pos="284"/>
        </w:tabs>
        <w:jc w:val="both"/>
        <w:rPr>
          <w:sz w:val="22"/>
          <w:szCs w:val="22"/>
          <w:lang w:val="sr-Latn-ME"/>
        </w:rPr>
      </w:pPr>
      <w:r w:rsidRPr="00346B80">
        <w:rPr>
          <w:sz w:val="22"/>
          <w:szCs w:val="22"/>
          <w:lang w:val="sr-Latn-ME"/>
        </w:rPr>
        <w:t>Film tableta.</w:t>
      </w:r>
    </w:p>
    <w:p w14:paraId="53FB332D" w14:textId="77777777" w:rsidR="00044909" w:rsidRPr="00346B80" w:rsidRDefault="00044909" w:rsidP="00814AE3">
      <w:pPr>
        <w:widowControl w:val="0"/>
        <w:jc w:val="both"/>
        <w:rPr>
          <w:bCs/>
          <w:sz w:val="22"/>
          <w:szCs w:val="22"/>
          <w:lang w:val="sr-Latn-ME"/>
        </w:rPr>
      </w:pPr>
      <w:r w:rsidRPr="00346B80">
        <w:rPr>
          <w:sz w:val="22"/>
          <w:szCs w:val="22"/>
          <w:lang w:val="sr-Latn-ME"/>
        </w:rPr>
        <w:t>Okrugle, bijele, bikonveksne film tablete.</w:t>
      </w:r>
    </w:p>
    <w:p w14:paraId="1F855758" w14:textId="332C9FBF" w:rsidR="00EC2532" w:rsidRPr="00346B80" w:rsidRDefault="00EC2532" w:rsidP="00814AE3">
      <w:pPr>
        <w:widowControl w:val="0"/>
        <w:jc w:val="both"/>
        <w:rPr>
          <w:bCs/>
          <w:sz w:val="22"/>
          <w:szCs w:val="22"/>
          <w:lang w:val="sr-Latn-ME"/>
        </w:rPr>
      </w:pPr>
    </w:p>
    <w:p w14:paraId="51F935EE" w14:textId="77777777" w:rsidR="00C53453" w:rsidRPr="00346B80" w:rsidRDefault="00C53453" w:rsidP="00814AE3">
      <w:pPr>
        <w:widowControl w:val="0"/>
        <w:jc w:val="both"/>
        <w:rPr>
          <w:bCs/>
          <w:sz w:val="22"/>
          <w:szCs w:val="22"/>
          <w:lang w:val="sr-Latn-ME"/>
        </w:rPr>
      </w:pPr>
    </w:p>
    <w:p w14:paraId="1F855759" w14:textId="77777777" w:rsidR="00411B4B" w:rsidRPr="00346B80" w:rsidRDefault="00411B4B" w:rsidP="00814AE3">
      <w:pPr>
        <w:widowControl w:val="0"/>
        <w:tabs>
          <w:tab w:val="left" w:pos="540"/>
          <w:tab w:val="left" w:pos="569"/>
        </w:tabs>
        <w:jc w:val="both"/>
        <w:rPr>
          <w:b/>
          <w:bCs/>
          <w:sz w:val="22"/>
          <w:szCs w:val="22"/>
          <w:lang w:val="sr-Latn-ME"/>
        </w:rPr>
      </w:pPr>
      <w:r w:rsidRPr="00346B80">
        <w:rPr>
          <w:b/>
          <w:bCs/>
          <w:sz w:val="22"/>
          <w:szCs w:val="22"/>
          <w:lang w:val="sr-Latn-ME"/>
        </w:rPr>
        <w:t xml:space="preserve">4. </w:t>
      </w:r>
      <w:r w:rsidR="00480FB1" w:rsidRPr="00346B80">
        <w:rPr>
          <w:b/>
          <w:bCs/>
          <w:sz w:val="22"/>
          <w:szCs w:val="22"/>
          <w:lang w:val="sr-Latn-ME"/>
        </w:rPr>
        <w:tab/>
      </w:r>
      <w:r w:rsidRPr="00346B80">
        <w:rPr>
          <w:b/>
          <w:bCs/>
          <w:sz w:val="22"/>
          <w:szCs w:val="22"/>
          <w:lang w:val="sr-Latn-ME"/>
        </w:rPr>
        <w:t>KLINIČKI PODACI</w:t>
      </w:r>
    </w:p>
    <w:p w14:paraId="1F85575A" w14:textId="77777777" w:rsidR="00CD6F02" w:rsidRPr="00346B80" w:rsidRDefault="00CD6F02" w:rsidP="00814AE3">
      <w:pPr>
        <w:widowControl w:val="0"/>
        <w:tabs>
          <w:tab w:val="left" w:pos="540"/>
          <w:tab w:val="left" w:pos="569"/>
        </w:tabs>
        <w:jc w:val="both"/>
        <w:rPr>
          <w:bCs/>
          <w:sz w:val="22"/>
          <w:szCs w:val="22"/>
          <w:lang w:val="sr-Latn-ME"/>
        </w:rPr>
      </w:pPr>
    </w:p>
    <w:p w14:paraId="1F85575B" w14:textId="77777777" w:rsidR="00411B4B" w:rsidRPr="00346B80" w:rsidRDefault="00411B4B" w:rsidP="00814AE3">
      <w:pPr>
        <w:widowControl w:val="0"/>
        <w:tabs>
          <w:tab w:val="left" w:pos="540"/>
          <w:tab w:val="left" w:pos="569"/>
        </w:tabs>
        <w:jc w:val="both"/>
        <w:rPr>
          <w:b/>
          <w:bCs/>
          <w:sz w:val="22"/>
          <w:szCs w:val="22"/>
          <w:lang w:val="sr-Latn-ME"/>
        </w:rPr>
      </w:pPr>
      <w:r w:rsidRPr="00346B80">
        <w:rPr>
          <w:b/>
          <w:bCs/>
          <w:sz w:val="22"/>
          <w:szCs w:val="22"/>
          <w:lang w:val="sr-Latn-ME"/>
        </w:rPr>
        <w:t xml:space="preserve">4.1. </w:t>
      </w:r>
      <w:r w:rsidR="00480FB1" w:rsidRPr="00346B80">
        <w:rPr>
          <w:b/>
          <w:bCs/>
          <w:sz w:val="22"/>
          <w:szCs w:val="22"/>
          <w:lang w:val="sr-Latn-ME"/>
        </w:rPr>
        <w:tab/>
      </w:r>
      <w:r w:rsidRPr="00346B80">
        <w:rPr>
          <w:b/>
          <w:bCs/>
          <w:sz w:val="22"/>
          <w:szCs w:val="22"/>
          <w:lang w:val="sr-Latn-ME"/>
        </w:rPr>
        <w:t>Terapijske indikacije</w:t>
      </w:r>
    </w:p>
    <w:p w14:paraId="085BB43C" w14:textId="77777777" w:rsidR="00044909" w:rsidRPr="00346B80" w:rsidRDefault="00044909" w:rsidP="00346B80">
      <w:pPr>
        <w:pStyle w:val="Header"/>
        <w:widowControl w:val="0"/>
        <w:tabs>
          <w:tab w:val="left" w:pos="284"/>
        </w:tabs>
        <w:jc w:val="both"/>
        <w:rPr>
          <w:sz w:val="22"/>
          <w:szCs w:val="22"/>
          <w:lang w:val="sr-Latn-ME" w:eastAsia="en-GB"/>
        </w:rPr>
      </w:pPr>
    </w:p>
    <w:p w14:paraId="26734CB0" w14:textId="3016B23D" w:rsidR="00044909" w:rsidRPr="00346B80" w:rsidRDefault="00044909" w:rsidP="00FC2EEC">
      <w:pPr>
        <w:pStyle w:val="Header"/>
        <w:widowControl w:val="0"/>
        <w:tabs>
          <w:tab w:val="left" w:pos="284"/>
        </w:tabs>
        <w:jc w:val="both"/>
        <w:rPr>
          <w:sz w:val="22"/>
          <w:szCs w:val="22"/>
          <w:lang w:val="sr-Latn-ME" w:eastAsia="en-GB"/>
        </w:rPr>
      </w:pPr>
      <w:r w:rsidRPr="00346B80">
        <w:rPr>
          <w:sz w:val="22"/>
          <w:szCs w:val="22"/>
          <w:lang w:val="sr-Latn-ME" w:eastAsia="en-GB"/>
        </w:rPr>
        <w:t>Terapija osteoporoze kod žena u postmenopauzi, sa povećanim rizikom od fraktura (vidjeti dio 5.1), da bi se smanjio rizik od preloma kičmenih pršljenova.</w:t>
      </w:r>
    </w:p>
    <w:p w14:paraId="3051C897" w14:textId="77777777" w:rsidR="00044909" w:rsidRPr="00346B80" w:rsidRDefault="00044909">
      <w:pPr>
        <w:widowControl w:val="0"/>
        <w:autoSpaceDE w:val="0"/>
        <w:autoSpaceDN w:val="0"/>
        <w:adjustRightInd w:val="0"/>
        <w:jc w:val="both"/>
        <w:rPr>
          <w:sz w:val="22"/>
          <w:szCs w:val="22"/>
          <w:lang w:val="sr-Latn-ME" w:eastAsia="en-GB"/>
        </w:rPr>
      </w:pPr>
      <w:r w:rsidRPr="00346B80">
        <w:rPr>
          <w:sz w:val="22"/>
          <w:szCs w:val="22"/>
          <w:lang w:val="sr-Latn-ME" w:eastAsia="en-GB"/>
        </w:rPr>
        <w:t>Nije utvrđena efikasnost kod preloma vrata femura.</w:t>
      </w:r>
    </w:p>
    <w:p w14:paraId="1F85575C" w14:textId="77777777" w:rsidR="00411B4B" w:rsidRPr="00346B80" w:rsidRDefault="00411B4B" w:rsidP="00814AE3">
      <w:pPr>
        <w:widowControl w:val="0"/>
        <w:tabs>
          <w:tab w:val="left" w:pos="540"/>
          <w:tab w:val="left" w:pos="569"/>
        </w:tabs>
        <w:jc w:val="both"/>
        <w:rPr>
          <w:bCs/>
          <w:sz w:val="22"/>
          <w:szCs w:val="22"/>
          <w:lang w:val="sr-Latn-ME"/>
        </w:rPr>
      </w:pPr>
    </w:p>
    <w:p w14:paraId="1F85575D" w14:textId="77777777" w:rsidR="00411B4B" w:rsidRPr="00346B80" w:rsidRDefault="00411B4B" w:rsidP="00814AE3">
      <w:pPr>
        <w:widowControl w:val="0"/>
        <w:tabs>
          <w:tab w:val="left" w:pos="540"/>
          <w:tab w:val="left" w:pos="569"/>
        </w:tabs>
        <w:jc w:val="both"/>
        <w:rPr>
          <w:b/>
          <w:bCs/>
          <w:sz w:val="22"/>
          <w:szCs w:val="22"/>
          <w:lang w:val="sr-Latn-ME"/>
        </w:rPr>
      </w:pPr>
      <w:r w:rsidRPr="00346B80">
        <w:rPr>
          <w:b/>
          <w:bCs/>
          <w:sz w:val="22"/>
          <w:szCs w:val="22"/>
          <w:lang w:val="sr-Latn-ME"/>
        </w:rPr>
        <w:t xml:space="preserve">4.2. </w:t>
      </w:r>
      <w:r w:rsidR="00480FB1" w:rsidRPr="00346B80">
        <w:rPr>
          <w:b/>
          <w:bCs/>
          <w:sz w:val="22"/>
          <w:szCs w:val="22"/>
          <w:lang w:val="sr-Latn-ME"/>
        </w:rPr>
        <w:tab/>
      </w:r>
      <w:r w:rsidRPr="00346B80">
        <w:rPr>
          <w:b/>
          <w:bCs/>
          <w:sz w:val="22"/>
          <w:szCs w:val="22"/>
          <w:lang w:val="sr-Latn-ME"/>
        </w:rPr>
        <w:t>Doziranje i način primjene</w:t>
      </w:r>
    </w:p>
    <w:p w14:paraId="1F85575E" w14:textId="77777777" w:rsidR="0072020E" w:rsidRPr="00346B80" w:rsidRDefault="0072020E" w:rsidP="00814AE3">
      <w:pPr>
        <w:widowControl w:val="0"/>
        <w:tabs>
          <w:tab w:val="left" w:pos="540"/>
          <w:tab w:val="left" w:pos="569"/>
        </w:tabs>
        <w:jc w:val="both"/>
        <w:rPr>
          <w:bCs/>
          <w:sz w:val="22"/>
          <w:szCs w:val="22"/>
          <w:lang w:val="sr-Latn-ME"/>
        </w:rPr>
      </w:pPr>
    </w:p>
    <w:p w14:paraId="1F85575F" w14:textId="77777777" w:rsidR="00452E9D" w:rsidRPr="00346B80" w:rsidRDefault="00452E9D" w:rsidP="00814AE3">
      <w:pPr>
        <w:widowControl w:val="0"/>
        <w:tabs>
          <w:tab w:val="left" w:pos="540"/>
          <w:tab w:val="left" w:pos="569"/>
        </w:tabs>
        <w:jc w:val="both"/>
        <w:rPr>
          <w:bCs/>
          <w:sz w:val="22"/>
          <w:szCs w:val="22"/>
          <w:u w:val="single"/>
          <w:lang w:val="sr-Latn-ME"/>
        </w:rPr>
      </w:pPr>
      <w:r w:rsidRPr="00346B80">
        <w:rPr>
          <w:bCs/>
          <w:sz w:val="22"/>
          <w:szCs w:val="22"/>
          <w:u w:val="single"/>
          <w:lang w:val="sr-Latn-ME"/>
        </w:rPr>
        <w:t>Doziranje</w:t>
      </w:r>
    </w:p>
    <w:p w14:paraId="6C1EBB77" w14:textId="77777777" w:rsidR="00044909" w:rsidRPr="00346B80" w:rsidRDefault="00044909" w:rsidP="00346B80">
      <w:pPr>
        <w:pStyle w:val="Header"/>
        <w:widowControl w:val="0"/>
        <w:tabs>
          <w:tab w:val="left" w:pos="284"/>
        </w:tabs>
        <w:jc w:val="both"/>
        <w:rPr>
          <w:sz w:val="22"/>
          <w:szCs w:val="22"/>
          <w:lang w:val="sr-Latn-ME"/>
        </w:rPr>
      </w:pPr>
      <w:r w:rsidRPr="00346B80">
        <w:rPr>
          <w:sz w:val="22"/>
          <w:szCs w:val="22"/>
          <w:lang w:val="sr-Latn-ME"/>
        </w:rPr>
        <w:t xml:space="preserve">Preporučena doza je jedna film tableta od 150 mg jedanput mjesečno. Tabletu je najbolje uzeti na isti datum svakog mjeseca. </w:t>
      </w:r>
    </w:p>
    <w:p w14:paraId="720AB645" w14:textId="77777777" w:rsidR="00044909" w:rsidRPr="00346B80" w:rsidRDefault="00044909" w:rsidP="00FC2EEC">
      <w:pPr>
        <w:pStyle w:val="Header"/>
        <w:widowControl w:val="0"/>
        <w:tabs>
          <w:tab w:val="left" w:pos="284"/>
        </w:tabs>
        <w:jc w:val="both"/>
        <w:rPr>
          <w:sz w:val="22"/>
          <w:szCs w:val="22"/>
          <w:lang w:val="sr-Latn-ME"/>
        </w:rPr>
      </w:pPr>
    </w:p>
    <w:p w14:paraId="1FFF6097" w14:textId="4F7CE7C3" w:rsidR="00044909" w:rsidRPr="00346B80" w:rsidRDefault="00044909">
      <w:pPr>
        <w:pStyle w:val="Header"/>
        <w:widowControl w:val="0"/>
        <w:tabs>
          <w:tab w:val="left" w:pos="284"/>
        </w:tabs>
        <w:jc w:val="both"/>
        <w:rPr>
          <w:sz w:val="22"/>
          <w:szCs w:val="22"/>
          <w:lang w:val="sr-Latn-ME"/>
        </w:rPr>
      </w:pPr>
      <w:r w:rsidRPr="00346B80">
        <w:rPr>
          <w:sz w:val="22"/>
          <w:szCs w:val="22"/>
          <w:lang w:val="sr-Latn-ME"/>
        </w:rPr>
        <w:t xml:space="preserve">Lijek Alvodronic 150 mg film tablete treba uzeti ujutru na prazan želudac (najmanje 6 sati od posljednjeg obroka) i 1 sat prije prvog obroka ili napitka (osim vode) (vidjeti </w:t>
      </w:r>
      <w:r w:rsidR="00C53453" w:rsidRPr="00346B80">
        <w:rPr>
          <w:sz w:val="22"/>
          <w:szCs w:val="22"/>
          <w:lang w:val="sr-Latn-ME"/>
        </w:rPr>
        <w:t>dio</w:t>
      </w:r>
      <w:r w:rsidRPr="00346B80">
        <w:rPr>
          <w:sz w:val="22"/>
          <w:szCs w:val="22"/>
          <w:lang w:val="sr-Latn-ME"/>
        </w:rPr>
        <w:t xml:space="preserve"> 4.5) ili bilo kog drugog oralno primijenjenog lijeka ili suplementa (uključujući kalcijum).</w:t>
      </w:r>
    </w:p>
    <w:p w14:paraId="23294D82" w14:textId="77777777" w:rsidR="00044909" w:rsidRPr="00346B80" w:rsidRDefault="00044909">
      <w:pPr>
        <w:pStyle w:val="Header"/>
        <w:widowControl w:val="0"/>
        <w:tabs>
          <w:tab w:val="left" w:pos="284"/>
        </w:tabs>
        <w:jc w:val="both"/>
        <w:rPr>
          <w:sz w:val="22"/>
          <w:szCs w:val="22"/>
          <w:lang w:val="sr-Latn-ME"/>
        </w:rPr>
      </w:pPr>
    </w:p>
    <w:p w14:paraId="028F471A" w14:textId="05D3FF1B" w:rsidR="00044909" w:rsidRPr="00346B80" w:rsidRDefault="00044909">
      <w:pPr>
        <w:pStyle w:val="Header"/>
        <w:widowControl w:val="0"/>
        <w:tabs>
          <w:tab w:val="left" w:pos="284"/>
        </w:tabs>
        <w:jc w:val="both"/>
        <w:rPr>
          <w:sz w:val="22"/>
          <w:szCs w:val="22"/>
          <w:lang w:val="sr-Latn-ME"/>
        </w:rPr>
      </w:pPr>
      <w:r w:rsidRPr="00346B80">
        <w:rPr>
          <w:sz w:val="22"/>
          <w:szCs w:val="22"/>
          <w:lang w:val="sr-Latn-ME"/>
        </w:rPr>
        <w:t>U slučaju propuštene doze, pacijente treba uputiti da uzmu jednu Alvodronic 150 mg film tabletu</w:t>
      </w:r>
      <w:r w:rsidRPr="00346B80">
        <w:rPr>
          <w:b/>
          <w:sz w:val="22"/>
          <w:szCs w:val="22"/>
          <w:lang w:val="sr-Latn-ME"/>
        </w:rPr>
        <w:t xml:space="preserve"> </w:t>
      </w:r>
      <w:r w:rsidRPr="00346B80">
        <w:rPr>
          <w:sz w:val="22"/>
          <w:szCs w:val="22"/>
          <w:lang w:val="sr-Latn-ME"/>
        </w:rPr>
        <w:t>sljedećeg jutra nakon što se sjete, osim ako je vrijeme za sljedeću redovnu dozu za 7 dana.</w:t>
      </w:r>
    </w:p>
    <w:p w14:paraId="4DA75FE0" w14:textId="77777777" w:rsidR="00044909" w:rsidRPr="00346B80" w:rsidRDefault="00044909">
      <w:pPr>
        <w:pStyle w:val="Header"/>
        <w:widowControl w:val="0"/>
        <w:tabs>
          <w:tab w:val="left" w:pos="284"/>
        </w:tabs>
        <w:jc w:val="both"/>
        <w:rPr>
          <w:sz w:val="22"/>
          <w:szCs w:val="22"/>
          <w:lang w:val="sr-Latn-ME"/>
        </w:rPr>
      </w:pPr>
      <w:r w:rsidRPr="00346B80">
        <w:rPr>
          <w:sz w:val="22"/>
          <w:szCs w:val="22"/>
          <w:lang w:val="sr-Latn-ME"/>
        </w:rPr>
        <w:t>U tom slučaju, pacijenti treba da se vrate na uzimanje njihove doze jedanput mjesečno na prvobitno određeni datum.</w:t>
      </w:r>
    </w:p>
    <w:p w14:paraId="2915ED65" w14:textId="77777777" w:rsidR="00044909" w:rsidRPr="00346B80" w:rsidRDefault="00044909">
      <w:pPr>
        <w:pStyle w:val="Header"/>
        <w:widowControl w:val="0"/>
        <w:tabs>
          <w:tab w:val="left" w:pos="284"/>
        </w:tabs>
        <w:jc w:val="both"/>
        <w:rPr>
          <w:sz w:val="22"/>
          <w:szCs w:val="22"/>
          <w:lang w:val="sr-Latn-ME"/>
        </w:rPr>
      </w:pPr>
      <w:r w:rsidRPr="00346B80">
        <w:rPr>
          <w:sz w:val="22"/>
          <w:szCs w:val="22"/>
          <w:lang w:val="sr-Latn-ME"/>
        </w:rPr>
        <w:t>Ako je sljedeća redovna doza za 7 dana, pacijenti treba da sačekaju do njihove sljedeće doze i onda da nastave sa uzimanjem jedne tablete jedanput mjesečno prema prvobitnom rasporedu.</w:t>
      </w:r>
    </w:p>
    <w:p w14:paraId="4940FE14" w14:textId="77777777" w:rsidR="00044909" w:rsidRPr="00346B80" w:rsidRDefault="00044909">
      <w:pPr>
        <w:pStyle w:val="Header"/>
        <w:widowControl w:val="0"/>
        <w:tabs>
          <w:tab w:val="left" w:pos="284"/>
        </w:tabs>
        <w:jc w:val="both"/>
        <w:rPr>
          <w:sz w:val="22"/>
          <w:szCs w:val="22"/>
          <w:lang w:val="sr-Latn-ME"/>
        </w:rPr>
      </w:pPr>
    </w:p>
    <w:p w14:paraId="5D601C8E" w14:textId="77777777" w:rsidR="00044909" w:rsidRPr="00346B80" w:rsidRDefault="00044909">
      <w:pPr>
        <w:pStyle w:val="Header"/>
        <w:widowControl w:val="0"/>
        <w:tabs>
          <w:tab w:val="left" w:pos="284"/>
        </w:tabs>
        <w:jc w:val="both"/>
        <w:rPr>
          <w:sz w:val="22"/>
          <w:szCs w:val="22"/>
          <w:lang w:val="sr-Latn-ME"/>
        </w:rPr>
      </w:pPr>
      <w:r w:rsidRPr="00346B80">
        <w:rPr>
          <w:sz w:val="22"/>
          <w:szCs w:val="22"/>
          <w:lang w:val="sr-Latn-ME"/>
        </w:rPr>
        <w:t>Pacijenti ne smiju uzeti dvije tablete tokom iste nedjelje.</w:t>
      </w:r>
    </w:p>
    <w:p w14:paraId="4B3464E1" w14:textId="459C0C6A" w:rsidR="00044909" w:rsidRPr="00346B80" w:rsidRDefault="00044909">
      <w:pPr>
        <w:widowControl w:val="0"/>
        <w:jc w:val="both"/>
        <w:rPr>
          <w:sz w:val="22"/>
          <w:szCs w:val="22"/>
          <w:lang w:val="sr-Latn-ME"/>
        </w:rPr>
      </w:pPr>
      <w:r w:rsidRPr="00346B80">
        <w:rPr>
          <w:sz w:val="22"/>
          <w:szCs w:val="22"/>
          <w:lang w:val="sr-Latn-ME"/>
        </w:rPr>
        <w:t xml:space="preserve">Pacijenti treba da uzimaju dodatni kalcijum i/ili vitamin D ako je njihov unos hranom nedovoljan (vidjeti </w:t>
      </w:r>
      <w:r w:rsidR="00C53453" w:rsidRPr="00346B80">
        <w:rPr>
          <w:sz w:val="22"/>
          <w:szCs w:val="22"/>
          <w:lang w:val="sr-Latn-ME"/>
        </w:rPr>
        <w:t>dio</w:t>
      </w:r>
      <w:r w:rsidRPr="00346B80">
        <w:rPr>
          <w:sz w:val="22"/>
          <w:szCs w:val="22"/>
          <w:lang w:val="sr-Latn-ME"/>
        </w:rPr>
        <w:t xml:space="preserve"> 4.4 i </w:t>
      </w:r>
      <w:r w:rsidR="00C53453" w:rsidRPr="00346B80">
        <w:rPr>
          <w:sz w:val="22"/>
          <w:szCs w:val="22"/>
          <w:lang w:val="sr-Latn-ME"/>
        </w:rPr>
        <w:t>dio</w:t>
      </w:r>
      <w:r w:rsidRPr="00346B80">
        <w:rPr>
          <w:sz w:val="22"/>
          <w:szCs w:val="22"/>
          <w:lang w:val="sr-Latn-ME"/>
        </w:rPr>
        <w:t xml:space="preserve"> 4.5).</w:t>
      </w:r>
    </w:p>
    <w:p w14:paraId="1F855760" w14:textId="5E723367" w:rsidR="00452E9D" w:rsidRPr="00346B80" w:rsidRDefault="00044909">
      <w:pPr>
        <w:widowControl w:val="0"/>
        <w:jc w:val="both"/>
        <w:rPr>
          <w:bCs/>
          <w:sz w:val="22"/>
          <w:szCs w:val="22"/>
          <w:lang w:val="sr-Latn-ME"/>
        </w:rPr>
      </w:pPr>
      <w:r w:rsidRPr="00346B80">
        <w:rPr>
          <w:bCs/>
          <w:sz w:val="22"/>
          <w:szCs w:val="22"/>
          <w:lang w:val="sr-Latn-ME"/>
        </w:rPr>
        <w:t>Optimalno vrijeme liječenja osteoporoze bisfosfonatima nije ustanovljeno. Potrebu za dugotrajnim liječenjem treba periodično preispitati kod svakog pojedinačnog pacijenta na temelju procjene koristi i mogućeg rizika liječenja tabletama Alvodronic 150 mg, posebno nakon 5 i više godina liječenja.</w:t>
      </w:r>
    </w:p>
    <w:p w14:paraId="40FA003B" w14:textId="77777777" w:rsidR="00C53453" w:rsidRPr="00346B80" w:rsidRDefault="00C53453">
      <w:pPr>
        <w:widowControl w:val="0"/>
        <w:jc w:val="both"/>
        <w:rPr>
          <w:sz w:val="22"/>
          <w:szCs w:val="22"/>
          <w:u w:val="single"/>
          <w:lang w:val="sr-Latn-ME"/>
        </w:rPr>
      </w:pPr>
    </w:p>
    <w:p w14:paraId="688A5B28" w14:textId="06F35B16" w:rsidR="00044909" w:rsidRPr="00346B80" w:rsidRDefault="00044909">
      <w:pPr>
        <w:widowControl w:val="0"/>
        <w:jc w:val="both"/>
        <w:rPr>
          <w:sz w:val="22"/>
          <w:szCs w:val="22"/>
          <w:u w:val="single"/>
          <w:lang w:val="sr-Latn-ME"/>
        </w:rPr>
      </w:pPr>
      <w:r w:rsidRPr="00346B80">
        <w:rPr>
          <w:sz w:val="22"/>
          <w:szCs w:val="22"/>
          <w:u w:val="single"/>
          <w:lang w:val="sr-Latn-ME"/>
        </w:rPr>
        <w:t>Specifične grupe</w:t>
      </w:r>
    </w:p>
    <w:p w14:paraId="1ED7F469" w14:textId="77777777" w:rsidR="00044909" w:rsidRPr="00346B80" w:rsidRDefault="00044909">
      <w:pPr>
        <w:widowControl w:val="0"/>
        <w:jc w:val="both"/>
        <w:rPr>
          <w:i/>
          <w:sz w:val="22"/>
          <w:szCs w:val="22"/>
          <w:lang w:val="sr-Latn-ME"/>
        </w:rPr>
      </w:pPr>
      <w:r w:rsidRPr="00346B80">
        <w:rPr>
          <w:i/>
          <w:sz w:val="22"/>
          <w:szCs w:val="22"/>
          <w:lang w:val="sr-Latn-ME"/>
        </w:rPr>
        <w:lastRenderedPageBreak/>
        <w:t>Pacijenti s oštećenom funkcijom bubrega</w:t>
      </w:r>
    </w:p>
    <w:p w14:paraId="5DC822AE" w14:textId="6AC48E50" w:rsidR="00044909" w:rsidRPr="00346B80" w:rsidRDefault="00044909">
      <w:pPr>
        <w:widowControl w:val="0"/>
        <w:jc w:val="both"/>
        <w:rPr>
          <w:i/>
          <w:sz w:val="22"/>
          <w:szCs w:val="22"/>
          <w:lang w:val="sr-Latn-ME"/>
        </w:rPr>
      </w:pPr>
      <w:r w:rsidRPr="00346B80">
        <w:rPr>
          <w:sz w:val="22"/>
          <w:szCs w:val="22"/>
          <w:lang w:val="sr-Latn-ME"/>
        </w:rPr>
        <w:t xml:space="preserve">Lijek </w:t>
      </w:r>
      <w:r w:rsidRPr="00814AE3">
        <w:rPr>
          <w:bCs/>
          <w:sz w:val="22"/>
          <w:szCs w:val="22"/>
          <w:lang w:val="sr-Latn-ME"/>
        </w:rPr>
        <w:t>Alvodronic 150 mg film tablete</w:t>
      </w:r>
      <w:r w:rsidRPr="00346B80">
        <w:rPr>
          <w:sz w:val="22"/>
          <w:szCs w:val="22"/>
          <w:lang w:val="sr-Latn-ME"/>
        </w:rPr>
        <w:t xml:space="preserve"> se ne preporučuje za pacijente sa klirensom kreatinina ispod 30 ml/min usljed nedostatka kliničkog iskustva (vidjeti </w:t>
      </w:r>
      <w:r w:rsidR="00C53453" w:rsidRPr="00346B80">
        <w:rPr>
          <w:sz w:val="22"/>
          <w:szCs w:val="22"/>
          <w:lang w:val="sr-Latn-ME"/>
        </w:rPr>
        <w:t>dio</w:t>
      </w:r>
      <w:r w:rsidRPr="00346B80">
        <w:rPr>
          <w:sz w:val="22"/>
          <w:szCs w:val="22"/>
          <w:lang w:val="sr-Latn-ME"/>
        </w:rPr>
        <w:t xml:space="preserve"> 4.4 i </w:t>
      </w:r>
      <w:r w:rsidR="00C53453" w:rsidRPr="00346B80">
        <w:rPr>
          <w:sz w:val="22"/>
          <w:szCs w:val="22"/>
          <w:lang w:val="sr-Latn-ME"/>
        </w:rPr>
        <w:t>dio</w:t>
      </w:r>
      <w:r w:rsidRPr="00346B80">
        <w:rPr>
          <w:sz w:val="22"/>
          <w:szCs w:val="22"/>
          <w:lang w:val="sr-Latn-ME"/>
        </w:rPr>
        <w:t xml:space="preserve"> 5.2).</w:t>
      </w:r>
    </w:p>
    <w:p w14:paraId="61E75270" w14:textId="77777777" w:rsidR="00044909" w:rsidRPr="00346B80" w:rsidRDefault="00044909">
      <w:pPr>
        <w:widowControl w:val="0"/>
        <w:jc w:val="both"/>
        <w:rPr>
          <w:sz w:val="22"/>
          <w:szCs w:val="22"/>
          <w:lang w:val="sr-Latn-ME"/>
        </w:rPr>
      </w:pPr>
      <w:r w:rsidRPr="00346B80">
        <w:rPr>
          <w:sz w:val="22"/>
          <w:szCs w:val="22"/>
          <w:lang w:val="sr-Latn-ME"/>
        </w:rPr>
        <w:t>Nije potrebno prilagođavanje doze za pacijente sa blago ili umjereno oštećenom funkcijom bubrega kad je klirens kreatinina jednak ili veći od 30 ml/min.</w:t>
      </w:r>
    </w:p>
    <w:p w14:paraId="4E8F2496" w14:textId="77777777" w:rsidR="00C53453" w:rsidRPr="00346B80" w:rsidRDefault="00C53453">
      <w:pPr>
        <w:widowControl w:val="0"/>
        <w:jc w:val="both"/>
        <w:rPr>
          <w:i/>
          <w:sz w:val="22"/>
          <w:szCs w:val="22"/>
          <w:lang w:val="sr-Latn-ME"/>
        </w:rPr>
      </w:pPr>
    </w:p>
    <w:p w14:paraId="02527BBE" w14:textId="1EAC2EE1" w:rsidR="00044909" w:rsidRPr="00346B80" w:rsidRDefault="00044909">
      <w:pPr>
        <w:widowControl w:val="0"/>
        <w:jc w:val="both"/>
        <w:rPr>
          <w:i/>
          <w:sz w:val="22"/>
          <w:szCs w:val="22"/>
          <w:lang w:val="sr-Latn-ME"/>
        </w:rPr>
      </w:pPr>
      <w:r w:rsidRPr="00346B80">
        <w:rPr>
          <w:i/>
          <w:sz w:val="22"/>
          <w:szCs w:val="22"/>
          <w:lang w:val="sr-Latn-ME"/>
        </w:rPr>
        <w:t>Pacijenti s oštećenom jetrenom funkcijom</w:t>
      </w:r>
    </w:p>
    <w:p w14:paraId="3161CE76" w14:textId="1194712D" w:rsidR="00044909" w:rsidRPr="00346B80" w:rsidRDefault="00044909">
      <w:pPr>
        <w:widowControl w:val="0"/>
        <w:jc w:val="both"/>
        <w:rPr>
          <w:sz w:val="22"/>
          <w:szCs w:val="22"/>
          <w:lang w:val="sr-Latn-ME"/>
        </w:rPr>
      </w:pPr>
      <w:r w:rsidRPr="00346B80">
        <w:rPr>
          <w:sz w:val="22"/>
          <w:szCs w:val="22"/>
          <w:lang w:val="sr-Latn-ME"/>
        </w:rPr>
        <w:t xml:space="preserve">Ne zahtijeva se prilagođavanje doze (vidjeti </w:t>
      </w:r>
      <w:r w:rsidR="00C53453" w:rsidRPr="00346B80">
        <w:rPr>
          <w:sz w:val="22"/>
          <w:szCs w:val="22"/>
          <w:lang w:val="sr-Latn-ME"/>
        </w:rPr>
        <w:t>dio</w:t>
      </w:r>
      <w:r w:rsidRPr="00346B80">
        <w:rPr>
          <w:sz w:val="22"/>
          <w:szCs w:val="22"/>
          <w:lang w:val="sr-Latn-ME"/>
        </w:rPr>
        <w:t xml:space="preserve"> 5.2).</w:t>
      </w:r>
    </w:p>
    <w:p w14:paraId="3D3B74F6" w14:textId="77777777" w:rsidR="00C53453" w:rsidRPr="00346B80" w:rsidRDefault="00C53453">
      <w:pPr>
        <w:widowControl w:val="0"/>
        <w:jc w:val="both"/>
        <w:rPr>
          <w:i/>
          <w:sz w:val="22"/>
          <w:szCs w:val="22"/>
          <w:lang w:val="sr-Latn-ME"/>
        </w:rPr>
      </w:pPr>
    </w:p>
    <w:p w14:paraId="103A65AE" w14:textId="19326438" w:rsidR="00044909" w:rsidRPr="00346B80" w:rsidRDefault="00044909">
      <w:pPr>
        <w:widowControl w:val="0"/>
        <w:jc w:val="both"/>
        <w:rPr>
          <w:i/>
          <w:sz w:val="22"/>
          <w:szCs w:val="22"/>
          <w:lang w:val="sr-Latn-ME"/>
        </w:rPr>
      </w:pPr>
      <w:r w:rsidRPr="00346B80">
        <w:rPr>
          <w:i/>
          <w:sz w:val="22"/>
          <w:szCs w:val="22"/>
          <w:lang w:val="sr-Latn-ME"/>
        </w:rPr>
        <w:t>Stariji pacijenti (&gt;65 godina)</w:t>
      </w:r>
    </w:p>
    <w:p w14:paraId="2B5B8267" w14:textId="06C68439" w:rsidR="00044909" w:rsidRPr="00346B80" w:rsidRDefault="00044909">
      <w:pPr>
        <w:widowControl w:val="0"/>
        <w:jc w:val="both"/>
        <w:rPr>
          <w:sz w:val="22"/>
          <w:szCs w:val="22"/>
          <w:lang w:val="sr-Latn-ME"/>
        </w:rPr>
      </w:pPr>
      <w:r w:rsidRPr="00346B80">
        <w:rPr>
          <w:sz w:val="22"/>
          <w:szCs w:val="22"/>
          <w:lang w:val="sr-Latn-ME"/>
        </w:rPr>
        <w:t xml:space="preserve">Ne zahtijeva se prilagođavanje doze (vidjeti </w:t>
      </w:r>
      <w:r w:rsidR="00C53453" w:rsidRPr="00346B80">
        <w:rPr>
          <w:sz w:val="22"/>
          <w:szCs w:val="22"/>
          <w:lang w:val="sr-Latn-ME"/>
        </w:rPr>
        <w:t>dio</w:t>
      </w:r>
      <w:r w:rsidRPr="00346B80">
        <w:rPr>
          <w:sz w:val="22"/>
          <w:szCs w:val="22"/>
          <w:lang w:val="sr-Latn-ME"/>
        </w:rPr>
        <w:t xml:space="preserve"> 5.2).</w:t>
      </w:r>
    </w:p>
    <w:p w14:paraId="531875A6" w14:textId="77777777" w:rsidR="00C53453" w:rsidRPr="00346B80" w:rsidRDefault="00C53453">
      <w:pPr>
        <w:widowControl w:val="0"/>
        <w:jc w:val="both"/>
        <w:rPr>
          <w:i/>
          <w:sz w:val="22"/>
          <w:szCs w:val="22"/>
          <w:lang w:val="sr-Latn-ME"/>
        </w:rPr>
      </w:pPr>
    </w:p>
    <w:p w14:paraId="70A67A1D" w14:textId="3BF8CE8B" w:rsidR="00044909" w:rsidRPr="00346B80" w:rsidRDefault="00044909">
      <w:pPr>
        <w:widowControl w:val="0"/>
        <w:jc w:val="both"/>
        <w:rPr>
          <w:i/>
          <w:sz w:val="22"/>
          <w:szCs w:val="22"/>
          <w:lang w:val="sr-Latn-ME"/>
        </w:rPr>
      </w:pPr>
      <w:r w:rsidRPr="00346B80">
        <w:rPr>
          <w:i/>
          <w:sz w:val="22"/>
          <w:szCs w:val="22"/>
          <w:lang w:val="sr-Latn-ME"/>
        </w:rPr>
        <w:t>Pedijatrijska populacija</w:t>
      </w:r>
    </w:p>
    <w:p w14:paraId="4C4E07B4" w14:textId="6E855086" w:rsidR="00044909" w:rsidRPr="00DC7E6B" w:rsidRDefault="00044909">
      <w:pPr>
        <w:widowControl w:val="0"/>
        <w:jc w:val="both"/>
        <w:rPr>
          <w:sz w:val="22"/>
          <w:szCs w:val="22"/>
          <w:lang w:val="sr-Latn-ME"/>
        </w:rPr>
      </w:pPr>
      <w:r w:rsidRPr="00346B80">
        <w:rPr>
          <w:sz w:val="22"/>
          <w:szCs w:val="22"/>
          <w:lang w:val="sr-Latn-ME"/>
        </w:rPr>
        <w:t xml:space="preserve">Primena lijeka </w:t>
      </w:r>
      <w:r w:rsidRPr="00814AE3">
        <w:rPr>
          <w:bCs/>
          <w:sz w:val="22"/>
          <w:szCs w:val="22"/>
          <w:lang w:val="sr-Latn-ME"/>
        </w:rPr>
        <w:t>Alvodronic 150 mg film tablete</w:t>
      </w:r>
      <w:r w:rsidRPr="00346B80">
        <w:rPr>
          <w:sz w:val="22"/>
          <w:szCs w:val="22"/>
          <w:lang w:val="sr-Latn-ME"/>
        </w:rPr>
        <w:t xml:space="preserve"> kod djece ispod 18 godina nije relevantna i primjena lijeka nije proučavana u pedijatrijskoj populaciji (vidjeti </w:t>
      </w:r>
      <w:r w:rsidR="00C53453" w:rsidRPr="00346B80">
        <w:rPr>
          <w:sz w:val="22"/>
          <w:szCs w:val="22"/>
          <w:lang w:val="sr-Latn-ME"/>
        </w:rPr>
        <w:t>d</w:t>
      </w:r>
      <w:r w:rsidR="00DC7E6B">
        <w:rPr>
          <w:sz w:val="22"/>
          <w:szCs w:val="22"/>
          <w:lang w:val="sr-Latn-ME"/>
        </w:rPr>
        <w:t>jelove</w:t>
      </w:r>
      <w:r w:rsidRPr="00DC7E6B">
        <w:rPr>
          <w:sz w:val="22"/>
          <w:szCs w:val="22"/>
          <w:lang w:val="sr-Latn-ME"/>
        </w:rPr>
        <w:t xml:space="preserve"> 5.1 i 5.2). </w:t>
      </w:r>
    </w:p>
    <w:p w14:paraId="096BD21B" w14:textId="77777777" w:rsidR="00C53453" w:rsidRPr="00DC7E6B" w:rsidRDefault="00C53453" w:rsidP="00814AE3">
      <w:pPr>
        <w:widowControl w:val="0"/>
        <w:tabs>
          <w:tab w:val="left" w:pos="540"/>
          <w:tab w:val="left" w:pos="569"/>
        </w:tabs>
        <w:jc w:val="both"/>
        <w:rPr>
          <w:bCs/>
          <w:sz w:val="22"/>
          <w:szCs w:val="22"/>
          <w:u w:val="single"/>
          <w:lang w:val="sr-Latn-ME"/>
        </w:rPr>
      </w:pPr>
    </w:p>
    <w:p w14:paraId="1F855761" w14:textId="23944019" w:rsidR="00452E9D" w:rsidRPr="00346B80" w:rsidRDefault="00452E9D" w:rsidP="00814AE3">
      <w:pPr>
        <w:widowControl w:val="0"/>
        <w:tabs>
          <w:tab w:val="left" w:pos="540"/>
          <w:tab w:val="left" w:pos="569"/>
        </w:tabs>
        <w:jc w:val="both"/>
        <w:rPr>
          <w:bCs/>
          <w:sz w:val="22"/>
          <w:szCs w:val="22"/>
          <w:u w:val="single"/>
          <w:lang w:val="sr-Latn-ME"/>
        </w:rPr>
      </w:pPr>
      <w:r w:rsidRPr="00346B80">
        <w:rPr>
          <w:bCs/>
          <w:sz w:val="22"/>
          <w:szCs w:val="22"/>
          <w:u w:val="single"/>
          <w:lang w:val="sr-Latn-ME"/>
        </w:rPr>
        <w:t>Način primjene</w:t>
      </w:r>
    </w:p>
    <w:p w14:paraId="4A7E5486" w14:textId="77777777" w:rsidR="00044909" w:rsidRPr="00346B80" w:rsidRDefault="00044909" w:rsidP="00346B80">
      <w:pPr>
        <w:widowControl w:val="0"/>
        <w:jc w:val="both"/>
        <w:rPr>
          <w:sz w:val="22"/>
          <w:szCs w:val="22"/>
          <w:lang w:val="sr-Latn-ME" w:eastAsia="en-GB"/>
        </w:rPr>
      </w:pPr>
      <w:r w:rsidRPr="00346B80">
        <w:rPr>
          <w:sz w:val="22"/>
          <w:szCs w:val="22"/>
          <w:lang w:val="sr-Latn-ME" w:eastAsia="en-GB"/>
        </w:rPr>
        <w:t>Za oralnu primjenu.</w:t>
      </w:r>
    </w:p>
    <w:p w14:paraId="6B7D69E6" w14:textId="77777777" w:rsidR="00044909" w:rsidRPr="00346B80" w:rsidRDefault="00044909" w:rsidP="00FC2EEC">
      <w:pPr>
        <w:widowControl w:val="0"/>
        <w:jc w:val="both"/>
        <w:rPr>
          <w:sz w:val="22"/>
          <w:szCs w:val="22"/>
          <w:lang w:val="sr-Latn-ME" w:eastAsia="en-GB"/>
        </w:rPr>
      </w:pPr>
      <w:r w:rsidRPr="00346B80">
        <w:rPr>
          <w:sz w:val="22"/>
          <w:szCs w:val="22"/>
          <w:lang w:val="sr-Latn-ME" w:eastAsia="en-GB"/>
        </w:rPr>
        <w:t xml:space="preserve">Tabletu treba progutati cijelu sa čašom vode (180 do 240 ml) dok je pacijent u sjedećem ili stojećem položaju. Ne koristiti vodu sa </w:t>
      </w:r>
      <w:r w:rsidRPr="00346B80">
        <w:rPr>
          <w:sz w:val="22"/>
          <w:szCs w:val="22"/>
          <w:lang w:val="sr-Latn-ME"/>
        </w:rPr>
        <w:t>povišenim sadržajem kalcijuma. Ukoliko voda sa česme sadrži visok nivo kalcijuma (tvrda voda), savjetuje se primjena flaširane vode sa niskim sadržajem minerala.</w:t>
      </w:r>
    </w:p>
    <w:p w14:paraId="455498DC" w14:textId="41B5E61F" w:rsidR="00044909" w:rsidRPr="00814AE3" w:rsidRDefault="00044909">
      <w:pPr>
        <w:widowControl w:val="0"/>
        <w:jc w:val="both"/>
        <w:rPr>
          <w:bCs/>
          <w:sz w:val="22"/>
          <w:szCs w:val="22"/>
          <w:lang w:val="sr-Latn-ME"/>
        </w:rPr>
      </w:pPr>
      <w:r w:rsidRPr="00346B80">
        <w:rPr>
          <w:sz w:val="22"/>
          <w:szCs w:val="22"/>
          <w:lang w:val="sr-Latn-ME" w:eastAsia="en-GB"/>
        </w:rPr>
        <w:t xml:space="preserve">Pacijent ne smije leći 1 sat poslije uzimanja </w:t>
      </w:r>
      <w:r w:rsidRPr="00346B80">
        <w:rPr>
          <w:sz w:val="22"/>
          <w:szCs w:val="22"/>
          <w:lang w:val="sr-Latn-ME"/>
        </w:rPr>
        <w:t xml:space="preserve">lijeka </w:t>
      </w:r>
      <w:r w:rsidRPr="00814AE3">
        <w:rPr>
          <w:bCs/>
          <w:sz w:val="22"/>
          <w:szCs w:val="22"/>
          <w:lang w:val="sr-Latn-ME"/>
        </w:rPr>
        <w:t>Alvodronic 150 mg film tablete.</w:t>
      </w:r>
    </w:p>
    <w:p w14:paraId="1F855762" w14:textId="7A4A13EA" w:rsidR="00452E9D" w:rsidRPr="00346B80" w:rsidRDefault="00044909">
      <w:pPr>
        <w:widowControl w:val="0"/>
        <w:jc w:val="both"/>
        <w:rPr>
          <w:sz w:val="22"/>
          <w:szCs w:val="22"/>
          <w:u w:val="single"/>
          <w:lang w:val="sr-Latn-ME"/>
        </w:rPr>
      </w:pPr>
      <w:r w:rsidRPr="00346B80">
        <w:rPr>
          <w:sz w:val="22"/>
          <w:szCs w:val="22"/>
          <w:lang w:val="sr-Latn-ME"/>
        </w:rPr>
        <w:t xml:space="preserve">Obična voda je jedino piće koje se smije uzimati sa lijekom </w:t>
      </w:r>
      <w:r w:rsidRPr="00814AE3">
        <w:rPr>
          <w:bCs/>
          <w:sz w:val="22"/>
          <w:szCs w:val="22"/>
          <w:lang w:val="sr-Latn-ME"/>
        </w:rPr>
        <w:t>Alvodronic 150 mg film tablete.</w:t>
      </w:r>
      <w:r w:rsidRPr="00346B80">
        <w:rPr>
          <w:sz w:val="22"/>
          <w:szCs w:val="22"/>
          <w:lang w:val="sr-Latn-ME"/>
        </w:rPr>
        <w:t xml:space="preserve"> Pacijenti ne smiju žvakati ili sisati tabletu zbog mogućnosti nastanka orofaringealne ulceracije.</w:t>
      </w:r>
    </w:p>
    <w:p w14:paraId="53B37E0F" w14:textId="77777777" w:rsidR="00C53453" w:rsidRPr="00346B80" w:rsidRDefault="00C53453" w:rsidP="00814AE3">
      <w:pPr>
        <w:widowControl w:val="0"/>
        <w:tabs>
          <w:tab w:val="left" w:pos="540"/>
          <w:tab w:val="left" w:pos="569"/>
        </w:tabs>
        <w:jc w:val="both"/>
        <w:rPr>
          <w:b/>
          <w:bCs/>
          <w:sz w:val="22"/>
          <w:szCs w:val="22"/>
          <w:lang w:val="sr-Latn-ME"/>
        </w:rPr>
      </w:pPr>
    </w:p>
    <w:p w14:paraId="1F855763" w14:textId="7147346F" w:rsidR="00411B4B" w:rsidRPr="00346B80" w:rsidRDefault="00411B4B" w:rsidP="00814AE3">
      <w:pPr>
        <w:widowControl w:val="0"/>
        <w:tabs>
          <w:tab w:val="left" w:pos="540"/>
          <w:tab w:val="left" w:pos="569"/>
        </w:tabs>
        <w:jc w:val="both"/>
        <w:rPr>
          <w:b/>
          <w:bCs/>
          <w:sz w:val="22"/>
          <w:szCs w:val="22"/>
          <w:lang w:val="sr-Latn-ME"/>
        </w:rPr>
      </w:pPr>
      <w:r w:rsidRPr="00346B80">
        <w:rPr>
          <w:b/>
          <w:bCs/>
          <w:sz w:val="22"/>
          <w:szCs w:val="22"/>
          <w:lang w:val="sr-Latn-ME"/>
        </w:rPr>
        <w:t xml:space="preserve">4.3. </w:t>
      </w:r>
      <w:r w:rsidR="00480FB1" w:rsidRPr="00346B80">
        <w:rPr>
          <w:b/>
          <w:bCs/>
          <w:sz w:val="22"/>
          <w:szCs w:val="22"/>
          <w:lang w:val="sr-Latn-ME"/>
        </w:rPr>
        <w:tab/>
      </w:r>
      <w:r w:rsidRPr="00346B80">
        <w:rPr>
          <w:b/>
          <w:bCs/>
          <w:sz w:val="22"/>
          <w:szCs w:val="22"/>
          <w:lang w:val="sr-Latn-ME"/>
        </w:rPr>
        <w:t>Kontraindikacije</w:t>
      </w:r>
    </w:p>
    <w:p w14:paraId="1F855764" w14:textId="77777777" w:rsidR="0072020E" w:rsidRPr="00346B80" w:rsidRDefault="0072020E" w:rsidP="00814AE3">
      <w:pPr>
        <w:widowControl w:val="0"/>
        <w:tabs>
          <w:tab w:val="left" w:pos="540"/>
          <w:tab w:val="left" w:pos="569"/>
        </w:tabs>
        <w:jc w:val="both"/>
        <w:rPr>
          <w:bCs/>
          <w:sz w:val="22"/>
          <w:szCs w:val="22"/>
          <w:lang w:val="sr-Latn-ME"/>
        </w:rPr>
      </w:pPr>
    </w:p>
    <w:p w14:paraId="6BE4E3E5" w14:textId="06EB045A" w:rsidR="00044909" w:rsidRPr="00346B80" w:rsidRDefault="00044909" w:rsidP="00346B80">
      <w:pPr>
        <w:pStyle w:val="Header"/>
        <w:widowControl w:val="0"/>
        <w:numPr>
          <w:ilvl w:val="0"/>
          <w:numId w:val="12"/>
        </w:numPr>
        <w:tabs>
          <w:tab w:val="clear" w:pos="4320"/>
          <w:tab w:val="clear" w:pos="8640"/>
          <w:tab w:val="left" w:pos="284"/>
          <w:tab w:val="left" w:pos="540"/>
          <w:tab w:val="left" w:pos="569"/>
        </w:tabs>
        <w:jc w:val="both"/>
        <w:rPr>
          <w:bCs/>
          <w:sz w:val="22"/>
          <w:szCs w:val="22"/>
          <w:lang w:val="sr-Latn-ME"/>
        </w:rPr>
      </w:pPr>
      <w:r w:rsidRPr="00346B80">
        <w:rPr>
          <w:sz w:val="22"/>
          <w:szCs w:val="22"/>
          <w:lang w:val="sr-Latn-ME"/>
        </w:rPr>
        <w:t xml:space="preserve">    Preosjetljivost na ibandronsku kiselinu ili na bilo koju </w:t>
      </w:r>
      <w:r w:rsidRPr="00346B80">
        <w:rPr>
          <w:bCs/>
          <w:sz w:val="22"/>
          <w:szCs w:val="22"/>
          <w:lang w:val="sr-Latn-ME"/>
        </w:rPr>
        <w:t xml:space="preserve">od pomoćnih materija pobrojanih u </w:t>
      </w:r>
      <w:r w:rsidR="00C53453" w:rsidRPr="00346B80">
        <w:rPr>
          <w:bCs/>
          <w:sz w:val="22"/>
          <w:szCs w:val="22"/>
          <w:lang w:val="sr-Latn-ME"/>
        </w:rPr>
        <w:t xml:space="preserve">dijelu </w:t>
      </w:r>
      <w:r w:rsidRPr="00346B80">
        <w:rPr>
          <w:bCs/>
          <w:sz w:val="22"/>
          <w:szCs w:val="22"/>
          <w:lang w:val="sr-Latn-ME"/>
        </w:rPr>
        <w:t>6.1.</w:t>
      </w:r>
    </w:p>
    <w:p w14:paraId="4707A733" w14:textId="77777777" w:rsidR="00044909" w:rsidRPr="00346B80" w:rsidRDefault="00044909" w:rsidP="00FC2EEC">
      <w:pPr>
        <w:pStyle w:val="Header"/>
        <w:widowControl w:val="0"/>
        <w:numPr>
          <w:ilvl w:val="0"/>
          <w:numId w:val="12"/>
        </w:numPr>
        <w:tabs>
          <w:tab w:val="clear" w:pos="4320"/>
          <w:tab w:val="clear" w:pos="8640"/>
          <w:tab w:val="left" w:pos="284"/>
        </w:tabs>
        <w:jc w:val="both"/>
        <w:rPr>
          <w:sz w:val="22"/>
          <w:szCs w:val="22"/>
          <w:lang w:val="sr-Latn-ME"/>
        </w:rPr>
      </w:pPr>
      <w:r w:rsidRPr="00346B80">
        <w:rPr>
          <w:sz w:val="22"/>
          <w:szCs w:val="22"/>
          <w:lang w:val="sr-Latn-ME"/>
        </w:rPr>
        <w:t>Hipokalcijemija</w:t>
      </w:r>
    </w:p>
    <w:p w14:paraId="0BA635A8" w14:textId="77777777" w:rsidR="00044909" w:rsidRPr="00346B80" w:rsidRDefault="00044909">
      <w:pPr>
        <w:pStyle w:val="Header"/>
        <w:widowControl w:val="0"/>
        <w:numPr>
          <w:ilvl w:val="0"/>
          <w:numId w:val="12"/>
        </w:numPr>
        <w:tabs>
          <w:tab w:val="clear" w:pos="4320"/>
          <w:tab w:val="clear" w:pos="8640"/>
          <w:tab w:val="left" w:pos="284"/>
        </w:tabs>
        <w:jc w:val="both"/>
        <w:rPr>
          <w:sz w:val="22"/>
          <w:szCs w:val="22"/>
          <w:lang w:val="sr-Latn-ME"/>
        </w:rPr>
      </w:pPr>
      <w:r w:rsidRPr="00346B80">
        <w:rPr>
          <w:sz w:val="22"/>
          <w:szCs w:val="22"/>
          <w:lang w:val="sr-Latn-ME"/>
        </w:rPr>
        <w:t>Nepravilnosti ezofagusa koje usporavaju njegovo pražnjenje, poput suženja ili ahalazija</w:t>
      </w:r>
    </w:p>
    <w:p w14:paraId="0265379D" w14:textId="77777777" w:rsidR="00044909" w:rsidRPr="00346B80" w:rsidRDefault="00044909">
      <w:pPr>
        <w:pStyle w:val="Header"/>
        <w:widowControl w:val="0"/>
        <w:numPr>
          <w:ilvl w:val="0"/>
          <w:numId w:val="12"/>
        </w:numPr>
        <w:tabs>
          <w:tab w:val="clear" w:pos="4320"/>
          <w:tab w:val="clear" w:pos="8640"/>
          <w:tab w:val="left" w:pos="284"/>
        </w:tabs>
        <w:jc w:val="both"/>
        <w:rPr>
          <w:sz w:val="22"/>
          <w:szCs w:val="22"/>
          <w:lang w:val="sr-Latn-ME"/>
        </w:rPr>
      </w:pPr>
      <w:r w:rsidRPr="00346B80">
        <w:rPr>
          <w:sz w:val="22"/>
          <w:szCs w:val="22"/>
          <w:lang w:val="sr-Latn-ME"/>
        </w:rPr>
        <w:t>Nemogućnost stajanja ili uspravnog sjedenja u trajanju od najmanje 60 minuta</w:t>
      </w:r>
    </w:p>
    <w:p w14:paraId="32E73B90" w14:textId="77777777" w:rsidR="00044909" w:rsidRPr="00346B80" w:rsidRDefault="00044909" w:rsidP="00814AE3">
      <w:pPr>
        <w:widowControl w:val="0"/>
        <w:tabs>
          <w:tab w:val="left" w:pos="540"/>
          <w:tab w:val="left" w:pos="569"/>
        </w:tabs>
        <w:jc w:val="both"/>
        <w:rPr>
          <w:bCs/>
          <w:sz w:val="22"/>
          <w:szCs w:val="22"/>
          <w:lang w:val="sr-Latn-ME"/>
        </w:rPr>
      </w:pPr>
    </w:p>
    <w:p w14:paraId="1F855765" w14:textId="77777777" w:rsidR="00411B4B" w:rsidRPr="00346B80" w:rsidRDefault="00411B4B" w:rsidP="00814AE3">
      <w:pPr>
        <w:widowControl w:val="0"/>
        <w:tabs>
          <w:tab w:val="left" w:pos="540"/>
          <w:tab w:val="left" w:pos="569"/>
        </w:tabs>
        <w:jc w:val="both"/>
        <w:rPr>
          <w:b/>
          <w:bCs/>
          <w:sz w:val="22"/>
          <w:szCs w:val="22"/>
          <w:lang w:val="sr-Latn-ME"/>
        </w:rPr>
      </w:pPr>
      <w:r w:rsidRPr="00346B80">
        <w:rPr>
          <w:b/>
          <w:bCs/>
          <w:sz w:val="22"/>
          <w:szCs w:val="22"/>
          <w:lang w:val="sr-Latn-ME"/>
        </w:rPr>
        <w:t xml:space="preserve">4.4. </w:t>
      </w:r>
      <w:r w:rsidR="00480FB1" w:rsidRPr="00346B80">
        <w:rPr>
          <w:b/>
          <w:bCs/>
          <w:sz w:val="22"/>
          <w:szCs w:val="22"/>
          <w:lang w:val="sr-Latn-ME"/>
        </w:rPr>
        <w:tab/>
      </w:r>
      <w:r w:rsidRPr="00346B80">
        <w:rPr>
          <w:b/>
          <w:bCs/>
          <w:sz w:val="22"/>
          <w:szCs w:val="22"/>
          <w:lang w:val="sr-Latn-ME"/>
        </w:rPr>
        <w:t>Posebna upozorenja i mjere opreza pri upotrebi lijeka</w:t>
      </w:r>
    </w:p>
    <w:p w14:paraId="1F855766" w14:textId="77777777" w:rsidR="0072020E" w:rsidRPr="00346B80" w:rsidRDefault="0072020E" w:rsidP="00814AE3">
      <w:pPr>
        <w:widowControl w:val="0"/>
        <w:tabs>
          <w:tab w:val="left" w:pos="540"/>
          <w:tab w:val="left" w:pos="569"/>
        </w:tabs>
        <w:jc w:val="both"/>
        <w:rPr>
          <w:bCs/>
          <w:sz w:val="22"/>
          <w:szCs w:val="22"/>
          <w:lang w:val="sr-Latn-ME"/>
        </w:rPr>
      </w:pPr>
    </w:p>
    <w:p w14:paraId="47AFC94C" w14:textId="77777777" w:rsidR="00044909" w:rsidRPr="00346B80" w:rsidRDefault="00044909" w:rsidP="00346B80">
      <w:pPr>
        <w:pStyle w:val="Header"/>
        <w:widowControl w:val="0"/>
        <w:jc w:val="both"/>
        <w:rPr>
          <w:sz w:val="22"/>
          <w:szCs w:val="22"/>
          <w:u w:val="single"/>
          <w:lang w:val="sr-Latn-ME"/>
        </w:rPr>
      </w:pPr>
      <w:r w:rsidRPr="00346B80">
        <w:rPr>
          <w:sz w:val="22"/>
          <w:szCs w:val="22"/>
          <w:u w:val="single"/>
          <w:lang w:val="sr-Latn-ME"/>
        </w:rPr>
        <w:t>Hipokalcijemija</w:t>
      </w:r>
    </w:p>
    <w:p w14:paraId="3DCA31BD" w14:textId="0112AC6B" w:rsidR="00044909" w:rsidRPr="00346B80" w:rsidRDefault="00044909" w:rsidP="00FC2EEC">
      <w:pPr>
        <w:pStyle w:val="Header"/>
        <w:widowControl w:val="0"/>
        <w:tabs>
          <w:tab w:val="left" w:pos="284"/>
        </w:tabs>
        <w:jc w:val="both"/>
        <w:rPr>
          <w:b/>
          <w:bCs/>
          <w:sz w:val="22"/>
          <w:szCs w:val="22"/>
          <w:lang w:val="sr-Latn-ME"/>
        </w:rPr>
      </w:pPr>
      <w:r w:rsidRPr="00346B80">
        <w:rPr>
          <w:sz w:val="22"/>
          <w:szCs w:val="22"/>
          <w:lang w:val="sr-Latn-ME"/>
        </w:rPr>
        <w:t>Postojeća hipokalcijemija mora biti korigovana prije početka liječenja lijekom Alvodronic. Ostali poremećaji u metabolizmu kostiju i minerala takođe moraju biti efikasno liječeni. Za sve pacijente je važan adekvatan unos kalcijuma i vitamina D.</w:t>
      </w:r>
    </w:p>
    <w:p w14:paraId="10E3044B" w14:textId="77777777" w:rsidR="00044909" w:rsidRPr="00814AE3" w:rsidRDefault="00044909" w:rsidP="00FC2EEC">
      <w:pPr>
        <w:pStyle w:val="Header"/>
        <w:widowControl w:val="0"/>
        <w:tabs>
          <w:tab w:val="left" w:pos="284"/>
        </w:tabs>
        <w:jc w:val="both"/>
        <w:rPr>
          <w:i/>
          <w:sz w:val="22"/>
          <w:szCs w:val="22"/>
          <w:lang w:val="sr-Latn-ME"/>
        </w:rPr>
      </w:pPr>
    </w:p>
    <w:p w14:paraId="3044F4DB" w14:textId="77777777" w:rsidR="00EA138F" w:rsidRPr="00346B80" w:rsidRDefault="00044909">
      <w:pPr>
        <w:pStyle w:val="Header"/>
        <w:widowControl w:val="0"/>
        <w:tabs>
          <w:tab w:val="left" w:pos="284"/>
        </w:tabs>
        <w:jc w:val="both"/>
        <w:rPr>
          <w:sz w:val="22"/>
          <w:szCs w:val="22"/>
          <w:u w:val="single"/>
          <w:lang w:val="sr-Latn-ME"/>
        </w:rPr>
      </w:pPr>
      <w:r w:rsidRPr="00346B80">
        <w:rPr>
          <w:sz w:val="22"/>
          <w:szCs w:val="22"/>
          <w:u w:val="single"/>
          <w:lang w:val="sr-Latn-ME"/>
        </w:rPr>
        <w:t xml:space="preserve">Gastrointestinalna iritacija </w:t>
      </w:r>
    </w:p>
    <w:p w14:paraId="7028628C" w14:textId="446D2F6E" w:rsidR="00044909" w:rsidRPr="00346B80" w:rsidRDefault="00044909">
      <w:pPr>
        <w:pStyle w:val="Header"/>
        <w:widowControl w:val="0"/>
        <w:tabs>
          <w:tab w:val="left" w:pos="284"/>
        </w:tabs>
        <w:jc w:val="both"/>
        <w:rPr>
          <w:sz w:val="22"/>
          <w:szCs w:val="22"/>
          <w:lang w:val="sr-Latn-ME"/>
        </w:rPr>
      </w:pPr>
      <w:r w:rsidRPr="00FC2EEC">
        <w:rPr>
          <w:sz w:val="22"/>
          <w:szCs w:val="22"/>
          <w:lang w:val="sr-Latn-ME"/>
        </w:rPr>
        <w:t xml:space="preserve">Oralno primijenjeni bisfosfonati mogu uzrokovati lokalnu iritaciju sluzokože gornjih djelova gastrointestinalnog sistema. Usljed ovih mogućih iritirajućih efekata i mogućnosti pogoršanja osnovnog oboljenja, potreban je oprez kada se </w:t>
      </w:r>
      <w:r w:rsidRPr="00814AE3">
        <w:rPr>
          <w:bCs/>
          <w:sz w:val="22"/>
          <w:szCs w:val="22"/>
          <w:lang w:val="sr-Latn-ME"/>
        </w:rPr>
        <w:t>Alvodronic 150 mg film tablete</w:t>
      </w:r>
      <w:r w:rsidRPr="00346B80">
        <w:rPr>
          <w:sz w:val="22"/>
          <w:szCs w:val="22"/>
          <w:lang w:val="sr-Latn-ME"/>
        </w:rPr>
        <w:t xml:space="preserve"> daje pacijentima sa aktivnim gastrointestinalnim poremećajima (npr.</w:t>
      </w:r>
      <w:r w:rsidRPr="00346B80">
        <w:rPr>
          <w:sz w:val="22"/>
          <w:szCs w:val="22"/>
          <w:lang w:val="sr-Latn-ME" w:eastAsia="en-GB"/>
        </w:rPr>
        <w:t xml:space="preserve"> Baretov ezofagus, disfagija, ostala ezofagealna oboljenja, gastritis, duodenitis ili ulceracije).</w:t>
      </w:r>
      <w:r w:rsidRPr="00346B80">
        <w:rPr>
          <w:sz w:val="22"/>
          <w:szCs w:val="22"/>
          <w:lang w:val="sr-Latn-ME"/>
        </w:rPr>
        <w:t xml:space="preserve"> </w:t>
      </w:r>
    </w:p>
    <w:p w14:paraId="585982A1" w14:textId="2BC16F65" w:rsidR="00044909" w:rsidRPr="00346B80" w:rsidRDefault="00044909">
      <w:pPr>
        <w:widowControl w:val="0"/>
        <w:jc w:val="both"/>
        <w:rPr>
          <w:sz w:val="22"/>
          <w:szCs w:val="22"/>
          <w:lang w:val="sr-Latn-ME" w:eastAsia="en-GB"/>
        </w:rPr>
      </w:pPr>
      <w:r w:rsidRPr="00346B80">
        <w:rPr>
          <w:sz w:val="22"/>
          <w:szCs w:val="22"/>
          <w:lang w:val="sr-Latn-ME" w:eastAsia="en-GB"/>
        </w:rPr>
        <w:t xml:space="preserve">Neželjene reakcije kao što su ezofagitis, ezofagealne ulceracije, u nekim slučajevima ozbiljna koja su zahtijevala i hospitalizaciju, rijetko sa krvarenjem ili praćena ezofagealnim suženjem ili perforacijom, bila su prijavljena kod pacijenata koji su liječeni oralnim bisfosfonatima. Rizik od teških ezofagealnih neželjenih dejstava izgleda da je veći kod pacijenata koji se ne pridržavaju preporuka o doziranju i/ili kod pacijenata koji nastave sa uzimanjem oralnih bisfosfonata nakon razvoja simptoma koji nagovještavaju ezofagealnu iritaciju. Pacijenti treba tome da posvete posebnu pažnju i pridržavaju se preporučenog doziranja (vidjeti </w:t>
      </w:r>
      <w:r w:rsidR="00C53453" w:rsidRPr="00346B80">
        <w:rPr>
          <w:sz w:val="22"/>
          <w:szCs w:val="22"/>
          <w:lang w:val="sr-Latn-ME" w:eastAsia="en-GB"/>
        </w:rPr>
        <w:t>dio</w:t>
      </w:r>
      <w:r w:rsidRPr="00346B80">
        <w:rPr>
          <w:sz w:val="22"/>
          <w:szCs w:val="22"/>
          <w:lang w:val="sr-Latn-ME" w:eastAsia="en-GB"/>
        </w:rPr>
        <w:t xml:space="preserve"> 4.2).</w:t>
      </w:r>
    </w:p>
    <w:p w14:paraId="6CCB319C" w14:textId="77777777" w:rsidR="00F922B9" w:rsidRPr="00346B80" w:rsidRDefault="00F922B9">
      <w:pPr>
        <w:widowControl w:val="0"/>
        <w:jc w:val="both"/>
        <w:rPr>
          <w:sz w:val="22"/>
          <w:szCs w:val="22"/>
          <w:lang w:val="sr-Latn-ME" w:eastAsia="en-GB"/>
        </w:rPr>
      </w:pPr>
    </w:p>
    <w:p w14:paraId="7CF5385F" w14:textId="36DB523B" w:rsidR="00044909" w:rsidRPr="00346B80" w:rsidRDefault="00044909">
      <w:pPr>
        <w:widowControl w:val="0"/>
        <w:jc w:val="both"/>
        <w:rPr>
          <w:sz w:val="22"/>
          <w:szCs w:val="22"/>
          <w:lang w:val="sr-Latn-ME"/>
        </w:rPr>
      </w:pPr>
      <w:r w:rsidRPr="00346B80">
        <w:rPr>
          <w:sz w:val="22"/>
          <w:szCs w:val="22"/>
          <w:lang w:val="sr-Latn-ME" w:eastAsia="en-GB"/>
        </w:rPr>
        <w:t xml:space="preserve">Ljekari treba da upozore na bilo koji znak ili simptom koji signalizira moguću ezofagealnu reakciju i poučiti pacijente da prekinu sa primjenom </w:t>
      </w:r>
      <w:r w:rsidRPr="00346B80">
        <w:rPr>
          <w:sz w:val="22"/>
          <w:szCs w:val="22"/>
          <w:lang w:val="sr-Latn-ME"/>
        </w:rPr>
        <w:t xml:space="preserve">lijeka </w:t>
      </w:r>
      <w:r w:rsidRPr="00814AE3">
        <w:rPr>
          <w:bCs/>
          <w:sz w:val="22"/>
          <w:szCs w:val="22"/>
          <w:lang w:val="sr-Latn-ME"/>
        </w:rPr>
        <w:t>Alvodronic 150 mg film tablete</w:t>
      </w:r>
      <w:r w:rsidRPr="00346B80">
        <w:rPr>
          <w:b/>
          <w:color w:val="FF0000"/>
          <w:sz w:val="22"/>
          <w:szCs w:val="22"/>
          <w:lang w:val="sr-Latn-ME"/>
        </w:rPr>
        <w:t xml:space="preserve"> </w:t>
      </w:r>
      <w:r w:rsidRPr="00346B80">
        <w:rPr>
          <w:sz w:val="22"/>
          <w:szCs w:val="22"/>
          <w:lang w:val="sr-Latn-ME"/>
        </w:rPr>
        <w:t>i da potraže medicinsku pomoć ako dođe do disfagije, odinofagije, retrosternalnog bola ili pojave ili pogoršanja žgaravice.</w:t>
      </w:r>
    </w:p>
    <w:p w14:paraId="66808534" w14:textId="77777777" w:rsidR="00044909" w:rsidRPr="00346B80" w:rsidRDefault="00044909">
      <w:pPr>
        <w:widowControl w:val="0"/>
        <w:jc w:val="both"/>
        <w:rPr>
          <w:sz w:val="22"/>
          <w:szCs w:val="22"/>
          <w:lang w:val="sr-Latn-ME" w:eastAsia="en-GB"/>
        </w:rPr>
      </w:pPr>
      <w:r w:rsidRPr="00346B80">
        <w:rPr>
          <w:sz w:val="22"/>
          <w:szCs w:val="22"/>
          <w:lang w:val="sr-Latn-ME" w:eastAsia="en-GB"/>
        </w:rPr>
        <w:t xml:space="preserve">Dok u kontrolisanim kliničkim ispitivanjima nije primijećen povećan rizik, postoje postmarketinški </w:t>
      </w:r>
      <w:r w:rsidRPr="00346B80">
        <w:rPr>
          <w:sz w:val="22"/>
          <w:szCs w:val="22"/>
          <w:lang w:val="sr-Latn-ME" w:eastAsia="en-GB"/>
        </w:rPr>
        <w:lastRenderedPageBreak/>
        <w:t>izvještaji o želudačnim i duodenalnim ulceracijama usljed oralno primijenjenih bisfosfonata, nekih teških i sa komplikacijama.</w:t>
      </w:r>
    </w:p>
    <w:p w14:paraId="6B82FCEC" w14:textId="77777777" w:rsidR="00044909" w:rsidRPr="00346B80" w:rsidRDefault="00044909">
      <w:pPr>
        <w:widowControl w:val="0"/>
        <w:jc w:val="both"/>
        <w:rPr>
          <w:sz w:val="22"/>
          <w:szCs w:val="22"/>
          <w:lang w:val="sr-Latn-ME"/>
        </w:rPr>
      </w:pPr>
      <w:r w:rsidRPr="00346B80">
        <w:rPr>
          <w:sz w:val="22"/>
          <w:szCs w:val="22"/>
          <w:lang w:val="sr-Latn-ME"/>
        </w:rPr>
        <w:t>Pošto su i nesteroidni antiinflamatorni ljekovi i bisfosfonati povezani sa gastrointestinalnom iritacijom, oprez je potreban tokom njihove istovremene primjene.</w:t>
      </w:r>
    </w:p>
    <w:p w14:paraId="3525BFD4" w14:textId="77777777" w:rsidR="00C53453" w:rsidRPr="00346B80" w:rsidRDefault="00C53453">
      <w:pPr>
        <w:widowControl w:val="0"/>
        <w:jc w:val="both"/>
        <w:rPr>
          <w:sz w:val="22"/>
          <w:szCs w:val="22"/>
          <w:u w:val="single"/>
          <w:lang w:val="sr-Latn-ME"/>
        </w:rPr>
      </w:pPr>
    </w:p>
    <w:p w14:paraId="1B2DCC31" w14:textId="7F63DD17" w:rsidR="00044909" w:rsidRPr="00346B80" w:rsidRDefault="00044909">
      <w:pPr>
        <w:widowControl w:val="0"/>
        <w:jc w:val="both"/>
        <w:rPr>
          <w:sz w:val="22"/>
          <w:szCs w:val="22"/>
          <w:u w:val="single"/>
          <w:lang w:val="sr-Latn-ME"/>
        </w:rPr>
      </w:pPr>
      <w:r w:rsidRPr="00346B80">
        <w:rPr>
          <w:sz w:val="22"/>
          <w:szCs w:val="22"/>
          <w:u w:val="single"/>
          <w:lang w:val="sr-Latn-ME"/>
        </w:rPr>
        <w:t>Osteonekroza vilice</w:t>
      </w:r>
    </w:p>
    <w:p w14:paraId="6A8E31A8" w14:textId="226B508F" w:rsidR="00EA138F" w:rsidRPr="00346B80" w:rsidRDefault="00EA138F">
      <w:pPr>
        <w:widowControl w:val="0"/>
        <w:jc w:val="both"/>
        <w:rPr>
          <w:sz w:val="22"/>
          <w:szCs w:val="22"/>
          <w:lang w:val="sr-Latn-ME"/>
        </w:rPr>
      </w:pPr>
      <w:r w:rsidRPr="00346B80">
        <w:rPr>
          <w:sz w:val="22"/>
          <w:szCs w:val="22"/>
          <w:lang w:val="sr-Latn-ME"/>
        </w:rPr>
        <w:t>Osteonekroza vilice (engl. osteonecrosis of the jaw, ONJ) zab</w:t>
      </w:r>
      <w:r w:rsidR="00972413" w:rsidRPr="00346B80">
        <w:rPr>
          <w:sz w:val="22"/>
          <w:szCs w:val="22"/>
          <w:lang w:val="sr-Latn-ME"/>
        </w:rPr>
        <w:t>i</w:t>
      </w:r>
      <w:r w:rsidRPr="00346B80">
        <w:rPr>
          <w:sz w:val="22"/>
          <w:szCs w:val="22"/>
          <w:lang w:val="sr-Latn-ME"/>
        </w:rPr>
        <w:t>l</w:t>
      </w:r>
      <w:r w:rsidR="00972413" w:rsidRPr="00346B80">
        <w:rPr>
          <w:sz w:val="22"/>
          <w:szCs w:val="22"/>
          <w:lang w:val="sr-Latn-ME"/>
        </w:rPr>
        <w:t>j</w:t>
      </w:r>
      <w:r w:rsidRPr="00346B80">
        <w:rPr>
          <w:sz w:val="22"/>
          <w:szCs w:val="22"/>
          <w:lang w:val="sr-Latn-ME"/>
        </w:rPr>
        <w:t>ežena je veoma retko tokom postmarketinškog praćenja kod pacijenata koji su primali l</w:t>
      </w:r>
      <w:r w:rsidR="00972413" w:rsidRPr="00346B80">
        <w:rPr>
          <w:sz w:val="22"/>
          <w:szCs w:val="22"/>
          <w:lang w:val="sr-Latn-ME"/>
        </w:rPr>
        <w:t>ij</w:t>
      </w:r>
      <w:r w:rsidRPr="00346B80">
        <w:rPr>
          <w:sz w:val="22"/>
          <w:szCs w:val="22"/>
          <w:lang w:val="sr-Latn-ME"/>
        </w:rPr>
        <w:t>ek Alvodronic za l</w:t>
      </w:r>
      <w:r w:rsidR="00972413" w:rsidRPr="00346B80">
        <w:rPr>
          <w:sz w:val="22"/>
          <w:szCs w:val="22"/>
          <w:lang w:val="sr-Latn-ME"/>
        </w:rPr>
        <w:t>ij</w:t>
      </w:r>
      <w:r w:rsidRPr="00346B80">
        <w:rPr>
          <w:sz w:val="22"/>
          <w:szCs w:val="22"/>
          <w:lang w:val="sr-Latn-ME"/>
        </w:rPr>
        <w:t>ečenje osteoporoze (vid</w:t>
      </w:r>
      <w:r w:rsidR="00972413" w:rsidRPr="00346B80">
        <w:rPr>
          <w:sz w:val="22"/>
          <w:szCs w:val="22"/>
          <w:lang w:val="sr-Latn-ME"/>
        </w:rPr>
        <w:t>j</w:t>
      </w:r>
      <w:r w:rsidRPr="00346B80">
        <w:rPr>
          <w:sz w:val="22"/>
          <w:szCs w:val="22"/>
          <w:lang w:val="sr-Latn-ME"/>
        </w:rPr>
        <w:t xml:space="preserve">eti </w:t>
      </w:r>
      <w:r w:rsidR="00C53453" w:rsidRPr="00346B80">
        <w:rPr>
          <w:sz w:val="22"/>
          <w:szCs w:val="22"/>
          <w:lang w:val="sr-Latn-ME"/>
        </w:rPr>
        <w:t>dio</w:t>
      </w:r>
      <w:r w:rsidRPr="00346B80">
        <w:rPr>
          <w:sz w:val="22"/>
          <w:szCs w:val="22"/>
          <w:lang w:val="sr-Latn-ME"/>
        </w:rPr>
        <w:t xml:space="preserve"> 4.8). </w:t>
      </w:r>
    </w:p>
    <w:p w14:paraId="6E1E98E4" w14:textId="77777777" w:rsidR="00EA138F" w:rsidRPr="00346B80" w:rsidRDefault="00EA138F">
      <w:pPr>
        <w:widowControl w:val="0"/>
        <w:jc w:val="both"/>
        <w:rPr>
          <w:sz w:val="22"/>
          <w:szCs w:val="22"/>
          <w:lang w:val="sr-Latn-ME"/>
        </w:rPr>
      </w:pPr>
    </w:p>
    <w:p w14:paraId="719935A3" w14:textId="77777777" w:rsidR="00EA138F" w:rsidRPr="00346B80" w:rsidRDefault="00EA138F">
      <w:pPr>
        <w:widowControl w:val="0"/>
        <w:jc w:val="both"/>
        <w:rPr>
          <w:sz w:val="22"/>
          <w:szCs w:val="22"/>
          <w:lang w:val="sr-Latn-ME"/>
        </w:rPr>
      </w:pPr>
      <w:r w:rsidRPr="00346B80">
        <w:rPr>
          <w:sz w:val="22"/>
          <w:szCs w:val="22"/>
          <w:lang w:val="sr-Latn-ME"/>
        </w:rPr>
        <w:t xml:space="preserve">Treba odložiti početak terapije ili novi ciklus terapije kod pacijenata sa nezaraslim otvorenim lezijama mekog tkiva u usnoj duplji. </w:t>
      </w:r>
    </w:p>
    <w:p w14:paraId="39BD9030" w14:textId="77777777" w:rsidR="00EA138F" w:rsidRPr="00346B80" w:rsidRDefault="00EA138F">
      <w:pPr>
        <w:widowControl w:val="0"/>
        <w:jc w:val="both"/>
        <w:rPr>
          <w:sz w:val="22"/>
          <w:szCs w:val="22"/>
          <w:lang w:val="sr-Latn-ME"/>
        </w:rPr>
      </w:pPr>
    </w:p>
    <w:p w14:paraId="47361E57" w14:textId="24B61AA9" w:rsidR="00EA138F" w:rsidRPr="00DC7E6B" w:rsidRDefault="00EA138F">
      <w:pPr>
        <w:widowControl w:val="0"/>
        <w:jc w:val="both"/>
        <w:rPr>
          <w:sz w:val="22"/>
          <w:szCs w:val="22"/>
          <w:lang w:val="sr-Latn-ME"/>
        </w:rPr>
      </w:pPr>
      <w:r w:rsidRPr="00346B80">
        <w:rPr>
          <w:sz w:val="22"/>
          <w:szCs w:val="22"/>
          <w:lang w:val="sr-Latn-ME"/>
        </w:rPr>
        <w:t>Kod pacijenata sa istovremeno prisutnim faktorima rizika, preporučuje se da se pr</w:t>
      </w:r>
      <w:r w:rsidR="00DC7E6B">
        <w:rPr>
          <w:sz w:val="22"/>
          <w:szCs w:val="22"/>
          <w:lang w:val="sr-Latn-ME"/>
        </w:rPr>
        <w:t>ij</w:t>
      </w:r>
      <w:r w:rsidRPr="00DC7E6B">
        <w:rPr>
          <w:sz w:val="22"/>
          <w:szCs w:val="22"/>
          <w:lang w:val="sr-Latn-ME"/>
        </w:rPr>
        <w:t>e započinjanja terapije lekom Alvodronic izvrše stomatološki pregled i preventivni stomatološki zahvati i proc</w:t>
      </w:r>
      <w:r w:rsidR="00972413" w:rsidRPr="00DC7E6B">
        <w:rPr>
          <w:sz w:val="22"/>
          <w:szCs w:val="22"/>
          <w:lang w:val="sr-Latn-ME"/>
        </w:rPr>
        <w:t>j</w:t>
      </w:r>
      <w:r w:rsidRPr="00DC7E6B">
        <w:rPr>
          <w:sz w:val="22"/>
          <w:szCs w:val="22"/>
          <w:lang w:val="sr-Latn-ME"/>
        </w:rPr>
        <w:t xml:space="preserve">eni odnos koristi i rizika pojedinačno za svakog pacijenta. </w:t>
      </w:r>
    </w:p>
    <w:p w14:paraId="1CBAD930" w14:textId="77777777" w:rsidR="00EA138F" w:rsidRPr="00346B80" w:rsidRDefault="00EA138F">
      <w:pPr>
        <w:widowControl w:val="0"/>
        <w:jc w:val="both"/>
        <w:rPr>
          <w:sz w:val="22"/>
          <w:szCs w:val="22"/>
          <w:lang w:val="sr-Latn-ME"/>
        </w:rPr>
      </w:pPr>
    </w:p>
    <w:p w14:paraId="6EFB2B1F" w14:textId="23EE3EC3" w:rsidR="00EA138F" w:rsidRPr="00DC7E6B" w:rsidRDefault="00EA138F">
      <w:pPr>
        <w:widowControl w:val="0"/>
        <w:jc w:val="both"/>
        <w:rPr>
          <w:sz w:val="22"/>
          <w:szCs w:val="22"/>
          <w:lang w:val="sr-Latn-ME"/>
        </w:rPr>
      </w:pPr>
      <w:r w:rsidRPr="00346B80">
        <w:rPr>
          <w:sz w:val="22"/>
          <w:szCs w:val="22"/>
          <w:lang w:val="sr-Latn-ME"/>
        </w:rPr>
        <w:t>Sl</w:t>
      </w:r>
      <w:r w:rsidR="00DC7E6B">
        <w:rPr>
          <w:sz w:val="22"/>
          <w:szCs w:val="22"/>
          <w:lang w:val="sr-Latn-ME"/>
        </w:rPr>
        <w:t>j</w:t>
      </w:r>
      <w:r w:rsidRPr="00DC7E6B">
        <w:rPr>
          <w:sz w:val="22"/>
          <w:szCs w:val="22"/>
          <w:lang w:val="sr-Latn-ME"/>
        </w:rPr>
        <w:t>edeće faktore rizika bi trebalo razmotriti prilikom proc</w:t>
      </w:r>
      <w:r w:rsidR="00972413" w:rsidRPr="00DC7E6B">
        <w:rPr>
          <w:sz w:val="22"/>
          <w:szCs w:val="22"/>
          <w:lang w:val="sr-Latn-ME"/>
        </w:rPr>
        <w:t>j</w:t>
      </w:r>
      <w:r w:rsidRPr="00DC7E6B">
        <w:rPr>
          <w:sz w:val="22"/>
          <w:szCs w:val="22"/>
          <w:lang w:val="sr-Latn-ME"/>
        </w:rPr>
        <w:t>ene rizika za pojavu osteonekroze vilice kod pacijenta:</w:t>
      </w:r>
    </w:p>
    <w:p w14:paraId="42C66673" w14:textId="3957A863" w:rsidR="00EA138F" w:rsidRPr="00346B80" w:rsidRDefault="00EA138F">
      <w:pPr>
        <w:pStyle w:val="ListParagraph"/>
        <w:widowControl w:val="0"/>
        <w:numPr>
          <w:ilvl w:val="0"/>
          <w:numId w:val="17"/>
        </w:numPr>
        <w:jc w:val="both"/>
        <w:rPr>
          <w:sz w:val="22"/>
          <w:szCs w:val="22"/>
          <w:lang w:val="sr-Latn-ME"/>
        </w:rPr>
      </w:pPr>
      <w:r w:rsidRPr="00346B80">
        <w:rPr>
          <w:sz w:val="22"/>
          <w:szCs w:val="22"/>
          <w:lang w:val="sr-Latn-ME"/>
        </w:rPr>
        <w:t>potentnost l</w:t>
      </w:r>
      <w:r w:rsidR="00972413" w:rsidRPr="00346B80">
        <w:rPr>
          <w:sz w:val="22"/>
          <w:szCs w:val="22"/>
          <w:lang w:val="sr-Latn-ME"/>
        </w:rPr>
        <w:t>ij</w:t>
      </w:r>
      <w:r w:rsidRPr="00346B80">
        <w:rPr>
          <w:sz w:val="22"/>
          <w:szCs w:val="22"/>
          <w:lang w:val="sr-Latn-ME"/>
        </w:rPr>
        <w:t>eka koji inhibira resorpciju kostiju (rizik je veći kod prim</w:t>
      </w:r>
      <w:r w:rsidR="00972413" w:rsidRPr="00346B80">
        <w:rPr>
          <w:sz w:val="22"/>
          <w:szCs w:val="22"/>
          <w:lang w:val="sr-Latn-ME"/>
        </w:rPr>
        <w:t>j</w:t>
      </w:r>
      <w:r w:rsidRPr="00346B80">
        <w:rPr>
          <w:sz w:val="22"/>
          <w:szCs w:val="22"/>
          <w:lang w:val="sr-Latn-ME"/>
        </w:rPr>
        <w:t>ene izrazito potentnih jedinjenja), način prim</w:t>
      </w:r>
      <w:r w:rsidR="00972413" w:rsidRPr="00346B80">
        <w:rPr>
          <w:sz w:val="22"/>
          <w:szCs w:val="22"/>
          <w:lang w:val="sr-Latn-ME"/>
        </w:rPr>
        <w:t>j</w:t>
      </w:r>
      <w:r w:rsidRPr="00346B80">
        <w:rPr>
          <w:sz w:val="22"/>
          <w:szCs w:val="22"/>
          <w:lang w:val="sr-Latn-ME"/>
        </w:rPr>
        <w:t>ene (rizik je veći kod parenteralne prim</w:t>
      </w:r>
      <w:r w:rsidR="00972413" w:rsidRPr="00346B80">
        <w:rPr>
          <w:sz w:val="22"/>
          <w:szCs w:val="22"/>
          <w:lang w:val="sr-Latn-ME"/>
        </w:rPr>
        <w:t>j</w:t>
      </w:r>
      <w:r w:rsidRPr="00346B80">
        <w:rPr>
          <w:sz w:val="22"/>
          <w:szCs w:val="22"/>
          <w:lang w:val="sr-Latn-ME"/>
        </w:rPr>
        <w:t>ene) i kumulativna doza l</w:t>
      </w:r>
      <w:r w:rsidR="00972413" w:rsidRPr="00346B80">
        <w:rPr>
          <w:sz w:val="22"/>
          <w:szCs w:val="22"/>
          <w:lang w:val="sr-Latn-ME"/>
        </w:rPr>
        <w:t>ij</w:t>
      </w:r>
      <w:r w:rsidRPr="00346B80">
        <w:rPr>
          <w:sz w:val="22"/>
          <w:szCs w:val="22"/>
          <w:lang w:val="sr-Latn-ME"/>
        </w:rPr>
        <w:t xml:space="preserve">eka koji inhibira resorpciju kostiju; </w:t>
      </w:r>
    </w:p>
    <w:p w14:paraId="178500FE" w14:textId="77777777" w:rsidR="00EA138F" w:rsidRPr="00346B80" w:rsidRDefault="00EA138F">
      <w:pPr>
        <w:pStyle w:val="ListParagraph"/>
        <w:widowControl w:val="0"/>
        <w:numPr>
          <w:ilvl w:val="0"/>
          <w:numId w:val="17"/>
        </w:numPr>
        <w:jc w:val="both"/>
        <w:rPr>
          <w:sz w:val="22"/>
          <w:szCs w:val="22"/>
          <w:lang w:val="sr-Latn-ME"/>
        </w:rPr>
      </w:pPr>
      <w:r w:rsidRPr="00346B80">
        <w:rPr>
          <w:sz w:val="22"/>
          <w:szCs w:val="22"/>
          <w:lang w:val="sr-Latn-ME"/>
        </w:rPr>
        <w:t xml:space="preserve">kancer, propratna stanja (npr. anemija, koagulopatije, infekcija), pušenje; </w:t>
      </w:r>
    </w:p>
    <w:p w14:paraId="09B6EBE4" w14:textId="77777777" w:rsidR="00EA138F" w:rsidRPr="00346B80" w:rsidRDefault="00EA138F">
      <w:pPr>
        <w:pStyle w:val="ListParagraph"/>
        <w:widowControl w:val="0"/>
        <w:numPr>
          <w:ilvl w:val="0"/>
          <w:numId w:val="17"/>
        </w:numPr>
        <w:jc w:val="both"/>
        <w:rPr>
          <w:sz w:val="22"/>
          <w:szCs w:val="22"/>
          <w:lang w:val="sr-Latn-ME"/>
        </w:rPr>
      </w:pPr>
      <w:r w:rsidRPr="00346B80">
        <w:rPr>
          <w:sz w:val="22"/>
          <w:szCs w:val="22"/>
          <w:lang w:val="sr-Latn-ME"/>
        </w:rPr>
        <w:t xml:space="preserve">istovremena terapija: kortikosteroidi, hemioterapija, inhibitori angiogeneze, radioterapija glave i vrata; </w:t>
      </w:r>
    </w:p>
    <w:p w14:paraId="6E8845A4" w14:textId="2A9DFB1A" w:rsidR="00EA138F" w:rsidRPr="00346B80" w:rsidRDefault="00EA138F">
      <w:pPr>
        <w:pStyle w:val="ListParagraph"/>
        <w:widowControl w:val="0"/>
        <w:numPr>
          <w:ilvl w:val="0"/>
          <w:numId w:val="17"/>
        </w:numPr>
        <w:jc w:val="both"/>
        <w:rPr>
          <w:sz w:val="22"/>
          <w:szCs w:val="22"/>
          <w:lang w:val="sr-Latn-ME"/>
        </w:rPr>
      </w:pPr>
      <w:r w:rsidRPr="00346B80">
        <w:rPr>
          <w:sz w:val="22"/>
          <w:szCs w:val="22"/>
          <w:lang w:val="sr-Latn-ME"/>
        </w:rPr>
        <w:t xml:space="preserve">loša oralna higijena, periodontalna bolest, loše postavljena zubna proteza, dentalne bolesti u anamnezi; invazivne stomatološke intervencije npr. vađenje zuba. </w:t>
      </w:r>
    </w:p>
    <w:p w14:paraId="271E22E3" w14:textId="77777777" w:rsidR="00EA138F" w:rsidRPr="00346B80" w:rsidRDefault="00EA138F">
      <w:pPr>
        <w:pStyle w:val="ListParagraph"/>
        <w:widowControl w:val="0"/>
        <w:jc w:val="both"/>
        <w:rPr>
          <w:sz w:val="22"/>
          <w:szCs w:val="22"/>
          <w:lang w:val="sr-Latn-ME"/>
        </w:rPr>
      </w:pPr>
    </w:p>
    <w:p w14:paraId="584B6116" w14:textId="09FE3E04" w:rsidR="00EA138F" w:rsidRPr="00346B80" w:rsidRDefault="00EA138F">
      <w:pPr>
        <w:pStyle w:val="ListParagraph"/>
        <w:widowControl w:val="0"/>
        <w:ind w:left="0"/>
        <w:jc w:val="both"/>
        <w:rPr>
          <w:sz w:val="22"/>
          <w:szCs w:val="22"/>
          <w:lang w:val="sr-Latn-ME"/>
        </w:rPr>
      </w:pPr>
      <w:r w:rsidRPr="00346B80">
        <w:rPr>
          <w:sz w:val="22"/>
          <w:szCs w:val="22"/>
          <w:lang w:val="sr-Latn-ME"/>
        </w:rPr>
        <w:t>Sve pacijente treba podsticati da tokom terapije l</w:t>
      </w:r>
      <w:r w:rsidR="00972413" w:rsidRPr="00346B80">
        <w:rPr>
          <w:sz w:val="22"/>
          <w:szCs w:val="22"/>
          <w:lang w:val="sr-Latn-ME"/>
        </w:rPr>
        <w:t>ij</w:t>
      </w:r>
      <w:r w:rsidRPr="00346B80">
        <w:rPr>
          <w:sz w:val="22"/>
          <w:szCs w:val="22"/>
          <w:lang w:val="sr-Latn-ME"/>
        </w:rPr>
        <w:t>ekom Alvodronic održavaju dobru oralnu higijenu, redovno odlaze na kontrolne stomatološke preglede i odmah prijave sve oralne simptome kao što su klaćenje zuba, bol ili otok, rane koje ne zarastaju i pojavu iscetka. Dok je pacijent na terapiji, invazivne stomatološke intervencije treba sprovoditi samo nakon pažljive proc</w:t>
      </w:r>
      <w:r w:rsidR="00972413" w:rsidRPr="00346B80">
        <w:rPr>
          <w:sz w:val="22"/>
          <w:szCs w:val="22"/>
          <w:lang w:val="sr-Latn-ME"/>
        </w:rPr>
        <w:t>j</w:t>
      </w:r>
      <w:r w:rsidRPr="00346B80">
        <w:rPr>
          <w:sz w:val="22"/>
          <w:szCs w:val="22"/>
          <w:lang w:val="sr-Latn-ME"/>
        </w:rPr>
        <w:t>ene i izb</w:t>
      </w:r>
      <w:r w:rsidR="00972413" w:rsidRPr="00346B80">
        <w:rPr>
          <w:sz w:val="22"/>
          <w:szCs w:val="22"/>
          <w:lang w:val="sr-Latn-ME"/>
        </w:rPr>
        <w:t>j</w:t>
      </w:r>
      <w:r w:rsidRPr="00346B80">
        <w:rPr>
          <w:sz w:val="22"/>
          <w:szCs w:val="22"/>
          <w:lang w:val="sr-Latn-ME"/>
        </w:rPr>
        <w:t>egavati ih u periodu blizu vremena prim</w:t>
      </w:r>
      <w:r w:rsidR="00972413" w:rsidRPr="00346B80">
        <w:rPr>
          <w:sz w:val="22"/>
          <w:szCs w:val="22"/>
          <w:lang w:val="sr-Latn-ME"/>
        </w:rPr>
        <w:t>j</w:t>
      </w:r>
      <w:r w:rsidRPr="00346B80">
        <w:rPr>
          <w:sz w:val="22"/>
          <w:szCs w:val="22"/>
          <w:lang w:val="sr-Latn-ME"/>
        </w:rPr>
        <w:t>ene l</w:t>
      </w:r>
      <w:r w:rsidR="00972413" w:rsidRPr="00346B80">
        <w:rPr>
          <w:sz w:val="22"/>
          <w:szCs w:val="22"/>
          <w:lang w:val="sr-Latn-ME"/>
        </w:rPr>
        <w:t>ij</w:t>
      </w:r>
      <w:r w:rsidRPr="00346B80">
        <w:rPr>
          <w:sz w:val="22"/>
          <w:szCs w:val="22"/>
          <w:lang w:val="sr-Latn-ME"/>
        </w:rPr>
        <w:t xml:space="preserve">eka Alvodronic. </w:t>
      </w:r>
    </w:p>
    <w:p w14:paraId="7E496FDB" w14:textId="77777777" w:rsidR="00EA138F" w:rsidRPr="00346B80" w:rsidRDefault="00EA138F">
      <w:pPr>
        <w:pStyle w:val="ListParagraph"/>
        <w:widowControl w:val="0"/>
        <w:ind w:left="0"/>
        <w:jc w:val="both"/>
        <w:rPr>
          <w:sz w:val="22"/>
          <w:szCs w:val="22"/>
          <w:lang w:val="sr-Latn-ME"/>
        </w:rPr>
      </w:pPr>
    </w:p>
    <w:p w14:paraId="1021DD14" w14:textId="3BD74F2D" w:rsidR="00EA138F" w:rsidRPr="00814AE3" w:rsidRDefault="00EA138F">
      <w:pPr>
        <w:pStyle w:val="ListParagraph"/>
        <w:widowControl w:val="0"/>
        <w:ind w:left="0"/>
        <w:jc w:val="both"/>
        <w:rPr>
          <w:sz w:val="22"/>
          <w:szCs w:val="22"/>
          <w:lang w:val="sr-Latn-ME"/>
        </w:rPr>
      </w:pPr>
      <w:r w:rsidRPr="00346B80">
        <w:rPr>
          <w:sz w:val="22"/>
          <w:szCs w:val="22"/>
          <w:lang w:val="sr-Latn-ME"/>
        </w:rPr>
        <w:t>Plan l</w:t>
      </w:r>
      <w:r w:rsidR="00972413" w:rsidRPr="00346B80">
        <w:rPr>
          <w:sz w:val="22"/>
          <w:szCs w:val="22"/>
          <w:lang w:val="sr-Latn-ME"/>
        </w:rPr>
        <w:t>ij</w:t>
      </w:r>
      <w:r w:rsidRPr="00346B80">
        <w:rPr>
          <w:sz w:val="22"/>
          <w:szCs w:val="22"/>
          <w:lang w:val="sr-Latn-ME"/>
        </w:rPr>
        <w:t>ečenja pacijenata kod kojih se javi osteonekroza vilice treba da napravi ordinirajući l</w:t>
      </w:r>
      <w:r w:rsidR="00972413" w:rsidRPr="00346B80">
        <w:rPr>
          <w:sz w:val="22"/>
          <w:szCs w:val="22"/>
          <w:lang w:val="sr-Latn-ME"/>
        </w:rPr>
        <w:t>j</w:t>
      </w:r>
      <w:r w:rsidRPr="00346B80">
        <w:rPr>
          <w:sz w:val="22"/>
          <w:szCs w:val="22"/>
          <w:lang w:val="sr-Latn-ME"/>
        </w:rPr>
        <w:t>ekar u bliskoj saradnji sa stomatologom ili oralnim hirurgom, sa iskustvom u l</w:t>
      </w:r>
      <w:r w:rsidR="00972413" w:rsidRPr="00346B80">
        <w:rPr>
          <w:sz w:val="22"/>
          <w:szCs w:val="22"/>
          <w:lang w:val="sr-Latn-ME"/>
        </w:rPr>
        <w:t>ij</w:t>
      </w:r>
      <w:r w:rsidRPr="00346B80">
        <w:rPr>
          <w:sz w:val="22"/>
          <w:szCs w:val="22"/>
          <w:lang w:val="sr-Latn-ME"/>
        </w:rPr>
        <w:t>ečenju osteonekroze vilice. Ako je moguće, treba razmotriti privremeni prekid terapije l</w:t>
      </w:r>
      <w:r w:rsidR="00972413" w:rsidRPr="00346B80">
        <w:rPr>
          <w:sz w:val="22"/>
          <w:szCs w:val="22"/>
          <w:lang w:val="sr-Latn-ME"/>
        </w:rPr>
        <w:t>ij</w:t>
      </w:r>
      <w:r w:rsidRPr="00346B80">
        <w:rPr>
          <w:sz w:val="22"/>
          <w:szCs w:val="22"/>
          <w:lang w:val="sr-Latn-ME"/>
        </w:rPr>
        <w:t>ekom Alvodronic dok se ovo stanje ne r</w:t>
      </w:r>
      <w:r w:rsidR="00972413" w:rsidRPr="00346B80">
        <w:rPr>
          <w:sz w:val="22"/>
          <w:szCs w:val="22"/>
          <w:lang w:val="sr-Latn-ME"/>
        </w:rPr>
        <w:t>ij</w:t>
      </w:r>
      <w:r w:rsidRPr="00346B80">
        <w:rPr>
          <w:sz w:val="22"/>
          <w:szCs w:val="22"/>
          <w:lang w:val="sr-Latn-ME"/>
        </w:rPr>
        <w:t>eši i ublaže faktori rizika koji su doprineli njegovom razvoju.</w:t>
      </w:r>
    </w:p>
    <w:p w14:paraId="4ED05267" w14:textId="77777777" w:rsidR="00EA138F" w:rsidRPr="00346B80" w:rsidRDefault="00EA138F">
      <w:pPr>
        <w:widowControl w:val="0"/>
        <w:jc w:val="both"/>
        <w:rPr>
          <w:sz w:val="22"/>
          <w:szCs w:val="22"/>
          <w:lang w:val="sr-Latn-ME"/>
        </w:rPr>
      </w:pPr>
    </w:p>
    <w:p w14:paraId="50112257" w14:textId="77777777" w:rsidR="00EA138F" w:rsidRPr="00346B80" w:rsidRDefault="00EA138F">
      <w:pPr>
        <w:widowControl w:val="0"/>
        <w:jc w:val="both"/>
        <w:rPr>
          <w:sz w:val="22"/>
          <w:szCs w:val="22"/>
          <w:u w:val="single"/>
          <w:lang w:val="sr-Latn-ME"/>
        </w:rPr>
      </w:pPr>
      <w:r w:rsidRPr="00346B80">
        <w:rPr>
          <w:sz w:val="22"/>
          <w:szCs w:val="22"/>
          <w:u w:val="single"/>
          <w:lang w:val="sr-Latn-ME"/>
        </w:rPr>
        <w:t xml:space="preserve">Osteonekroza spoljašnjeg slušnog kanala </w:t>
      </w:r>
    </w:p>
    <w:p w14:paraId="0D99ACDD" w14:textId="799DDE8A" w:rsidR="00EA138F" w:rsidRPr="00346B80" w:rsidRDefault="00EA138F">
      <w:pPr>
        <w:widowControl w:val="0"/>
        <w:jc w:val="both"/>
        <w:rPr>
          <w:sz w:val="22"/>
          <w:szCs w:val="22"/>
          <w:lang w:val="sr-Latn-ME"/>
        </w:rPr>
      </w:pPr>
      <w:r w:rsidRPr="00FC2EEC">
        <w:rPr>
          <w:sz w:val="22"/>
          <w:szCs w:val="22"/>
          <w:lang w:val="sr-Latn-ME"/>
        </w:rPr>
        <w:t>Osteonekroza spoljašnjeg slušnog kanala koja je zab</w:t>
      </w:r>
      <w:r w:rsidR="00DC7E6B">
        <w:rPr>
          <w:sz w:val="22"/>
          <w:szCs w:val="22"/>
          <w:lang w:val="sr-Latn-ME"/>
        </w:rPr>
        <w:t>i</w:t>
      </w:r>
      <w:r w:rsidRPr="00FC2EEC">
        <w:rPr>
          <w:sz w:val="22"/>
          <w:szCs w:val="22"/>
          <w:lang w:val="sr-Latn-ME"/>
        </w:rPr>
        <w:t>l</w:t>
      </w:r>
      <w:r w:rsidR="00DC7E6B">
        <w:rPr>
          <w:sz w:val="22"/>
          <w:szCs w:val="22"/>
          <w:lang w:val="sr-Latn-ME"/>
        </w:rPr>
        <w:t>j</w:t>
      </w:r>
      <w:r w:rsidRPr="00FC2EEC">
        <w:rPr>
          <w:sz w:val="22"/>
          <w:szCs w:val="22"/>
          <w:lang w:val="sr-Latn-ME"/>
        </w:rPr>
        <w:t>ežena prilikom prim</w:t>
      </w:r>
      <w:r w:rsidR="00972413" w:rsidRPr="00FC2EEC">
        <w:rPr>
          <w:sz w:val="22"/>
          <w:szCs w:val="22"/>
          <w:lang w:val="sr-Latn-ME"/>
        </w:rPr>
        <w:t>j</w:t>
      </w:r>
      <w:r w:rsidRPr="00FC2EEC">
        <w:rPr>
          <w:sz w:val="22"/>
          <w:szCs w:val="22"/>
          <w:lang w:val="sr-Latn-ME"/>
        </w:rPr>
        <w:t>ene bisfosfonata, uglavnom se povezuje sa dugotrajnom terapijom. Mogući fakto</w:t>
      </w:r>
      <w:r w:rsidRPr="00346B80">
        <w:rPr>
          <w:sz w:val="22"/>
          <w:szCs w:val="22"/>
          <w:lang w:val="sr-Latn-ME"/>
        </w:rPr>
        <w:t>ri rizika za nastanak osteonekroze spoljašnjeg slušnog kanala uključuju prim</w:t>
      </w:r>
      <w:r w:rsidR="00972413" w:rsidRPr="00346B80">
        <w:rPr>
          <w:sz w:val="22"/>
          <w:szCs w:val="22"/>
          <w:lang w:val="sr-Latn-ME"/>
        </w:rPr>
        <w:t>j</w:t>
      </w:r>
      <w:r w:rsidRPr="00346B80">
        <w:rPr>
          <w:sz w:val="22"/>
          <w:szCs w:val="22"/>
          <w:lang w:val="sr-Latn-ME"/>
        </w:rPr>
        <w:t>enu steroida i hemioterapiju i/ili lokalne faktore rizika poput infekcije ili traume. Mogućnost osteonekroze spoljašnjeg slušnog kanala bi trebalo razmotriti kod pacijenata koji upotrebljavaju bisfosfonate, a koji imaju simptome koji zahvataju uho, uključujući hronične infekcije uha.</w:t>
      </w:r>
    </w:p>
    <w:p w14:paraId="3F1A7E8D" w14:textId="77777777" w:rsidR="00044909" w:rsidRPr="00346B80" w:rsidRDefault="00044909">
      <w:pPr>
        <w:widowControl w:val="0"/>
        <w:jc w:val="both"/>
        <w:rPr>
          <w:sz w:val="22"/>
          <w:szCs w:val="22"/>
          <w:lang w:val="sr-Latn-ME"/>
        </w:rPr>
      </w:pPr>
    </w:p>
    <w:p w14:paraId="7675B512" w14:textId="77777777" w:rsidR="00044909" w:rsidRPr="00346B80" w:rsidRDefault="00044909">
      <w:pPr>
        <w:widowControl w:val="0"/>
        <w:jc w:val="both"/>
        <w:rPr>
          <w:sz w:val="22"/>
          <w:szCs w:val="22"/>
          <w:u w:val="single"/>
          <w:lang w:val="sr-Latn-ME"/>
        </w:rPr>
      </w:pPr>
      <w:r w:rsidRPr="00346B80">
        <w:rPr>
          <w:sz w:val="22"/>
          <w:szCs w:val="22"/>
          <w:u w:val="single"/>
          <w:lang w:val="sr-Latn-ME"/>
        </w:rPr>
        <w:t>Atipični prelomi bedrene kosti</w:t>
      </w:r>
    </w:p>
    <w:p w14:paraId="590E8BD9" w14:textId="77777777" w:rsidR="00EA138F" w:rsidRPr="00346B80" w:rsidRDefault="00044909">
      <w:pPr>
        <w:widowControl w:val="0"/>
        <w:jc w:val="both"/>
        <w:rPr>
          <w:sz w:val="22"/>
          <w:szCs w:val="22"/>
          <w:lang w:val="sr-Latn-ME"/>
        </w:rPr>
      </w:pPr>
      <w:r w:rsidRPr="00346B80">
        <w:rPr>
          <w:sz w:val="22"/>
          <w:szCs w:val="22"/>
          <w:lang w:val="sr-Latn-ME"/>
        </w:rPr>
        <w:t xml:space="preserve">Atipične subtrohanterne i dijafizalne frakture femura prijavljene su uz terapiju bisfosfonatima, primarno kod pacijenata koji primaju dugotrajnu terapiju za osteoporozu. Ove transverzalne ili kratke kose frakture mogu se javiti bilo gdje duž femura, od ispod malog trohantera do iznad suprakondilarnog grebena. Te se frakture javljaju nakon minimalne traume ili bez trauma, te pojedini pacijenti osjete bol u natkoljenici ili u preponi, što je često povezano sa nalazom stres fraktura koje nedjeljama ili mjesecima prethode nalazima potpune frakture femura. Frakture su često bilateralne; zbog toga kod pacijenata liječenih bisfosfonatima koji su zadobili frakturu dijafize femura treba pregledati i kontralateralni femur. Takođe je prijavljeno slabo zarastanje tih fraktura. Prije konačne evaluacije pacijenata temeljene na individualnoj procjeni koristi i rizika liječenja, neophodno je razmotriti prekid liječenja bisfosfonatima kod pacijenata kod kojih se sumnja na atipičnu frakturu femura. </w:t>
      </w:r>
    </w:p>
    <w:p w14:paraId="2EA2291C" w14:textId="77777777" w:rsidR="00EA138F" w:rsidRPr="00346B80" w:rsidRDefault="00EA138F">
      <w:pPr>
        <w:widowControl w:val="0"/>
        <w:jc w:val="both"/>
        <w:rPr>
          <w:sz w:val="22"/>
          <w:szCs w:val="22"/>
          <w:lang w:val="sr-Latn-ME"/>
        </w:rPr>
      </w:pPr>
    </w:p>
    <w:p w14:paraId="1CB0692E" w14:textId="77024F1E" w:rsidR="00044909" w:rsidRPr="00346B80" w:rsidRDefault="00044909">
      <w:pPr>
        <w:widowControl w:val="0"/>
        <w:jc w:val="both"/>
        <w:rPr>
          <w:sz w:val="22"/>
          <w:szCs w:val="22"/>
          <w:lang w:val="sr-Latn-ME"/>
        </w:rPr>
      </w:pPr>
      <w:r w:rsidRPr="00346B80">
        <w:rPr>
          <w:sz w:val="22"/>
          <w:szCs w:val="22"/>
          <w:lang w:val="sr-Latn-ME"/>
        </w:rPr>
        <w:t>Tokom terapije bisfosfonatima, pacijentima treba savjetovati da prijave svaku bol u butini, kuku ili prepone, te svakog pacijenta koji osjeti takve simptome treba pregledati radi isključenja nekompletne frakture femura.</w:t>
      </w:r>
    </w:p>
    <w:p w14:paraId="36BFC415" w14:textId="77777777" w:rsidR="00044909" w:rsidRPr="00346B80" w:rsidRDefault="00044909">
      <w:pPr>
        <w:widowControl w:val="0"/>
        <w:jc w:val="both"/>
        <w:rPr>
          <w:iCs/>
          <w:sz w:val="22"/>
          <w:szCs w:val="22"/>
          <w:lang w:val="sr-Latn-ME"/>
        </w:rPr>
      </w:pPr>
    </w:p>
    <w:p w14:paraId="02412B01" w14:textId="3E2461B1" w:rsidR="00AF5014" w:rsidRPr="00346B80" w:rsidRDefault="00AF5014">
      <w:pPr>
        <w:widowControl w:val="0"/>
        <w:jc w:val="both"/>
        <w:rPr>
          <w:iCs/>
          <w:sz w:val="22"/>
          <w:szCs w:val="22"/>
          <w:u w:val="single"/>
          <w:lang w:val="sr-Latn-ME"/>
        </w:rPr>
      </w:pPr>
      <w:r w:rsidRPr="00346B80">
        <w:rPr>
          <w:iCs/>
          <w:sz w:val="22"/>
          <w:szCs w:val="22"/>
          <w:u w:val="single"/>
          <w:lang w:val="sr-Latn-ME"/>
        </w:rPr>
        <w:t>Atipični prelomi ostalih dugih kostiju</w:t>
      </w:r>
    </w:p>
    <w:p w14:paraId="45418007" w14:textId="4F12602B" w:rsidR="00AF5014" w:rsidRPr="00346B80" w:rsidRDefault="00AF5014">
      <w:pPr>
        <w:widowControl w:val="0"/>
        <w:jc w:val="both"/>
        <w:rPr>
          <w:iCs/>
          <w:sz w:val="22"/>
          <w:szCs w:val="22"/>
          <w:lang w:val="sr-Latn-ME"/>
        </w:rPr>
      </w:pPr>
      <w:r w:rsidRPr="00346B80">
        <w:rPr>
          <w:iCs/>
          <w:sz w:val="22"/>
          <w:szCs w:val="22"/>
          <w:lang w:val="sr-Latn-ME"/>
        </w:rPr>
        <w:t>Atipični prelomi ostalih dugih kostiju, kao što su lakatna kost (ulna) i potkoljenica (tibija), prijavljeni su takođe kod pacijenata koji su na dugotrajnoj terapiji. Kao i kod atipičnih preloma femura, ove frakture</w:t>
      </w:r>
    </w:p>
    <w:p w14:paraId="7CD9609C" w14:textId="7BB8F62D" w:rsidR="00AF5014" w:rsidRPr="00346B80" w:rsidRDefault="00AF5014">
      <w:pPr>
        <w:widowControl w:val="0"/>
        <w:jc w:val="both"/>
        <w:rPr>
          <w:iCs/>
          <w:sz w:val="22"/>
          <w:szCs w:val="22"/>
          <w:lang w:val="sr-Latn-ME"/>
        </w:rPr>
      </w:pPr>
      <w:r w:rsidRPr="00346B80">
        <w:rPr>
          <w:iCs/>
          <w:sz w:val="22"/>
          <w:szCs w:val="22"/>
          <w:lang w:val="sr-Latn-ME"/>
        </w:rPr>
        <w:t>se javljaju nakon minimalne traume ili bez ikakve traume dok neki pacijenti os</w:t>
      </w:r>
      <w:r w:rsidR="00972413" w:rsidRPr="00346B80">
        <w:rPr>
          <w:iCs/>
          <w:sz w:val="22"/>
          <w:szCs w:val="22"/>
          <w:lang w:val="sr-Latn-ME"/>
        </w:rPr>
        <w:t>j</w:t>
      </w:r>
      <w:r w:rsidRPr="00346B80">
        <w:rPr>
          <w:iCs/>
          <w:sz w:val="22"/>
          <w:szCs w:val="22"/>
          <w:lang w:val="sr-Latn-ME"/>
        </w:rPr>
        <w:t>ete prodromalnu bol</w:t>
      </w:r>
    </w:p>
    <w:p w14:paraId="3A5C393B" w14:textId="386F5217" w:rsidR="00AF5014" w:rsidRPr="00DC7E6B" w:rsidRDefault="00AF5014">
      <w:pPr>
        <w:widowControl w:val="0"/>
        <w:jc w:val="both"/>
        <w:rPr>
          <w:iCs/>
          <w:sz w:val="22"/>
          <w:szCs w:val="22"/>
          <w:lang w:val="sr-Latn-ME"/>
        </w:rPr>
      </w:pPr>
      <w:r w:rsidRPr="00346B80">
        <w:rPr>
          <w:iCs/>
          <w:sz w:val="22"/>
          <w:szCs w:val="22"/>
          <w:lang w:val="sr-Latn-ME"/>
        </w:rPr>
        <w:t>pr</w:t>
      </w:r>
      <w:r w:rsidR="00DC7E6B">
        <w:rPr>
          <w:iCs/>
          <w:sz w:val="22"/>
          <w:szCs w:val="22"/>
          <w:lang w:val="sr-Latn-ME"/>
        </w:rPr>
        <w:t>ij</w:t>
      </w:r>
      <w:r w:rsidRPr="00DC7E6B">
        <w:rPr>
          <w:iCs/>
          <w:sz w:val="22"/>
          <w:szCs w:val="22"/>
          <w:lang w:val="sr-Latn-ME"/>
        </w:rPr>
        <w:t>e kliničke slike potpunog preloma. U slučaju preloma lakatne kosti, ovo može biti povezano sa</w:t>
      </w:r>
    </w:p>
    <w:p w14:paraId="06F94CEC" w14:textId="1EA9B84C" w:rsidR="00AF5014" w:rsidRPr="00346B80" w:rsidRDefault="00AF5014">
      <w:pPr>
        <w:widowControl w:val="0"/>
        <w:jc w:val="both"/>
        <w:rPr>
          <w:iCs/>
          <w:sz w:val="22"/>
          <w:szCs w:val="22"/>
          <w:lang w:val="sr-Latn-ME"/>
        </w:rPr>
      </w:pPr>
      <w:r w:rsidRPr="00346B80">
        <w:rPr>
          <w:iCs/>
          <w:sz w:val="22"/>
          <w:szCs w:val="22"/>
          <w:lang w:val="sr-Latn-ME"/>
        </w:rPr>
        <w:t>ponavljajućim stresnim opterećenjem zbog dugotrajne upotrebe pomagala za hodanje (vidjeti dio 4.8).</w:t>
      </w:r>
    </w:p>
    <w:p w14:paraId="10CF4833" w14:textId="77777777" w:rsidR="00AF5014" w:rsidRPr="00346B80" w:rsidRDefault="00AF5014">
      <w:pPr>
        <w:widowControl w:val="0"/>
        <w:jc w:val="both"/>
        <w:rPr>
          <w:iCs/>
          <w:sz w:val="22"/>
          <w:szCs w:val="22"/>
          <w:lang w:val="sr-Latn-ME"/>
        </w:rPr>
      </w:pPr>
    </w:p>
    <w:p w14:paraId="75D22035" w14:textId="77777777" w:rsidR="00044909" w:rsidRPr="00346B80" w:rsidRDefault="00044909">
      <w:pPr>
        <w:widowControl w:val="0"/>
        <w:jc w:val="both"/>
        <w:rPr>
          <w:sz w:val="22"/>
          <w:szCs w:val="22"/>
          <w:u w:val="single"/>
          <w:lang w:val="sr-Latn-ME"/>
        </w:rPr>
      </w:pPr>
      <w:r w:rsidRPr="00346B80">
        <w:rPr>
          <w:sz w:val="22"/>
          <w:szCs w:val="22"/>
          <w:u w:val="single"/>
          <w:lang w:val="sr-Latn-ME"/>
        </w:rPr>
        <w:t>Oštećenje bubrežne funkcije</w:t>
      </w:r>
    </w:p>
    <w:p w14:paraId="192A9581" w14:textId="046DB98D" w:rsidR="00044909" w:rsidRPr="00346B80" w:rsidRDefault="00044909">
      <w:pPr>
        <w:widowControl w:val="0"/>
        <w:jc w:val="both"/>
        <w:rPr>
          <w:sz w:val="22"/>
          <w:szCs w:val="22"/>
          <w:lang w:val="sr-Latn-ME"/>
        </w:rPr>
      </w:pPr>
      <w:r w:rsidRPr="00346B80">
        <w:rPr>
          <w:sz w:val="22"/>
          <w:szCs w:val="22"/>
          <w:lang w:val="sr-Latn-ME"/>
        </w:rPr>
        <w:t xml:space="preserve">Usljed nedovoljnog kliničkog iskustva, Alvodronic 150 mg film tablete se ne preporučuju pacijentima sa klirensom kreatinina ispod 30 ml/min (vidjeti </w:t>
      </w:r>
      <w:r w:rsidR="00C53453" w:rsidRPr="00346B80">
        <w:rPr>
          <w:sz w:val="22"/>
          <w:szCs w:val="22"/>
          <w:lang w:val="sr-Latn-ME"/>
        </w:rPr>
        <w:t>dio</w:t>
      </w:r>
      <w:r w:rsidRPr="00346B80">
        <w:rPr>
          <w:sz w:val="22"/>
          <w:szCs w:val="22"/>
          <w:lang w:val="sr-Latn-ME"/>
        </w:rPr>
        <w:t xml:space="preserve"> 5.2).</w:t>
      </w:r>
      <w:r w:rsidRPr="00346B80">
        <w:rPr>
          <w:b/>
          <w:color w:val="FF0000"/>
          <w:sz w:val="22"/>
          <w:szCs w:val="22"/>
          <w:lang w:val="sr-Latn-ME"/>
        </w:rPr>
        <w:t xml:space="preserve"> </w:t>
      </w:r>
    </w:p>
    <w:p w14:paraId="11B64045" w14:textId="77777777" w:rsidR="00044909" w:rsidRPr="00346B80" w:rsidRDefault="00044909">
      <w:pPr>
        <w:widowControl w:val="0"/>
        <w:jc w:val="both"/>
        <w:rPr>
          <w:sz w:val="22"/>
          <w:szCs w:val="22"/>
          <w:u w:val="single"/>
          <w:lang w:val="sr-Latn-ME"/>
        </w:rPr>
      </w:pPr>
    </w:p>
    <w:p w14:paraId="17CC58B5" w14:textId="77777777" w:rsidR="00044909" w:rsidRPr="00346B80" w:rsidRDefault="00044909">
      <w:pPr>
        <w:widowControl w:val="0"/>
        <w:jc w:val="both"/>
        <w:rPr>
          <w:sz w:val="22"/>
          <w:szCs w:val="22"/>
          <w:u w:val="single"/>
          <w:lang w:val="sr-Latn-ME"/>
        </w:rPr>
      </w:pPr>
      <w:r w:rsidRPr="00346B80">
        <w:rPr>
          <w:sz w:val="22"/>
          <w:szCs w:val="22"/>
          <w:u w:val="single"/>
          <w:lang w:val="sr-Latn-ME"/>
        </w:rPr>
        <w:t>Nepodnošljivost galaktoze</w:t>
      </w:r>
    </w:p>
    <w:p w14:paraId="1573CFBA" w14:textId="76CB0361" w:rsidR="00044909" w:rsidRPr="00346B80" w:rsidRDefault="00AF5014">
      <w:pPr>
        <w:widowControl w:val="0"/>
        <w:jc w:val="both"/>
        <w:rPr>
          <w:sz w:val="22"/>
          <w:szCs w:val="22"/>
          <w:lang w:val="sr-Latn-ME"/>
        </w:rPr>
      </w:pPr>
      <w:r w:rsidRPr="00346B80">
        <w:rPr>
          <w:sz w:val="22"/>
          <w:szCs w:val="22"/>
          <w:lang w:val="sr-Latn-ME"/>
        </w:rPr>
        <w:t xml:space="preserve">Ovaj lijek sadrži laktozu. </w:t>
      </w:r>
      <w:r w:rsidR="00044909" w:rsidRPr="00346B80">
        <w:rPr>
          <w:sz w:val="22"/>
          <w:szCs w:val="22"/>
          <w:lang w:val="sr-Latn-ME"/>
        </w:rPr>
        <w:t xml:space="preserve">Pacijenti sa rijetkim nasljednim poremećajem nepodnošljivosti galaktoze, nedostatkom Lapp laktaze ili smanjenom glukoza-galaktoza resorpcijom ne smiju uzimati ovaj lijek. </w:t>
      </w:r>
    </w:p>
    <w:p w14:paraId="1CCEE18E" w14:textId="77777777" w:rsidR="00044909" w:rsidRPr="00346B80" w:rsidRDefault="00044909" w:rsidP="00814AE3">
      <w:pPr>
        <w:widowControl w:val="0"/>
        <w:tabs>
          <w:tab w:val="left" w:pos="540"/>
          <w:tab w:val="left" w:pos="569"/>
        </w:tabs>
        <w:jc w:val="both"/>
        <w:rPr>
          <w:bCs/>
          <w:sz w:val="22"/>
          <w:szCs w:val="22"/>
          <w:lang w:val="sr-Latn-ME"/>
        </w:rPr>
      </w:pPr>
    </w:p>
    <w:p w14:paraId="1F855767" w14:textId="77777777" w:rsidR="00057E35" w:rsidRPr="00346B80" w:rsidRDefault="00057E35" w:rsidP="00814AE3">
      <w:pPr>
        <w:widowControl w:val="0"/>
        <w:tabs>
          <w:tab w:val="left" w:pos="540"/>
          <w:tab w:val="left" w:pos="569"/>
        </w:tabs>
        <w:jc w:val="both"/>
        <w:rPr>
          <w:sz w:val="22"/>
          <w:szCs w:val="22"/>
          <w:u w:val="single"/>
          <w:lang w:val="sr-Latn-ME"/>
        </w:rPr>
      </w:pPr>
      <w:r w:rsidRPr="00346B80">
        <w:rPr>
          <w:sz w:val="22"/>
          <w:szCs w:val="22"/>
          <w:u w:val="single"/>
          <w:lang w:val="sr-Latn-ME"/>
        </w:rPr>
        <w:t>Pedijatrijska populacija</w:t>
      </w:r>
    </w:p>
    <w:p w14:paraId="1F855768" w14:textId="77777777" w:rsidR="00057E35" w:rsidRPr="00346B80" w:rsidRDefault="00057E35" w:rsidP="00814AE3">
      <w:pPr>
        <w:widowControl w:val="0"/>
        <w:tabs>
          <w:tab w:val="left" w:pos="540"/>
          <w:tab w:val="left" w:pos="569"/>
        </w:tabs>
        <w:jc w:val="both"/>
        <w:rPr>
          <w:bCs/>
          <w:sz w:val="22"/>
          <w:szCs w:val="22"/>
          <w:lang w:val="sr-Latn-ME"/>
        </w:rPr>
      </w:pPr>
    </w:p>
    <w:p w14:paraId="1F855769" w14:textId="77777777" w:rsidR="00411B4B" w:rsidRPr="00346B80" w:rsidRDefault="00411B4B" w:rsidP="00814AE3">
      <w:pPr>
        <w:widowControl w:val="0"/>
        <w:tabs>
          <w:tab w:val="left" w:pos="540"/>
          <w:tab w:val="left" w:pos="569"/>
        </w:tabs>
        <w:jc w:val="both"/>
        <w:rPr>
          <w:b/>
          <w:bCs/>
          <w:sz w:val="22"/>
          <w:szCs w:val="22"/>
          <w:lang w:val="sr-Latn-ME"/>
        </w:rPr>
      </w:pPr>
      <w:r w:rsidRPr="00346B80">
        <w:rPr>
          <w:b/>
          <w:bCs/>
          <w:sz w:val="22"/>
          <w:szCs w:val="22"/>
          <w:lang w:val="sr-Latn-ME"/>
        </w:rPr>
        <w:t>4.5.</w:t>
      </w:r>
      <w:r w:rsidR="000D60CC" w:rsidRPr="00346B80">
        <w:rPr>
          <w:b/>
          <w:bCs/>
          <w:sz w:val="22"/>
          <w:szCs w:val="22"/>
          <w:lang w:val="sr-Latn-ME"/>
        </w:rPr>
        <w:tab/>
      </w:r>
      <w:r w:rsidRPr="00346B80">
        <w:rPr>
          <w:b/>
          <w:bCs/>
          <w:sz w:val="22"/>
          <w:szCs w:val="22"/>
          <w:lang w:val="sr-Latn-ME"/>
        </w:rPr>
        <w:t>Interakcije sa drugim ljekovima i druge vrste interakcija</w:t>
      </w:r>
    </w:p>
    <w:p w14:paraId="1F85576A" w14:textId="77777777" w:rsidR="0072020E" w:rsidRPr="00346B80" w:rsidRDefault="0072020E" w:rsidP="00814AE3">
      <w:pPr>
        <w:widowControl w:val="0"/>
        <w:tabs>
          <w:tab w:val="left" w:pos="540"/>
          <w:tab w:val="left" w:pos="569"/>
        </w:tabs>
        <w:jc w:val="both"/>
        <w:rPr>
          <w:bCs/>
          <w:sz w:val="22"/>
          <w:szCs w:val="22"/>
          <w:lang w:val="sr-Latn-ME"/>
        </w:rPr>
      </w:pPr>
    </w:p>
    <w:p w14:paraId="7CF9A3BE" w14:textId="77777777" w:rsidR="00044909" w:rsidRPr="00346B80" w:rsidRDefault="00044909" w:rsidP="00346B80">
      <w:pPr>
        <w:widowControl w:val="0"/>
        <w:jc w:val="both"/>
        <w:rPr>
          <w:sz w:val="22"/>
          <w:szCs w:val="22"/>
          <w:u w:val="single"/>
          <w:lang w:val="sr-Latn-ME"/>
        </w:rPr>
      </w:pPr>
      <w:r w:rsidRPr="00346B80">
        <w:rPr>
          <w:sz w:val="22"/>
          <w:szCs w:val="22"/>
          <w:u w:val="single"/>
          <w:lang w:val="sr-Latn-ME"/>
        </w:rPr>
        <w:t>Interakcija lijek-hrana</w:t>
      </w:r>
    </w:p>
    <w:p w14:paraId="100BBDCA" w14:textId="77777777" w:rsidR="00044909" w:rsidRPr="00346B80" w:rsidRDefault="00044909" w:rsidP="00FC2EEC">
      <w:pPr>
        <w:widowControl w:val="0"/>
        <w:jc w:val="both"/>
        <w:rPr>
          <w:sz w:val="22"/>
          <w:szCs w:val="22"/>
          <w:lang w:val="sr-Latn-ME"/>
        </w:rPr>
      </w:pPr>
    </w:p>
    <w:p w14:paraId="2D7CBB56" w14:textId="117530CD" w:rsidR="00044909" w:rsidRPr="00346B80" w:rsidRDefault="00044909">
      <w:pPr>
        <w:widowControl w:val="0"/>
        <w:jc w:val="both"/>
        <w:rPr>
          <w:sz w:val="22"/>
          <w:szCs w:val="22"/>
          <w:lang w:val="sr-Latn-ME"/>
        </w:rPr>
      </w:pPr>
      <w:r w:rsidRPr="00346B80">
        <w:rPr>
          <w:sz w:val="22"/>
          <w:szCs w:val="22"/>
          <w:lang w:val="sr-Latn-ME"/>
        </w:rPr>
        <w:t>Oralna bioraspoloživost ibandronske kiseline generalno je smanjena u prisustvu hrane. Posebno proizvodi koji sadrže kalcijum, uključujući i mlijeko, kao i ostale polivalentne katjone (kao što su aluminijum, magnezijum, gvožđe) utiču na resorpciju</w:t>
      </w:r>
      <w:r w:rsidRPr="00346B80">
        <w:rPr>
          <w:b/>
          <w:color w:val="FF0000"/>
          <w:sz w:val="22"/>
          <w:szCs w:val="22"/>
          <w:lang w:val="sr-Latn-ME"/>
        </w:rPr>
        <w:t xml:space="preserve"> </w:t>
      </w:r>
      <w:r w:rsidRPr="00346B80">
        <w:rPr>
          <w:sz w:val="22"/>
          <w:szCs w:val="22"/>
          <w:lang w:val="sr-Latn-ME"/>
        </w:rPr>
        <w:t>lijeka Alvodronic 150 mg film tableta što je u skladu sa rezultatima dobijenim iz studija na životinjama. Zbog toga, pacijenti treba da uzimaju Alvodronic 150 mg film tablete</w:t>
      </w:r>
      <w:r w:rsidRPr="00346B80">
        <w:rPr>
          <w:color w:val="FF0000"/>
          <w:sz w:val="22"/>
          <w:szCs w:val="22"/>
          <w:lang w:val="sr-Latn-ME"/>
        </w:rPr>
        <w:t xml:space="preserve"> </w:t>
      </w:r>
      <w:r w:rsidRPr="00346B80">
        <w:rPr>
          <w:sz w:val="22"/>
          <w:szCs w:val="22"/>
          <w:lang w:val="sr-Latn-ME"/>
        </w:rPr>
        <w:t>ujutru</w:t>
      </w:r>
      <w:r w:rsidRPr="00346B80">
        <w:rPr>
          <w:b/>
          <w:color w:val="FF0000"/>
          <w:sz w:val="22"/>
          <w:szCs w:val="22"/>
          <w:lang w:val="sr-Latn-ME"/>
        </w:rPr>
        <w:t xml:space="preserve"> </w:t>
      </w:r>
      <w:r w:rsidRPr="00346B80">
        <w:rPr>
          <w:sz w:val="22"/>
          <w:szCs w:val="22"/>
          <w:lang w:val="sr-Latn-ME"/>
        </w:rPr>
        <w:t xml:space="preserve">na prazan želudac (najmanje 6 sati od posljednjeg obroka) i ne uzimaju hranu 1 sat poslije uzimanja lijeka (vidjeti </w:t>
      </w:r>
      <w:r w:rsidR="00C53453" w:rsidRPr="00346B80">
        <w:rPr>
          <w:sz w:val="22"/>
          <w:szCs w:val="22"/>
          <w:lang w:val="sr-Latn-ME"/>
        </w:rPr>
        <w:t>dio</w:t>
      </w:r>
      <w:r w:rsidRPr="00346B80">
        <w:rPr>
          <w:sz w:val="22"/>
          <w:szCs w:val="22"/>
          <w:lang w:val="sr-Latn-ME"/>
        </w:rPr>
        <w:t xml:space="preserve"> 4.2).</w:t>
      </w:r>
    </w:p>
    <w:p w14:paraId="252B9AA0" w14:textId="77777777" w:rsidR="00044909" w:rsidRPr="00346B80" w:rsidRDefault="00044909">
      <w:pPr>
        <w:widowControl w:val="0"/>
        <w:jc w:val="both"/>
        <w:rPr>
          <w:sz w:val="22"/>
          <w:szCs w:val="22"/>
          <w:lang w:val="sr-Latn-ME"/>
        </w:rPr>
      </w:pPr>
    </w:p>
    <w:p w14:paraId="14D7B170" w14:textId="77777777" w:rsidR="00044909" w:rsidRPr="00346B80" w:rsidRDefault="00044909">
      <w:pPr>
        <w:widowControl w:val="0"/>
        <w:jc w:val="both"/>
        <w:rPr>
          <w:sz w:val="22"/>
          <w:szCs w:val="22"/>
          <w:u w:val="single"/>
          <w:lang w:val="sr-Latn-ME"/>
        </w:rPr>
      </w:pPr>
      <w:r w:rsidRPr="00346B80">
        <w:rPr>
          <w:sz w:val="22"/>
          <w:szCs w:val="22"/>
          <w:u w:val="single"/>
          <w:lang w:val="sr-Latn-ME"/>
        </w:rPr>
        <w:t>Interakcije sa drugim ljekovima</w:t>
      </w:r>
    </w:p>
    <w:p w14:paraId="31BEC9D7" w14:textId="77777777" w:rsidR="00044909" w:rsidRPr="00346B80" w:rsidRDefault="00044909">
      <w:pPr>
        <w:widowControl w:val="0"/>
        <w:jc w:val="both"/>
        <w:rPr>
          <w:sz w:val="22"/>
          <w:szCs w:val="22"/>
          <w:lang w:val="sr-Latn-ME"/>
        </w:rPr>
      </w:pPr>
    </w:p>
    <w:p w14:paraId="7F5200C3" w14:textId="57DDEE6A" w:rsidR="00044909" w:rsidRPr="00346B80" w:rsidRDefault="00044909">
      <w:pPr>
        <w:widowControl w:val="0"/>
        <w:jc w:val="both"/>
        <w:rPr>
          <w:sz w:val="22"/>
          <w:szCs w:val="22"/>
          <w:lang w:val="sr-Latn-ME"/>
        </w:rPr>
      </w:pPr>
      <w:r w:rsidRPr="00346B80">
        <w:rPr>
          <w:sz w:val="22"/>
          <w:szCs w:val="22"/>
          <w:lang w:val="sr-Latn-ME"/>
        </w:rPr>
        <w:t>Metaboličke interakcije ne smatraju se vjerovatnim, budući da ibandronska kiselina</w:t>
      </w:r>
      <w:r w:rsidRPr="00346B80">
        <w:rPr>
          <w:b/>
          <w:sz w:val="22"/>
          <w:szCs w:val="22"/>
          <w:lang w:val="sr-Latn-ME"/>
        </w:rPr>
        <w:t xml:space="preserve"> </w:t>
      </w:r>
      <w:r w:rsidRPr="00346B80">
        <w:rPr>
          <w:sz w:val="22"/>
          <w:szCs w:val="22"/>
          <w:lang w:val="sr-Latn-ME"/>
        </w:rPr>
        <w:t xml:space="preserve">ne inhibira glavni humani hepatički P450 izoenzim i ne indukuje hepatički sistem citohroma P450 kod pacova (vidjeti </w:t>
      </w:r>
      <w:r w:rsidR="00C53453" w:rsidRPr="00346B80">
        <w:rPr>
          <w:sz w:val="22"/>
          <w:szCs w:val="22"/>
          <w:lang w:val="sr-Latn-ME"/>
        </w:rPr>
        <w:t>dio</w:t>
      </w:r>
      <w:r w:rsidRPr="00346B80">
        <w:rPr>
          <w:sz w:val="22"/>
          <w:szCs w:val="22"/>
          <w:lang w:val="sr-Latn-ME"/>
        </w:rPr>
        <w:t xml:space="preserve"> 5.2). Ibandronska kiselina</w:t>
      </w:r>
      <w:r w:rsidRPr="00346B80">
        <w:rPr>
          <w:b/>
          <w:sz w:val="22"/>
          <w:szCs w:val="22"/>
          <w:lang w:val="sr-Latn-ME"/>
        </w:rPr>
        <w:t xml:space="preserve"> </w:t>
      </w:r>
      <w:r w:rsidRPr="00346B80">
        <w:rPr>
          <w:sz w:val="22"/>
          <w:szCs w:val="22"/>
          <w:lang w:val="sr-Latn-ME"/>
        </w:rPr>
        <w:t>se eliminiše samo renalnom ekskrecijom i ne podliježe bilo kakvoj biotransformaciji.</w:t>
      </w:r>
    </w:p>
    <w:p w14:paraId="07F439DF" w14:textId="77777777" w:rsidR="00044909" w:rsidRPr="00346B80" w:rsidRDefault="00044909">
      <w:pPr>
        <w:widowControl w:val="0"/>
        <w:jc w:val="both"/>
        <w:rPr>
          <w:sz w:val="22"/>
          <w:szCs w:val="22"/>
          <w:lang w:val="sr-Latn-ME"/>
        </w:rPr>
      </w:pPr>
    </w:p>
    <w:p w14:paraId="3F5CCB65" w14:textId="77777777" w:rsidR="00044909" w:rsidRPr="00346B80" w:rsidRDefault="00044909">
      <w:pPr>
        <w:widowControl w:val="0"/>
        <w:jc w:val="both"/>
        <w:rPr>
          <w:sz w:val="22"/>
          <w:szCs w:val="22"/>
          <w:u w:val="single"/>
          <w:lang w:val="sr-Latn-ME"/>
        </w:rPr>
      </w:pPr>
      <w:r w:rsidRPr="00346B80">
        <w:rPr>
          <w:sz w:val="22"/>
          <w:szCs w:val="22"/>
          <w:u w:val="single"/>
          <w:lang w:val="sr-Latn-ME"/>
        </w:rPr>
        <w:t>Suplementi kalcijuma, antacidi i neki oralni medicinski proizvodi koji sadrže multivalentne katjone</w:t>
      </w:r>
    </w:p>
    <w:p w14:paraId="65F3C20C" w14:textId="77777777" w:rsidR="00044909" w:rsidRPr="00346B80" w:rsidRDefault="00044909">
      <w:pPr>
        <w:widowControl w:val="0"/>
        <w:jc w:val="both"/>
        <w:rPr>
          <w:sz w:val="22"/>
          <w:szCs w:val="22"/>
          <w:lang w:val="sr-Latn-ME"/>
        </w:rPr>
      </w:pPr>
    </w:p>
    <w:p w14:paraId="536836D3" w14:textId="237ECE71" w:rsidR="00044909" w:rsidRPr="00346B80" w:rsidRDefault="00044909">
      <w:pPr>
        <w:widowControl w:val="0"/>
        <w:jc w:val="both"/>
        <w:rPr>
          <w:sz w:val="22"/>
          <w:szCs w:val="22"/>
          <w:lang w:val="sr-Latn-ME"/>
        </w:rPr>
      </w:pPr>
      <w:r w:rsidRPr="00346B80">
        <w:rPr>
          <w:sz w:val="22"/>
          <w:szCs w:val="22"/>
          <w:lang w:val="sr-Latn-ME"/>
        </w:rPr>
        <w:t>Dodaci ishrani kalcijuma, antacidi i neki od oralnih ljekova koji sadrže polivalentne katjone (kao što su aluminijum, magnezijum, gvožđe) utiču na resorpciju</w:t>
      </w:r>
      <w:r w:rsidRPr="00346B80">
        <w:rPr>
          <w:b/>
          <w:color w:val="FF0000"/>
          <w:sz w:val="22"/>
          <w:szCs w:val="22"/>
          <w:lang w:val="sr-Latn-ME"/>
        </w:rPr>
        <w:t xml:space="preserve"> </w:t>
      </w:r>
      <w:r w:rsidRPr="00346B80">
        <w:rPr>
          <w:sz w:val="22"/>
          <w:szCs w:val="22"/>
          <w:lang w:val="sr-Latn-ME"/>
        </w:rPr>
        <w:t>lijeka Alvodronic 150 mg film tablete. Zbog toga, pacijenti ne smiju uzimati druge oralno primijenjene ljekove najmanje 6 sati prije uzimanja</w:t>
      </w:r>
      <w:r w:rsidRPr="00346B80">
        <w:rPr>
          <w:b/>
          <w:color w:val="FF0000"/>
          <w:sz w:val="22"/>
          <w:szCs w:val="22"/>
          <w:lang w:val="sr-Latn-ME"/>
        </w:rPr>
        <w:t xml:space="preserve"> </w:t>
      </w:r>
      <w:r w:rsidRPr="00346B80">
        <w:rPr>
          <w:sz w:val="22"/>
          <w:szCs w:val="22"/>
          <w:lang w:val="sr-Latn-ME"/>
        </w:rPr>
        <w:t>lijeka Alvodronic 150 mg film tablete i</w:t>
      </w:r>
      <w:r w:rsidRPr="00346B80">
        <w:rPr>
          <w:b/>
          <w:color w:val="FF0000"/>
          <w:sz w:val="22"/>
          <w:szCs w:val="22"/>
          <w:lang w:val="sr-Latn-ME"/>
        </w:rPr>
        <w:t xml:space="preserve"> </w:t>
      </w:r>
      <w:r w:rsidRPr="00346B80">
        <w:rPr>
          <w:sz w:val="22"/>
          <w:szCs w:val="22"/>
          <w:lang w:val="sr-Latn-ME"/>
        </w:rPr>
        <w:t>1 sat poslije uzimanja lijeka.</w:t>
      </w:r>
    </w:p>
    <w:p w14:paraId="4E7966E6" w14:textId="77777777" w:rsidR="00044909" w:rsidRPr="00346B80" w:rsidRDefault="00044909">
      <w:pPr>
        <w:widowControl w:val="0"/>
        <w:jc w:val="both"/>
        <w:rPr>
          <w:sz w:val="22"/>
          <w:szCs w:val="22"/>
          <w:lang w:val="sr-Latn-ME"/>
        </w:rPr>
      </w:pPr>
    </w:p>
    <w:p w14:paraId="226D51D5" w14:textId="77777777" w:rsidR="00044909" w:rsidRPr="00346B80" w:rsidRDefault="00044909">
      <w:pPr>
        <w:widowControl w:val="0"/>
        <w:jc w:val="both"/>
        <w:rPr>
          <w:sz w:val="22"/>
          <w:szCs w:val="22"/>
          <w:u w:val="single"/>
          <w:lang w:val="sr-Latn-ME"/>
        </w:rPr>
      </w:pPr>
      <w:r w:rsidRPr="00346B80">
        <w:rPr>
          <w:sz w:val="22"/>
          <w:szCs w:val="22"/>
          <w:u w:val="single"/>
          <w:lang w:val="sr-Latn-ME"/>
        </w:rPr>
        <w:t>Acetilsalicilna kiselina i nesteroidni antiinflamatorni ljekovi</w:t>
      </w:r>
    </w:p>
    <w:p w14:paraId="56E92EC5" w14:textId="77777777" w:rsidR="00044909" w:rsidRPr="00346B80" w:rsidRDefault="00044909">
      <w:pPr>
        <w:widowControl w:val="0"/>
        <w:jc w:val="both"/>
        <w:rPr>
          <w:sz w:val="22"/>
          <w:szCs w:val="22"/>
          <w:lang w:val="sr-Latn-ME"/>
        </w:rPr>
      </w:pPr>
    </w:p>
    <w:p w14:paraId="4AB425F7" w14:textId="52C289C2" w:rsidR="00044909" w:rsidRPr="00346B80" w:rsidRDefault="00044909">
      <w:pPr>
        <w:widowControl w:val="0"/>
        <w:jc w:val="both"/>
        <w:rPr>
          <w:sz w:val="22"/>
          <w:szCs w:val="22"/>
          <w:lang w:val="sr-Latn-ME"/>
        </w:rPr>
      </w:pPr>
      <w:r w:rsidRPr="00346B80">
        <w:rPr>
          <w:sz w:val="22"/>
          <w:szCs w:val="22"/>
          <w:lang w:val="sr-Latn-ME"/>
        </w:rPr>
        <w:t xml:space="preserve">Kako je primjena acetilsalicilne kiseline, nesteroidnih antiinflamatornih ljekova (NSAIL) i bisfosfonata povezana sa gastrointestinalnom iritacijom, potreban je oprez pri istovremenoj primjeni (vidjeti </w:t>
      </w:r>
      <w:r w:rsidR="00C53453" w:rsidRPr="00346B80">
        <w:rPr>
          <w:sz w:val="22"/>
          <w:szCs w:val="22"/>
          <w:lang w:val="sr-Latn-ME"/>
        </w:rPr>
        <w:t>dio</w:t>
      </w:r>
      <w:r w:rsidRPr="00346B80">
        <w:rPr>
          <w:sz w:val="22"/>
          <w:szCs w:val="22"/>
          <w:lang w:val="sr-Latn-ME"/>
        </w:rPr>
        <w:t xml:space="preserve"> 4.4).</w:t>
      </w:r>
    </w:p>
    <w:p w14:paraId="7C214BDE" w14:textId="77777777" w:rsidR="00044909" w:rsidRPr="00346B80" w:rsidRDefault="00044909">
      <w:pPr>
        <w:widowControl w:val="0"/>
        <w:jc w:val="both"/>
        <w:rPr>
          <w:sz w:val="22"/>
          <w:szCs w:val="22"/>
          <w:lang w:val="sr-Latn-ME"/>
        </w:rPr>
      </w:pPr>
    </w:p>
    <w:p w14:paraId="24688D5E" w14:textId="77777777" w:rsidR="00044909" w:rsidRPr="00346B80" w:rsidRDefault="00044909">
      <w:pPr>
        <w:widowControl w:val="0"/>
        <w:jc w:val="both"/>
        <w:rPr>
          <w:sz w:val="22"/>
          <w:szCs w:val="22"/>
          <w:u w:val="single"/>
          <w:lang w:val="sr-Latn-ME"/>
        </w:rPr>
      </w:pPr>
      <w:r w:rsidRPr="00346B80">
        <w:rPr>
          <w:sz w:val="22"/>
          <w:szCs w:val="22"/>
          <w:u w:val="single"/>
          <w:lang w:val="sr-Latn-ME"/>
        </w:rPr>
        <w:t>Blokatori H2 receptora ili inhibitori protonske pumpe</w:t>
      </w:r>
    </w:p>
    <w:p w14:paraId="5A042397" w14:textId="77777777" w:rsidR="00044909" w:rsidRPr="00346B80" w:rsidRDefault="00044909">
      <w:pPr>
        <w:widowControl w:val="0"/>
        <w:jc w:val="both"/>
        <w:rPr>
          <w:sz w:val="22"/>
          <w:szCs w:val="22"/>
          <w:lang w:val="sr-Latn-ME"/>
        </w:rPr>
      </w:pPr>
    </w:p>
    <w:p w14:paraId="6BD64CE4" w14:textId="0C2BC6F9" w:rsidR="00044909" w:rsidRPr="00346B80" w:rsidRDefault="00044909">
      <w:pPr>
        <w:widowControl w:val="0"/>
        <w:jc w:val="both"/>
        <w:rPr>
          <w:sz w:val="22"/>
          <w:szCs w:val="22"/>
          <w:lang w:val="sr-Latn-ME"/>
        </w:rPr>
      </w:pPr>
      <w:r w:rsidRPr="00346B80">
        <w:rPr>
          <w:sz w:val="22"/>
          <w:szCs w:val="22"/>
          <w:lang w:val="sr-Latn-ME"/>
        </w:rPr>
        <w:t>Kod više od 1500 pacijenata uključenih u studiju BM 16549 upoređivano je doziranje ibandronske kiseline</w:t>
      </w:r>
      <w:r w:rsidRPr="00346B80">
        <w:rPr>
          <w:b/>
          <w:sz w:val="22"/>
          <w:szCs w:val="22"/>
          <w:lang w:val="sr-Latn-ME"/>
        </w:rPr>
        <w:t xml:space="preserve"> </w:t>
      </w:r>
      <w:r w:rsidRPr="00346B80">
        <w:rPr>
          <w:sz w:val="22"/>
          <w:szCs w:val="22"/>
          <w:lang w:val="sr-Latn-ME"/>
        </w:rPr>
        <w:t xml:space="preserve">jedanput mjesečno sa doziranjem jedanput dnevno, 14% i 18% pacijenata koristilo je histaminske (H2) blokatore ili inhibitore protonske pumpe nakon jedne i dvije godine. Među ovim pacijentkinjama incidenca neželjenih dejstava od strane gornjih djelova gastrointestinalnog sistema kod </w:t>
      </w:r>
      <w:r w:rsidRPr="00346B80">
        <w:rPr>
          <w:sz w:val="22"/>
          <w:szCs w:val="22"/>
          <w:lang w:val="sr-Latn-ME"/>
        </w:rPr>
        <w:lastRenderedPageBreak/>
        <w:t>pacijentkinja liječenih lijekom Alvodronic 150 mg film tablete jedanput mjesečno bila je slična onoj kod pacijentkinja liječenih ibandronskom kiselinom 2,5 mg jedanput dnevno.</w:t>
      </w:r>
    </w:p>
    <w:p w14:paraId="1750BC65" w14:textId="77777777" w:rsidR="00044909" w:rsidRPr="00346B80" w:rsidRDefault="00044909">
      <w:pPr>
        <w:widowControl w:val="0"/>
        <w:jc w:val="both"/>
        <w:rPr>
          <w:sz w:val="22"/>
          <w:szCs w:val="22"/>
          <w:lang w:val="sr-Latn-ME"/>
        </w:rPr>
      </w:pPr>
    </w:p>
    <w:p w14:paraId="0F582205" w14:textId="067CFCBA" w:rsidR="00044909" w:rsidRPr="00346B80" w:rsidRDefault="00044909">
      <w:pPr>
        <w:widowControl w:val="0"/>
        <w:jc w:val="both"/>
        <w:rPr>
          <w:sz w:val="22"/>
          <w:szCs w:val="22"/>
          <w:lang w:val="sr-Latn-ME"/>
        </w:rPr>
      </w:pPr>
      <w:r w:rsidRPr="00346B80">
        <w:rPr>
          <w:sz w:val="22"/>
          <w:szCs w:val="22"/>
          <w:lang w:val="sr-Latn-ME"/>
        </w:rPr>
        <w:t>Kod zdravih muških dobrovoljaca i žena u postmenopauzi, intravenska primjena ranitidina uzrokovala je povećanje bioraspoloživosti ibandronske kiseline za oko 20%, vjerovatno kao rezultat smanjenog želučanog aciditeta. Međutim, pošto je ovo povećanje u granicama normalne promjenljivosti bioraspoloživosti ibandronske kiseline, prilagođavanje doze nije potrebno kada se Alvodronic 150 mg film tableta primjenjuje sa H2 antagonistima ili ostalim aktivnim supstancama koje povećavaju želučanu pH vrijednost.</w:t>
      </w:r>
    </w:p>
    <w:p w14:paraId="245571C0" w14:textId="77777777" w:rsidR="00044909" w:rsidRPr="00346B80" w:rsidRDefault="00044909" w:rsidP="00814AE3">
      <w:pPr>
        <w:widowControl w:val="0"/>
        <w:tabs>
          <w:tab w:val="left" w:pos="540"/>
          <w:tab w:val="left" w:pos="569"/>
        </w:tabs>
        <w:jc w:val="both"/>
        <w:rPr>
          <w:bCs/>
          <w:sz w:val="22"/>
          <w:szCs w:val="22"/>
          <w:lang w:val="sr-Latn-ME"/>
        </w:rPr>
      </w:pPr>
    </w:p>
    <w:p w14:paraId="1F85576B" w14:textId="77777777" w:rsidR="0072020E" w:rsidRPr="00346B80" w:rsidRDefault="0072020E" w:rsidP="00814AE3">
      <w:pPr>
        <w:widowControl w:val="0"/>
        <w:tabs>
          <w:tab w:val="left" w:pos="540"/>
          <w:tab w:val="left" w:pos="569"/>
        </w:tabs>
        <w:jc w:val="both"/>
        <w:rPr>
          <w:b/>
          <w:sz w:val="22"/>
          <w:szCs w:val="22"/>
          <w:lang w:val="sr-Latn-ME"/>
        </w:rPr>
      </w:pPr>
      <w:r w:rsidRPr="00346B80">
        <w:rPr>
          <w:b/>
          <w:bCs/>
          <w:sz w:val="22"/>
          <w:szCs w:val="22"/>
          <w:lang w:val="sr-Latn-ME"/>
        </w:rPr>
        <w:t xml:space="preserve">4.6. </w:t>
      </w:r>
      <w:r w:rsidR="00480FB1" w:rsidRPr="00346B80">
        <w:rPr>
          <w:b/>
          <w:bCs/>
          <w:sz w:val="22"/>
          <w:szCs w:val="22"/>
          <w:lang w:val="sr-Latn-ME"/>
        </w:rPr>
        <w:tab/>
      </w:r>
      <w:r w:rsidR="006D20A5" w:rsidRPr="00346B80">
        <w:rPr>
          <w:b/>
          <w:sz w:val="22"/>
          <w:szCs w:val="22"/>
          <w:lang w:val="sr-Latn-ME"/>
        </w:rPr>
        <w:t>Plodnost, trudnoća i dojenje</w:t>
      </w:r>
    </w:p>
    <w:p w14:paraId="1F85576C" w14:textId="77777777" w:rsidR="002031B3" w:rsidRPr="00346B80" w:rsidRDefault="002031B3" w:rsidP="00814AE3">
      <w:pPr>
        <w:widowControl w:val="0"/>
        <w:tabs>
          <w:tab w:val="left" w:pos="540"/>
          <w:tab w:val="left" w:pos="569"/>
        </w:tabs>
        <w:jc w:val="both"/>
        <w:rPr>
          <w:sz w:val="22"/>
          <w:szCs w:val="22"/>
          <w:u w:val="single"/>
          <w:lang w:val="sr-Latn-ME"/>
        </w:rPr>
      </w:pPr>
    </w:p>
    <w:p w14:paraId="1F85576D" w14:textId="77777777" w:rsidR="002031B3" w:rsidRPr="00346B80" w:rsidRDefault="002031B3" w:rsidP="00814AE3">
      <w:pPr>
        <w:widowControl w:val="0"/>
        <w:tabs>
          <w:tab w:val="left" w:pos="540"/>
          <w:tab w:val="left" w:pos="569"/>
        </w:tabs>
        <w:jc w:val="both"/>
        <w:rPr>
          <w:sz w:val="22"/>
          <w:szCs w:val="22"/>
          <w:u w:val="single"/>
          <w:lang w:val="sr-Latn-ME"/>
        </w:rPr>
      </w:pPr>
      <w:r w:rsidRPr="00346B80">
        <w:rPr>
          <w:sz w:val="22"/>
          <w:szCs w:val="22"/>
          <w:u w:val="single"/>
          <w:lang w:val="sr-Latn-ME"/>
        </w:rPr>
        <w:t>Plodnost</w:t>
      </w:r>
    </w:p>
    <w:p w14:paraId="3DC22F22" w14:textId="03F81CE1" w:rsidR="00044909" w:rsidRPr="00346B80" w:rsidRDefault="00044909" w:rsidP="00346B80">
      <w:pPr>
        <w:widowControl w:val="0"/>
        <w:jc w:val="both"/>
        <w:rPr>
          <w:color w:val="000000"/>
          <w:sz w:val="22"/>
          <w:szCs w:val="22"/>
          <w:lang w:val="sr-Latn-ME"/>
        </w:rPr>
      </w:pPr>
      <w:r w:rsidRPr="00346B80">
        <w:rPr>
          <w:color w:val="000000"/>
          <w:sz w:val="22"/>
          <w:szCs w:val="22"/>
          <w:lang w:val="sr-Latn-ME"/>
        </w:rPr>
        <w:t xml:space="preserve">Ne postoje podaci o efektima ibandronske kiseline kod ljudi. U reproduktivnim studijama na pacovima kod oralne primjene ibandronska kiselina je smanjivala plodnost. U studijama na pacovima kod intravenske primjene ibandronska kiselina je smanjivala plodnost samo kada se primjenjivala u visokim dnevnim dozama.(vidjeti </w:t>
      </w:r>
      <w:r w:rsidR="00C53453" w:rsidRPr="00346B80">
        <w:rPr>
          <w:color w:val="000000"/>
          <w:sz w:val="22"/>
          <w:szCs w:val="22"/>
          <w:lang w:val="sr-Latn-ME"/>
        </w:rPr>
        <w:t>dio</w:t>
      </w:r>
      <w:r w:rsidRPr="00346B80">
        <w:rPr>
          <w:color w:val="000000"/>
          <w:sz w:val="22"/>
          <w:szCs w:val="22"/>
          <w:lang w:val="sr-Latn-ME"/>
        </w:rPr>
        <w:t xml:space="preserve"> 5.3). </w:t>
      </w:r>
    </w:p>
    <w:p w14:paraId="1F85576E" w14:textId="77777777" w:rsidR="002031B3" w:rsidRPr="00346B80" w:rsidRDefault="002031B3" w:rsidP="00814AE3">
      <w:pPr>
        <w:widowControl w:val="0"/>
        <w:tabs>
          <w:tab w:val="left" w:pos="540"/>
          <w:tab w:val="left" w:pos="569"/>
        </w:tabs>
        <w:jc w:val="both"/>
        <w:rPr>
          <w:sz w:val="22"/>
          <w:szCs w:val="22"/>
          <w:lang w:val="sr-Latn-ME"/>
        </w:rPr>
      </w:pPr>
    </w:p>
    <w:p w14:paraId="1F85576F" w14:textId="77777777" w:rsidR="007A3ECB" w:rsidRPr="00346B80" w:rsidRDefault="007A3ECB" w:rsidP="00814AE3">
      <w:pPr>
        <w:widowControl w:val="0"/>
        <w:tabs>
          <w:tab w:val="left" w:pos="540"/>
          <w:tab w:val="left" w:pos="569"/>
        </w:tabs>
        <w:jc w:val="both"/>
        <w:rPr>
          <w:sz w:val="22"/>
          <w:szCs w:val="22"/>
          <w:u w:val="single"/>
          <w:lang w:val="sr-Latn-ME"/>
        </w:rPr>
      </w:pPr>
      <w:r w:rsidRPr="00346B80">
        <w:rPr>
          <w:sz w:val="22"/>
          <w:szCs w:val="22"/>
          <w:u w:val="single"/>
          <w:lang w:val="sr-Latn-ME"/>
        </w:rPr>
        <w:t>Trudnoća</w:t>
      </w:r>
    </w:p>
    <w:p w14:paraId="62FA73CC" w14:textId="607884C8" w:rsidR="00044909" w:rsidRPr="00346B80" w:rsidRDefault="00044909" w:rsidP="00346B80">
      <w:pPr>
        <w:widowControl w:val="0"/>
        <w:jc w:val="both"/>
        <w:rPr>
          <w:sz w:val="22"/>
          <w:szCs w:val="22"/>
          <w:lang w:val="sr-Latn-ME"/>
        </w:rPr>
      </w:pPr>
      <w:r w:rsidRPr="00346B80">
        <w:rPr>
          <w:sz w:val="22"/>
          <w:szCs w:val="22"/>
          <w:lang w:val="sr-Latn-ME"/>
        </w:rPr>
        <w:t>Alvodronic je namijenjen ženama u postmenopauzi i ne smiju ga uzimati žene koje mogu zatrudnjeti.</w:t>
      </w:r>
    </w:p>
    <w:p w14:paraId="3D394947" w14:textId="0A8ACA78" w:rsidR="00044909" w:rsidRPr="00346B80" w:rsidRDefault="00044909" w:rsidP="00FC2EEC">
      <w:pPr>
        <w:widowControl w:val="0"/>
        <w:jc w:val="both"/>
        <w:rPr>
          <w:sz w:val="22"/>
          <w:szCs w:val="22"/>
          <w:lang w:val="sr-Latn-ME"/>
        </w:rPr>
      </w:pPr>
      <w:r w:rsidRPr="00346B80">
        <w:rPr>
          <w:sz w:val="22"/>
          <w:szCs w:val="22"/>
          <w:lang w:val="sr-Latn-ME"/>
        </w:rPr>
        <w:t xml:space="preserve">Nema dovoljno podataka o primjeni ibandronske kiseline kod trudnica. Studije na pacovima pokazale su određenu reproduktivnu toksičnost (vidjeti </w:t>
      </w:r>
      <w:r w:rsidR="00C53453" w:rsidRPr="00346B80">
        <w:rPr>
          <w:sz w:val="22"/>
          <w:szCs w:val="22"/>
          <w:lang w:val="sr-Latn-ME"/>
        </w:rPr>
        <w:t>dio</w:t>
      </w:r>
      <w:r w:rsidRPr="00346B80">
        <w:rPr>
          <w:sz w:val="22"/>
          <w:szCs w:val="22"/>
          <w:lang w:val="sr-Latn-ME"/>
        </w:rPr>
        <w:t xml:space="preserve"> 5.3). Mogući rizik usljed primjene kod ljudi nije poznat.</w:t>
      </w:r>
    </w:p>
    <w:p w14:paraId="59BCFF69" w14:textId="098620F5" w:rsidR="00044909" w:rsidRPr="00346B80" w:rsidRDefault="00044909">
      <w:pPr>
        <w:widowControl w:val="0"/>
        <w:jc w:val="both"/>
        <w:rPr>
          <w:sz w:val="22"/>
          <w:szCs w:val="22"/>
          <w:lang w:val="sr-Latn-ME"/>
        </w:rPr>
      </w:pPr>
      <w:r w:rsidRPr="00346B80">
        <w:rPr>
          <w:sz w:val="22"/>
          <w:szCs w:val="22"/>
          <w:lang w:val="sr-Latn-ME"/>
        </w:rPr>
        <w:t>Lijek Alvodronic 150 mg film tablete ne treba koristiti za vrijeme trudnoće.</w:t>
      </w:r>
    </w:p>
    <w:p w14:paraId="1F855770" w14:textId="77777777" w:rsidR="002031B3" w:rsidRPr="00346B80" w:rsidRDefault="002031B3" w:rsidP="00814AE3">
      <w:pPr>
        <w:widowControl w:val="0"/>
        <w:tabs>
          <w:tab w:val="left" w:pos="540"/>
          <w:tab w:val="left" w:pos="569"/>
        </w:tabs>
        <w:jc w:val="both"/>
        <w:rPr>
          <w:sz w:val="22"/>
          <w:szCs w:val="22"/>
          <w:lang w:val="sr-Latn-ME"/>
        </w:rPr>
      </w:pPr>
    </w:p>
    <w:p w14:paraId="1F855771" w14:textId="77777777" w:rsidR="0072020E" w:rsidRPr="00346B80" w:rsidRDefault="007A3ECB" w:rsidP="00814AE3">
      <w:pPr>
        <w:widowControl w:val="0"/>
        <w:tabs>
          <w:tab w:val="left" w:pos="540"/>
          <w:tab w:val="left" w:pos="569"/>
        </w:tabs>
        <w:jc w:val="both"/>
        <w:rPr>
          <w:b/>
          <w:bCs/>
          <w:sz w:val="22"/>
          <w:szCs w:val="22"/>
          <w:lang w:val="sr-Latn-ME"/>
        </w:rPr>
      </w:pPr>
      <w:r w:rsidRPr="00346B80">
        <w:rPr>
          <w:sz w:val="22"/>
          <w:szCs w:val="22"/>
          <w:u w:val="single"/>
          <w:lang w:val="sr-Latn-ME"/>
        </w:rPr>
        <w:t xml:space="preserve">Dojenje </w:t>
      </w:r>
    </w:p>
    <w:p w14:paraId="4D767EC9" w14:textId="77777777" w:rsidR="00044909" w:rsidRPr="00346B80" w:rsidRDefault="00044909" w:rsidP="00346B80">
      <w:pPr>
        <w:widowControl w:val="0"/>
        <w:jc w:val="both"/>
        <w:rPr>
          <w:color w:val="000000"/>
          <w:sz w:val="22"/>
          <w:szCs w:val="22"/>
          <w:lang w:val="sr-Latn-ME"/>
        </w:rPr>
      </w:pPr>
      <w:r w:rsidRPr="00346B80">
        <w:rPr>
          <w:sz w:val="22"/>
          <w:szCs w:val="22"/>
          <w:lang w:val="sr-Latn-ME"/>
        </w:rPr>
        <w:t xml:space="preserve">Nije </w:t>
      </w:r>
      <w:r w:rsidRPr="00346B80">
        <w:rPr>
          <w:color w:val="000000"/>
          <w:sz w:val="22"/>
          <w:szCs w:val="22"/>
          <w:lang w:val="sr-Latn-ME"/>
        </w:rPr>
        <w:t>poznato da li se ibandronska kiselina izlučuje u humano mlijeko. Studije na pacovima pokazale su prisustvo malih količina ibandronske kiseline u mlijeku nakon intravenske primjene.</w:t>
      </w:r>
    </w:p>
    <w:p w14:paraId="55EAB7BD" w14:textId="79AB15CA" w:rsidR="00044909" w:rsidRPr="00346B80" w:rsidRDefault="00044909" w:rsidP="00FC2EEC">
      <w:pPr>
        <w:widowControl w:val="0"/>
        <w:jc w:val="both"/>
        <w:rPr>
          <w:color w:val="000000"/>
          <w:sz w:val="22"/>
          <w:szCs w:val="22"/>
          <w:lang w:val="sr-Latn-ME"/>
        </w:rPr>
      </w:pPr>
      <w:r w:rsidRPr="00346B80">
        <w:rPr>
          <w:color w:val="000000"/>
          <w:sz w:val="22"/>
          <w:szCs w:val="22"/>
          <w:lang w:val="sr-Latn-ME"/>
        </w:rPr>
        <w:t>Lijek Alvodronic 150 mg film tablete ne treba koristiti za vrijeme dojenja.</w:t>
      </w:r>
    </w:p>
    <w:p w14:paraId="1F855772" w14:textId="77777777" w:rsidR="00227BDB" w:rsidRPr="00346B80" w:rsidRDefault="00227BDB" w:rsidP="00814AE3">
      <w:pPr>
        <w:widowControl w:val="0"/>
        <w:tabs>
          <w:tab w:val="left" w:pos="540"/>
          <w:tab w:val="left" w:pos="569"/>
        </w:tabs>
        <w:ind w:left="540" w:hanging="540"/>
        <w:jc w:val="both"/>
        <w:rPr>
          <w:sz w:val="22"/>
          <w:szCs w:val="22"/>
          <w:lang w:val="sr-Latn-ME"/>
        </w:rPr>
      </w:pPr>
    </w:p>
    <w:p w14:paraId="1F855773" w14:textId="77777777" w:rsidR="0072020E" w:rsidRPr="00346B80" w:rsidRDefault="0072020E" w:rsidP="00814AE3">
      <w:pPr>
        <w:widowControl w:val="0"/>
        <w:tabs>
          <w:tab w:val="left" w:pos="540"/>
          <w:tab w:val="left" w:pos="569"/>
        </w:tabs>
        <w:ind w:left="540" w:hanging="540"/>
        <w:jc w:val="both"/>
        <w:rPr>
          <w:b/>
          <w:bCs/>
          <w:sz w:val="22"/>
          <w:szCs w:val="22"/>
          <w:lang w:val="sr-Latn-ME"/>
        </w:rPr>
      </w:pPr>
      <w:r w:rsidRPr="00346B80">
        <w:rPr>
          <w:b/>
          <w:bCs/>
          <w:sz w:val="22"/>
          <w:szCs w:val="22"/>
          <w:lang w:val="sr-Latn-ME"/>
        </w:rPr>
        <w:t xml:space="preserve">4.7. </w:t>
      </w:r>
      <w:r w:rsidR="00480FB1" w:rsidRPr="00346B80">
        <w:rPr>
          <w:b/>
          <w:bCs/>
          <w:sz w:val="22"/>
          <w:szCs w:val="22"/>
          <w:lang w:val="sr-Latn-ME"/>
        </w:rPr>
        <w:tab/>
      </w:r>
      <w:r w:rsidRPr="00346B80">
        <w:rPr>
          <w:b/>
          <w:bCs/>
          <w:sz w:val="22"/>
          <w:szCs w:val="22"/>
          <w:lang w:val="sr-Latn-ME"/>
        </w:rPr>
        <w:t xml:space="preserve">Uticaj na </w:t>
      </w:r>
      <w:r w:rsidR="002031B3" w:rsidRPr="00346B80">
        <w:rPr>
          <w:b/>
          <w:bCs/>
          <w:sz w:val="22"/>
          <w:szCs w:val="22"/>
          <w:lang w:val="sr-Latn-ME"/>
        </w:rPr>
        <w:t xml:space="preserve">sposobnost </w:t>
      </w:r>
      <w:r w:rsidR="00F34554" w:rsidRPr="00346B80">
        <w:rPr>
          <w:b/>
          <w:bCs/>
          <w:sz w:val="22"/>
          <w:szCs w:val="22"/>
          <w:lang w:val="sr-Latn-ME"/>
        </w:rPr>
        <w:t>upravljanja vozili</w:t>
      </w:r>
      <w:r w:rsidRPr="00346B80">
        <w:rPr>
          <w:b/>
          <w:bCs/>
          <w:sz w:val="22"/>
          <w:szCs w:val="22"/>
          <w:lang w:val="sr-Latn-ME"/>
        </w:rPr>
        <w:t>m</w:t>
      </w:r>
      <w:r w:rsidR="00F34554" w:rsidRPr="00346B80">
        <w:rPr>
          <w:b/>
          <w:bCs/>
          <w:sz w:val="22"/>
          <w:szCs w:val="22"/>
          <w:lang w:val="sr-Latn-ME"/>
        </w:rPr>
        <w:t>a</w:t>
      </w:r>
      <w:r w:rsidRPr="00346B80">
        <w:rPr>
          <w:b/>
          <w:bCs/>
          <w:sz w:val="22"/>
          <w:szCs w:val="22"/>
          <w:lang w:val="sr-Latn-ME"/>
        </w:rPr>
        <w:t xml:space="preserve"> i </w:t>
      </w:r>
      <w:r w:rsidR="000D3449" w:rsidRPr="00346B80">
        <w:rPr>
          <w:b/>
          <w:bCs/>
          <w:sz w:val="22"/>
          <w:szCs w:val="22"/>
          <w:lang w:val="sr-Latn-ME"/>
        </w:rPr>
        <w:t xml:space="preserve">rukovanje </w:t>
      </w:r>
      <w:r w:rsidRPr="00346B80">
        <w:rPr>
          <w:b/>
          <w:bCs/>
          <w:sz w:val="22"/>
          <w:szCs w:val="22"/>
          <w:lang w:val="sr-Latn-ME"/>
        </w:rPr>
        <w:t>mašinama</w:t>
      </w:r>
    </w:p>
    <w:p w14:paraId="1F855774" w14:textId="77777777" w:rsidR="0072020E" w:rsidRPr="00346B80" w:rsidRDefault="0072020E" w:rsidP="00814AE3">
      <w:pPr>
        <w:widowControl w:val="0"/>
        <w:tabs>
          <w:tab w:val="left" w:pos="540"/>
          <w:tab w:val="left" w:pos="569"/>
        </w:tabs>
        <w:jc w:val="both"/>
        <w:rPr>
          <w:b/>
          <w:bCs/>
          <w:sz w:val="22"/>
          <w:szCs w:val="22"/>
          <w:lang w:val="sr-Latn-ME"/>
        </w:rPr>
      </w:pPr>
    </w:p>
    <w:p w14:paraId="4D4E16EF" w14:textId="336FEED4" w:rsidR="00044909" w:rsidRPr="00814AE3" w:rsidRDefault="00044909" w:rsidP="00346B80">
      <w:pPr>
        <w:widowControl w:val="0"/>
        <w:autoSpaceDE w:val="0"/>
        <w:autoSpaceDN w:val="0"/>
        <w:adjustRightInd w:val="0"/>
        <w:jc w:val="both"/>
        <w:rPr>
          <w:sz w:val="22"/>
          <w:szCs w:val="22"/>
          <w:lang w:val="sr-Latn-ME"/>
        </w:rPr>
      </w:pPr>
      <w:r w:rsidRPr="00346B80">
        <w:rPr>
          <w:color w:val="000000"/>
          <w:sz w:val="22"/>
          <w:szCs w:val="22"/>
          <w:lang w:val="sr-Latn-ME"/>
        </w:rPr>
        <w:t xml:space="preserve">Na temelju farmakodinamičkog i farmakokinetičkog profila i prijavljenih neželjenih dejstava, za očekivati je da Alvodronic nema uticaja ili ima zanemarljiv uticaj na sposobnost upravljanja vozilima i rukovanja mašinama. </w:t>
      </w:r>
    </w:p>
    <w:p w14:paraId="00A1F4AD" w14:textId="77777777" w:rsidR="00044909" w:rsidRPr="00346B80" w:rsidRDefault="00044909" w:rsidP="00814AE3">
      <w:pPr>
        <w:widowControl w:val="0"/>
        <w:tabs>
          <w:tab w:val="left" w:pos="540"/>
          <w:tab w:val="left" w:pos="569"/>
        </w:tabs>
        <w:jc w:val="both"/>
        <w:rPr>
          <w:sz w:val="22"/>
          <w:szCs w:val="22"/>
          <w:lang w:val="sr-Latn-ME"/>
        </w:rPr>
      </w:pPr>
    </w:p>
    <w:p w14:paraId="1F855775" w14:textId="77777777" w:rsidR="0072020E" w:rsidRPr="00346B80" w:rsidRDefault="0072020E" w:rsidP="00814AE3">
      <w:pPr>
        <w:widowControl w:val="0"/>
        <w:tabs>
          <w:tab w:val="left" w:pos="540"/>
          <w:tab w:val="left" w:pos="569"/>
        </w:tabs>
        <w:jc w:val="both"/>
        <w:rPr>
          <w:b/>
          <w:bCs/>
          <w:sz w:val="22"/>
          <w:szCs w:val="22"/>
          <w:lang w:val="sr-Latn-ME"/>
        </w:rPr>
      </w:pPr>
      <w:r w:rsidRPr="00346B80">
        <w:rPr>
          <w:b/>
          <w:bCs/>
          <w:sz w:val="22"/>
          <w:szCs w:val="22"/>
          <w:lang w:val="sr-Latn-ME"/>
        </w:rPr>
        <w:t xml:space="preserve">4.8. </w:t>
      </w:r>
      <w:r w:rsidR="00480FB1" w:rsidRPr="00346B80">
        <w:rPr>
          <w:b/>
          <w:bCs/>
          <w:sz w:val="22"/>
          <w:szCs w:val="22"/>
          <w:lang w:val="sr-Latn-ME"/>
        </w:rPr>
        <w:tab/>
      </w:r>
      <w:r w:rsidRPr="00346B80">
        <w:rPr>
          <w:b/>
          <w:bCs/>
          <w:sz w:val="22"/>
          <w:szCs w:val="22"/>
          <w:lang w:val="sr-Latn-ME"/>
        </w:rPr>
        <w:t>Neželjena dejstva</w:t>
      </w:r>
    </w:p>
    <w:p w14:paraId="1F855776" w14:textId="77777777" w:rsidR="004E70AD" w:rsidRPr="00346B80" w:rsidRDefault="004E70AD" w:rsidP="00814AE3">
      <w:pPr>
        <w:widowControl w:val="0"/>
        <w:tabs>
          <w:tab w:val="left" w:pos="540"/>
          <w:tab w:val="left" w:pos="569"/>
        </w:tabs>
        <w:jc w:val="both"/>
        <w:rPr>
          <w:b/>
          <w:bCs/>
          <w:sz w:val="22"/>
          <w:szCs w:val="22"/>
          <w:lang w:val="sr-Latn-ME"/>
        </w:rPr>
      </w:pPr>
    </w:p>
    <w:p w14:paraId="16D8B6FD" w14:textId="77777777" w:rsidR="00044909" w:rsidRPr="00346B80" w:rsidRDefault="00044909" w:rsidP="00346B80">
      <w:pPr>
        <w:widowControl w:val="0"/>
        <w:autoSpaceDE w:val="0"/>
        <w:autoSpaceDN w:val="0"/>
        <w:adjustRightInd w:val="0"/>
        <w:jc w:val="both"/>
        <w:rPr>
          <w:color w:val="000000"/>
          <w:sz w:val="22"/>
          <w:szCs w:val="22"/>
          <w:u w:val="single"/>
          <w:lang w:val="sr-Latn-ME"/>
        </w:rPr>
      </w:pPr>
      <w:r w:rsidRPr="00346B80">
        <w:rPr>
          <w:color w:val="000000"/>
          <w:sz w:val="22"/>
          <w:szCs w:val="22"/>
          <w:u w:val="single"/>
          <w:lang w:val="sr-Latn-ME"/>
        </w:rPr>
        <w:t>Sažetak bezbjednosnog  profila</w:t>
      </w:r>
    </w:p>
    <w:p w14:paraId="12F0D16B" w14:textId="77777777" w:rsidR="00044909" w:rsidRPr="00346B80" w:rsidRDefault="00044909" w:rsidP="00FC2EEC">
      <w:pPr>
        <w:widowControl w:val="0"/>
        <w:autoSpaceDE w:val="0"/>
        <w:autoSpaceDN w:val="0"/>
        <w:adjustRightInd w:val="0"/>
        <w:jc w:val="both"/>
        <w:rPr>
          <w:color w:val="000000"/>
          <w:sz w:val="22"/>
          <w:szCs w:val="22"/>
          <w:u w:val="single"/>
          <w:lang w:val="sr-Latn-ME"/>
        </w:rPr>
      </w:pPr>
    </w:p>
    <w:p w14:paraId="3B9EB09E" w14:textId="682A0C03" w:rsidR="00044909" w:rsidRPr="00346B80" w:rsidRDefault="00044909">
      <w:pPr>
        <w:widowControl w:val="0"/>
        <w:autoSpaceDE w:val="0"/>
        <w:autoSpaceDN w:val="0"/>
        <w:adjustRightInd w:val="0"/>
        <w:jc w:val="both"/>
        <w:rPr>
          <w:color w:val="000000"/>
          <w:sz w:val="22"/>
          <w:szCs w:val="22"/>
          <w:lang w:val="sr-Latn-ME"/>
        </w:rPr>
      </w:pPr>
      <w:r w:rsidRPr="00346B80">
        <w:rPr>
          <w:color w:val="000000"/>
          <w:sz w:val="22"/>
          <w:szCs w:val="22"/>
          <w:lang w:val="sr-Latn-ME"/>
        </w:rPr>
        <w:t xml:space="preserve">Najozbiljnije prijavljene neželjene reakcije su anafilaktička reakcija/šok, atipični prelomi butne kosti, osteonekroza vilice, gastrointestinalna iritacija, inflamacija oka (vidjeti podnaslov „Opis odabranih neželjenih reakcija“ i </w:t>
      </w:r>
      <w:r w:rsidR="00C53453" w:rsidRPr="00346B80">
        <w:rPr>
          <w:color w:val="000000"/>
          <w:sz w:val="22"/>
          <w:szCs w:val="22"/>
          <w:lang w:val="sr-Latn-ME"/>
        </w:rPr>
        <w:t>dio</w:t>
      </w:r>
      <w:r w:rsidRPr="00346B80">
        <w:rPr>
          <w:color w:val="000000"/>
          <w:sz w:val="22"/>
          <w:szCs w:val="22"/>
          <w:lang w:val="sr-Latn-ME"/>
        </w:rPr>
        <w:t xml:space="preserve"> 4.4).</w:t>
      </w:r>
    </w:p>
    <w:p w14:paraId="51EA6075" w14:textId="77777777" w:rsidR="00044909" w:rsidRPr="00346B80" w:rsidRDefault="00044909">
      <w:pPr>
        <w:widowControl w:val="0"/>
        <w:autoSpaceDE w:val="0"/>
        <w:autoSpaceDN w:val="0"/>
        <w:adjustRightInd w:val="0"/>
        <w:jc w:val="both"/>
        <w:rPr>
          <w:color w:val="000000"/>
          <w:sz w:val="22"/>
          <w:szCs w:val="22"/>
          <w:lang w:val="sr-Latn-ME"/>
        </w:rPr>
      </w:pPr>
      <w:r w:rsidRPr="00346B80">
        <w:rPr>
          <w:color w:val="000000"/>
          <w:sz w:val="22"/>
          <w:szCs w:val="22"/>
          <w:lang w:val="sr-Latn-ME"/>
        </w:rPr>
        <w:t>Najčešće prijavljivane neželjene reakcije bile su artralgija i simptomi slični gripu. Ti simptomi tipično su povezani s prvom dozom, uopšteno su kratkog trajanja, srednjeg ili umjerenog intenziteta i uglavnom prolaze tokom kontinuiranog liječenja bez potrebe za mjerama liječenja (vidjeti podnaslov „Bolest slična gripu“).</w:t>
      </w:r>
    </w:p>
    <w:p w14:paraId="27835826" w14:textId="77777777" w:rsidR="00044909" w:rsidRPr="00346B80" w:rsidRDefault="00044909">
      <w:pPr>
        <w:widowControl w:val="0"/>
        <w:autoSpaceDE w:val="0"/>
        <w:autoSpaceDN w:val="0"/>
        <w:adjustRightInd w:val="0"/>
        <w:jc w:val="both"/>
        <w:rPr>
          <w:color w:val="000000"/>
          <w:sz w:val="22"/>
          <w:szCs w:val="22"/>
          <w:lang w:val="sr-Latn-ME"/>
        </w:rPr>
      </w:pPr>
      <w:r w:rsidRPr="00346B80">
        <w:rPr>
          <w:color w:val="000000"/>
          <w:sz w:val="22"/>
          <w:szCs w:val="22"/>
          <w:lang w:val="sr-Latn-ME"/>
        </w:rPr>
        <w:t xml:space="preserve"> </w:t>
      </w:r>
    </w:p>
    <w:p w14:paraId="74D97601" w14:textId="77777777" w:rsidR="00044909" w:rsidRPr="00346B80" w:rsidRDefault="00044909">
      <w:pPr>
        <w:widowControl w:val="0"/>
        <w:autoSpaceDE w:val="0"/>
        <w:autoSpaceDN w:val="0"/>
        <w:adjustRightInd w:val="0"/>
        <w:jc w:val="both"/>
        <w:rPr>
          <w:color w:val="000000"/>
          <w:sz w:val="22"/>
          <w:szCs w:val="22"/>
          <w:lang w:val="sr-Latn-ME"/>
        </w:rPr>
      </w:pPr>
      <w:r w:rsidRPr="00346B80">
        <w:rPr>
          <w:color w:val="000000"/>
          <w:sz w:val="22"/>
          <w:szCs w:val="22"/>
          <w:u w:val="single"/>
          <w:lang w:val="sr-Latn-ME"/>
        </w:rPr>
        <w:t>Tabelarni prikaz neželjenih reakcija</w:t>
      </w:r>
      <w:r w:rsidRPr="00346B80">
        <w:rPr>
          <w:color w:val="000000"/>
          <w:sz w:val="22"/>
          <w:szCs w:val="22"/>
          <w:lang w:val="sr-Latn-ME"/>
        </w:rPr>
        <w:t xml:space="preserve"> </w:t>
      </w:r>
    </w:p>
    <w:p w14:paraId="5590FA26" w14:textId="77777777" w:rsidR="00044909" w:rsidRPr="00346B80" w:rsidRDefault="00044909">
      <w:pPr>
        <w:widowControl w:val="0"/>
        <w:autoSpaceDE w:val="0"/>
        <w:autoSpaceDN w:val="0"/>
        <w:adjustRightInd w:val="0"/>
        <w:jc w:val="both"/>
        <w:rPr>
          <w:color w:val="000000"/>
          <w:sz w:val="22"/>
          <w:szCs w:val="22"/>
          <w:lang w:val="sr-Latn-ME"/>
        </w:rPr>
      </w:pPr>
    </w:p>
    <w:p w14:paraId="35D97253" w14:textId="77777777" w:rsidR="00044909" w:rsidRPr="00346B80" w:rsidRDefault="00044909">
      <w:pPr>
        <w:widowControl w:val="0"/>
        <w:autoSpaceDE w:val="0"/>
        <w:autoSpaceDN w:val="0"/>
        <w:adjustRightInd w:val="0"/>
        <w:jc w:val="both"/>
        <w:rPr>
          <w:color w:val="000000"/>
          <w:sz w:val="22"/>
          <w:szCs w:val="22"/>
          <w:lang w:val="sr-Latn-ME"/>
        </w:rPr>
      </w:pPr>
      <w:r w:rsidRPr="00346B80">
        <w:rPr>
          <w:color w:val="000000"/>
          <w:sz w:val="22"/>
          <w:szCs w:val="22"/>
          <w:lang w:val="sr-Latn-ME"/>
        </w:rPr>
        <w:t xml:space="preserve">U tabeli 1 predstavljen je pregled poznatih neželjenih reakcija. Bezbjednost oralne primjene ibandronske kiseline 2,5 mg jedanput dnevno ispitana je kod 1251 bolesnika u četiri placebo kontrolisana klinička ispitivanja, od kojih je većina bolesnika bila prethodno uključena u pivotalno trogodišnje kliničko ispitivanje o prelomima (MF 4411). </w:t>
      </w:r>
    </w:p>
    <w:p w14:paraId="7203B0EB" w14:textId="77777777" w:rsidR="00044909" w:rsidRPr="00346B80" w:rsidRDefault="00044909">
      <w:pPr>
        <w:widowControl w:val="0"/>
        <w:autoSpaceDE w:val="0"/>
        <w:autoSpaceDN w:val="0"/>
        <w:adjustRightInd w:val="0"/>
        <w:jc w:val="both"/>
        <w:rPr>
          <w:color w:val="000000"/>
          <w:sz w:val="22"/>
          <w:szCs w:val="22"/>
          <w:lang w:val="sr-Latn-ME"/>
        </w:rPr>
      </w:pPr>
    </w:p>
    <w:p w14:paraId="12A70E40" w14:textId="77777777" w:rsidR="00044909" w:rsidRPr="00346B80" w:rsidRDefault="00044909">
      <w:pPr>
        <w:widowControl w:val="0"/>
        <w:jc w:val="both"/>
        <w:rPr>
          <w:sz w:val="22"/>
          <w:szCs w:val="22"/>
          <w:lang w:val="sr-Latn-ME"/>
        </w:rPr>
      </w:pPr>
      <w:r w:rsidRPr="00346B80">
        <w:rPr>
          <w:sz w:val="22"/>
          <w:szCs w:val="22"/>
          <w:lang w:val="sr-Latn-ME"/>
        </w:rPr>
        <w:t>U dvogodišnjoj studiji koja je obuhvatala žene u postmenopauzi s osteoporozom (BM 16549) ukupna bezbjednost primjene 150 mg ibandronske kiseline jedanput mjesečno i</w:t>
      </w:r>
      <w:r w:rsidRPr="00346B80">
        <w:rPr>
          <w:color w:val="FF0000"/>
          <w:sz w:val="22"/>
          <w:szCs w:val="22"/>
          <w:lang w:val="sr-Latn-ME"/>
        </w:rPr>
        <w:t xml:space="preserve"> </w:t>
      </w:r>
      <w:r w:rsidRPr="00346B80">
        <w:rPr>
          <w:sz w:val="22"/>
          <w:szCs w:val="22"/>
          <w:lang w:val="sr-Latn-ME"/>
        </w:rPr>
        <w:t xml:space="preserve">2,5 mg ibandronske kiseline primijenjene jedanput dnevno bila je slična. Ukupan udio pacijenata sa neželjenim reakcijama bio je </w:t>
      </w:r>
      <w:r w:rsidRPr="00346B80">
        <w:rPr>
          <w:sz w:val="22"/>
          <w:szCs w:val="22"/>
          <w:lang w:val="sr-Latn-ME"/>
        </w:rPr>
        <w:lastRenderedPageBreak/>
        <w:t>22,7% i 25,0% kod primjene 150 mg ibandronske kiseline  jedanput mjesečno nakon jedne, odnosno dvije godine. U većini slučajeva prekid liječenja nije bio potreban.</w:t>
      </w:r>
    </w:p>
    <w:p w14:paraId="2DDA6FDD" w14:textId="77777777" w:rsidR="00044909" w:rsidRPr="00346B80" w:rsidRDefault="00044909">
      <w:pPr>
        <w:widowControl w:val="0"/>
        <w:jc w:val="both"/>
        <w:rPr>
          <w:sz w:val="22"/>
          <w:szCs w:val="22"/>
          <w:lang w:val="sr-Latn-ME" w:eastAsia="en-GB"/>
        </w:rPr>
      </w:pPr>
    </w:p>
    <w:p w14:paraId="3002371F" w14:textId="77777777" w:rsidR="00044909" w:rsidRPr="00346B80" w:rsidRDefault="00044909">
      <w:pPr>
        <w:widowControl w:val="0"/>
        <w:jc w:val="both"/>
        <w:rPr>
          <w:sz w:val="22"/>
          <w:szCs w:val="22"/>
          <w:lang w:val="sr-Latn-ME"/>
        </w:rPr>
      </w:pPr>
      <w:r w:rsidRPr="00346B80">
        <w:rPr>
          <w:sz w:val="22"/>
          <w:szCs w:val="22"/>
          <w:lang w:val="sr-Latn-ME"/>
        </w:rPr>
        <w:t xml:space="preserve">Neželjene reakcije su predstavljene prema MedDRA klasama sistema organa i učestalosti. Prema učestalosti neželjena dejstva su definisana kao: veoma česta (≥ 1/10), česta (≥ 1/100 do &lt; 1/10), povremena (≥ 1/1000 do &lt; 1/100), rijetka (≥ 1/10 000 do &lt; 1/1000), veoma rijetka (&lt; 1/10 000), nepoznata (ne može se procijeniti na osnovu dostupnih podataka). Unutar svake grupe formirane prema učestalosti javljanja, neželjene reakcije su predstavljene prema redosljedu opadajuće ozbiljnosti. </w:t>
      </w:r>
    </w:p>
    <w:p w14:paraId="60095ED3" w14:textId="0A0E4B09" w:rsidR="00044909" w:rsidRPr="00346B80" w:rsidRDefault="00044909">
      <w:pPr>
        <w:widowControl w:val="0"/>
        <w:jc w:val="both"/>
        <w:rPr>
          <w:sz w:val="22"/>
          <w:szCs w:val="22"/>
          <w:lang w:val="sr-Latn-ME"/>
        </w:rPr>
      </w:pPr>
      <w:r w:rsidRPr="00346B80">
        <w:rPr>
          <w:sz w:val="22"/>
          <w:szCs w:val="22"/>
          <w:lang w:val="sr-Latn-ME"/>
        </w:rPr>
        <w:t>Tabela 1: Neželjene reakcije na lijek do kojih dolazi kod žena u postmenopauzi koje primaju 150mg ibandronske kiseline jedanput mjesečno ili 2,5 mg ibandronske kiseline jedanput dnevno u studijama faze III BM16549 i MF4411 i iz postmarketinškog iskustva.</w:t>
      </w:r>
    </w:p>
    <w:p w14:paraId="61614C31" w14:textId="77777777" w:rsidR="00C53453" w:rsidRPr="00346B80" w:rsidRDefault="00C53453">
      <w:pPr>
        <w:widowControl w:val="0"/>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65"/>
        <w:gridCol w:w="1364"/>
        <w:gridCol w:w="1620"/>
        <w:gridCol w:w="1448"/>
        <w:gridCol w:w="1533"/>
        <w:gridCol w:w="1533"/>
      </w:tblGrid>
      <w:tr w:rsidR="00AF5014" w:rsidRPr="00346B80" w14:paraId="65F5DC8F" w14:textId="7BC8494C" w:rsidTr="00814AE3">
        <w:tc>
          <w:tcPr>
            <w:tcW w:w="863" w:type="pct"/>
            <w:tcBorders>
              <w:top w:val="single" w:sz="4" w:space="0" w:color="auto"/>
              <w:left w:val="single" w:sz="4" w:space="0" w:color="auto"/>
              <w:bottom w:val="single" w:sz="4" w:space="0" w:color="auto"/>
              <w:right w:val="single" w:sz="4" w:space="0" w:color="auto"/>
            </w:tcBorders>
            <w:hideMark/>
          </w:tcPr>
          <w:p w14:paraId="6287B831" w14:textId="77777777" w:rsidR="00AF5014" w:rsidRPr="00346B80" w:rsidRDefault="00AF5014" w:rsidP="00814AE3">
            <w:pPr>
              <w:widowControl w:val="0"/>
              <w:jc w:val="both"/>
              <w:rPr>
                <w:b/>
                <w:sz w:val="22"/>
                <w:szCs w:val="22"/>
                <w:u w:val="single"/>
                <w:lang w:val="sr-Latn-ME"/>
              </w:rPr>
            </w:pPr>
            <w:r w:rsidRPr="00346B80">
              <w:rPr>
                <w:b/>
                <w:sz w:val="22"/>
                <w:szCs w:val="22"/>
                <w:u w:val="single"/>
                <w:lang w:val="sr-Latn-ME"/>
              </w:rPr>
              <w:t>Klasa sistema organa</w:t>
            </w:r>
          </w:p>
        </w:tc>
        <w:tc>
          <w:tcPr>
            <w:tcW w:w="752" w:type="pct"/>
            <w:tcBorders>
              <w:top w:val="single" w:sz="4" w:space="0" w:color="auto"/>
              <w:left w:val="single" w:sz="4" w:space="0" w:color="auto"/>
              <w:bottom w:val="single" w:sz="4" w:space="0" w:color="auto"/>
              <w:right w:val="single" w:sz="4" w:space="0" w:color="auto"/>
            </w:tcBorders>
            <w:hideMark/>
          </w:tcPr>
          <w:p w14:paraId="0BB20D17" w14:textId="77777777" w:rsidR="00AF5014" w:rsidRPr="00346B80" w:rsidRDefault="00AF5014" w:rsidP="00814AE3">
            <w:pPr>
              <w:widowControl w:val="0"/>
              <w:jc w:val="both"/>
              <w:rPr>
                <w:b/>
                <w:sz w:val="22"/>
                <w:szCs w:val="22"/>
                <w:u w:val="single"/>
                <w:lang w:val="sr-Latn-ME"/>
              </w:rPr>
            </w:pPr>
            <w:r w:rsidRPr="00346B80">
              <w:rPr>
                <w:b/>
                <w:sz w:val="22"/>
                <w:szCs w:val="22"/>
                <w:u w:val="single"/>
                <w:lang w:val="sr-Latn-ME"/>
              </w:rPr>
              <w:t>Često</w:t>
            </w:r>
          </w:p>
        </w:tc>
        <w:tc>
          <w:tcPr>
            <w:tcW w:w="893" w:type="pct"/>
            <w:tcBorders>
              <w:top w:val="single" w:sz="4" w:space="0" w:color="auto"/>
              <w:left w:val="single" w:sz="4" w:space="0" w:color="auto"/>
              <w:bottom w:val="single" w:sz="4" w:space="0" w:color="auto"/>
              <w:right w:val="single" w:sz="4" w:space="0" w:color="auto"/>
            </w:tcBorders>
            <w:hideMark/>
          </w:tcPr>
          <w:p w14:paraId="48ACE44D" w14:textId="77777777" w:rsidR="00AF5014" w:rsidRPr="00346B80" w:rsidRDefault="00AF5014" w:rsidP="00814AE3">
            <w:pPr>
              <w:widowControl w:val="0"/>
              <w:jc w:val="both"/>
              <w:rPr>
                <w:b/>
                <w:sz w:val="22"/>
                <w:szCs w:val="22"/>
                <w:u w:val="single"/>
                <w:lang w:val="sr-Latn-ME"/>
              </w:rPr>
            </w:pPr>
            <w:r w:rsidRPr="00346B80">
              <w:rPr>
                <w:b/>
                <w:sz w:val="22"/>
                <w:szCs w:val="22"/>
                <w:u w:val="single"/>
                <w:lang w:val="sr-Latn-ME"/>
              </w:rPr>
              <w:t>Povremeno</w:t>
            </w:r>
          </w:p>
        </w:tc>
        <w:tc>
          <w:tcPr>
            <w:tcW w:w="799" w:type="pct"/>
            <w:tcBorders>
              <w:top w:val="single" w:sz="4" w:space="0" w:color="auto"/>
              <w:left w:val="single" w:sz="4" w:space="0" w:color="auto"/>
              <w:bottom w:val="single" w:sz="4" w:space="0" w:color="auto"/>
              <w:right w:val="single" w:sz="4" w:space="0" w:color="auto"/>
            </w:tcBorders>
            <w:hideMark/>
          </w:tcPr>
          <w:p w14:paraId="2BBF399D" w14:textId="77777777" w:rsidR="00AF5014" w:rsidRPr="00346B80" w:rsidRDefault="00AF5014" w:rsidP="00814AE3">
            <w:pPr>
              <w:widowControl w:val="0"/>
              <w:jc w:val="both"/>
              <w:rPr>
                <w:b/>
                <w:sz w:val="22"/>
                <w:szCs w:val="22"/>
                <w:u w:val="single"/>
                <w:lang w:val="sr-Latn-ME"/>
              </w:rPr>
            </w:pPr>
            <w:r w:rsidRPr="00346B80">
              <w:rPr>
                <w:b/>
                <w:sz w:val="22"/>
                <w:szCs w:val="22"/>
                <w:u w:val="single"/>
                <w:lang w:val="sr-Latn-ME"/>
              </w:rPr>
              <w:t>Rijetko</w:t>
            </w:r>
          </w:p>
        </w:tc>
        <w:tc>
          <w:tcPr>
            <w:tcW w:w="846" w:type="pct"/>
            <w:tcBorders>
              <w:top w:val="single" w:sz="4" w:space="0" w:color="auto"/>
              <w:left w:val="single" w:sz="4" w:space="0" w:color="auto"/>
              <w:bottom w:val="single" w:sz="4" w:space="0" w:color="auto"/>
              <w:right w:val="single" w:sz="4" w:space="0" w:color="auto"/>
            </w:tcBorders>
            <w:hideMark/>
          </w:tcPr>
          <w:p w14:paraId="6211F521" w14:textId="77777777" w:rsidR="00AF5014" w:rsidRPr="00346B80" w:rsidRDefault="00AF5014" w:rsidP="00814AE3">
            <w:pPr>
              <w:widowControl w:val="0"/>
              <w:jc w:val="both"/>
              <w:rPr>
                <w:b/>
                <w:sz w:val="22"/>
                <w:szCs w:val="22"/>
                <w:u w:val="single"/>
                <w:lang w:val="sr-Latn-ME"/>
              </w:rPr>
            </w:pPr>
            <w:r w:rsidRPr="00346B80">
              <w:rPr>
                <w:b/>
                <w:sz w:val="22"/>
                <w:szCs w:val="22"/>
                <w:u w:val="single"/>
                <w:lang w:val="sr-Latn-ME"/>
              </w:rPr>
              <w:t>Veoma rijetko</w:t>
            </w:r>
          </w:p>
        </w:tc>
        <w:tc>
          <w:tcPr>
            <w:tcW w:w="846" w:type="pct"/>
            <w:tcBorders>
              <w:top w:val="single" w:sz="4" w:space="0" w:color="auto"/>
              <w:left w:val="single" w:sz="4" w:space="0" w:color="auto"/>
              <w:bottom w:val="single" w:sz="4" w:space="0" w:color="auto"/>
              <w:right w:val="single" w:sz="4" w:space="0" w:color="auto"/>
            </w:tcBorders>
          </w:tcPr>
          <w:p w14:paraId="4DB0F074" w14:textId="6EF702DA" w:rsidR="00AF5014" w:rsidRPr="00346B80" w:rsidRDefault="00AF5014" w:rsidP="00814AE3">
            <w:pPr>
              <w:widowControl w:val="0"/>
              <w:jc w:val="both"/>
              <w:rPr>
                <w:b/>
                <w:sz w:val="22"/>
                <w:szCs w:val="22"/>
                <w:u w:val="single"/>
                <w:lang w:val="sr-Latn-ME"/>
              </w:rPr>
            </w:pPr>
            <w:r w:rsidRPr="00346B80">
              <w:rPr>
                <w:b/>
                <w:sz w:val="22"/>
                <w:szCs w:val="22"/>
                <w:u w:val="single"/>
                <w:lang w:val="sr-Latn-ME"/>
              </w:rPr>
              <w:t>Nepoznato</w:t>
            </w:r>
          </w:p>
        </w:tc>
      </w:tr>
      <w:tr w:rsidR="00AF5014" w:rsidRPr="00346B80" w14:paraId="2869E963" w14:textId="72A2A63C" w:rsidTr="00814AE3">
        <w:tc>
          <w:tcPr>
            <w:tcW w:w="863" w:type="pct"/>
            <w:tcBorders>
              <w:top w:val="single" w:sz="4" w:space="0" w:color="auto"/>
              <w:left w:val="single" w:sz="4" w:space="0" w:color="auto"/>
              <w:bottom w:val="single" w:sz="4" w:space="0" w:color="auto"/>
              <w:right w:val="single" w:sz="4" w:space="0" w:color="auto"/>
            </w:tcBorders>
            <w:hideMark/>
          </w:tcPr>
          <w:p w14:paraId="241B5788" w14:textId="77777777" w:rsidR="00AF5014" w:rsidRPr="00346B80" w:rsidRDefault="00AF5014" w:rsidP="00814AE3">
            <w:pPr>
              <w:widowControl w:val="0"/>
              <w:jc w:val="both"/>
              <w:rPr>
                <w:sz w:val="22"/>
                <w:szCs w:val="22"/>
                <w:lang w:val="sr-Latn-ME"/>
              </w:rPr>
            </w:pPr>
            <w:r w:rsidRPr="00346B80">
              <w:rPr>
                <w:sz w:val="22"/>
                <w:szCs w:val="22"/>
                <w:lang w:val="sr-Latn-ME"/>
              </w:rPr>
              <w:t>Poremećaji imunog sistema</w:t>
            </w:r>
          </w:p>
        </w:tc>
        <w:tc>
          <w:tcPr>
            <w:tcW w:w="752" w:type="pct"/>
            <w:tcBorders>
              <w:top w:val="single" w:sz="4" w:space="0" w:color="auto"/>
              <w:left w:val="single" w:sz="4" w:space="0" w:color="auto"/>
              <w:bottom w:val="single" w:sz="4" w:space="0" w:color="auto"/>
              <w:right w:val="single" w:sz="4" w:space="0" w:color="auto"/>
            </w:tcBorders>
          </w:tcPr>
          <w:p w14:paraId="47F9C05E" w14:textId="77777777" w:rsidR="00AF5014" w:rsidRPr="00FC2EEC" w:rsidRDefault="00AF5014" w:rsidP="00814AE3">
            <w:pPr>
              <w:widowControl w:val="0"/>
              <w:jc w:val="both"/>
              <w:rPr>
                <w:sz w:val="22"/>
                <w:szCs w:val="22"/>
                <w:lang w:val="sr-Latn-ME"/>
              </w:rPr>
            </w:pPr>
          </w:p>
        </w:tc>
        <w:tc>
          <w:tcPr>
            <w:tcW w:w="893" w:type="pct"/>
            <w:tcBorders>
              <w:top w:val="single" w:sz="4" w:space="0" w:color="auto"/>
              <w:left w:val="single" w:sz="4" w:space="0" w:color="auto"/>
              <w:bottom w:val="single" w:sz="4" w:space="0" w:color="auto"/>
              <w:right w:val="single" w:sz="4" w:space="0" w:color="auto"/>
            </w:tcBorders>
          </w:tcPr>
          <w:p w14:paraId="5355A652" w14:textId="77777777" w:rsidR="00AF5014" w:rsidRPr="00346B80" w:rsidRDefault="00AF5014" w:rsidP="00814AE3">
            <w:pPr>
              <w:widowControl w:val="0"/>
              <w:jc w:val="both"/>
              <w:rPr>
                <w:sz w:val="22"/>
                <w:szCs w:val="22"/>
                <w:lang w:val="sr-Latn-ME"/>
              </w:rPr>
            </w:pPr>
            <w:r w:rsidRPr="00346B80">
              <w:rPr>
                <w:sz w:val="22"/>
                <w:szCs w:val="22"/>
                <w:lang w:val="sr-Latn-ME"/>
              </w:rPr>
              <w:t>Pogoršanje astme</w:t>
            </w:r>
          </w:p>
        </w:tc>
        <w:tc>
          <w:tcPr>
            <w:tcW w:w="799" w:type="pct"/>
            <w:tcBorders>
              <w:top w:val="single" w:sz="4" w:space="0" w:color="auto"/>
              <w:left w:val="single" w:sz="4" w:space="0" w:color="auto"/>
              <w:bottom w:val="single" w:sz="4" w:space="0" w:color="auto"/>
              <w:right w:val="single" w:sz="4" w:space="0" w:color="auto"/>
            </w:tcBorders>
            <w:hideMark/>
          </w:tcPr>
          <w:p w14:paraId="17DA7F45" w14:textId="77777777" w:rsidR="00AF5014" w:rsidRPr="00346B80" w:rsidRDefault="00AF5014" w:rsidP="00814AE3">
            <w:pPr>
              <w:widowControl w:val="0"/>
              <w:jc w:val="both"/>
              <w:rPr>
                <w:sz w:val="22"/>
                <w:szCs w:val="22"/>
                <w:lang w:val="sr-Latn-ME"/>
              </w:rPr>
            </w:pPr>
            <w:r w:rsidRPr="00346B80">
              <w:rPr>
                <w:sz w:val="22"/>
                <w:szCs w:val="22"/>
                <w:lang w:val="sr-Latn-ME"/>
              </w:rPr>
              <w:t>Reakcije preosjetljivosti</w:t>
            </w:r>
          </w:p>
        </w:tc>
        <w:tc>
          <w:tcPr>
            <w:tcW w:w="846" w:type="pct"/>
            <w:tcBorders>
              <w:top w:val="single" w:sz="4" w:space="0" w:color="auto"/>
              <w:left w:val="single" w:sz="4" w:space="0" w:color="auto"/>
              <w:bottom w:val="single" w:sz="4" w:space="0" w:color="auto"/>
              <w:right w:val="single" w:sz="4" w:space="0" w:color="auto"/>
            </w:tcBorders>
          </w:tcPr>
          <w:p w14:paraId="345127A0" w14:textId="77777777" w:rsidR="00AF5014" w:rsidRPr="00346B80" w:rsidRDefault="00AF5014" w:rsidP="00814AE3">
            <w:pPr>
              <w:widowControl w:val="0"/>
              <w:jc w:val="both"/>
              <w:rPr>
                <w:sz w:val="22"/>
                <w:szCs w:val="22"/>
                <w:lang w:val="sr-Latn-ME"/>
              </w:rPr>
            </w:pPr>
            <w:r w:rsidRPr="00346B80">
              <w:rPr>
                <w:sz w:val="22"/>
                <w:szCs w:val="22"/>
                <w:lang w:val="sr-Latn-ME"/>
              </w:rPr>
              <w:t>Anafilatička reakcija/šok*†</w:t>
            </w:r>
          </w:p>
        </w:tc>
        <w:tc>
          <w:tcPr>
            <w:tcW w:w="846" w:type="pct"/>
            <w:tcBorders>
              <w:top w:val="single" w:sz="4" w:space="0" w:color="auto"/>
              <w:left w:val="single" w:sz="4" w:space="0" w:color="auto"/>
              <w:bottom w:val="single" w:sz="4" w:space="0" w:color="auto"/>
              <w:right w:val="single" w:sz="4" w:space="0" w:color="auto"/>
            </w:tcBorders>
          </w:tcPr>
          <w:p w14:paraId="64D03059" w14:textId="77777777" w:rsidR="00AF5014" w:rsidRPr="00346B80" w:rsidRDefault="00AF5014" w:rsidP="00814AE3">
            <w:pPr>
              <w:widowControl w:val="0"/>
              <w:jc w:val="both"/>
              <w:rPr>
                <w:sz w:val="22"/>
                <w:szCs w:val="22"/>
                <w:lang w:val="sr-Latn-ME"/>
              </w:rPr>
            </w:pPr>
          </w:p>
        </w:tc>
      </w:tr>
      <w:tr w:rsidR="00AF5014" w:rsidRPr="00346B80" w14:paraId="410622B8" w14:textId="77777777" w:rsidTr="00814AE3">
        <w:tc>
          <w:tcPr>
            <w:tcW w:w="863" w:type="pct"/>
            <w:tcBorders>
              <w:top w:val="single" w:sz="4" w:space="0" w:color="auto"/>
              <w:left w:val="single" w:sz="4" w:space="0" w:color="auto"/>
              <w:bottom w:val="single" w:sz="4" w:space="0" w:color="auto"/>
              <w:right w:val="single" w:sz="4" w:space="0" w:color="auto"/>
            </w:tcBorders>
          </w:tcPr>
          <w:p w14:paraId="55138489" w14:textId="5A62FB8B" w:rsidR="00AF5014" w:rsidRPr="00346B80" w:rsidRDefault="00AF5014" w:rsidP="00814AE3">
            <w:pPr>
              <w:widowControl w:val="0"/>
              <w:jc w:val="both"/>
              <w:rPr>
                <w:sz w:val="22"/>
                <w:szCs w:val="22"/>
                <w:lang w:val="sr-Latn-ME"/>
              </w:rPr>
            </w:pPr>
            <w:r w:rsidRPr="00346B80">
              <w:rPr>
                <w:sz w:val="22"/>
                <w:szCs w:val="22"/>
                <w:lang w:val="sr-Latn-ME"/>
              </w:rPr>
              <w:t xml:space="preserve">Poremećaji metabolizma </w:t>
            </w:r>
            <w:r w:rsidR="00132473" w:rsidRPr="00346B80">
              <w:rPr>
                <w:sz w:val="22"/>
                <w:szCs w:val="22"/>
                <w:lang w:val="sr-Latn-ME"/>
              </w:rPr>
              <w:t>i ishrane</w:t>
            </w:r>
          </w:p>
        </w:tc>
        <w:tc>
          <w:tcPr>
            <w:tcW w:w="752" w:type="pct"/>
            <w:tcBorders>
              <w:top w:val="single" w:sz="4" w:space="0" w:color="auto"/>
              <w:left w:val="single" w:sz="4" w:space="0" w:color="auto"/>
              <w:bottom w:val="single" w:sz="4" w:space="0" w:color="auto"/>
              <w:right w:val="single" w:sz="4" w:space="0" w:color="auto"/>
            </w:tcBorders>
          </w:tcPr>
          <w:p w14:paraId="68D06498" w14:textId="77777777" w:rsidR="00AF5014" w:rsidRPr="00FC2EEC" w:rsidRDefault="00AF5014" w:rsidP="00814AE3">
            <w:pPr>
              <w:widowControl w:val="0"/>
              <w:jc w:val="both"/>
              <w:rPr>
                <w:sz w:val="22"/>
                <w:szCs w:val="22"/>
                <w:lang w:val="sr-Latn-ME"/>
              </w:rPr>
            </w:pPr>
          </w:p>
        </w:tc>
        <w:tc>
          <w:tcPr>
            <w:tcW w:w="893" w:type="pct"/>
            <w:tcBorders>
              <w:top w:val="single" w:sz="4" w:space="0" w:color="auto"/>
              <w:left w:val="single" w:sz="4" w:space="0" w:color="auto"/>
              <w:bottom w:val="single" w:sz="4" w:space="0" w:color="auto"/>
              <w:right w:val="single" w:sz="4" w:space="0" w:color="auto"/>
            </w:tcBorders>
          </w:tcPr>
          <w:p w14:paraId="1DAFF97B" w14:textId="01C21260" w:rsidR="00AF5014" w:rsidRPr="00346B80" w:rsidRDefault="00132473" w:rsidP="00814AE3">
            <w:pPr>
              <w:widowControl w:val="0"/>
              <w:jc w:val="both"/>
              <w:rPr>
                <w:sz w:val="22"/>
                <w:szCs w:val="22"/>
                <w:lang w:val="sr-Latn-ME"/>
              </w:rPr>
            </w:pPr>
            <w:r w:rsidRPr="00346B80">
              <w:rPr>
                <w:sz w:val="22"/>
                <w:szCs w:val="22"/>
                <w:lang w:val="sr-Latn-ME"/>
              </w:rPr>
              <w:t>Hipokalcemija</w:t>
            </w:r>
          </w:p>
        </w:tc>
        <w:tc>
          <w:tcPr>
            <w:tcW w:w="799" w:type="pct"/>
            <w:tcBorders>
              <w:top w:val="single" w:sz="4" w:space="0" w:color="auto"/>
              <w:left w:val="single" w:sz="4" w:space="0" w:color="auto"/>
              <w:bottom w:val="single" w:sz="4" w:space="0" w:color="auto"/>
              <w:right w:val="single" w:sz="4" w:space="0" w:color="auto"/>
            </w:tcBorders>
          </w:tcPr>
          <w:p w14:paraId="0302AA7F" w14:textId="77777777" w:rsidR="00AF5014" w:rsidRPr="00346B80" w:rsidRDefault="00AF5014" w:rsidP="00814AE3">
            <w:pPr>
              <w:widowControl w:val="0"/>
              <w:jc w:val="both"/>
              <w:rPr>
                <w:sz w:val="22"/>
                <w:szCs w:val="22"/>
                <w:lang w:val="sr-Latn-ME"/>
              </w:rPr>
            </w:pPr>
          </w:p>
        </w:tc>
        <w:tc>
          <w:tcPr>
            <w:tcW w:w="846" w:type="pct"/>
            <w:tcBorders>
              <w:top w:val="single" w:sz="4" w:space="0" w:color="auto"/>
              <w:left w:val="single" w:sz="4" w:space="0" w:color="auto"/>
              <w:bottom w:val="single" w:sz="4" w:space="0" w:color="auto"/>
              <w:right w:val="single" w:sz="4" w:space="0" w:color="auto"/>
            </w:tcBorders>
          </w:tcPr>
          <w:p w14:paraId="18537034" w14:textId="77777777" w:rsidR="00AF5014" w:rsidRPr="00346B80" w:rsidRDefault="00AF5014" w:rsidP="00814AE3">
            <w:pPr>
              <w:widowControl w:val="0"/>
              <w:jc w:val="both"/>
              <w:rPr>
                <w:sz w:val="22"/>
                <w:szCs w:val="22"/>
                <w:lang w:val="sr-Latn-ME"/>
              </w:rPr>
            </w:pPr>
          </w:p>
        </w:tc>
        <w:tc>
          <w:tcPr>
            <w:tcW w:w="846" w:type="pct"/>
            <w:tcBorders>
              <w:top w:val="single" w:sz="4" w:space="0" w:color="auto"/>
              <w:left w:val="single" w:sz="4" w:space="0" w:color="auto"/>
              <w:bottom w:val="single" w:sz="4" w:space="0" w:color="auto"/>
              <w:right w:val="single" w:sz="4" w:space="0" w:color="auto"/>
            </w:tcBorders>
          </w:tcPr>
          <w:p w14:paraId="540438DC" w14:textId="77777777" w:rsidR="00AF5014" w:rsidRPr="00346B80" w:rsidRDefault="00AF5014" w:rsidP="00814AE3">
            <w:pPr>
              <w:widowControl w:val="0"/>
              <w:jc w:val="both"/>
              <w:rPr>
                <w:sz w:val="22"/>
                <w:szCs w:val="22"/>
                <w:lang w:val="sr-Latn-ME"/>
              </w:rPr>
            </w:pPr>
          </w:p>
        </w:tc>
      </w:tr>
      <w:tr w:rsidR="00AF5014" w:rsidRPr="00346B80" w14:paraId="4EC72E0F" w14:textId="492BF08F" w:rsidTr="00814AE3">
        <w:tc>
          <w:tcPr>
            <w:tcW w:w="863" w:type="pct"/>
            <w:tcBorders>
              <w:top w:val="single" w:sz="4" w:space="0" w:color="auto"/>
              <w:left w:val="single" w:sz="4" w:space="0" w:color="auto"/>
              <w:bottom w:val="single" w:sz="4" w:space="0" w:color="auto"/>
              <w:right w:val="single" w:sz="4" w:space="0" w:color="auto"/>
            </w:tcBorders>
            <w:hideMark/>
          </w:tcPr>
          <w:p w14:paraId="022B40A7" w14:textId="77777777" w:rsidR="00AF5014" w:rsidRPr="00346B80" w:rsidRDefault="00AF5014" w:rsidP="00814AE3">
            <w:pPr>
              <w:widowControl w:val="0"/>
              <w:jc w:val="both"/>
              <w:rPr>
                <w:sz w:val="22"/>
                <w:szCs w:val="22"/>
                <w:lang w:val="sr-Latn-ME"/>
              </w:rPr>
            </w:pPr>
            <w:r w:rsidRPr="00346B80">
              <w:rPr>
                <w:sz w:val="22"/>
                <w:szCs w:val="22"/>
                <w:lang w:val="sr-Latn-ME"/>
              </w:rPr>
              <w:t>Poremećaji nervnog sistema</w:t>
            </w:r>
          </w:p>
        </w:tc>
        <w:tc>
          <w:tcPr>
            <w:tcW w:w="752" w:type="pct"/>
            <w:tcBorders>
              <w:top w:val="single" w:sz="4" w:space="0" w:color="auto"/>
              <w:left w:val="single" w:sz="4" w:space="0" w:color="auto"/>
              <w:bottom w:val="single" w:sz="4" w:space="0" w:color="auto"/>
              <w:right w:val="single" w:sz="4" w:space="0" w:color="auto"/>
            </w:tcBorders>
            <w:hideMark/>
          </w:tcPr>
          <w:p w14:paraId="505BF74C" w14:textId="77777777" w:rsidR="00AF5014" w:rsidRPr="00FC2EEC" w:rsidRDefault="00AF5014" w:rsidP="00814AE3">
            <w:pPr>
              <w:widowControl w:val="0"/>
              <w:jc w:val="both"/>
              <w:rPr>
                <w:sz w:val="22"/>
                <w:szCs w:val="22"/>
                <w:lang w:val="sr-Latn-ME"/>
              </w:rPr>
            </w:pPr>
            <w:r w:rsidRPr="00FC2EEC">
              <w:rPr>
                <w:sz w:val="22"/>
                <w:szCs w:val="22"/>
                <w:lang w:val="sr-Latn-ME"/>
              </w:rPr>
              <w:t>Glavobolja</w:t>
            </w:r>
          </w:p>
        </w:tc>
        <w:tc>
          <w:tcPr>
            <w:tcW w:w="893" w:type="pct"/>
            <w:tcBorders>
              <w:top w:val="single" w:sz="4" w:space="0" w:color="auto"/>
              <w:left w:val="single" w:sz="4" w:space="0" w:color="auto"/>
              <w:bottom w:val="single" w:sz="4" w:space="0" w:color="auto"/>
              <w:right w:val="single" w:sz="4" w:space="0" w:color="auto"/>
            </w:tcBorders>
            <w:hideMark/>
          </w:tcPr>
          <w:p w14:paraId="732AF407" w14:textId="77777777" w:rsidR="00AF5014" w:rsidRPr="00346B80" w:rsidRDefault="00AF5014" w:rsidP="00814AE3">
            <w:pPr>
              <w:widowControl w:val="0"/>
              <w:jc w:val="both"/>
              <w:rPr>
                <w:sz w:val="22"/>
                <w:szCs w:val="22"/>
                <w:lang w:val="sr-Latn-ME"/>
              </w:rPr>
            </w:pPr>
            <w:r w:rsidRPr="00346B80">
              <w:rPr>
                <w:sz w:val="22"/>
                <w:szCs w:val="22"/>
                <w:lang w:val="sr-Latn-ME"/>
              </w:rPr>
              <w:t xml:space="preserve">Vrtoglavica </w:t>
            </w:r>
          </w:p>
        </w:tc>
        <w:tc>
          <w:tcPr>
            <w:tcW w:w="799" w:type="pct"/>
            <w:tcBorders>
              <w:top w:val="single" w:sz="4" w:space="0" w:color="auto"/>
              <w:left w:val="single" w:sz="4" w:space="0" w:color="auto"/>
              <w:bottom w:val="single" w:sz="4" w:space="0" w:color="auto"/>
              <w:right w:val="single" w:sz="4" w:space="0" w:color="auto"/>
            </w:tcBorders>
          </w:tcPr>
          <w:p w14:paraId="51E0A415" w14:textId="77777777" w:rsidR="00AF5014" w:rsidRPr="00346B80" w:rsidRDefault="00AF5014" w:rsidP="00814AE3">
            <w:pPr>
              <w:widowControl w:val="0"/>
              <w:jc w:val="both"/>
              <w:rPr>
                <w:sz w:val="22"/>
                <w:szCs w:val="22"/>
                <w:lang w:val="sr-Latn-ME"/>
              </w:rPr>
            </w:pPr>
          </w:p>
        </w:tc>
        <w:tc>
          <w:tcPr>
            <w:tcW w:w="846" w:type="pct"/>
            <w:tcBorders>
              <w:top w:val="single" w:sz="4" w:space="0" w:color="auto"/>
              <w:left w:val="single" w:sz="4" w:space="0" w:color="auto"/>
              <w:bottom w:val="single" w:sz="4" w:space="0" w:color="auto"/>
              <w:right w:val="single" w:sz="4" w:space="0" w:color="auto"/>
            </w:tcBorders>
          </w:tcPr>
          <w:p w14:paraId="32039711" w14:textId="77777777" w:rsidR="00AF5014" w:rsidRPr="00346B80" w:rsidRDefault="00AF5014" w:rsidP="00814AE3">
            <w:pPr>
              <w:widowControl w:val="0"/>
              <w:jc w:val="both"/>
              <w:rPr>
                <w:sz w:val="22"/>
                <w:szCs w:val="22"/>
                <w:lang w:val="sr-Latn-ME"/>
              </w:rPr>
            </w:pPr>
          </w:p>
        </w:tc>
        <w:tc>
          <w:tcPr>
            <w:tcW w:w="846" w:type="pct"/>
            <w:tcBorders>
              <w:top w:val="single" w:sz="4" w:space="0" w:color="auto"/>
              <w:left w:val="single" w:sz="4" w:space="0" w:color="auto"/>
              <w:bottom w:val="single" w:sz="4" w:space="0" w:color="auto"/>
              <w:right w:val="single" w:sz="4" w:space="0" w:color="auto"/>
            </w:tcBorders>
          </w:tcPr>
          <w:p w14:paraId="35B88BF2" w14:textId="77777777" w:rsidR="00AF5014" w:rsidRPr="00346B80" w:rsidRDefault="00AF5014" w:rsidP="00814AE3">
            <w:pPr>
              <w:widowControl w:val="0"/>
              <w:jc w:val="both"/>
              <w:rPr>
                <w:sz w:val="22"/>
                <w:szCs w:val="22"/>
                <w:lang w:val="sr-Latn-ME"/>
              </w:rPr>
            </w:pPr>
          </w:p>
        </w:tc>
      </w:tr>
      <w:tr w:rsidR="00AF5014" w:rsidRPr="00346B80" w14:paraId="15ADBA90" w14:textId="2B0BA917" w:rsidTr="00814AE3">
        <w:tc>
          <w:tcPr>
            <w:tcW w:w="863" w:type="pct"/>
            <w:tcBorders>
              <w:top w:val="single" w:sz="4" w:space="0" w:color="auto"/>
              <w:left w:val="single" w:sz="4" w:space="0" w:color="auto"/>
              <w:bottom w:val="single" w:sz="4" w:space="0" w:color="auto"/>
              <w:right w:val="single" w:sz="4" w:space="0" w:color="auto"/>
            </w:tcBorders>
            <w:hideMark/>
          </w:tcPr>
          <w:p w14:paraId="4A3EC8D8" w14:textId="77777777" w:rsidR="00AF5014" w:rsidRPr="00346B80" w:rsidRDefault="00AF5014" w:rsidP="00814AE3">
            <w:pPr>
              <w:widowControl w:val="0"/>
              <w:jc w:val="both"/>
              <w:rPr>
                <w:sz w:val="22"/>
                <w:szCs w:val="22"/>
                <w:lang w:val="sr-Latn-ME"/>
              </w:rPr>
            </w:pPr>
            <w:r w:rsidRPr="00346B80">
              <w:rPr>
                <w:sz w:val="22"/>
                <w:szCs w:val="22"/>
                <w:lang w:val="sr-Latn-ME"/>
              </w:rPr>
              <w:t>Poremećaji oka</w:t>
            </w:r>
          </w:p>
        </w:tc>
        <w:tc>
          <w:tcPr>
            <w:tcW w:w="752" w:type="pct"/>
            <w:tcBorders>
              <w:top w:val="single" w:sz="4" w:space="0" w:color="auto"/>
              <w:left w:val="single" w:sz="4" w:space="0" w:color="auto"/>
              <w:bottom w:val="single" w:sz="4" w:space="0" w:color="auto"/>
              <w:right w:val="single" w:sz="4" w:space="0" w:color="auto"/>
            </w:tcBorders>
          </w:tcPr>
          <w:p w14:paraId="65ABE6AD" w14:textId="77777777" w:rsidR="00AF5014" w:rsidRPr="00FC2EEC" w:rsidRDefault="00AF5014" w:rsidP="00814AE3">
            <w:pPr>
              <w:widowControl w:val="0"/>
              <w:jc w:val="both"/>
              <w:rPr>
                <w:sz w:val="22"/>
                <w:szCs w:val="22"/>
                <w:lang w:val="sr-Latn-ME"/>
              </w:rPr>
            </w:pPr>
          </w:p>
        </w:tc>
        <w:tc>
          <w:tcPr>
            <w:tcW w:w="893" w:type="pct"/>
            <w:tcBorders>
              <w:top w:val="single" w:sz="4" w:space="0" w:color="auto"/>
              <w:left w:val="single" w:sz="4" w:space="0" w:color="auto"/>
              <w:bottom w:val="single" w:sz="4" w:space="0" w:color="auto"/>
              <w:right w:val="single" w:sz="4" w:space="0" w:color="auto"/>
            </w:tcBorders>
          </w:tcPr>
          <w:p w14:paraId="0EBD5D62" w14:textId="77777777" w:rsidR="00AF5014" w:rsidRPr="00346B80" w:rsidRDefault="00AF5014" w:rsidP="00814AE3">
            <w:pPr>
              <w:widowControl w:val="0"/>
              <w:jc w:val="both"/>
              <w:rPr>
                <w:sz w:val="22"/>
                <w:szCs w:val="22"/>
                <w:lang w:val="sr-Latn-ME"/>
              </w:rPr>
            </w:pPr>
          </w:p>
        </w:tc>
        <w:tc>
          <w:tcPr>
            <w:tcW w:w="799" w:type="pct"/>
            <w:tcBorders>
              <w:top w:val="single" w:sz="4" w:space="0" w:color="auto"/>
              <w:left w:val="single" w:sz="4" w:space="0" w:color="auto"/>
              <w:bottom w:val="single" w:sz="4" w:space="0" w:color="auto"/>
              <w:right w:val="single" w:sz="4" w:space="0" w:color="auto"/>
            </w:tcBorders>
            <w:hideMark/>
          </w:tcPr>
          <w:p w14:paraId="11B4269C" w14:textId="77777777" w:rsidR="00AF5014" w:rsidRPr="00346B80" w:rsidRDefault="00AF5014" w:rsidP="00814AE3">
            <w:pPr>
              <w:widowControl w:val="0"/>
              <w:jc w:val="both"/>
              <w:rPr>
                <w:sz w:val="22"/>
                <w:szCs w:val="22"/>
                <w:lang w:val="sr-Latn-ME"/>
              </w:rPr>
            </w:pPr>
            <w:r w:rsidRPr="00346B80">
              <w:rPr>
                <w:sz w:val="22"/>
                <w:szCs w:val="22"/>
                <w:lang w:val="sr-Latn-ME"/>
              </w:rPr>
              <w:t>Inflamacija oka*†</w:t>
            </w:r>
          </w:p>
        </w:tc>
        <w:tc>
          <w:tcPr>
            <w:tcW w:w="846" w:type="pct"/>
            <w:tcBorders>
              <w:top w:val="single" w:sz="4" w:space="0" w:color="auto"/>
              <w:left w:val="single" w:sz="4" w:space="0" w:color="auto"/>
              <w:bottom w:val="single" w:sz="4" w:space="0" w:color="auto"/>
              <w:right w:val="single" w:sz="4" w:space="0" w:color="auto"/>
            </w:tcBorders>
          </w:tcPr>
          <w:p w14:paraId="4739F661" w14:textId="77777777" w:rsidR="00AF5014" w:rsidRPr="00346B80" w:rsidRDefault="00AF5014" w:rsidP="00814AE3">
            <w:pPr>
              <w:widowControl w:val="0"/>
              <w:jc w:val="both"/>
              <w:rPr>
                <w:sz w:val="22"/>
                <w:szCs w:val="22"/>
                <w:lang w:val="sr-Latn-ME"/>
              </w:rPr>
            </w:pPr>
          </w:p>
        </w:tc>
        <w:tc>
          <w:tcPr>
            <w:tcW w:w="846" w:type="pct"/>
            <w:tcBorders>
              <w:top w:val="single" w:sz="4" w:space="0" w:color="auto"/>
              <w:left w:val="single" w:sz="4" w:space="0" w:color="auto"/>
              <w:bottom w:val="single" w:sz="4" w:space="0" w:color="auto"/>
              <w:right w:val="single" w:sz="4" w:space="0" w:color="auto"/>
            </w:tcBorders>
          </w:tcPr>
          <w:p w14:paraId="7962AEDE" w14:textId="77777777" w:rsidR="00AF5014" w:rsidRPr="00346B80" w:rsidRDefault="00AF5014" w:rsidP="00814AE3">
            <w:pPr>
              <w:widowControl w:val="0"/>
              <w:jc w:val="both"/>
              <w:rPr>
                <w:sz w:val="22"/>
                <w:szCs w:val="22"/>
                <w:lang w:val="sr-Latn-ME"/>
              </w:rPr>
            </w:pPr>
          </w:p>
        </w:tc>
      </w:tr>
      <w:tr w:rsidR="00AF5014" w:rsidRPr="00346B80" w14:paraId="6201D5C2" w14:textId="4D84EB29" w:rsidTr="00814AE3">
        <w:tc>
          <w:tcPr>
            <w:tcW w:w="863" w:type="pct"/>
            <w:tcBorders>
              <w:top w:val="single" w:sz="4" w:space="0" w:color="auto"/>
              <w:left w:val="single" w:sz="4" w:space="0" w:color="auto"/>
              <w:bottom w:val="single" w:sz="4" w:space="0" w:color="auto"/>
              <w:right w:val="single" w:sz="4" w:space="0" w:color="auto"/>
            </w:tcBorders>
            <w:hideMark/>
          </w:tcPr>
          <w:p w14:paraId="44DAD930" w14:textId="77777777" w:rsidR="00AF5014" w:rsidRPr="00346B80" w:rsidRDefault="00AF5014" w:rsidP="00814AE3">
            <w:pPr>
              <w:widowControl w:val="0"/>
              <w:jc w:val="both"/>
              <w:rPr>
                <w:sz w:val="22"/>
                <w:szCs w:val="22"/>
                <w:lang w:val="sr-Latn-ME"/>
              </w:rPr>
            </w:pPr>
            <w:r w:rsidRPr="00346B80">
              <w:rPr>
                <w:sz w:val="22"/>
                <w:szCs w:val="22"/>
                <w:lang w:val="sr-Latn-ME"/>
              </w:rPr>
              <w:t>Gastrointestinalni poremećaji*</w:t>
            </w:r>
          </w:p>
        </w:tc>
        <w:tc>
          <w:tcPr>
            <w:tcW w:w="752" w:type="pct"/>
            <w:tcBorders>
              <w:top w:val="single" w:sz="4" w:space="0" w:color="auto"/>
              <w:left w:val="single" w:sz="4" w:space="0" w:color="auto"/>
              <w:bottom w:val="single" w:sz="4" w:space="0" w:color="auto"/>
              <w:right w:val="single" w:sz="4" w:space="0" w:color="auto"/>
            </w:tcBorders>
            <w:hideMark/>
          </w:tcPr>
          <w:p w14:paraId="1ACAED18" w14:textId="77777777" w:rsidR="00AF5014" w:rsidRPr="00FC2EEC" w:rsidRDefault="00AF5014" w:rsidP="00814AE3">
            <w:pPr>
              <w:widowControl w:val="0"/>
              <w:jc w:val="both"/>
              <w:rPr>
                <w:sz w:val="22"/>
                <w:szCs w:val="22"/>
                <w:lang w:val="sr-Latn-ME"/>
              </w:rPr>
            </w:pPr>
            <w:r w:rsidRPr="00FC2EEC">
              <w:rPr>
                <w:sz w:val="22"/>
                <w:szCs w:val="22"/>
                <w:lang w:val="sr-Latn-ME"/>
              </w:rPr>
              <w:t>Ezofagitis, gastritis, gastroezofagealna refluksna bolest, dispepsija, dijareja, abdominalni bol, mučnina</w:t>
            </w:r>
          </w:p>
        </w:tc>
        <w:tc>
          <w:tcPr>
            <w:tcW w:w="893" w:type="pct"/>
            <w:tcBorders>
              <w:top w:val="single" w:sz="4" w:space="0" w:color="auto"/>
              <w:left w:val="single" w:sz="4" w:space="0" w:color="auto"/>
              <w:bottom w:val="single" w:sz="4" w:space="0" w:color="auto"/>
              <w:right w:val="single" w:sz="4" w:space="0" w:color="auto"/>
            </w:tcBorders>
            <w:hideMark/>
          </w:tcPr>
          <w:p w14:paraId="75F65F59" w14:textId="77777777" w:rsidR="00AF5014" w:rsidRPr="00346B80" w:rsidRDefault="00AF5014" w:rsidP="00814AE3">
            <w:pPr>
              <w:widowControl w:val="0"/>
              <w:jc w:val="both"/>
              <w:rPr>
                <w:sz w:val="22"/>
                <w:szCs w:val="22"/>
                <w:lang w:val="sr-Latn-ME"/>
              </w:rPr>
            </w:pPr>
            <w:r w:rsidRPr="00346B80">
              <w:rPr>
                <w:sz w:val="22"/>
                <w:szCs w:val="22"/>
                <w:lang w:val="sr-Latn-ME"/>
              </w:rPr>
              <w:t>Ezofagitis uključujući ezofagealne ulceracije ili suženja i disfagiju, povraćanje, flatulencija</w:t>
            </w:r>
          </w:p>
        </w:tc>
        <w:tc>
          <w:tcPr>
            <w:tcW w:w="799" w:type="pct"/>
            <w:tcBorders>
              <w:top w:val="single" w:sz="4" w:space="0" w:color="auto"/>
              <w:left w:val="single" w:sz="4" w:space="0" w:color="auto"/>
              <w:bottom w:val="single" w:sz="4" w:space="0" w:color="auto"/>
              <w:right w:val="single" w:sz="4" w:space="0" w:color="auto"/>
            </w:tcBorders>
            <w:hideMark/>
          </w:tcPr>
          <w:p w14:paraId="07B4CAED" w14:textId="77777777" w:rsidR="00AF5014" w:rsidRPr="00346B80" w:rsidRDefault="00AF5014" w:rsidP="00814AE3">
            <w:pPr>
              <w:widowControl w:val="0"/>
              <w:jc w:val="both"/>
              <w:rPr>
                <w:sz w:val="22"/>
                <w:szCs w:val="22"/>
                <w:lang w:val="sr-Latn-ME"/>
              </w:rPr>
            </w:pPr>
            <w:r w:rsidRPr="00346B80">
              <w:rPr>
                <w:sz w:val="22"/>
                <w:szCs w:val="22"/>
                <w:lang w:val="sr-Latn-ME"/>
              </w:rPr>
              <w:t>Duodenitis</w:t>
            </w:r>
          </w:p>
        </w:tc>
        <w:tc>
          <w:tcPr>
            <w:tcW w:w="846" w:type="pct"/>
            <w:tcBorders>
              <w:top w:val="single" w:sz="4" w:space="0" w:color="auto"/>
              <w:left w:val="single" w:sz="4" w:space="0" w:color="auto"/>
              <w:bottom w:val="single" w:sz="4" w:space="0" w:color="auto"/>
              <w:right w:val="single" w:sz="4" w:space="0" w:color="auto"/>
            </w:tcBorders>
          </w:tcPr>
          <w:p w14:paraId="3DD9A7A9" w14:textId="77777777" w:rsidR="00AF5014" w:rsidRPr="00346B80" w:rsidRDefault="00AF5014" w:rsidP="00814AE3">
            <w:pPr>
              <w:widowControl w:val="0"/>
              <w:jc w:val="both"/>
              <w:rPr>
                <w:sz w:val="22"/>
                <w:szCs w:val="22"/>
                <w:lang w:val="sr-Latn-ME"/>
              </w:rPr>
            </w:pPr>
          </w:p>
        </w:tc>
        <w:tc>
          <w:tcPr>
            <w:tcW w:w="846" w:type="pct"/>
            <w:tcBorders>
              <w:top w:val="single" w:sz="4" w:space="0" w:color="auto"/>
              <w:left w:val="single" w:sz="4" w:space="0" w:color="auto"/>
              <w:bottom w:val="single" w:sz="4" w:space="0" w:color="auto"/>
              <w:right w:val="single" w:sz="4" w:space="0" w:color="auto"/>
            </w:tcBorders>
          </w:tcPr>
          <w:p w14:paraId="7F3E6BF7" w14:textId="77777777" w:rsidR="00AF5014" w:rsidRPr="00346B80" w:rsidRDefault="00AF5014" w:rsidP="00814AE3">
            <w:pPr>
              <w:widowControl w:val="0"/>
              <w:jc w:val="both"/>
              <w:rPr>
                <w:sz w:val="22"/>
                <w:szCs w:val="22"/>
                <w:lang w:val="sr-Latn-ME"/>
              </w:rPr>
            </w:pPr>
          </w:p>
        </w:tc>
      </w:tr>
      <w:tr w:rsidR="00AF5014" w:rsidRPr="00346B80" w14:paraId="75778AE5" w14:textId="103776CD" w:rsidTr="00814AE3">
        <w:tc>
          <w:tcPr>
            <w:tcW w:w="863" w:type="pct"/>
            <w:tcBorders>
              <w:top w:val="single" w:sz="4" w:space="0" w:color="auto"/>
              <w:left w:val="single" w:sz="4" w:space="0" w:color="auto"/>
              <w:bottom w:val="single" w:sz="4" w:space="0" w:color="auto"/>
              <w:right w:val="single" w:sz="4" w:space="0" w:color="auto"/>
            </w:tcBorders>
            <w:hideMark/>
          </w:tcPr>
          <w:p w14:paraId="7B726BBC" w14:textId="77777777" w:rsidR="00AF5014" w:rsidRPr="00346B80" w:rsidRDefault="00AF5014" w:rsidP="00814AE3">
            <w:pPr>
              <w:widowControl w:val="0"/>
              <w:jc w:val="both"/>
              <w:rPr>
                <w:sz w:val="22"/>
                <w:szCs w:val="22"/>
                <w:lang w:val="sr-Latn-ME"/>
              </w:rPr>
            </w:pPr>
            <w:r w:rsidRPr="00346B80">
              <w:rPr>
                <w:sz w:val="22"/>
                <w:szCs w:val="22"/>
                <w:lang w:val="sr-Latn-ME"/>
              </w:rPr>
              <w:t>Poremećaji kože i potkožnog tkiva</w:t>
            </w:r>
          </w:p>
        </w:tc>
        <w:tc>
          <w:tcPr>
            <w:tcW w:w="752" w:type="pct"/>
            <w:tcBorders>
              <w:top w:val="single" w:sz="4" w:space="0" w:color="auto"/>
              <w:left w:val="single" w:sz="4" w:space="0" w:color="auto"/>
              <w:bottom w:val="single" w:sz="4" w:space="0" w:color="auto"/>
              <w:right w:val="single" w:sz="4" w:space="0" w:color="auto"/>
            </w:tcBorders>
            <w:hideMark/>
          </w:tcPr>
          <w:p w14:paraId="6F9BF997" w14:textId="77777777" w:rsidR="00AF5014" w:rsidRPr="00FC2EEC" w:rsidRDefault="00AF5014" w:rsidP="00814AE3">
            <w:pPr>
              <w:widowControl w:val="0"/>
              <w:jc w:val="both"/>
              <w:rPr>
                <w:sz w:val="22"/>
                <w:szCs w:val="22"/>
                <w:lang w:val="sr-Latn-ME"/>
              </w:rPr>
            </w:pPr>
            <w:r w:rsidRPr="00FC2EEC">
              <w:rPr>
                <w:sz w:val="22"/>
                <w:szCs w:val="22"/>
                <w:lang w:val="sr-Latn-ME"/>
              </w:rPr>
              <w:t>Osip po koži</w:t>
            </w:r>
          </w:p>
        </w:tc>
        <w:tc>
          <w:tcPr>
            <w:tcW w:w="893" w:type="pct"/>
            <w:tcBorders>
              <w:top w:val="single" w:sz="4" w:space="0" w:color="auto"/>
              <w:left w:val="single" w:sz="4" w:space="0" w:color="auto"/>
              <w:bottom w:val="single" w:sz="4" w:space="0" w:color="auto"/>
              <w:right w:val="single" w:sz="4" w:space="0" w:color="auto"/>
            </w:tcBorders>
          </w:tcPr>
          <w:p w14:paraId="4DC2FE15" w14:textId="77777777" w:rsidR="00AF5014" w:rsidRPr="00346B80" w:rsidRDefault="00AF5014" w:rsidP="00814AE3">
            <w:pPr>
              <w:widowControl w:val="0"/>
              <w:jc w:val="both"/>
              <w:rPr>
                <w:sz w:val="22"/>
                <w:szCs w:val="22"/>
                <w:lang w:val="sr-Latn-ME"/>
              </w:rPr>
            </w:pPr>
          </w:p>
        </w:tc>
        <w:tc>
          <w:tcPr>
            <w:tcW w:w="799" w:type="pct"/>
            <w:tcBorders>
              <w:top w:val="single" w:sz="4" w:space="0" w:color="auto"/>
              <w:left w:val="single" w:sz="4" w:space="0" w:color="auto"/>
              <w:bottom w:val="single" w:sz="4" w:space="0" w:color="auto"/>
              <w:right w:val="single" w:sz="4" w:space="0" w:color="auto"/>
            </w:tcBorders>
            <w:hideMark/>
          </w:tcPr>
          <w:p w14:paraId="4C9A3894" w14:textId="77777777" w:rsidR="00AF5014" w:rsidRPr="00346B80" w:rsidRDefault="00AF5014" w:rsidP="00814AE3">
            <w:pPr>
              <w:widowControl w:val="0"/>
              <w:jc w:val="both"/>
              <w:rPr>
                <w:sz w:val="22"/>
                <w:szCs w:val="22"/>
                <w:lang w:val="sr-Latn-ME"/>
              </w:rPr>
            </w:pPr>
            <w:r w:rsidRPr="00346B80">
              <w:rPr>
                <w:sz w:val="22"/>
                <w:szCs w:val="22"/>
                <w:lang w:val="sr-Latn-ME"/>
              </w:rPr>
              <w:t>Angioedem, edem lica, urtikarija</w:t>
            </w:r>
          </w:p>
        </w:tc>
        <w:tc>
          <w:tcPr>
            <w:tcW w:w="846" w:type="pct"/>
            <w:tcBorders>
              <w:top w:val="single" w:sz="4" w:space="0" w:color="auto"/>
              <w:left w:val="single" w:sz="4" w:space="0" w:color="auto"/>
              <w:bottom w:val="single" w:sz="4" w:space="0" w:color="auto"/>
              <w:right w:val="single" w:sz="4" w:space="0" w:color="auto"/>
            </w:tcBorders>
          </w:tcPr>
          <w:p w14:paraId="53797482" w14:textId="5A1267EB" w:rsidR="00AF5014" w:rsidRPr="00346B80" w:rsidRDefault="00AF5014" w:rsidP="00814AE3">
            <w:pPr>
              <w:widowControl w:val="0"/>
              <w:jc w:val="both"/>
              <w:rPr>
                <w:sz w:val="22"/>
                <w:szCs w:val="22"/>
                <w:lang w:val="sr-Latn-ME"/>
              </w:rPr>
            </w:pPr>
            <w:r w:rsidRPr="00346B80">
              <w:rPr>
                <w:i/>
                <w:iCs/>
                <w:sz w:val="22"/>
                <w:szCs w:val="22"/>
                <w:lang w:val="sr-Latn-ME"/>
              </w:rPr>
              <w:t>Stevens-Johnson</w:t>
            </w:r>
            <w:r w:rsidRPr="00346B80">
              <w:rPr>
                <w:sz w:val="22"/>
                <w:szCs w:val="22"/>
                <w:lang w:val="sr-Latn-ME"/>
              </w:rPr>
              <w:t>-ov sindrom†, multiformni eritem†, bulozni dermatitis†</w:t>
            </w:r>
          </w:p>
        </w:tc>
        <w:tc>
          <w:tcPr>
            <w:tcW w:w="846" w:type="pct"/>
            <w:tcBorders>
              <w:top w:val="single" w:sz="4" w:space="0" w:color="auto"/>
              <w:left w:val="single" w:sz="4" w:space="0" w:color="auto"/>
              <w:bottom w:val="single" w:sz="4" w:space="0" w:color="auto"/>
              <w:right w:val="single" w:sz="4" w:space="0" w:color="auto"/>
            </w:tcBorders>
          </w:tcPr>
          <w:p w14:paraId="3AD5514B" w14:textId="77777777" w:rsidR="00AF5014" w:rsidRPr="00346B80" w:rsidRDefault="00AF5014" w:rsidP="00814AE3">
            <w:pPr>
              <w:widowControl w:val="0"/>
              <w:jc w:val="both"/>
              <w:rPr>
                <w:i/>
                <w:iCs/>
                <w:sz w:val="22"/>
                <w:szCs w:val="22"/>
                <w:lang w:val="sr-Latn-ME"/>
              </w:rPr>
            </w:pPr>
          </w:p>
        </w:tc>
      </w:tr>
      <w:tr w:rsidR="00AF5014" w:rsidRPr="000210AD" w14:paraId="6BC4BEE7" w14:textId="389D3938" w:rsidTr="00814AE3">
        <w:tc>
          <w:tcPr>
            <w:tcW w:w="863" w:type="pct"/>
            <w:tcBorders>
              <w:top w:val="single" w:sz="4" w:space="0" w:color="auto"/>
              <w:left w:val="single" w:sz="4" w:space="0" w:color="auto"/>
              <w:bottom w:val="single" w:sz="4" w:space="0" w:color="auto"/>
              <w:right w:val="single" w:sz="4" w:space="0" w:color="auto"/>
            </w:tcBorders>
            <w:hideMark/>
          </w:tcPr>
          <w:p w14:paraId="06187412" w14:textId="77777777" w:rsidR="00AF5014" w:rsidRPr="00346B80" w:rsidRDefault="00AF5014" w:rsidP="00814AE3">
            <w:pPr>
              <w:widowControl w:val="0"/>
              <w:jc w:val="both"/>
              <w:rPr>
                <w:sz w:val="22"/>
                <w:szCs w:val="22"/>
                <w:lang w:val="sr-Latn-ME"/>
              </w:rPr>
            </w:pPr>
            <w:r w:rsidRPr="00346B80">
              <w:rPr>
                <w:sz w:val="22"/>
                <w:szCs w:val="22"/>
                <w:lang w:val="sr-Latn-ME"/>
              </w:rPr>
              <w:t>Poremećaji mišićno-skeletnog i vezivnog tkiva</w:t>
            </w:r>
          </w:p>
        </w:tc>
        <w:tc>
          <w:tcPr>
            <w:tcW w:w="752" w:type="pct"/>
            <w:tcBorders>
              <w:top w:val="single" w:sz="4" w:space="0" w:color="auto"/>
              <w:left w:val="single" w:sz="4" w:space="0" w:color="auto"/>
              <w:bottom w:val="single" w:sz="4" w:space="0" w:color="auto"/>
              <w:right w:val="single" w:sz="4" w:space="0" w:color="auto"/>
            </w:tcBorders>
            <w:hideMark/>
          </w:tcPr>
          <w:p w14:paraId="73299A32" w14:textId="77777777" w:rsidR="00AF5014" w:rsidRPr="00FC2EEC" w:rsidRDefault="00AF5014" w:rsidP="00814AE3">
            <w:pPr>
              <w:widowControl w:val="0"/>
              <w:jc w:val="both"/>
              <w:rPr>
                <w:sz w:val="22"/>
                <w:szCs w:val="22"/>
                <w:lang w:val="sr-Latn-ME"/>
              </w:rPr>
            </w:pPr>
            <w:r w:rsidRPr="00FC2EEC">
              <w:rPr>
                <w:sz w:val="22"/>
                <w:szCs w:val="22"/>
                <w:lang w:val="sr-Latn-ME"/>
              </w:rPr>
              <w:t>Artralgija, mialgija, bol u mišićima i kostima, grčevi u mišićima, mišićno-koštana ukočenost</w:t>
            </w:r>
          </w:p>
        </w:tc>
        <w:tc>
          <w:tcPr>
            <w:tcW w:w="893" w:type="pct"/>
            <w:tcBorders>
              <w:top w:val="single" w:sz="4" w:space="0" w:color="auto"/>
              <w:left w:val="single" w:sz="4" w:space="0" w:color="auto"/>
              <w:bottom w:val="single" w:sz="4" w:space="0" w:color="auto"/>
              <w:right w:val="single" w:sz="4" w:space="0" w:color="auto"/>
            </w:tcBorders>
            <w:hideMark/>
          </w:tcPr>
          <w:p w14:paraId="1E0D7131" w14:textId="77777777" w:rsidR="00AF5014" w:rsidRPr="00346B80" w:rsidRDefault="00AF5014" w:rsidP="00814AE3">
            <w:pPr>
              <w:widowControl w:val="0"/>
              <w:jc w:val="both"/>
              <w:rPr>
                <w:sz w:val="22"/>
                <w:szCs w:val="22"/>
                <w:lang w:val="sr-Latn-ME"/>
              </w:rPr>
            </w:pPr>
            <w:r w:rsidRPr="00346B80">
              <w:rPr>
                <w:sz w:val="22"/>
                <w:szCs w:val="22"/>
                <w:lang w:val="sr-Latn-ME"/>
              </w:rPr>
              <w:t>Bol u leđima</w:t>
            </w:r>
          </w:p>
        </w:tc>
        <w:tc>
          <w:tcPr>
            <w:tcW w:w="799" w:type="pct"/>
            <w:tcBorders>
              <w:top w:val="single" w:sz="4" w:space="0" w:color="auto"/>
              <w:left w:val="single" w:sz="4" w:space="0" w:color="auto"/>
              <w:bottom w:val="single" w:sz="4" w:space="0" w:color="auto"/>
              <w:right w:val="single" w:sz="4" w:space="0" w:color="auto"/>
            </w:tcBorders>
          </w:tcPr>
          <w:p w14:paraId="04BC368D" w14:textId="77777777" w:rsidR="00AF5014" w:rsidRPr="00346B80" w:rsidRDefault="00AF5014" w:rsidP="00814AE3">
            <w:pPr>
              <w:widowControl w:val="0"/>
              <w:jc w:val="both"/>
              <w:rPr>
                <w:iCs/>
                <w:sz w:val="22"/>
                <w:szCs w:val="22"/>
                <w:lang w:val="sr-Latn-ME"/>
              </w:rPr>
            </w:pPr>
            <w:r w:rsidRPr="00346B80">
              <w:rPr>
                <w:sz w:val="22"/>
                <w:szCs w:val="22"/>
                <w:lang w:val="sr-Latn-ME"/>
              </w:rPr>
              <w:t xml:space="preserve">Atipične subtrohanterične i dijafizne frakture femura † </w:t>
            </w:r>
          </w:p>
          <w:p w14:paraId="43857938" w14:textId="77777777" w:rsidR="00AF5014" w:rsidRPr="00346B80" w:rsidRDefault="00AF5014" w:rsidP="00814AE3">
            <w:pPr>
              <w:widowControl w:val="0"/>
              <w:jc w:val="both"/>
              <w:rPr>
                <w:sz w:val="22"/>
                <w:szCs w:val="22"/>
                <w:lang w:val="sr-Latn-ME"/>
              </w:rPr>
            </w:pPr>
          </w:p>
        </w:tc>
        <w:tc>
          <w:tcPr>
            <w:tcW w:w="846" w:type="pct"/>
            <w:tcBorders>
              <w:top w:val="single" w:sz="4" w:space="0" w:color="auto"/>
              <w:left w:val="single" w:sz="4" w:space="0" w:color="auto"/>
              <w:bottom w:val="single" w:sz="4" w:space="0" w:color="auto"/>
              <w:right w:val="single" w:sz="4" w:space="0" w:color="auto"/>
            </w:tcBorders>
            <w:hideMark/>
          </w:tcPr>
          <w:p w14:paraId="1FF64965" w14:textId="77777777" w:rsidR="00AF5014" w:rsidRPr="00346B80" w:rsidRDefault="00AF5014" w:rsidP="00814AE3">
            <w:pPr>
              <w:widowControl w:val="0"/>
              <w:jc w:val="both"/>
              <w:rPr>
                <w:sz w:val="22"/>
                <w:szCs w:val="22"/>
                <w:lang w:val="sr-Latn-ME"/>
              </w:rPr>
            </w:pPr>
            <w:r w:rsidRPr="00346B80">
              <w:rPr>
                <w:sz w:val="22"/>
                <w:szCs w:val="22"/>
                <w:lang w:val="sr-Latn-ME"/>
              </w:rPr>
              <w:t>Osteonekroza vilice*†</w:t>
            </w:r>
          </w:p>
          <w:p w14:paraId="72882372" w14:textId="0DA72C02" w:rsidR="00AF5014" w:rsidRPr="00346B80" w:rsidRDefault="00AF5014" w:rsidP="00814AE3">
            <w:pPr>
              <w:widowControl w:val="0"/>
              <w:jc w:val="both"/>
              <w:rPr>
                <w:sz w:val="22"/>
                <w:szCs w:val="22"/>
                <w:lang w:val="sr-Latn-ME"/>
              </w:rPr>
            </w:pPr>
            <w:r w:rsidRPr="00346B80">
              <w:rPr>
                <w:sz w:val="22"/>
                <w:szCs w:val="22"/>
                <w:lang w:val="sr-Latn-ME"/>
              </w:rPr>
              <w:t>Osteonekroza spoljašnjeg slušnog kanala (neželjena reakcija c</w:t>
            </w:r>
            <w:r w:rsidR="00972413" w:rsidRPr="00346B80">
              <w:rPr>
                <w:sz w:val="22"/>
                <w:szCs w:val="22"/>
                <w:lang w:val="sr-Latn-ME"/>
              </w:rPr>
              <w:t>ij</w:t>
            </w:r>
            <w:r w:rsidRPr="00346B80">
              <w:rPr>
                <w:sz w:val="22"/>
                <w:szCs w:val="22"/>
                <w:lang w:val="sr-Latn-ME"/>
              </w:rPr>
              <w:t xml:space="preserve">ele grupe </w:t>
            </w:r>
            <w:r w:rsidRPr="00346B80">
              <w:rPr>
                <w:sz w:val="22"/>
                <w:szCs w:val="22"/>
                <w:u w:val="single"/>
                <w:lang w:val="sr-Latn-ME"/>
              </w:rPr>
              <w:t>l</w:t>
            </w:r>
            <w:r w:rsidR="00972413" w:rsidRPr="00346B80">
              <w:rPr>
                <w:sz w:val="22"/>
                <w:szCs w:val="22"/>
                <w:u w:val="single"/>
                <w:lang w:val="sr-Latn-ME"/>
              </w:rPr>
              <w:t>j</w:t>
            </w:r>
            <w:r w:rsidRPr="00346B80">
              <w:rPr>
                <w:sz w:val="22"/>
                <w:szCs w:val="22"/>
                <w:u w:val="single"/>
                <w:lang w:val="sr-Latn-ME"/>
              </w:rPr>
              <w:t>ekova bisfosfonata</w:t>
            </w:r>
            <w:r w:rsidRPr="00346B80">
              <w:rPr>
                <w:sz w:val="22"/>
                <w:szCs w:val="22"/>
                <w:lang w:val="sr-Latn-ME"/>
              </w:rPr>
              <w:t>) †</w:t>
            </w:r>
          </w:p>
        </w:tc>
        <w:tc>
          <w:tcPr>
            <w:tcW w:w="846" w:type="pct"/>
            <w:tcBorders>
              <w:top w:val="single" w:sz="4" w:space="0" w:color="auto"/>
              <w:left w:val="single" w:sz="4" w:space="0" w:color="auto"/>
              <w:bottom w:val="single" w:sz="4" w:space="0" w:color="auto"/>
              <w:right w:val="single" w:sz="4" w:space="0" w:color="auto"/>
            </w:tcBorders>
          </w:tcPr>
          <w:p w14:paraId="02A8E540" w14:textId="39FAEBFD" w:rsidR="00AF5014" w:rsidRPr="00346B80" w:rsidRDefault="00132473" w:rsidP="00814AE3">
            <w:pPr>
              <w:widowControl w:val="0"/>
              <w:jc w:val="both"/>
              <w:rPr>
                <w:sz w:val="22"/>
                <w:szCs w:val="22"/>
                <w:lang w:val="sr-Latn-ME"/>
              </w:rPr>
            </w:pPr>
            <w:r w:rsidRPr="00346B80">
              <w:rPr>
                <w:sz w:val="22"/>
                <w:szCs w:val="22"/>
                <w:lang w:val="sr-Latn-ME"/>
              </w:rPr>
              <w:t>Atipičn</w:t>
            </w:r>
            <w:r w:rsidR="00C87AC5" w:rsidRPr="00346B80">
              <w:rPr>
                <w:sz w:val="22"/>
                <w:szCs w:val="22"/>
                <w:lang w:val="sr-Latn-ME"/>
              </w:rPr>
              <w:t xml:space="preserve">i prelomi </w:t>
            </w:r>
            <w:r w:rsidRPr="00346B80">
              <w:rPr>
                <w:sz w:val="22"/>
                <w:szCs w:val="22"/>
                <w:lang w:val="sr-Latn-ME"/>
              </w:rPr>
              <w:t>ostalih dugih kostiju, sem femura</w:t>
            </w:r>
          </w:p>
        </w:tc>
      </w:tr>
      <w:tr w:rsidR="00AF5014" w:rsidRPr="00346B80" w14:paraId="300C35B7" w14:textId="1FC184CF" w:rsidTr="00814AE3">
        <w:tc>
          <w:tcPr>
            <w:tcW w:w="863" w:type="pct"/>
            <w:tcBorders>
              <w:top w:val="single" w:sz="4" w:space="0" w:color="auto"/>
              <w:left w:val="single" w:sz="4" w:space="0" w:color="auto"/>
              <w:bottom w:val="single" w:sz="4" w:space="0" w:color="auto"/>
              <w:right w:val="single" w:sz="4" w:space="0" w:color="auto"/>
            </w:tcBorders>
            <w:hideMark/>
          </w:tcPr>
          <w:p w14:paraId="75DC92BC" w14:textId="77777777" w:rsidR="00AF5014" w:rsidRPr="00FC2EEC" w:rsidRDefault="00AF5014" w:rsidP="00814AE3">
            <w:pPr>
              <w:widowControl w:val="0"/>
              <w:jc w:val="both"/>
              <w:rPr>
                <w:sz w:val="22"/>
                <w:szCs w:val="22"/>
                <w:lang w:val="sr-Latn-ME"/>
              </w:rPr>
            </w:pPr>
            <w:r w:rsidRPr="00346B80">
              <w:rPr>
                <w:sz w:val="22"/>
                <w:szCs w:val="22"/>
                <w:lang w:val="sr-Latn-ME"/>
              </w:rPr>
              <w:t>Opšti poremećaji i  reakcije na mjestu primjene</w:t>
            </w:r>
          </w:p>
        </w:tc>
        <w:tc>
          <w:tcPr>
            <w:tcW w:w="752" w:type="pct"/>
            <w:tcBorders>
              <w:top w:val="single" w:sz="4" w:space="0" w:color="auto"/>
              <w:left w:val="single" w:sz="4" w:space="0" w:color="auto"/>
              <w:bottom w:val="single" w:sz="4" w:space="0" w:color="auto"/>
              <w:right w:val="single" w:sz="4" w:space="0" w:color="auto"/>
            </w:tcBorders>
            <w:hideMark/>
          </w:tcPr>
          <w:p w14:paraId="29F62904" w14:textId="77777777" w:rsidR="00AF5014" w:rsidRPr="00346B80" w:rsidRDefault="00AF5014" w:rsidP="00814AE3">
            <w:pPr>
              <w:widowControl w:val="0"/>
              <w:jc w:val="both"/>
              <w:rPr>
                <w:sz w:val="22"/>
                <w:szCs w:val="22"/>
                <w:lang w:val="sr-Latn-ME"/>
              </w:rPr>
            </w:pPr>
            <w:r w:rsidRPr="00346B80">
              <w:rPr>
                <w:sz w:val="22"/>
                <w:szCs w:val="22"/>
                <w:lang w:val="sr-Latn-ME"/>
              </w:rPr>
              <w:t>Bolest slična gripu*</w:t>
            </w:r>
          </w:p>
        </w:tc>
        <w:tc>
          <w:tcPr>
            <w:tcW w:w="893" w:type="pct"/>
            <w:tcBorders>
              <w:top w:val="single" w:sz="4" w:space="0" w:color="auto"/>
              <w:left w:val="single" w:sz="4" w:space="0" w:color="auto"/>
              <w:bottom w:val="single" w:sz="4" w:space="0" w:color="auto"/>
              <w:right w:val="single" w:sz="4" w:space="0" w:color="auto"/>
            </w:tcBorders>
          </w:tcPr>
          <w:p w14:paraId="63903586" w14:textId="77777777" w:rsidR="00AF5014" w:rsidRPr="00346B80" w:rsidRDefault="00AF5014" w:rsidP="00814AE3">
            <w:pPr>
              <w:widowControl w:val="0"/>
              <w:jc w:val="both"/>
              <w:rPr>
                <w:sz w:val="22"/>
                <w:szCs w:val="22"/>
                <w:lang w:val="sr-Latn-ME"/>
              </w:rPr>
            </w:pPr>
            <w:r w:rsidRPr="00346B80">
              <w:rPr>
                <w:sz w:val="22"/>
                <w:szCs w:val="22"/>
                <w:lang w:val="sr-Latn-ME"/>
              </w:rPr>
              <w:t>Zamor</w:t>
            </w:r>
          </w:p>
          <w:p w14:paraId="2E6242ED" w14:textId="77777777" w:rsidR="00AF5014" w:rsidRPr="00346B80" w:rsidRDefault="00AF5014" w:rsidP="00814AE3">
            <w:pPr>
              <w:widowControl w:val="0"/>
              <w:jc w:val="both"/>
              <w:rPr>
                <w:sz w:val="22"/>
                <w:szCs w:val="22"/>
                <w:lang w:val="sr-Latn-ME"/>
              </w:rPr>
            </w:pPr>
          </w:p>
        </w:tc>
        <w:tc>
          <w:tcPr>
            <w:tcW w:w="799" w:type="pct"/>
            <w:tcBorders>
              <w:top w:val="single" w:sz="4" w:space="0" w:color="auto"/>
              <w:left w:val="single" w:sz="4" w:space="0" w:color="auto"/>
              <w:bottom w:val="single" w:sz="4" w:space="0" w:color="auto"/>
              <w:right w:val="single" w:sz="4" w:space="0" w:color="auto"/>
            </w:tcBorders>
          </w:tcPr>
          <w:p w14:paraId="0AAE517F" w14:textId="77777777" w:rsidR="00AF5014" w:rsidRPr="00346B80" w:rsidRDefault="00AF5014" w:rsidP="00814AE3">
            <w:pPr>
              <w:widowControl w:val="0"/>
              <w:jc w:val="both"/>
              <w:rPr>
                <w:sz w:val="22"/>
                <w:szCs w:val="22"/>
                <w:lang w:val="sr-Latn-ME"/>
              </w:rPr>
            </w:pPr>
          </w:p>
        </w:tc>
        <w:tc>
          <w:tcPr>
            <w:tcW w:w="846" w:type="pct"/>
            <w:tcBorders>
              <w:top w:val="single" w:sz="4" w:space="0" w:color="auto"/>
              <w:left w:val="single" w:sz="4" w:space="0" w:color="auto"/>
              <w:bottom w:val="single" w:sz="4" w:space="0" w:color="auto"/>
              <w:right w:val="single" w:sz="4" w:space="0" w:color="auto"/>
            </w:tcBorders>
          </w:tcPr>
          <w:p w14:paraId="5C792EFB" w14:textId="77777777" w:rsidR="00AF5014" w:rsidRPr="00346B80" w:rsidRDefault="00AF5014" w:rsidP="00814AE3">
            <w:pPr>
              <w:widowControl w:val="0"/>
              <w:jc w:val="both"/>
              <w:rPr>
                <w:sz w:val="22"/>
                <w:szCs w:val="22"/>
                <w:lang w:val="sr-Latn-ME"/>
              </w:rPr>
            </w:pPr>
          </w:p>
        </w:tc>
        <w:tc>
          <w:tcPr>
            <w:tcW w:w="846" w:type="pct"/>
            <w:tcBorders>
              <w:top w:val="single" w:sz="4" w:space="0" w:color="auto"/>
              <w:left w:val="single" w:sz="4" w:space="0" w:color="auto"/>
              <w:bottom w:val="single" w:sz="4" w:space="0" w:color="auto"/>
              <w:right w:val="single" w:sz="4" w:space="0" w:color="auto"/>
            </w:tcBorders>
          </w:tcPr>
          <w:p w14:paraId="5E10BEBB" w14:textId="77777777" w:rsidR="00AF5014" w:rsidRPr="00346B80" w:rsidRDefault="00AF5014" w:rsidP="00814AE3">
            <w:pPr>
              <w:widowControl w:val="0"/>
              <w:jc w:val="both"/>
              <w:rPr>
                <w:sz w:val="22"/>
                <w:szCs w:val="22"/>
                <w:lang w:val="sr-Latn-ME"/>
              </w:rPr>
            </w:pPr>
          </w:p>
        </w:tc>
      </w:tr>
    </w:tbl>
    <w:p w14:paraId="5F7581D9" w14:textId="77777777" w:rsidR="00044909" w:rsidRPr="00346B80" w:rsidRDefault="00044909" w:rsidP="00346B80">
      <w:pPr>
        <w:widowControl w:val="0"/>
        <w:jc w:val="both"/>
        <w:rPr>
          <w:sz w:val="22"/>
          <w:szCs w:val="22"/>
          <w:lang w:val="sr-Latn-ME"/>
        </w:rPr>
      </w:pPr>
      <w:r w:rsidRPr="00346B80">
        <w:rPr>
          <w:sz w:val="22"/>
          <w:szCs w:val="22"/>
          <w:lang w:val="sr-Latn-ME"/>
        </w:rPr>
        <w:t>*Dodatne informacije su navedene u tekstu koji slijedi</w:t>
      </w:r>
    </w:p>
    <w:p w14:paraId="3A034FE7" w14:textId="77777777" w:rsidR="00044909" w:rsidRPr="00FC2EEC" w:rsidRDefault="00044909" w:rsidP="00FC2EEC">
      <w:pPr>
        <w:widowControl w:val="0"/>
        <w:jc w:val="both"/>
        <w:rPr>
          <w:sz w:val="22"/>
          <w:szCs w:val="22"/>
          <w:lang w:val="sr-Latn-ME"/>
        </w:rPr>
      </w:pPr>
      <w:r w:rsidRPr="00FC2EEC">
        <w:rPr>
          <w:sz w:val="22"/>
          <w:szCs w:val="22"/>
          <w:lang w:val="sr-Latn-ME"/>
        </w:rPr>
        <w:t>†Identifikovano iz postmarketinškog iskustva</w:t>
      </w:r>
    </w:p>
    <w:p w14:paraId="2C1D243D" w14:textId="77777777" w:rsidR="00044909" w:rsidRPr="00346B80" w:rsidRDefault="00044909">
      <w:pPr>
        <w:widowControl w:val="0"/>
        <w:jc w:val="both"/>
        <w:rPr>
          <w:sz w:val="22"/>
          <w:szCs w:val="22"/>
          <w:lang w:val="sr-Latn-ME" w:eastAsia="en-GB"/>
        </w:rPr>
      </w:pPr>
    </w:p>
    <w:p w14:paraId="75041166" w14:textId="77777777" w:rsidR="00044909" w:rsidRPr="00346B80" w:rsidRDefault="00044909">
      <w:pPr>
        <w:widowControl w:val="0"/>
        <w:autoSpaceDE w:val="0"/>
        <w:autoSpaceDN w:val="0"/>
        <w:adjustRightInd w:val="0"/>
        <w:jc w:val="both"/>
        <w:rPr>
          <w:color w:val="000000"/>
          <w:sz w:val="22"/>
          <w:szCs w:val="22"/>
          <w:u w:val="single"/>
          <w:lang w:val="sr-Latn-ME"/>
        </w:rPr>
      </w:pPr>
      <w:r w:rsidRPr="00346B80">
        <w:rPr>
          <w:color w:val="000000"/>
          <w:sz w:val="22"/>
          <w:szCs w:val="22"/>
          <w:u w:val="single"/>
          <w:lang w:val="sr-Latn-ME"/>
        </w:rPr>
        <w:t>Opis odabranih neželjenih reakcija</w:t>
      </w:r>
    </w:p>
    <w:p w14:paraId="381C5CB5" w14:textId="77777777" w:rsidR="00044909" w:rsidRPr="00346B80" w:rsidRDefault="00044909">
      <w:pPr>
        <w:widowControl w:val="0"/>
        <w:autoSpaceDE w:val="0"/>
        <w:autoSpaceDN w:val="0"/>
        <w:adjustRightInd w:val="0"/>
        <w:jc w:val="both"/>
        <w:rPr>
          <w:color w:val="000000"/>
          <w:sz w:val="22"/>
          <w:szCs w:val="22"/>
          <w:u w:val="single"/>
          <w:lang w:val="sr-Latn-ME"/>
        </w:rPr>
      </w:pPr>
    </w:p>
    <w:p w14:paraId="331D5FE6" w14:textId="77777777" w:rsidR="00044909" w:rsidRPr="00346B80" w:rsidRDefault="00044909">
      <w:pPr>
        <w:widowControl w:val="0"/>
        <w:jc w:val="both"/>
        <w:rPr>
          <w:i/>
          <w:sz w:val="22"/>
          <w:szCs w:val="22"/>
          <w:u w:val="single"/>
          <w:lang w:val="sr-Latn-ME"/>
        </w:rPr>
      </w:pPr>
      <w:r w:rsidRPr="00346B80">
        <w:rPr>
          <w:i/>
          <w:sz w:val="22"/>
          <w:szCs w:val="22"/>
          <w:u w:val="single"/>
          <w:lang w:val="sr-Latn-ME"/>
        </w:rPr>
        <w:t>Gastrointestinalne neželjene reakcije</w:t>
      </w:r>
    </w:p>
    <w:p w14:paraId="08F4D3B9" w14:textId="77777777" w:rsidR="00044909" w:rsidRPr="00346B80" w:rsidRDefault="00044909">
      <w:pPr>
        <w:widowControl w:val="0"/>
        <w:jc w:val="both"/>
        <w:rPr>
          <w:sz w:val="22"/>
          <w:szCs w:val="22"/>
          <w:u w:val="single"/>
          <w:lang w:val="sr-Latn-ME"/>
        </w:rPr>
      </w:pPr>
    </w:p>
    <w:p w14:paraId="336B1987" w14:textId="77777777" w:rsidR="00044909" w:rsidRPr="00346B80" w:rsidRDefault="00044909">
      <w:pPr>
        <w:widowControl w:val="0"/>
        <w:jc w:val="both"/>
        <w:rPr>
          <w:sz w:val="22"/>
          <w:szCs w:val="22"/>
          <w:lang w:val="sr-Latn-ME"/>
        </w:rPr>
      </w:pPr>
      <w:r w:rsidRPr="00346B80">
        <w:rPr>
          <w:sz w:val="22"/>
          <w:szCs w:val="22"/>
          <w:lang w:val="sr-Latn-ME"/>
        </w:rPr>
        <w:t>Pacijenti sa prethodnom anamnezom gastrointestinalnih poremećaja uključujući pacijente sa peptičkim ulkusom bez nedavnog krvarenja ili hospitalizacije, i pacijente sa dispepsijom ili refluksom kontrolisanog ljekovima bili su uključeni u studiju primjene terapije jedanput mjesečno. Kod ovih pacijenata, nije bilo razlike u incidenci javljanja gastrointestinalnih neželjenih dejstava sa primjenom 150 mg jedanput mjesečno u poređenju sa doziranjem od 2,5 mg jedanput dnevno.</w:t>
      </w:r>
    </w:p>
    <w:p w14:paraId="2EBF2829" w14:textId="77777777" w:rsidR="00044909" w:rsidRPr="00346B80" w:rsidRDefault="00044909">
      <w:pPr>
        <w:widowControl w:val="0"/>
        <w:autoSpaceDE w:val="0"/>
        <w:autoSpaceDN w:val="0"/>
        <w:adjustRightInd w:val="0"/>
        <w:jc w:val="both"/>
        <w:rPr>
          <w:color w:val="000000"/>
          <w:sz w:val="22"/>
          <w:szCs w:val="22"/>
          <w:lang w:val="sr-Latn-ME"/>
        </w:rPr>
      </w:pPr>
    </w:p>
    <w:p w14:paraId="767477BF" w14:textId="77777777" w:rsidR="00044909" w:rsidRPr="00346B80" w:rsidRDefault="00044909">
      <w:pPr>
        <w:widowControl w:val="0"/>
        <w:jc w:val="both"/>
        <w:rPr>
          <w:i/>
          <w:sz w:val="22"/>
          <w:szCs w:val="22"/>
          <w:u w:val="single"/>
          <w:lang w:val="sr-Latn-ME"/>
        </w:rPr>
      </w:pPr>
      <w:r w:rsidRPr="00346B80">
        <w:rPr>
          <w:i/>
          <w:sz w:val="22"/>
          <w:szCs w:val="22"/>
          <w:u w:val="single"/>
          <w:lang w:val="sr-Latn-ME"/>
        </w:rPr>
        <w:t>Bolest slična gripu</w:t>
      </w:r>
    </w:p>
    <w:p w14:paraId="6D22C5D5" w14:textId="77777777" w:rsidR="00044909" w:rsidRPr="00346B80" w:rsidRDefault="00044909">
      <w:pPr>
        <w:widowControl w:val="0"/>
        <w:jc w:val="both"/>
        <w:rPr>
          <w:i/>
          <w:sz w:val="22"/>
          <w:szCs w:val="22"/>
          <w:u w:val="single"/>
          <w:lang w:val="sr-Latn-ME"/>
        </w:rPr>
      </w:pPr>
    </w:p>
    <w:p w14:paraId="6A0C6880" w14:textId="77777777" w:rsidR="00044909" w:rsidRPr="00346B80" w:rsidRDefault="00044909">
      <w:pPr>
        <w:widowControl w:val="0"/>
        <w:jc w:val="both"/>
        <w:rPr>
          <w:sz w:val="22"/>
          <w:szCs w:val="22"/>
          <w:lang w:val="sr-Latn-ME"/>
        </w:rPr>
      </w:pPr>
      <w:r w:rsidRPr="00346B80">
        <w:rPr>
          <w:sz w:val="22"/>
          <w:szCs w:val="22"/>
          <w:lang w:val="sr-Latn-ME"/>
        </w:rPr>
        <w:t>Bolest slična gripu uključuje događaje prijavljene kao reakcija akutne faze ili simptome koji uključuju mialgiju, artralgiju, povišenu temperaturu, drhtavicu, zamor, mučninu, gubitak apetita ili bol u kostima.</w:t>
      </w:r>
    </w:p>
    <w:p w14:paraId="7911D488" w14:textId="77777777" w:rsidR="00044909" w:rsidRPr="00346B80" w:rsidRDefault="00044909">
      <w:pPr>
        <w:widowControl w:val="0"/>
        <w:jc w:val="both"/>
        <w:rPr>
          <w:sz w:val="22"/>
          <w:szCs w:val="22"/>
          <w:lang w:val="sr-Latn-ME"/>
        </w:rPr>
      </w:pPr>
    </w:p>
    <w:p w14:paraId="3C136409" w14:textId="77777777" w:rsidR="00044909" w:rsidRPr="00346B80" w:rsidRDefault="00044909">
      <w:pPr>
        <w:widowControl w:val="0"/>
        <w:jc w:val="both"/>
        <w:rPr>
          <w:i/>
          <w:sz w:val="22"/>
          <w:szCs w:val="22"/>
          <w:u w:val="single"/>
          <w:lang w:val="sr-Latn-ME"/>
        </w:rPr>
      </w:pPr>
      <w:r w:rsidRPr="00346B80">
        <w:rPr>
          <w:i/>
          <w:sz w:val="22"/>
          <w:szCs w:val="22"/>
          <w:u w:val="single"/>
          <w:lang w:val="sr-Latn-ME"/>
        </w:rPr>
        <w:t>Osteonekroza vilice</w:t>
      </w:r>
    </w:p>
    <w:p w14:paraId="4EF18635" w14:textId="77777777" w:rsidR="00044909" w:rsidRPr="00346B80" w:rsidRDefault="00044909">
      <w:pPr>
        <w:widowControl w:val="0"/>
        <w:jc w:val="both"/>
        <w:rPr>
          <w:i/>
          <w:sz w:val="22"/>
          <w:szCs w:val="22"/>
          <w:u w:val="single"/>
          <w:lang w:val="sr-Latn-ME"/>
        </w:rPr>
      </w:pPr>
    </w:p>
    <w:p w14:paraId="22B69066" w14:textId="2E9EC3F4" w:rsidR="00044909" w:rsidRPr="00346B80" w:rsidRDefault="00044909">
      <w:pPr>
        <w:widowControl w:val="0"/>
        <w:jc w:val="both"/>
        <w:rPr>
          <w:sz w:val="22"/>
          <w:szCs w:val="22"/>
          <w:lang w:val="sr-Latn-ME"/>
        </w:rPr>
      </w:pPr>
      <w:r w:rsidRPr="00346B80">
        <w:rPr>
          <w:sz w:val="22"/>
          <w:szCs w:val="22"/>
          <w:lang w:val="sr-Latn-ME"/>
        </w:rPr>
        <w:t xml:space="preserve">Osteonekroza vilice prijavljena je kod pacijenata </w:t>
      </w:r>
      <w:r w:rsidR="0049173C" w:rsidRPr="00346B80">
        <w:rPr>
          <w:sz w:val="22"/>
          <w:szCs w:val="22"/>
          <w:lang w:val="sr-Latn-ME"/>
        </w:rPr>
        <w:t>obolelih od kancera l</w:t>
      </w:r>
      <w:r w:rsidR="00C87AC5" w:rsidRPr="00346B80">
        <w:rPr>
          <w:sz w:val="22"/>
          <w:szCs w:val="22"/>
          <w:lang w:val="sr-Latn-ME"/>
        </w:rPr>
        <w:t>ij</w:t>
      </w:r>
      <w:r w:rsidR="0049173C" w:rsidRPr="00346B80">
        <w:rPr>
          <w:sz w:val="22"/>
          <w:szCs w:val="22"/>
          <w:lang w:val="sr-Latn-ME"/>
        </w:rPr>
        <w:t>ečenih l</w:t>
      </w:r>
      <w:r w:rsidR="00C87AC5" w:rsidRPr="00346B80">
        <w:rPr>
          <w:sz w:val="22"/>
          <w:szCs w:val="22"/>
          <w:lang w:val="sr-Latn-ME"/>
        </w:rPr>
        <w:t>j</w:t>
      </w:r>
      <w:r w:rsidR="0049173C" w:rsidRPr="00346B80">
        <w:rPr>
          <w:sz w:val="22"/>
          <w:szCs w:val="22"/>
          <w:lang w:val="sr-Latn-ME"/>
        </w:rPr>
        <w:t>ekovima koji inhibiraju resorpciju kostiju, kao što je ibandronska kiselina (vid</w:t>
      </w:r>
      <w:r w:rsidR="00C87AC5" w:rsidRPr="00346B80">
        <w:rPr>
          <w:sz w:val="22"/>
          <w:szCs w:val="22"/>
          <w:lang w:val="sr-Latn-ME"/>
        </w:rPr>
        <w:t>j</w:t>
      </w:r>
      <w:r w:rsidR="0049173C" w:rsidRPr="00346B80">
        <w:rPr>
          <w:sz w:val="22"/>
          <w:szCs w:val="22"/>
          <w:lang w:val="sr-Latn-ME"/>
        </w:rPr>
        <w:t xml:space="preserve">eti </w:t>
      </w:r>
      <w:r w:rsidR="00C53453" w:rsidRPr="00346B80">
        <w:rPr>
          <w:sz w:val="22"/>
          <w:szCs w:val="22"/>
          <w:lang w:val="sr-Latn-ME"/>
        </w:rPr>
        <w:t>dio</w:t>
      </w:r>
      <w:r w:rsidR="0049173C" w:rsidRPr="00346B80">
        <w:rPr>
          <w:sz w:val="22"/>
          <w:szCs w:val="22"/>
          <w:lang w:val="sr-Latn-ME"/>
        </w:rPr>
        <w:t xml:space="preserve"> 4.4). Slučajevi osteonekroze vilice prijavljeni su tokom postmarketinškog praćenja ibandronske kiseline.</w:t>
      </w:r>
    </w:p>
    <w:p w14:paraId="50CE572B" w14:textId="77777777" w:rsidR="00044909" w:rsidRPr="00346B80" w:rsidRDefault="00044909">
      <w:pPr>
        <w:widowControl w:val="0"/>
        <w:jc w:val="both"/>
        <w:rPr>
          <w:sz w:val="22"/>
          <w:szCs w:val="22"/>
          <w:lang w:val="sr-Latn-ME" w:eastAsia="en-GB"/>
        </w:rPr>
      </w:pPr>
    </w:p>
    <w:p w14:paraId="573D3357" w14:textId="77777777" w:rsidR="00C87AC5" w:rsidRPr="00346B80" w:rsidRDefault="00C87AC5">
      <w:pPr>
        <w:widowControl w:val="0"/>
        <w:jc w:val="both"/>
        <w:rPr>
          <w:i/>
          <w:iCs/>
          <w:sz w:val="22"/>
          <w:szCs w:val="22"/>
          <w:u w:val="single"/>
          <w:lang w:val="sr-Latn-ME" w:eastAsia="en-GB"/>
        </w:rPr>
      </w:pPr>
      <w:r w:rsidRPr="00346B80">
        <w:rPr>
          <w:i/>
          <w:iCs/>
          <w:sz w:val="22"/>
          <w:szCs w:val="22"/>
          <w:u w:val="single"/>
          <w:lang w:val="sr-Latn-ME" w:eastAsia="en-GB"/>
        </w:rPr>
        <w:t xml:space="preserve">Atipični subtrohanterni i dijafizni prelomi butne kosti </w:t>
      </w:r>
    </w:p>
    <w:p w14:paraId="3EF7EA80" w14:textId="77777777" w:rsidR="00C87AC5" w:rsidRPr="00346B80" w:rsidRDefault="00C87AC5">
      <w:pPr>
        <w:widowControl w:val="0"/>
        <w:jc w:val="both"/>
        <w:rPr>
          <w:i/>
          <w:iCs/>
          <w:sz w:val="22"/>
          <w:szCs w:val="22"/>
          <w:u w:val="single"/>
          <w:lang w:val="sr-Latn-ME" w:eastAsia="en-GB"/>
        </w:rPr>
      </w:pPr>
    </w:p>
    <w:p w14:paraId="055DB840" w14:textId="3D8A8477" w:rsidR="00C87AC5" w:rsidRPr="00346B80" w:rsidRDefault="00C87AC5">
      <w:pPr>
        <w:widowControl w:val="0"/>
        <w:jc w:val="both"/>
        <w:rPr>
          <w:i/>
          <w:iCs/>
          <w:sz w:val="22"/>
          <w:szCs w:val="22"/>
          <w:lang w:val="sr-Latn-ME" w:eastAsia="en-GB"/>
        </w:rPr>
      </w:pPr>
      <w:r w:rsidRPr="00346B80">
        <w:rPr>
          <w:sz w:val="22"/>
          <w:szCs w:val="22"/>
          <w:lang w:val="sr-Latn-ME" w:eastAsia="en-GB"/>
        </w:rPr>
        <w:t>Iako patofiziologija nije sigurna, dokazi epidemioloških studija upućuju na povećani rizik od atipičniih subtrohanternih i dijafiznih preloma butne kosti kod dugotrajne terapije osteoporoze u postmenopauzi bisfosfonatima, posebno posle tri do pet godina upotrebe. Apsolutni rizik od atipičnih subtrohanternih i dijafiznih preloma dugih kostiju (nuspojava klase bisfosfonata) i dalje je vrlo nizak.</w:t>
      </w:r>
    </w:p>
    <w:p w14:paraId="49515B0E" w14:textId="77777777" w:rsidR="00C87AC5" w:rsidRPr="00346B80" w:rsidRDefault="00C87AC5">
      <w:pPr>
        <w:widowControl w:val="0"/>
        <w:jc w:val="both"/>
        <w:rPr>
          <w:i/>
          <w:iCs/>
          <w:sz w:val="22"/>
          <w:szCs w:val="22"/>
          <w:lang w:val="sr-Latn-ME" w:eastAsia="en-GB"/>
        </w:rPr>
      </w:pPr>
    </w:p>
    <w:p w14:paraId="16F2FCB7" w14:textId="77777777" w:rsidR="00044909" w:rsidRPr="00346B80" w:rsidRDefault="00044909">
      <w:pPr>
        <w:widowControl w:val="0"/>
        <w:jc w:val="both"/>
        <w:rPr>
          <w:i/>
          <w:sz w:val="22"/>
          <w:szCs w:val="22"/>
          <w:u w:val="single"/>
          <w:lang w:val="sr-Latn-ME"/>
        </w:rPr>
      </w:pPr>
      <w:r w:rsidRPr="00346B80">
        <w:rPr>
          <w:i/>
          <w:sz w:val="22"/>
          <w:szCs w:val="22"/>
          <w:u w:val="single"/>
          <w:lang w:val="sr-Latn-ME"/>
        </w:rPr>
        <w:t>Inflamacija oka</w:t>
      </w:r>
    </w:p>
    <w:p w14:paraId="02D5C822" w14:textId="77777777" w:rsidR="00044909" w:rsidRPr="00346B80" w:rsidRDefault="00044909">
      <w:pPr>
        <w:widowControl w:val="0"/>
        <w:jc w:val="both"/>
        <w:rPr>
          <w:i/>
          <w:sz w:val="22"/>
          <w:szCs w:val="22"/>
          <w:u w:val="single"/>
          <w:lang w:val="sr-Latn-ME"/>
        </w:rPr>
      </w:pPr>
    </w:p>
    <w:p w14:paraId="5E6B770C" w14:textId="77777777" w:rsidR="00044909" w:rsidRPr="00346B80" w:rsidRDefault="00044909">
      <w:pPr>
        <w:widowControl w:val="0"/>
        <w:jc w:val="both"/>
        <w:rPr>
          <w:sz w:val="22"/>
          <w:szCs w:val="22"/>
          <w:lang w:val="sr-Latn-ME"/>
        </w:rPr>
      </w:pPr>
      <w:r w:rsidRPr="00346B80">
        <w:rPr>
          <w:sz w:val="22"/>
          <w:szCs w:val="22"/>
          <w:lang w:val="sr-Latn-ME"/>
        </w:rPr>
        <w:t>Prilikom upotrebe ibandronske kiseline prijavljeni su slučajevi inflamacije oka, kao što su uveitis, episkleritis i skleritis. U nekim slučajevima, ovi događaji se nijesu okončali sve dok terapija ibandronskom kiselinom nije prekinuta.</w:t>
      </w:r>
    </w:p>
    <w:p w14:paraId="5BC2F821" w14:textId="77777777" w:rsidR="00044909" w:rsidRPr="00346B80" w:rsidRDefault="00044909">
      <w:pPr>
        <w:widowControl w:val="0"/>
        <w:jc w:val="both"/>
        <w:rPr>
          <w:sz w:val="22"/>
          <w:szCs w:val="22"/>
          <w:lang w:val="sr-Latn-ME" w:eastAsia="en-GB"/>
        </w:rPr>
      </w:pPr>
    </w:p>
    <w:p w14:paraId="61B5E2A0" w14:textId="77777777" w:rsidR="00044909" w:rsidRPr="00346B80" w:rsidRDefault="00044909">
      <w:pPr>
        <w:widowControl w:val="0"/>
        <w:autoSpaceDE w:val="0"/>
        <w:autoSpaceDN w:val="0"/>
        <w:adjustRightInd w:val="0"/>
        <w:jc w:val="both"/>
        <w:rPr>
          <w:i/>
          <w:iCs/>
          <w:color w:val="000000"/>
          <w:sz w:val="22"/>
          <w:szCs w:val="22"/>
          <w:u w:val="single"/>
          <w:lang w:val="sr-Latn-ME"/>
        </w:rPr>
      </w:pPr>
      <w:r w:rsidRPr="00346B80">
        <w:rPr>
          <w:i/>
          <w:iCs/>
          <w:color w:val="000000"/>
          <w:sz w:val="22"/>
          <w:szCs w:val="22"/>
          <w:u w:val="single"/>
          <w:lang w:val="sr-Latn-ME"/>
        </w:rPr>
        <w:t>Anafilaktička reakcija/šok</w:t>
      </w:r>
    </w:p>
    <w:p w14:paraId="19C40FC2" w14:textId="77777777" w:rsidR="00044909" w:rsidRPr="00346B80" w:rsidRDefault="00044909">
      <w:pPr>
        <w:widowControl w:val="0"/>
        <w:autoSpaceDE w:val="0"/>
        <w:autoSpaceDN w:val="0"/>
        <w:adjustRightInd w:val="0"/>
        <w:jc w:val="both"/>
        <w:rPr>
          <w:color w:val="000000"/>
          <w:sz w:val="22"/>
          <w:szCs w:val="22"/>
          <w:u w:val="single"/>
          <w:lang w:val="sr-Latn-ME"/>
        </w:rPr>
      </w:pPr>
    </w:p>
    <w:p w14:paraId="5BAF4B7F" w14:textId="253E4C4B" w:rsidR="00044909" w:rsidRPr="00346B80" w:rsidRDefault="00044909">
      <w:pPr>
        <w:widowControl w:val="0"/>
        <w:autoSpaceDE w:val="0"/>
        <w:autoSpaceDN w:val="0"/>
        <w:adjustRightInd w:val="0"/>
        <w:jc w:val="both"/>
        <w:rPr>
          <w:color w:val="000000"/>
          <w:sz w:val="22"/>
          <w:szCs w:val="22"/>
          <w:lang w:val="sr-Latn-ME"/>
        </w:rPr>
      </w:pPr>
      <w:r w:rsidRPr="00346B80">
        <w:rPr>
          <w:color w:val="000000"/>
          <w:sz w:val="22"/>
          <w:szCs w:val="22"/>
          <w:lang w:val="sr-Latn-ME"/>
        </w:rPr>
        <w:t>Slučajevi anafilaktičke reakcije/šoka, uključujući smrtni događaj, prijavljeni su kod bolesnika</w:t>
      </w:r>
      <w:r w:rsidR="00C87AC5" w:rsidRPr="00346B80">
        <w:rPr>
          <w:color w:val="000000"/>
          <w:sz w:val="22"/>
          <w:szCs w:val="22"/>
          <w:lang w:val="sr-Latn-ME"/>
        </w:rPr>
        <w:t xml:space="preserve"> </w:t>
      </w:r>
      <w:r w:rsidRPr="00346B80">
        <w:rPr>
          <w:color w:val="000000"/>
          <w:sz w:val="22"/>
          <w:szCs w:val="22"/>
          <w:lang w:val="sr-Latn-ME"/>
        </w:rPr>
        <w:t>liječenih ibandronskom kiselinom intravenski.</w:t>
      </w:r>
    </w:p>
    <w:p w14:paraId="2F8EDD9E" w14:textId="77777777" w:rsidR="00044909" w:rsidRPr="00346B80" w:rsidRDefault="00044909" w:rsidP="00814AE3">
      <w:pPr>
        <w:widowControl w:val="0"/>
        <w:tabs>
          <w:tab w:val="left" w:pos="540"/>
          <w:tab w:val="left" w:pos="569"/>
        </w:tabs>
        <w:jc w:val="both"/>
        <w:rPr>
          <w:sz w:val="22"/>
          <w:szCs w:val="22"/>
          <w:lang w:val="sr-Latn-ME"/>
        </w:rPr>
      </w:pPr>
    </w:p>
    <w:p w14:paraId="1F855777" w14:textId="77777777" w:rsidR="005A23D2" w:rsidRPr="00346B80" w:rsidRDefault="005A23D2" w:rsidP="00814AE3">
      <w:pPr>
        <w:widowControl w:val="0"/>
        <w:spacing w:line="276" w:lineRule="auto"/>
        <w:jc w:val="both"/>
        <w:rPr>
          <w:rFonts w:eastAsia="Calibri"/>
          <w:sz w:val="22"/>
          <w:szCs w:val="22"/>
          <w:u w:val="single"/>
          <w:lang w:val="sr-Latn-ME"/>
        </w:rPr>
      </w:pPr>
      <w:r w:rsidRPr="00346B80">
        <w:rPr>
          <w:rFonts w:eastAsia="Calibri"/>
          <w:sz w:val="22"/>
          <w:szCs w:val="22"/>
          <w:u w:val="single"/>
          <w:lang w:val="sr-Latn-ME"/>
        </w:rPr>
        <w:t>Prijavljivanje sumnji na neželjena dejstva</w:t>
      </w:r>
    </w:p>
    <w:p w14:paraId="1F855778" w14:textId="77777777" w:rsidR="005A23D2" w:rsidRPr="00346B80" w:rsidRDefault="005A23D2" w:rsidP="00346B80">
      <w:pPr>
        <w:widowControl w:val="0"/>
        <w:jc w:val="both"/>
        <w:rPr>
          <w:rFonts w:eastAsia="Calibri"/>
          <w:sz w:val="22"/>
          <w:szCs w:val="22"/>
          <w:lang w:val="sr-Latn-ME"/>
        </w:rPr>
      </w:pPr>
      <w:r w:rsidRPr="00346B80">
        <w:rPr>
          <w:rFonts w:eastAsia="Calibri"/>
          <w:sz w:val="22"/>
          <w:szCs w:val="22"/>
          <w:lang w:val="sr-Latn-ME"/>
        </w:rPr>
        <w:t>Prijavljivanje neželjenih dejstava nakon dobijanja dozvole je od velikog značaja jer obezbjeđuje kont</w:t>
      </w:r>
      <w:r w:rsidR="00EA5765" w:rsidRPr="00346B80">
        <w:rPr>
          <w:rFonts w:eastAsia="Calibri"/>
          <w:sz w:val="22"/>
          <w:szCs w:val="22"/>
          <w:lang w:val="sr-Latn-ME"/>
        </w:rPr>
        <w:t>inuirano praćenje odnosa korist</w:t>
      </w:r>
      <w:r w:rsidRPr="00346B80">
        <w:rPr>
          <w:rFonts w:eastAsia="Calibri"/>
          <w:sz w:val="22"/>
          <w:szCs w:val="22"/>
          <w:lang w:val="sr-Latn-ME"/>
        </w:rPr>
        <w:t>/rizik primjene lijeka. Zdravstveni radnici treba da prijave svaku sumnju na neželjeno</w:t>
      </w:r>
      <w:r w:rsidR="009B062A" w:rsidRPr="00346B80">
        <w:rPr>
          <w:rFonts w:eastAsia="Calibri"/>
          <w:sz w:val="22"/>
          <w:szCs w:val="22"/>
          <w:lang w:val="sr-Latn-ME"/>
        </w:rPr>
        <w:t xml:space="preserve"> </w:t>
      </w:r>
      <w:r w:rsidRPr="00346B80">
        <w:rPr>
          <w:rFonts w:eastAsia="Calibri"/>
          <w:sz w:val="22"/>
          <w:szCs w:val="22"/>
          <w:lang w:val="sr-Latn-ME"/>
        </w:rPr>
        <w:t xml:space="preserve">dejstvo ovog lijeka </w:t>
      </w:r>
      <w:r w:rsidR="004E70AD" w:rsidRPr="00346B80">
        <w:rPr>
          <w:rFonts w:eastAsia="Calibri"/>
          <w:sz w:val="22"/>
          <w:szCs w:val="22"/>
          <w:lang w:val="sr-Latn-ME"/>
        </w:rPr>
        <w:t>Institutu</w:t>
      </w:r>
      <w:r w:rsidRPr="00346B80">
        <w:rPr>
          <w:rFonts w:eastAsia="Calibri"/>
          <w:sz w:val="22"/>
          <w:szCs w:val="22"/>
          <w:lang w:val="sr-Latn-ME"/>
        </w:rPr>
        <w:t xml:space="preserve"> za ljekove i medicinska sredstva</w:t>
      </w:r>
      <w:r w:rsidR="004E70AD" w:rsidRPr="00346B80">
        <w:rPr>
          <w:rFonts w:eastAsia="Calibri"/>
          <w:sz w:val="22"/>
          <w:szCs w:val="22"/>
          <w:lang w:val="sr-Latn-ME"/>
        </w:rPr>
        <w:t xml:space="preserve"> </w:t>
      </w:r>
      <w:r w:rsidRPr="00346B80">
        <w:rPr>
          <w:rFonts w:eastAsia="Calibri"/>
          <w:sz w:val="22"/>
          <w:szCs w:val="22"/>
          <w:lang w:val="sr-Latn-ME"/>
        </w:rPr>
        <w:t>(</w:t>
      </w:r>
      <w:r w:rsidR="004E70AD" w:rsidRPr="00346B80">
        <w:rPr>
          <w:rFonts w:eastAsia="Calibri"/>
          <w:sz w:val="22"/>
          <w:szCs w:val="22"/>
          <w:lang w:val="sr-Latn-ME"/>
        </w:rPr>
        <w:t>CInMED</w:t>
      </w:r>
      <w:r w:rsidRPr="00346B80">
        <w:rPr>
          <w:rFonts w:eastAsia="Calibri"/>
          <w:sz w:val="22"/>
          <w:szCs w:val="22"/>
          <w:lang w:val="sr-Latn-ME"/>
        </w:rPr>
        <w:t>):</w:t>
      </w:r>
    </w:p>
    <w:p w14:paraId="1F855779" w14:textId="77777777" w:rsidR="005A23D2" w:rsidRPr="00346B80" w:rsidRDefault="004E70AD" w:rsidP="00FC2EEC">
      <w:pPr>
        <w:pStyle w:val="NoSpacing"/>
        <w:widowControl w:val="0"/>
        <w:jc w:val="both"/>
        <w:rPr>
          <w:rFonts w:eastAsia="Calibri"/>
          <w:sz w:val="22"/>
          <w:szCs w:val="22"/>
          <w:lang w:val="sr-Latn-ME"/>
        </w:rPr>
      </w:pPr>
      <w:r w:rsidRPr="00346B80">
        <w:rPr>
          <w:rFonts w:eastAsia="Calibri"/>
          <w:sz w:val="22"/>
          <w:szCs w:val="22"/>
          <w:lang w:val="sr-Latn-ME"/>
        </w:rPr>
        <w:t xml:space="preserve">Institut </w:t>
      </w:r>
      <w:r w:rsidR="005A23D2" w:rsidRPr="00346B80">
        <w:rPr>
          <w:rFonts w:eastAsia="Calibri"/>
          <w:sz w:val="22"/>
          <w:szCs w:val="22"/>
          <w:lang w:val="sr-Latn-ME"/>
        </w:rPr>
        <w:t xml:space="preserve">za ljekove i medicinska sredstva </w:t>
      </w:r>
    </w:p>
    <w:p w14:paraId="1F85577A" w14:textId="77777777" w:rsidR="005A23D2" w:rsidRPr="00346B80" w:rsidRDefault="005A23D2">
      <w:pPr>
        <w:pStyle w:val="NoSpacing"/>
        <w:widowControl w:val="0"/>
        <w:jc w:val="both"/>
        <w:rPr>
          <w:rFonts w:eastAsia="Calibri"/>
          <w:sz w:val="22"/>
          <w:szCs w:val="22"/>
          <w:lang w:val="sr-Latn-ME"/>
        </w:rPr>
      </w:pPr>
      <w:r w:rsidRPr="00346B80">
        <w:rPr>
          <w:rFonts w:eastAsia="Calibri"/>
          <w:sz w:val="22"/>
          <w:szCs w:val="22"/>
          <w:lang w:val="sr-Latn-ME"/>
        </w:rPr>
        <w:t>Odjeljenje za farmakovigilancu</w:t>
      </w:r>
    </w:p>
    <w:p w14:paraId="1F85577B" w14:textId="77777777" w:rsidR="00EA5765" w:rsidRPr="00346B80" w:rsidRDefault="005A23D2">
      <w:pPr>
        <w:pStyle w:val="NoSpacing"/>
        <w:widowControl w:val="0"/>
        <w:jc w:val="both"/>
        <w:rPr>
          <w:rFonts w:eastAsia="Calibri"/>
          <w:sz w:val="22"/>
          <w:szCs w:val="22"/>
          <w:lang w:val="sr-Latn-ME"/>
        </w:rPr>
      </w:pPr>
      <w:r w:rsidRPr="00346B80">
        <w:rPr>
          <w:rFonts w:eastAsia="Calibri"/>
          <w:sz w:val="22"/>
          <w:szCs w:val="22"/>
          <w:lang w:val="sr-Latn-ME"/>
        </w:rPr>
        <w:t>Bulevar Ivana Crnojevića 64a, 81000 Podgorica</w:t>
      </w:r>
    </w:p>
    <w:p w14:paraId="1F85577C" w14:textId="77777777" w:rsidR="00EA5765" w:rsidRPr="00346B80" w:rsidRDefault="00EA5765" w:rsidP="00814AE3">
      <w:pPr>
        <w:pStyle w:val="NoSpacing"/>
        <w:widowControl w:val="0"/>
        <w:jc w:val="both"/>
        <w:rPr>
          <w:rFonts w:eastAsia="Calibri"/>
          <w:sz w:val="22"/>
          <w:szCs w:val="22"/>
          <w:lang w:val="sr-Latn-ME"/>
        </w:rPr>
      </w:pPr>
    </w:p>
    <w:p w14:paraId="1F85577D" w14:textId="77777777" w:rsidR="005A23D2" w:rsidRPr="00346B80" w:rsidRDefault="005A23D2" w:rsidP="00346B80">
      <w:pPr>
        <w:pStyle w:val="NoSpacing"/>
        <w:widowControl w:val="0"/>
        <w:jc w:val="both"/>
        <w:rPr>
          <w:rFonts w:eastAsia="Calibri"/>
          <w:sz w:val="22"/>
          <w:szCs w:val="22"/>
          <w:lang w:val="sr-Latn-ME"/>
        </w:rPr>
      </w:pPr>
      <w:r w:rsidRPr="00346B80">
        <w:rPr>
          <w:rFonts w:eastAsia="Calibri"/>
          <w:sz w:val="22"/>
          <w:szCs w:val="22"/>
          <w:lang w:val="sr-Latn-ME"/>
        </w:rPr>
        <w:t>tel: +382 (0) 20 310 280</w:t>
      </w:r>
    </w:p>
    <w:p w14:paraId="1F85577E" w14:textId="77777777" w:rsidR="00EA5765" w:rsidRPr="00346B80" w:rsidRDefault="005A23D2" w:rsidP="00FC2EEC">
      <w:pPr>
        <w:pStyle w:val="NoSpacing"/>
        <w:widowControl w:val="0"/>
        <w:tabs>
          <w:tab w:val="left" w:pos="6720"/>
        </w:tabs>
        <w:jc w:val="both"/>
        <w:rPr>
          <w:rFonts w:eastAsia="Calibri"/>
          <w:sz w:val="22"/>
          <w:szCs w:val="22"/>
          <w:lang w:val="sr-Latn-ME"/>
        </w:rPr>
      </w:pPr>
      <w:r w:rsidRPr="00346B80">
        <w:rPr>
          <w:rFonts w:eastAsia="Calibri"/>
          <w:sz w:val="22"/>
          <w:szCs w:val="22"/>
          <w:lang w:val="sr-Latn-ME"/>
        </w:rPr>
        <w:t>fax:</w:t>
      </w:r>
      <w:r w:rsidR="00EA5765" w:rsidRPr="00346B80">
        <w:rPr>
          <w:rFonts w:eastAsia="Calibri"/>
          <w:sz w:val="22"/>
          <w:szCs w:val="22"/>
          <w:lang w:val="sr-Latn-ME"/>
        </w:rPr>
        <w:t xml:space="preserve"> </w:t>
      </w:r>
      <w:r w:rsidRPr="00346B80">
        <w:rPr>
          <w:rFonts w:eastAsia="Calibri"/>
          <w:sz w:val="22"/>
          <w:szCs w:val="22"/>
          <w:lang w:val="sr-Latn-ME"/>
        </w:rPr>
        <w:t>+382 (0) 20 310 581</w:t>
      </w:r>
      <w:r w:rsidR="00FF3EDF" w:rsidRPr="00346B80">
        <w:rPr>
          <w:rFonts w:eastAsia="Calibri"/>
          <w:sz w:val="22"/>
          <w:szCs w:val="22"/>
          <w:lang w:val="sr-Latn-ME"/>
        </w:rPr>
        <w:tab/>
      </w:r>
    </w:p>
    <w:p w14:paraId="1F85577F" w14:textId="77777777" w:rsidR="005A23D2" w:rsidRPr="00346B80" w:rsidRDefault="00C53453" w:rsidP="00FC2EEC">
      <w:pPr>
        <w:pStyle w:val="NoSpacing"/>
        <w:widowControl w:val="0"/>
        <w:jc w:val="both"/>
        <w:rPr>
          <w:rFonts w:eastAsia="Calibri"/>
          <w:sz w:val="22"/>
          <w:szCs w:val="22"/>
          <w:lang w:val="sr-Latn-ME"/>
        </w:rPr>
      </w:pPr>
      <w:hyperlink r:id="rId8" w:history="1">
        <w:r w:rsidR="004E70AD" w:rsidRPr="00346B80">
          <w:rPr>
            <w:rStyle w:val="Hyperlink"/>
            <w:rFonts w:eastAsia="Calibri"/>
            <w:sz w:val="22"/>
            <w:szCs w:val="22"/>
            <w:lang w:val="sr-Latn-ME"/>
          </w:rPr>
          <w:t>www.cinmed.me</w:t>
        </w:r>
      </w:hyperlink>
    </w:p>
    <w:p w14:paraId="1F855780" w14:textId="77777777" w:rsidR="00EA5765" w:rsidRPr="00346B80" w:rsidRDefault="00C53453" w:rsidP="00ED752B">
      <w:pPr>
        <w:pStyle w:val="NoSpacing"/>
        <w:widowControl w:val="0"/>
        <w:jc w:val="both"/>
        <w:rPr>
          <w:rFonts w:eastAsia="Calibri"/>
          <w:color w:val="0000FF"/>
          <w:sz w:val="22"/>
          <w:szCs w:val="22"/>
          <w:u w:val="single"/>
          <w:lang w:val="sr-Latn-ME"/>
        </w:rPr>
      </w:pPr>
      <w:hyperlink r:id="rId9" w:history="1">
        <w:r w:rsidR="004E70AD" w:rsidRPr="00346B80">
          <w:rPr>
            <w:rStyle w:val="Hyperlink"/>
            <w:rFonts w:eastAsia="Calibri"/>
            <w:sz w:val="22"/>
            <w:szCs w:val="22"/>
            <w:lang w:val="sr-Latn-ME"/>
          </w:rPr>
          <w:t>nezeljenadejstva@cinmed.me</w:t>
        </w:r>
      </w:hyperlink>
    </w:p>
    <w:p w14:paraId="1F855781" w14:textId="77777777" w:rsidR="005A23D2" w:rsidRPr="00346B80" w:rsidRDefault="005A23D2">
      <w:pPr>
        <w:pStyle w:val="NoSpacing"/>
        <w:widowControl w:val="0"/>
        <w:jc w:val="both"/>
        <w:rPr>
          <w:rFonts w:eastAsia="Calibri"/>
          <w:sz w:val="22"/>
          <w:szCs w:val="22"/>
          <w:lang w:val="sr-Latn-ME"/>
        </w:rPr>
      </w:pPr>
      <w:r w:rsidRPr="00346B80">
        <w:rPr>
          <w:rFonts w:eastAsia="Calibri"/>
          <w:sz w:val="22"/>
          <w:szCs w:val="22"/>
          <w:lang w:val="sr-Latn-ME"/>
        </w:rPr>
        <w:t>putem IS zdravstvene zaštite</w:t>
      </w:r>
    </w:p>
    <w:p w14:paraId="1F855782" w14:textId="77777777" w:rsidR="007E31E9" w:rsidRPr="00ED752B" w:rsidRDefault="007E31E9">
      <w:pPr>
        <w:pStyle w:val="NoSpacing"/>
        <w:widowControl w:val="0"/>
        <w:jc w:val="both"/>
        <w:rPr>
          <w:rFonts w:eastAsia="Calibri"/>
          <w:sz w:val="22"/>
          <w:szCs w:val="22"/>
          <w:lang w:val="sr-Latn-ME"/>
        </w:rPr>
      </w:pPr>
      <w:r w:rsidRPr="00FC2EEC">
        <w:rPr>
          <w:rFonts w:eastAsia="Calibri"/>
          <w:sz w:val="22"/>
          <w:szCs w:val="22"/>
          <w:lang w:val="sr-Latn-ME"/>
        </w:rPr>
        <w:t>QR kod za online prijavu</w:t>
      </w:r>
      <w:r w:rsidR="00D74CD2" w:rsidRPr="00FC2EEC">
        <w:rPr>
          <w:rFonts w:eastAsia="Calibri"/>
          <w:sz w:val="22"/>
          <w:szCs w:val="22"/>
          <w:lang w:val="sr-Latn-ME"/>
        </w:rPr>
        <w:t xml:space="preserve"> sumnje na neželjeno dejstvo lijeka</w:t>
      </w:r>
      <w:r w:rsidRPr="00ED752B">
        <w:rPr>
          <w:rFonts w:eastAsia="Calibri"/>
          <w:sz w:val="22"/>
          <w:szCs w:val="22"/>
          <w:lang w:val="sr-Latn-ME"/>
        </w:rPr>
        <w:t>:</w:t>
      </w:r>
    </w:p>
    <w:p w14:paraId="1F855783" w14:textId="77777777" w:rsidR="004F17E2" w:rsidRPr="00ED752B" w:rsidRDefault="004F17E2" w:rsidP="00814AE3">
      <w:pPr>
        <w:pStyle w:val="NoSpacing"/>
        <w:widowControl w:val="0"/>
        <w:jc w:val="both"/>
        <w:rPr>
          <w:rFonts w:eastAsia="Calibri"/>
          <w:sz w:val="22"/>
          <w:szCs w:val="22"/>
          <w:lang w:val="sr-Latn-ME"/>
        </w:rPr>
      </w:pPr>
    </w:p>
    <w:p w14:paraId="1F855784" w14:textId="77777777" w:rsidR="00836B35" w:rsidRPr="00346B80" w:rsidRDefault="007F661E" w:rsidP="00814AE3">
      <w:pPr>
        <w:widowControl w:val="0"/>
        <w:tabs>
          <w:tab w:val="left" w:pos="540"/>
          <w:tab w:val="left" w:pos="569"/>
        </w:tabs>
        <w:jc w:val="both"/>
        <w:rPr>
          <w:b/>
          <w:bCs/>
          <w:sz w:val="22"/>
          <w:szCs w:val="22"/>
          <w:lang w:val="sr-Latn-ME"/>
        </w:rPr>
      </w:pPr>
      <w:r w:rsidRPr="00346B80">
        <w:rPr>
          <w:b/>
          <w:bCs/>
          <w:noProof/>
          <w:sz w:val="22"/>
          <w:szCs w:val="22"/>
          <w:lang w:val="sr-Latn-ME" w:eastAsia="sr-Latn-ME"/>
        </w:rPr>
        <w:lastRenderedPageBreak/>
        <w:drawing>
          <wp:inline distT="0" distB="0" distL="0" distR="0" wp14:anchorId="1F8557BA" wp14:editId="2D7A389C">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F855785" w14:textId="77777777" w:rsidR="007F661E" w:rsidRPr="00346B80" w:rsidRDefault="007F661E" w:rsidP="00814AE3">
      <w:pPr>
        <w:widowControl w:val="0"/>
        <w:tabs>
          <w:tab w:val="left" w:pos="540"/>
          <w:tab w:val="left" w:pos="569"/>
        </w:tabs>
        <w:jc w:val="both"/>
        <w:rPr>
          <w:b/>
          <w:bCs/>
          <w:sz w:val="22"/>
          <w:szCs w:val="22"/>
          <w:lang w:val="sr-Latn-ME"/>
        </w:rPr>
      </w:pPr>
    </w:p>
    <w:p w14:paraId="1F855786" w14:textId="77777777" w:rsidR="00CD6F02" w:rsidRPr="00346B80" w:rsidRDefault="0072020E" w:rsidP="00814AE3">
      <w:pPr>
        <w:widowControl w:val="0"/>
        <w:tabs>
          <w:tab w:val="left" w:pos="540"/>
          <w:tab w:val="left" w:pos="569"/>
        </w:tabs>
        <w:jc w:val="both"/>
        <w:rPr>
          <w:b/>
          <w:bCs/>
          <w:sz w:val="22"/>
          <w:szCs w:val="22"/>
          <w:lang w:val="sr-Latn-ME"/>
        </w:rPr>
      </w:pPr>
      <w:r w:rsidRPr="00FC2EEC">
        <w:rPr>
          <w:b/>
          <w:bCs/>
          <w:sz w:val="22"/>
          <w:szCs w:val="22"/>
          <w:lang w:val="sr-Latn-ME"/>
        </w:rPr>
        <w:t xml:space="preserve">4.9. </w:t>
      </w:r>
      <w:r w:rsidR="00480FB1" w:rsidRPr="00346B80">
        <w:rPr>
          <w:b/>
          <w:bCs/>
          <w:sz w:val="22"/>
          <w:szCs w:val="22"/>
          <w:lang w:val="sr-Latn-ME"/>
        </w:rPr>
        <w:tab/>
      </w:r>
      <w:r w:rsidRPr="00346B80">
        <w:rPr>
          <w:b/>
          <w:bCs/>
          <w:sz w:val="22"/>
          <w:szCs w:val="22"/>
          <w:lang w:val="sr-Latn-ME"/>
        </w:rPr>
        <w:t>Predoziranje</w:t>
      </w:r>
      <w:r w:rsidR="002846DB" w:rsidRPr="00346B80">
        <w:rPr>
          <w:b/>
          <w:bCs/>
          <w:sz w:val="22"/>
          <w:szCs w:val="22"/>
          <w:lang w:val="sr-Latn-ME"/>
        </w:rPr>
        <w:t xml:space="preserve"> </w:t>
      </w:r>
    </w:p>
    <w:p w14:paraId="1F855787" w14:textId="77777777" w:rsidR="00CD6F02" w:rsidRPr="00346B80" w:rsidRDefault="00CD6F02" w:rsidP="00814AE3">
      <w:pPr>
        <w:widowControl w:val="0"/>
        <w:tabs>
          <w:tab w:val="left" w:pos="540"/>
          <w:tab w:val="left" w:pos="569"/>
        </w:tabs>
        <w:jc w:val="both"/>
        <w:rPr>
          <w:b/>
          <w:bCs/>
          <w:sz w:val="22"/>
          <w:szCs w:val="22"/>
          <w:lang w:val="sr-Latn-ME"/>
        </w:rPr>
      </w:pPr>
    </w:p>
    <w:p w14:paraId="5407D2D5" w14:textId="77777777" w:rsidR="00947273" w:rsidRPr="00346B80" w:rsidRDefault="00947273" w:rsidP="00346B80">
      <w:pPr>
        <w:widowControl w:val="0"/>
        <w:jc w:val="both"/>
        <w:rPr>
          <w:sz w:val="22"/>
          <w:szCs w:val="22"/>
          <w:lang w:val="sr-Latn-ME" w:eastAsia="en-GB"/>
        </w:rPr>
      </w:pPr>
      <w:r w:rsidRPr="00346B80">
        <w:rPr>
          <w:sz w:val="22"/>
          <w:szCs w:val="22"/>
          <w:lang w:val="sr-Latn-ME" w:eastAsia="en-GB"/>
        </w:rPr>
        <w:t>Nema posebnih informacija o tretmanu predoziranja ovim lijekom.</w:t>
      </w:r>
    </w:p>
    <w:p w14:paraId="4B30143D" w14:textId="1BD02CF4" w:rsidR="00947273" w:rsidRPr="00346B80" w:rsidRDefault="00947273" w:rsidP="00FC2EEC">
      <w:pPr>
        <w:widowControl w:val="0"/>
        <w:jc w:val="both"/>
        <w:rPr>
          <w:b/>
          <w:bCs/>
          <w:sz w:val="22"/>
          <w:szCs w:val="22"/>
          <w:lang w:val="sr-Latn-ME"/>
        </w:rPr>
      </w:pPr>
      <w:r w:rsidRPr="00346B80">
        <w:rPr>
          <w:sz w:val="22"/>
          <w:szCs w:val="22"/>
          <w:lang w:val="sr-Latn-ME" w:eastAsia="en-GB"/>
        </w:rPr>
        <w:t xml:space="preserve">Međutim, na osnovu saznanja o ovoj grupi ljekova, oralno predoziranje može rezultovati pojavom neželjenih reakcija od strane gornjih djelova gastrointestinalnog sistema (kao što su stomačne tegobe, dispepsija, ezofagitis, gastritis ili ulkus) ili hipokalcijemijom. Treba dati mlijeko ili antacide da vežu za sebe </w:t>
      </w:r>
      <w:r w:rsidRPr="00346B80">
        <w:rPr>
          <w:sz w:val="22"/>
          <w:szCs w:val="22"/>
          <w:lang w:val="sr-Latn-ME"/>
        </w:rPr>
        <w:t>Alvodronic 150 mg film tablete</w:t>
      </w:r>
      <w:r w:rsidRPr="00346B80">
        <w:rPr>
          <w:b/>
          <w:sz w:val="22"/>
          <w:szCs w:val="22"/>
          <w:lang w:val="sr-Latn-ME"/>
        </w:rPr>
        <w:t xml:space="preserve"> </w:t>
      </w:r>
      <w:r w:rsidRPr="00346B80">
        <w:rPr>
          <w:sz w:val="22"/>
          <w:szCs w:val="22"/>
          <w:lang w:val="sr-Latn-ME"/>
        </w:rPr>
        <w:t>i bilo koja od neželjenih reakcija liječi se simptomatski. Zbog rizika od ezofagealne iritacije, povraćanje se ne smije provocirati i pacijent treba da ostane u potpuno uspravnom položaju.</w:t>
      </w:r>
    </w:p>
    <w:p w14:paraId="1F855788" w14:textId="2166AAE7" w:rsidR="00227BDB" w:rsidRPr="00346B80" w:rsidRDefault="00227BDB" w:rsidP="00814AE3">
      <w:pPr>
        <w:widowControl w:val="0"/>
        <w:tabs>
          <w:tab w:val="left" w:pos="540"/>
          <w:tab w:val="left" w:pos="569"/>
        </w:tabs>
        <w:jc w:val="both"/>
        <w:rPr>
          <w:sz w:val="22"/>
          <w:szCs w:val="22"/>
          <w:lang w:val="sr-Latn-ME"/>
        </w:rPr>
      </w:pPr>
    </w:p>
    <w:p w14:paraId="7AB72932" w14:textId="77777777" w:rsidR="00C53453" w:rsidRPr="00346B80" w:rsidRDefault="00C53453" w:rsidP="00814AE3">
      <w:pPr>
        <w:widowControl w:val="0"/>
        <w:tabs>
          <w:tab w:val="left" w:pos="540"/>
          <w:tab w:val="left" w:pos="569"/>
        </w:tabs>
        <w:jc w:val="both"/>
        <w:rPr>
          <w:sz w:val="22"/>
          <w:szCs w:val="22"/>
          <w:lang w:val="sr-Latn-ME"/>
        </w:rPr>
      </w:pPr>
    </w:p>
    <w:p w14:paraId="1F855789" w14:textId="77777777" w:rsidR="0072020E" w:rsidRPr="00346B80" w:rsidRDefault="0072020E" w:rsidP="00814AE3">
      <w:pPr>
        <w:widowControl w:val="0"/>
        <w:tabs>
          <w:tab w:val="left" w:pos="540"/>
          <w:tab w:val="left" w:pos="569"/>
        </w:tabs>
        <w:jc w:val="both"/>
        <w:rPr>
          <w:b/>
          <w:bCs/>
          <w:sz w:val="22"/>
          <w:szCs w:val="22"/>
          <w:lang w:val="sr-Latn-ME"/>
        </w:rPr>
      </w:pPr>
      <w:r w:rsidRPr="00346B80">
        <w:rPr>
          <w:b/>
          <w:bCs/>
          <w:sz w:val="22"/>
          <w:szCs w:val="22"/>
          <w:lang w:val="sr-Latn-ME"/>
        </w:rPr>
        <w:t xml:space="preserve">5. </w:t>
      </w:r>
      <w:r w:rsidR="00480FB1" w:rsidRPr="00346B80">
        <w:rPr>
          <w:b/>
          <w:bCs/>
          <w:sz w:val="22"/>
          <w:szCs w:val="22"/>
          <w:lang w:val="sr-Latn-ME"/>
        </w:rPr>
        <w:tab/>
      </w:r>
      <w:r w:rsidRPr="00346B80">
        <w:rPr>
          <w:b/>
          <w:bCs/>
          <w:sz w:val="22"/>
          <w:szCs w:val="22"/>
          <w:lang w:val="sr-Latn-ME"/>
        </w:rPr>
        <w:t>FARMAKOLOŠK</w:t>
      </w:r>
      <w:r w:rsidR="000D425A" w:rsidRPr="00346B80">
        <w:rPr>
          <w:b/>
          <w:bCs/>
          <w:sz w:val="22"/>
          <w:szCs w:val="22"/>
          <w:lang w:val="sr-Latn-ME"/>
        </w:rPr>
        <w:t>I</w:t>
      </w:r>
      <w:r w:rsidRPr="00346B80">
        <w:rPr>
          <w:b/>
          <w:bCs/>
          <w:sz w:val="22"/>
          <w:szCs w:val="22"/>
          <w:lang w:val="sr-Latn-ME"/>
        </w:rPr>
        <w:t xml:space="preserve"> PODACI</w:t>
      </w:r>
    </w:p>
    <w:p w14:paraId="1F85578A" w14:textId="77777777" w:rsidR="0072020E" w:rsidRPr="00346B80" w:rsidRDefault="0072020E" w:rsidP="00814AE3">
      <w:pPr>
        <w:widowControl w:val="0"/>
        <w:tabs>
          <w:tab w:val="left" w:pos="540"/>
          <w:tab w:val="left" w:pos="569"/>
        </w:tabs>
        <w:jc w:val="both"/>
        <w:rPr>
          <w:b/>
          <w:bCs/>
          <w:sz w:val="22"/>
          <w:szCs w:val="22"/>
          <w:lang w:val="sr-Latn-ME"/>
        </w:rPr>
      </w:pPr>
    </w:p>
    <w:p w14:paraId="1F85578B" w14:textId="77777777" w:rsidR="0072020E" w:rsidRPr="00346B80" w:rsidRDefault="0072020E" w:rsidP="00814AE3">
      <w:pPr>
        <w:widowControl w:val="0"/>
        <w:tabs>
          <w:tab w:val="left" w:pos="540"/>
          <w:tab w:val="left" w:pos="569"/>
        </w:tabs>
        <w:jc w:val="both"/>
        <w:rPr>
          <w:b/>
          <w:bCs/>
          <w:sz w:val="22"/>
          <w:szCs w:val="22"/>
          <w:lang w:val="sr-Latn-ME"/>
        </w:rPr>
      </w:pPr>
      <w:r w:rsidRPr="00346B80">
        <w:rPr>
          <w:b/>
          <w:bCs/>
          <w:sz w:val="22"/>
          <w:szCs w:val="22"/>
          <w:lang w:val="sr-Latn-ME"/>
        </w:rPr>
        <w:t xml:space="preserve">5.1. </w:t>
      </w:r>
      <w:r w:rsidR="00480FB1" w:rsidRPr="00346B80">
        <w:rPr>
          <w:b/>
          <w:bCs/>
          <w:sz w:val="22"/>
          <w:szCs w:val="22"/>
          <w:lang w:val="sr-Latn-ME"/>
        </w:rPr>
        <w:tab/>
      </w:r>
      <w:r w:rsidRPr="00346B80">
        <w:rPr>
          <w:b/>
          <w:bCs/>
          <w:sz w:val="22"/>
          <w:szCs w:val="22"/>
          <w:lang w:val="sr-Latn-ME"/>
        </w:rPr>
        <w:t>Farmakodinamski podaci</w:t>
      </w:r>
      <w:r w:rsidR="003A7059" w:rsidRPr="00346B80">
        <w:rPr>
          <w:b/>
          <w:bCs/>
          <w:sz w:val="22"/>
          <w:szCs w:val="22"/>
          <w:lang w:val="sr-Latn-ME"/>
        </w:rPr>
        <w:t xml:space="preserve"> </w:t>
      </w:r>
    </w:p>
    <w:p w14:paraId="1F85578C" w14:textId="77777777" w:rsidR="00F45F77" w:rsidRPr="00346B80" w:rsidRDefault="00F45F77" w:rsidP="00814AE3">
      <w:pPr>
        <w:widowControl w:val="0"/>
        <w:tabs>
          <w:tab w:val="left" w:pos="540"/>
          <w:tab w:val="left" w:pos="569"/>
        </w:tabs>
        <w:jc w:val="both"/>
        <w:rPr>
          <w:b/>
          <w:bCs/>
          <w:sz w:val="22"/>
          <w:szCs w:val="22"/>
          <w:lang w:val="sr-Latn-ME"/>
        </w:rPr>
      </w:pPr>
    </w:p>
    <w:p w14:paraId="1F85578D" w14:textId="22D9C335" w:rsidR="0072020E" w:rsidRPr="00346B80" w:rsidRDefault="0072020E" w:rsidP="00814AE3">
      <w:pPr>
        <w:widowControl w:val="0"/>
        <w:tabs>
          <w:tab w:val="left" w:pos="540"/>
          <w:tab w:val="left" w:pos="569"/>
        </w:tabs>
        <w:jc w:val="both"/>
        <w:rPr>
          <w:bCs/>
          <w:sz w:val="22"/>
          <w:szCs w:val="22"/>
          <w:lang w:val="sr-Latn-ME"/>
        </w:rPr>
      </w:pPr>
      <w:r w:rsidRPr="00346B80">
        <w:rPr>
          <w:bCs/>
          <w:sz w:val="22"/>
          <w:szCs w:val="22"/>
          <w:lang w:val="sr-Latn-ME"/>
        </w:rPr>
        <w:t>Farmakoterapijska grupa:</w:t>
      </w:r>
      <w:r w:rsidR="00C72D0F" w:rsidRPr="00346B80">
        <w:rPr>
          <w:bCs/>
          <w:sz w:val="22"/>
          <w:szCs w:val="22"/>
          <w:lang w:val="sr-Latn-ME"/>
        </w:rPr>
        <w:t xml:space="preserve"> Ljekovi u terapiji oboljenja kostiju, bisfosfonati</w:t>
      </w:r>
    </w:p>
    <w:p w14:paraId="1F85578E" w14:textId="77777777" w:rsidR="0072020E" w:rsidRPr="00346B80" w:rsidRDefault="0072020E" w:rsidP="00814AE3">
      <w:pPr>
        <w:widowControl w:val="0"/>
        <w:tabs>
          <w:tab w:val="left" w:pos="540"/>
          <w:tab w:val="left" w:pos="569"/>
        </w:tabs>
        <w:jc w:val="both"/>
        <w:rPr>
          <w:bCs/>
          <w:sz w:val="22"/>
          <w:szCs w:val="22"/>
          <w:lang w:val="sr-Latn-ME"/>
        </w:rPr>
      </w:pPr>
    </w:p>
    <w:p w14:paraId="1F85578F" w14:textId="19ABC197" w:rsidR="0072020E" w:rsidRPr="00346B80" w:rsidRDefault="0072020E" w:rsidP="00814AE3">
      <w:pPr>
        <w:widowControl w:val="0"/>
        <w:tabs>
          <w:tab w:val="left" w:pos="540"/>
          <w:tab w:val="left" w:pos="569"/>
        </w:tabs>
        <w:jc w:val="both"/>
        <w:rPr>
          <w:bCs/>
          <w:sz w:val="22"/>
          <w:szCs w:val="22"/>
          <w:lang w:val="sr-Latn-ME"/>
        </w:rPr>
      </w:pPr>
      <w:r w:rsidRPr="00346B80">
        <w:rPr>
          <w:bCs/>
          <w:sz w:val="22"/>
          <w:szCs w:val="22"/>
          <w:lang w:val="sr-Latn-ME"/>
        </w:rPr>
        <w:t>ATC kod:</w:t>
      </w:r>
      <w:r w:rsidR="00C72D0F" w:rsidRPr="00346B80">
        <w:rPr>
          <w:bCs/>
          <w:sz w:val="22"/>
          <w:szCs w:val="22"/>
          <w:lang w:val="sr-Latn-ME"/>
        </w:rPr>
        <w:t xml:space="preserve"> M05BA06</w:t>
      </w:r>
    </w:p>
    <w:p w14:paraId="1F855790" w14:textId="77777777" w:rsidR="002E37A5" w:rsidRPr="00346B80" w:rsidRDefault="002E37A5" w:rsidP="00814AE3">
      <w:pPr>
        <w:widowControl w:val="0"/>
        <w:tabs>
          <w:tab w:val="left" w:pos="540"/>
          <w:tab w:val="left" w:pos="569"/>
        </w:tabs>
        <w:jc w:val="both"/>
        <w:rPr>
          <w:b/>
          <w:bCs/>
          <w:sz w:val="22"/>
          <w:szCs w:val="22"/>
          <w:lang w:val="sr-Latn-ME"/>
        </w:rPr>
      </w:pPr>
    </w:p>
    <w:p w14:paraId="6430D201" w14:textId="77777777" w:rsidR="00C72D0F" w:rsidRPr="00346B80" w:rsidRDefault="00C72D0F" w:rsidP="00346B80">
      <w:pPr>
        <w:widowControl w:val="0"/>
        <w:jc w:val="both"/>
        <w:rPr>
          <w:sz w:val="22"/>
          <w:szCs w:val="22"/>
          <w:lang w:val="sr-Latn-ME" w:eastAsia="en-GB"/>
        </w:rPr>
      </w:pPr>
      <w:r w:rsidRPr="00346B80">
        <w:rPr>
          <w:i/>
          <w:sz w:val="22"/>
          <w:szCs w:val="22"/>
          <w:lang w:val="sr-Latn-ME" w:eastAsia="en-GB"/>
        </w:rPr>
        <w:t>Mehanizam djelovanja</w:t>
      </w:r>
    </w:p>
    <w:p w14:paraId="3FF55332" w14:textId="77777777" w:rsidR="00C72D0F" w:rsidRPr="00346B80" w:rsidRDefault="00C72D0F" w:rsidP="00FC2EEC">
      <w:pPr>
        <w:widowControl w:val="0"/>
        <w:jc w:val="both"/>
        <w:rPr>
          <w:sz w:val="22"/>
          <w:szCs w:val="22"/>
          <w:lang w:val="sr-Latn-ME" w:eastAsia="en-GB"/>
        </w:rPr>
      </w:pPr>
      <w:r w:rsidRPr="00346B80">
        <w:rPr>
          <w:sz w:val="22"/>
          <w:szCs w:val="22"/>
          <w:lang w:val="sr-Latn-ME" w:eastAsia="en-GB"/>
        </w:rPr>
        <w:t>Ibandronska kiselina</w:t>
      </w:r>
      <w:r w:rsidRPr="00346B80">
        <w:rPr>
          <w:b/>
          <w:sz w:val="22"/>
          <w:szCs w:val="22"/>
          <w:lang w:val="sr-Latn-ME" w:eastAsia="en-GB"/>
        </w:rPr>
        <w:t xml:space="preserve"> </w:t>
      </w:r>
      <w:r w:rsidRPr="00346B80">
        <w:rPr>
          <w:sz w:val="22"/>
          <w:szCs w:val="22"/>
          <w:lang w:val="sr-Latn-ME" w:eastAsia="en-GB"/>
        </w:rPr>
        <w:t>je veoma snažan</w:t>
      </w:r>
      <w:r w:rsidRPr="00346B80">
        <w:rPr>
          <w:b/>
          <w:sz w:val="22"/>
          <w:szCs w:val="22"/>
          <w:lang w:val="sr-Latn-ME" w:eastAsia="en-GB"/>
        </w:rPr>
        <w:t xml:space="preserve"> </w:t>
      </w:r>
      <w:r w:rsidRPr="00346B80">
        <w:rPr>
          <w:sz w:val="22"/>
          <w:szCs w:val="22"/>
          <w:lang w:val="sr-Latn-ME" w:eastAsia="en-GB"/>
        </w:rPr>
        <w:t>bisfosfonatni lijek koji pripada azotnoj grupi bisfosfonata, koji djeluju selektivno na koštano tkivo i specifično inhibiraju osteoklastnu aktivnost bez direktnog uticaja na formiranje kosti. Ne utiče na jačanje osteoklasta. Ibandronska kiselina</w:t>
      </w:r>
      <w:r w:rsidRPr="00346B80">
        <w:rPr>
          <w:b/>
          <w:sz w:val="22"/>
          <w:szCs w:val="22"/>
          <w:lang w:val="sr-Latn-ME" w:eastAsia="en-GB"/>
        </w:rPr>
        <w:t xml:space="preserve"> </w:t>
      </w:r>
      <w:r w:rsidRPr="00346B80">
        <w:rPr>
          <w:sz w:val="22"/>
          <w:szCs w:val="22"/>
          <w:lang w:val="sr-Latn-ME" w:eastAsia="en-GB"/>
        </w:rPr>
        <w:t>dovodi do postepenog dobijanja koštane mase i smanjene incidence fraktura posredstvom redukcije povećanog remodelovanja kosti prema premenopauzalnim nivoima kod postmenopauzalnih žena.</w:t>
      </w:r>
    </w:p>
    <w:p w14:paraId="41856F0B" w14:textId="77777777" w:rsidR="00C72D0F" w:rsidRPr="00346B80" w:rsidRDefault="00C72D0F">
      <w:pPr>
        <w:widowControl w:val="0"/>
        <w:jc w:val="both"/>
        <w:rPr>
          <w:sz w:val="22"/>
          <w:szCs w:val="22"/>
          <w:lang w:val="sr-Latn-ME" w:eastAsia="en-GB"/>
        </w:rPr>
      </w:pPr>
    </w:p>
    <w:p w14:paraId="3701D695" w14:textId="77777777" w:rsidR="00C72D0F" w:rsidRPr="00346B80" w:rsidRDefault="00C72D0F">
      <w:pPr>
        <w:widowControl w:val="0"/>
        <w:jc w:val="both"/>
        <w:rPr>
          <w:sz w:val="22"/>
          <w:szCs w:val="22"/>
          <w:lang w:val="sr-Latn-ME" w:eastAsia="en-GB"/>
        </w:rPr>
      </w:pPr>
      <w:r w:rsidRPr="00346B80">
        <w:rPr>
          <w:i/>
          <w:sz w:val="22"/>
          <w:szCs w:val="22"/>
          <w:lang w:val="sr-Latn-ME" w:eastAsia="en-GB"/>
        </w:rPr>
        <w:t>Farmakodinamski efekti</w:t>
      </w:r>
    </w:p>
    <w:p w14:paraId="5C91E6F2" w14:textId="4E056AFD" w:rsidR="00C72D0F" w:rsidRPr="00ED752B" w:rsidRDefault="00C72D0F">
      <w:pPr>
        <w:widowControl w:val="0"/>
        <w:jc w:val="both"/>
        <w:rPr>
          <w:sz w:val="22"/>
          <w:szCs w:val="22"/>
          <w:lang w:val="sr-Latn-ME" w:eastAsia="en-GB"/>
        </w:rPr>
      </w:pPr>
      <w:r w:rsidRPr="00346B80">
        <w:rPr>
          <w:sz w:val="22"/>
          <w:szCs w:val="22"/>
          <w:lang w:val="sr-Latn-ME" w:eastAsia="en-GB"/>
        </w:rPr>
        <w:t xml:space="preserve">Farmakodinamsko djelovanje ibandronske kiseline je inhibicija koštane resorpcije. </w:t>
      </w:r>
      <w:r w:rsidRPr="00346B80">
        <w:rPr>
          <w:i/>
          <w:sz w:val="22"/>
          <w:szCs w:val="22"/>
          <w:lang w:val="sr-Latn-ME" w:eastAsia="en-GB"/>
        </w:rPr>
        <w:t>In vivo</w:t>
      </w:r>
      <w:r w:rsidRPr="00346B80">
        <w:rPr>
          <w:sz w:val="22"/>
          <w:szCs w:val="22"/>
          <w:lang w:val="sr-Latn-ME" w:eastAsia="en-GB"/>
        </w:rPr>
        <w:t>, ibandronska kiselina</w:t>
      </w:r>
      <w:r w:rsidRPr="00346B80">
        <w:rPr>
          <w:b/>
          <w:sz w:val="22"/>
          <w:szCs w:val="22"/>
          <w:lang w:val="sr-Latn-ME" w:eastAsia="en-GB"/>
        </w:rPr>
        <w:t xml:space="preserve"> </w:t>
      </w:r>
      <w:r w:rsidRPr="00346B80">
        <w:rPr>
          <w:sz w:val="22"/>
          <w:szCs w:val="22"/>
          <w:lang w:val="sr-Latn-ME" w:eastAsia="en-GB"/>
        </w:rPr>
        <w:t>spr</w:t>
      </w:r>
      <w:r w:rsidR="00ED752B">
        <w:rPr>
          <w:sz w:val="22"/>
          <w:szCs w:val="22"/>
          <w:lang w:val="sr-Latn-ME" w:eastAsia="en-GB"/>
        </w:rPr>
        <w:t>j</w:t>
      </w:r>
      <w:r w:rsidRPr="00ED752B">
        <w:rPr>
          <w:sz w:val="22"/>
          <w:szCs w:val="22"/>
          <w:lang w:val="sr-Latn-ME" w:eastAsia="en-GB"/>
        </w:rPr>
        <w:t xml:space="preserve">ečava eksperimentalno indukovanu destrukciju kosti uzrokovanu prekidom funkcije gonada, retinoidima, tumorima ili tumorskim ekstraktima. Kod mladih pacova, endogena resorpcija kosti je takođe inhibirana, što vodi do povećanja normalne koštane mase u poređenju sa netretiranim životinjama. </w:t>
      </w:r>
    </w:p>
    <w:p w14:paraId="6455C36E" w14:textId="77777777" w:rsidR="00C72D0F" w:rsidRPr="00346B80" w:rsidRDefault="00C72D0F">
      <w:pPr>
        <w:widowControl w:val="0"/>
        <w:jc w:val="both"/>
        <w:rPr>
          <w:sz w:val="22"/>
          <w:szCs w:val="22"/>
          <w:lang w:val="sr-Latn-ME" w:eastAsia="en-GB"/>
        </w:rPr>
      </w:pPr>
    </w:p>
    <w:p w14:paraId="493733EB" w14:textId="77777777" w:rsidR="00C72D0F" w:rsidRPr="00346B80" w:rsidRDefault="00C72D0F">
      <w:pPr>
        <w:widowControl w:val="0"/>
        <w:jc w:val="both"/>
        <w:rPr>
          <w:sz w:val="22"/>
          <w:szCs w:val="22"/>
          <w:lang w:val="sr-Latn-ME" w:eastAsia="en-GB"/>
        </w:rPr>
      </w:pPr>
      <w:r w:rsidRPr="00346B80">
        <w:rPr>
          <w:sz w:val="22"/>
          <w:szCs w:val="22"/>
          <w:lang w:val="sr-Latn-ME" w:eastAsia="en-GB"/>
        </w:rPr>
        <w:t>Životinjski model potvrđuje da je ibandronska kiselina</w:t>
      </w:r>
      <w:r w:rsidRPr="00346B80">
        <w:rPr>
          <w:b/>
          <w:sz w:val="22"/>
          <w:szCs w:val="22"/>
          <w:lang w:val="sr-Latn-ME" w:eastAsia="en-GB"/>
        </w:rPr>
        <w:t xml:space="preserve"> </w:t>
      </w:r>
      <w:r w:rsidRPr="00346B80">
        <w:rPr>
          <w:sz w:val="22"/>
          <w:szCs w:val="22"/>
          <w:lang w:val="sr-Latn-ME" w:eastAsia="en-GB"/>
        </w:rPr>
        <w:t>snažan inhibitor osteoklastne aktivnosti. Kod rastućih pacova nije bilo dokaza o umanjenoj mineralizaciji čak i pri dozama većim od 5000 puta od doze potrebne za liječenje osteoporoze.</w:t>
      </w:r>
    </w:p>
    <w:p w14:paraId="65CF99DB" w14:textId="77777777" w:rsidR="00C72D0F" w:rsidRPr="00346B80" w:rsidRDefault="00C72D0F">
      <w:pPr>
        <w:widowControl w:val="0"/>
        <w:jc w:val="both"/>
        <w:rPr>
          <w:sz w:val="22"/>
          <w:szCs w:val="22"/>
          <w:lang w:val="sr-Latn-ME" w:eastAsia="en-GB"/>
        </w:rPr>
      </w:pPr>
    </w:p>
    <w:p w14:paraId="684E5E71" w14:textId="02327A9B" w:rsidR="00C72D0F" w:rsidRPr="00346B80" w:rsidRDefault="00C72D0F">
      <w:pPr>
        <w:widowControl w:val="0"/>
        <w:jc w:val="both"/>
        <w:rPr>
          <w:sz w:val="22"/>
          <w:szCs w:val="22"/>
          <w:lang w:val="sr-Latn-ME" w:eastAsia="en-GB"/>
        </w:rPr>
      </w:pPr>
      <w:r w:rsidRPr="00346B80">
        <w:rPr>
          <w:sz w:val="22"/>
          <w:szCs w:val="22"/>
          <w:lang w:val="sr-Latn-ME" w:eastAsia="en-GB"/>
        </w:rPr>
        <w:t>Ob</w:t>
      </w:r>
      <w:r w:rsidR="00ED752B">
        <w:rPr>
          <w:sz w:val="22"/>
          <w:szCs w:val="22"/>
          <w:lang w:val="sr-Latn-ME" w:eastAsia="en-GB"/>
        </w:rPr>
        <w:t>i</w:t>
      </w:r>
      <w:r w:rsidRPr="00ED752B">
        <w:rPr>
          <w:sz w:val="22"/>
          <w:szCs w:val="22"/>
          <w:lang w:val="sr-Latn-ME" w:eastAsia="en-GB"/>
        </w:rPr>
        <w:t>je, i svakodnevna i povremena (sa produženim periodima bez doziranja) dugotrajna primjena kod pacova, pasa i majmuna bila je povezana sa stvaranjem nove kosti normalnog kvaliteta i uspostavljene i</w:t>
      </w:r>
      <w:r w:rsidRPr="00346B80">
        <w:rPr>
          <w:sz w:val="22"/>
          <w:szCs w:val="22"/>
          <w:lang w:val="sr-Latn-ME" w:eastAsia="en-GB"/>
        </w:rPr>
        <w:t>li povećane mehaničke čvrstoće čak i pri toksičnim dozama. Kod ljudi, efikasnost i svakodnevne i povremene primjene ibandronske kiseline sa periodima bez doziranja od 9 do 10 nedjelja bila je potvrđena u kliničkom ispitivanju (MF 4411), u kojem je ibandronska kiselina pokazala anti-frakturnu efikasnost.</w:t>
      </w:r>
    </w:p>
    <w:p w14:paraId="218A06DE" w14:textId="77777777" w:rsidR="00C72D0F" w:rsidRPr="00346B80" w:rsidRDefault="00C72D0F">
      <w:pPr>
        <w:widowControl w:val="0"/>
        <w:jc w:val="both"/>
        <w:rPr>
          <w:sz w:val="22"/>
          <w:szCs w:val="22"/>
          <w:lang w:val="sr-Latn-ME" w:eastAsia="en-GB"/>
        </w:rPr>
      </w:pPr>
    </w:p>
    <w:p w14:paraId="4736491E" w14:textId="77777777" w:rsidR="00C72D0F" w:rsidRPr="00346B80" w:rsidRDefault="00C72D0F">
      <w:pPr>
        <w:widowControl w:val="0"/>
        <w:jc w:val="both"/>
        <w:rPr>
          <w:sz w:val="22"/>
          <w:szCs w:val="22"/>
          <w:lang w:val="sr-Latn-ME" w:eastAsia="en-GB"/>
        </w:rPr>
      </w:pPr>
      <w:r w:rsidRPr="00346B80">
        <w:rPr>
          <w:sz w:val="22"/>
          <w:szCs w:val="22"/>
          <w:lang w:val="sr-Latn-ME" w:eastAsia="en-GB"/>
        </w:rPr>
        <w:t>U životinjskom modelu ibandronska kiselina</w:t>
      </w:r>
      <w:r w:rsidRPr="00346B80">
        <w:rPr>
          <w:b/>
          <w:sz w:val="22"/>
          <w:szCs w:val="22"/>
          <w:lang w:val="sr-Latn-ME" w:eastAsia="en-GB"/>
        </w:rPr>
        <w:t xml:space="preserve"> </w:t>
      </w:r>
      <w:r w:rsidRPr="00346B80">
        <w:rPr>
          <w:sz w:val="22"/>
          <w:szCs w:val="22"/>
          <w:lang w:val="sr-Latn-ME" w:eastAsia="en-GB"/>
        </w:rPr>
        <w:t>proizvodi biohemijske promjene</w:t>
      </w:r>
      <w:r w:rsidRPr="00346B80">
        <w:rPr>
          <w:b/>
          <w:sz w:val="22"/>
          <w:szCs w:val="22"/>
          <w:lang w:val="sr-Latn-ME" w:eastAsia="en-GB"/>
        </w:rPr>
        <w:t xml:space="preserve"> </w:t>
      </w:r>
      <w:r w:rsidRPr="00346B80">
        <w:rPr>
          <w:sz w:val="22"/>
          <w:szCs w:val="22"/>
          <w:lang w:val="sr-Latn-ME" w:eastAsia="en-GB"/>
        </w:rPr>
        <w:t>indikativne kod dozno-zavisne inhibicije koštane resorpcije, uključujući supresiju urinarnih biohemijskih markera razgradnje kolagena u kosti (kao što su deoksipiridinolin i unakrsno vezani N telopeptid kolagen tip I (NTX).</w:t>
      </w:r>
    </w:p>
    <w:p w14:paraId="089FCEE8" w14:textId="77777777" w:rsidR="00C72D0F" w:rsidRPr="00346B80" w:rsidRDefault="00C72D0F">
      <w:pPr>
        <w:widowControl w:val="0"/>
        <w:jc w:val="both"/>
        <w:rPr>
          <w:sz w:val="22"/>
          <w:szCs w:val="22"/>
          <w:lang w:val="sr-Latn-ME" w:eastAsia="en-GB"/>
        </w:rPr>
      </w:pPr>
    </w:p>
    <w:p w14:paraId="75D146F0" w14:textId="77777777" w:rsidR="00C72D0F" w:rsidRPr="00346B80" w:rsidRDefault="00C72D0F">
      <w:pPr>
        <w:widowControl w:val="0"/>
        <w:jc w:val="both"/>
        <w:rPr>
          <w:sz w:val="22"/>
          <w:szCs w:val="22"/>
          <w:lang w:val="sr-Latn-ME" w:eastAsia="en-GB"/>
        </w:rPr>
      </w:pPr>
      <w:r w:rsidRPr="00346B80">
        <w:rPr>
          <w:sz w:val="22"/>
          <w:szCs w:val="22"/>
          <w:lang w:val="sr-Latn-ME" w:eastAsia="en-GB"/>
        </w:rPr>
        <w:t>U I fazi studije bioekvivalencije sprovedene kod 72 postmenopauzalne žene koje su primale oralno 150 mg svakih 28 dana od</w:t>
      </w:r>
      <w:r w:rsidRPr="00346B80">
        <w:rPr>
          <w:b/>
          <w:color w:val="FF0000"/>
          <w:sz w:val="22"/>
          <w:szCs w:val="22"/>
          <w:lang w:val="sr-Latn-ME" w:eastAsia="en-GB"/>
        </w:rPr>
        <w:t xml:space="preserve"> </w:t>
      </w:r>
      <w:r w:rsidRPr="00346B80">
        <w:rPr>
          <w:sz w:val="22"/>
          <w:szCs w:val="22"/>
          <w:lang w:val="sr-Latn-ME" w:eastAsia="en-GB"/>
        </w:rPr>
        <w:t>ukupno četiri doze,</w:t>
      </w:r>
      <w:r w:rsidRPr="00346B80">
        <w:rPr>
          <w:b/>
          <w:color w:val="FF0000"/>
          <w:sz w:val="22"/>
          <w:szCs w:val="22"/>
          <w:lang w:val="sr-Latn-ME" w:eastAsia="en-GB"/>
        </w:rPr>
        <w:t xml:space="preserve"> </w:t>
      </w:r>
      <w:r w:rsidRPr="00346B80">
        <w:rPr>
          <w:sz w:val="22"/>
          <w:szCs w:val="22"/>
          <w:lang w:val="sr-Latn-ME" w:eastAsia="en-GB"/>
        </w:rPr>
        <w:t xml:space="preserve">inhibicija serumskog CTX nakon prve doze viđena je u prvih 24 sata poslije primijenjene doze (srednja vrijednost inhibicije 28%), sa prosječnom maksimalnom </w:t>
      </w:r>
      <w:r w:rsidRPr="00346B80">
        <w:rPr>
          <w:sz w:val="22"/>
          <w:szCs w:val="22"/>
          <w:lang w:val="sr-Latn-ME" w:eastAsia="en-GB"/>
        </w:rPr>
        <w:lastRenderedPageBreak/>
        <w:t>inhibicijom (69%) viđenom 6 dana poslije. Nakon treće i četvrte doze, prosječna maksimalna inhibicija šesti dan poslije primijenjene doze bila je 74%, sa smanjenjem ka prosječnoj inhibiciji od 56% viđenoj 28 dana nakon četvrte doze. Bez dalje primjene, dolazi do gubitka supresije biohemijskih markera koštane resorpcije.</w:t>
      </w:r>
    </w:p>
    <w:p w14:paraId="789B48EA" w14:textId="77777777" w:rsidR="00C72D0F" w:rsidRPr="00346B80" w:rsidRDefault="00C72D0F">
      <w:pPr>
        <w:widowControl w:val="0"/>
        <w:jc w:val="both"/>
        <w:rPr>
          <w:sz w:val="22"/>
          <w:szCs w:val="22"/>
          <w:lang w:val="sr-Latn-ME" w:eastAsia="en-GB"/>
        </w:rPr>
      </w:pPr>
    </w:p>
    <w:p w14:paraId="78493037" w14:textId="77777777" w:rsidR="00C72D0F" w:rsidRPr="00346B80" w:rsidRDefault="00C72D0F">
      <w:pPr>
        <w:widowControl w:val="0"/>
        <w:jc w:val="both"/>
        <w:rPr>
          <w:sz w:val="22"/>
          <w:szCs w:val="22"/>
          <w:lang w:val="sr-Latn-ME" w:eastAsia="en-GB"/>
        </w:rPr>
      </w:pPr>
      <w:r w:rsidRPr="00346B80">
        <w:rPr>
          <w:i/>
          <w:sz w:val="22"/>
          <w:szCs w:val="22"/>
          <w:lang w:val="sr-Latn-ME" w:eastAsia="en-GB"/>
        </w:rPr>
        <w:t>Klinička efikasnost</w:t>
      </w:r>
    </w:p>
    <w:p w14:paraId="2ACBADE2" w14:textId="77777777" w:rsidR="00C72D0F" w:rsidRPr="00346B80" w:rsidRDefault="00C72D0F">
      <w:pPr>
        <w:widowControl w:val="0"/>
        <w:jc w:val="both"/>
        <w:rPr>
          <w:sz w:val="22"/>
          <w:szCs w:val="22"/>
          <w:lang w:val="sr-Latn-ME" w:eastAsia="en-GB"/>
        </w:rPr>
      </w:pPr>
      <w:r w:rsidRPr="00346B80">
        <w:rPr>
          <w:sz w:val="22"/>
          <w:szCs w:val="22"/>
          <w:lang w:val="sr-Latn-ME" w:eastAsia="en-GB"/>
        </w:rPr>
        <w:t>Nezavisni faktori rizika, npr, mala gustina kosti (BMD), uzrast, prethodne frakture u anamnezi, porodična anamneza fraktura, veliki gubitak koštane mase i nizak BMI (indeks tjelesne mase) treba da se imaju na umu da bi se identifikovale žene sa povećanim rizikom od osteoporoznih fraktura.</w:t>
      </w:r>
    </w:p>
    <w:p w14:paraId="62DA9356" w14:textId="77777777" w:rsidR="00C72D0F" w:rsidRPr="00346B80" w:rsidRDefault="00C72D0F">
      <w:pPr>
        <w:widowControl w:val="0"/>
        <w:jc w:val="both"/>
        <w:rPr>
          <w:b/>
          <w:color w:val="FF0000"/>
          <w:sz w:val="22"/>
          <w:szCs w:val="22"/>
          <w:u w:val="single"/>
          <w:lang w:val="sr-Latn-ME" w:eastAsia="en-GB"/>
        </w:rPr>
      </w:pPr>
    </w:p>
    <w:p w14:paraId="76533B15" w14:textId="1C5940CB" w:rsidR="00C72D0F" w:rsidRPr="00346B80" w:rsidRDefault="00C72D0F">
      <w:pPr>
        <w:widowControl w:val="0"/>
        <w:jc w:val="both"/>
        <w:rPr>
          <w:sz w:val="22"/>
          <w:szCs w:val="22"/>
          <w:u w:val="single"/>
          <w:lang w:val="sr-Latn-ME" w:eastAsia="en-GB"/>
        </w:rPr>
      </w:pPr>
      <w:r w:rsidRPr="00346B80">
        <w:rPr>
          <w:sz w:val="22"/>
          <w:szCs w:val="22"/>
          <w:u w:val="single"/>
          <w:lang w:val="sr-Latn-ME"/>
        </w:rPr>
        <w:t>Lijek Alvodronic150 mg film tableta</w:t>
      </w:r>
      <w:r w:rsidRPr="00346B80">
        <w:rPr>
          <w:sz w:val="22"/>
          <w:szCs w:val="22"/>
          <w:u w:val="single"/>
          <w:lang w:val="sr-Latn-ME" w:eastAsia="en-GB"/>
        </w:rPr>
        <w:t xml:space="preserve"> jedanput mjesečno</w:t>
      </w:r>
    </w:p>
    <w:p w14:paraId="720E8398" w14:textId="77777777" w:rsidR="00C72D0F" w:rsidRPr="00346B80" w:rsidRDefault="00C72D0F">
      <w:pPr>
        <w:widowControl w:val="0"/>
        <w:jc w:val="both"/>
        <w:rPr>
          <w:sz w:val="22"/>
          <w:szCs w:val="22"/>
          <w:u w:val="single"/>
          <w:lang w:val="sr-Latn-ME" w:eastAsia="en-GB"/>
        </w:rPr>
      </w:pPr>
    </w:p>
    <w:p w14:paraId="31DB5EDF" w14:textId="77777777" w:rsidR="00C72D0F" w:rsidRPr="00346B80" w:rsidRDefault="00C72D0F">
      <w:pPr>
        <w:widowControl w:val="0"/>
        <w:jc w:val="both"/>
        <w:rPr>
          <w:sz w:val="22"/>
          <w:szCs w:val="22"/>
          <w:u w:val="single"/>
          <w:lang w:val="sr-Latn-ME" w:eastAsia="en-GB"/>
        </w:rPr>
      </w:pPr>
      <w:r w:rsidRPr="00346B80">
        <w:rPr>
          <w:sz w:val="22"/>
          <w:szCs w:val="22"/>
          <w:u w:val="single"/>
          <w:lang w:val="sr-Latn-ME" w:eastAsia="en-GB"/>
        </w:rPr>
        <w:t>Gustina kosti (BMD)</w:t>
      </w:r>
    </w:p>
    <w:p w14:paraId="47D36634" w14:textId="27176F68" w:rsidR="00C72D0F" w:rsidRPr="00346B80" w:rsidRDefault="00C72D0F">
      <w:pPr>
        <w:widowControl w:val="0"/>
        <w:jc w:val="both"/>
        <w:rPr>
          <w:sz w:val="22"/>
          <w:szCs w:val="22"/>
          <w:lang w:val="sr-Latn-ME" w:eastAsia="en-GB"/>
        </w:rPr>
      </w:pPr>
      <w:r w:rsidRPr="00346B80">
        <w:rPr>
          <w:sz w:val="22"/>
          <w:szCs w:val="22"/>
          <w:lang w:val="sr-Latn-ME" w:eastAsia="en-GB"/>
        </w:rPr>
        <w:t xml:space="preserve">Primjena </w:t>
      </w:r>
      <w:r w:rsidRPr="00346B80">
        <w:rPr>
          <w:sz w:val="22"/>
          <w:szCs w:val="22"/>
          <w:lang w:val="sr-Latn-ME"/>
        </w:rPr>
        <w:t>lijeka Alvodronic 150 mg film tablete</w:t>
      </w:r>
      <w:r w:rsidRPr="00346B80">
        <w:rPr>
          <w:sz w:val="22"/>
          <w:szCs w:val="22"/>
          <w:lang w:val="sr-Latn-ME" w:eastAsia="en-GB"/>
        </w:rPr>
        <w:t xml:space="preserve"> jedanput mjesečno pokazala je da je manje ili jednako efikasna kao i primjena ibandronske kiseline od 2,5 mg dnevno u povećanju gustine kostiju u dvogodišnjoj, dvostruko slijepoj, multicentričnoj studiji (BM 16549) kod postmenopauzalnih žena s osteoporozom (rezultat gustine kosti lumbalne kičme ispod -2,5 u odnosu na referentnu vrijednost). Ovo je pokazano i pri primarnoj jednogodišnjoj analizi i u dvogodišnjoj analizi koja potvrđuje zaključak (Tabela 2)</w:t>
      </w:r>
    </w:p>
    <w:p w14:paraId="1404C6E3" w14:textId="77777777" w:rsidR="00C72D0F" w:rsidRPr="00346B80" w:rsidRDefault="00C72D0F">
      <w:pPr>
        <w:widowControl w:val="0"/>
        <w:jc w:val="both"/>
        <w:rPr>
          <w:sz w:val="22"/>
          <w:szCs w:val="22"/>
          <w:lang w:val="sr-Latn-ME" w:eastAsia="en-GB"/>
        </w:rPr>
      </w:pPr>
    </w:p>
    <w:p w14:paraId="164EBED2" w14:textId="77777777" w:rsidR="00C72D0F" w:rsidRPr="00346B80" w:rsidRDefault="00C72D0F">
      <w:pPr>
        <w:widowControl w:val="0"/>
        <w:jc w:val="both"/>
        <w:rPr>
          <w:sz w:val="22"/>
          <w:szCs w:val="22"/>
          <w:lang w:val="sr-Latn-ME" w:eastAsia="en-GB"/>
        </w:rPr>
      </w:pPr>
      <w:r w:rsidRPr="00346B80">
        <w:rPr>
          <w:sz w:val="22"/>
          <w:szCs w:val="22"/>
          <w:lang w:val="sr-Latn-ME" w:eastAsia="en-GB"/>
        </w:rPr>
        <w:t>Tabela 2: Srednja vrijednost relativne promjene u odnosu na osnovnu liniju lumbalne kičme, kuka, gustine kosti (BMD) vrata i trohantera femura nakon godinu dana (primarna analiza) i dvogodišnjeg liječenja (Per-protokol populacija) u studiji BM 16549.</w:t>
      </w:r>
    </w:p>
    <w:p w14:paraId="65FB3549" w14:textId="77777777" w:rsidR="00C72D0F" w:rsidRPr="00346B80" w:rsidRDefault="00C72D0F">
      <w:pPr>
        <w:widowControl w:val="0"/>
        <w:jc w:val="both"/>
        <w:rPr>
          <w:sz w:val="22"/>
          <w:szCs w:val="22"/>
          <w:lang w:val="sr-Latn-ME" w:eastAsia="en-GB"/>
        </w:rPr>
      </w:pP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2511"/>
        <w:gridCol w:w="1592"/>
        <w:gridCol w:w="1592"/>
        <w:gridCol w:w="1536"/>
        <w:gridCol w:w="1826"/>
      </w:tblGrid>
      <w:tr w:rsidR="00C72D0F" w:rsidRPr="000210AD" w14:paraId="21734010" w14:textId="77777777" w:rsidTr="00814AE3">
        <w:trPr>
          <w:tblCellSpacing w:w="0" w:type="dxa"/>
        </w:trPr>
        <w:tc>
          <w:tcPr>
            <w:tcW w:w="138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713817CB" w14:textId="77777777" w:rsidR="00C72D0F" w:rsidRPr="00346B80" w:rsidRDefault="00C72D0F">
            <w:pPr>
              <w:widowControl w:val="0"/>
              <w:jc w:val="both"/>
              <w:rPr>
                <w:sz w:val="22"/>
                <w:szCs w:val="22"/>
                <w:lang w:val="sr-Latn-ME" w:eastAsia="en-GB"/>
              </w:rPr>
            </w:pPr>
            <w:r w:rsidRPr="00346B80">
              <w:rPr>
                <w:sz w:val="22"/>
                <w:szCs w:val="22"/>
                <w:lang w:val="sr-Latn-ME" w:eastAsia="en-GB"/>
              </w:rPr>
              <w:t> </w:t>
            </w:r>
          </w:p>
          <w:p w14:paraId="0FF5C4A1" w14:textId="77777777" w:rsidR="00C72D0F" w:rsidRPr="00346B80" w:rsidRDefault="00C72D0F">
            <w:pPr>
              <w:widowControl w:val="0"/>
              <w:jc w:val="both"/>
              <w:rPr>
                <w:sz w:val="22"/>
                <w:szCs w:val="22"/>
                <w:lang w:val="sr-Latn-ME" w:eastAsia="en-GB"/>
              </w:rPr>
            </w:pPr>
            <w:r w:rsidRPr="00346B80">
              <w:rPr>
                <w:sz w:val="22"/>
                <w:szCs w:val="22"/>
                <w:lang w:val="sr-Latn-ME" w:eastAsia="en-GB"/>
              </w:rPr>
              <w:t> </w:t>
            </w:r>
          </w:p>
        </w:tc>
        <w:tc>
          <w:tcPr>
            <w:tcW w:w="1757" w:type="pct"/>
            <w:gridSpan w:val="2"/>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62850DF5" w14:textId="77777777" w:rsidR="00C72D0F" w:rsidRPr="00346B80" w:rsidRDefault="00C72D0F">
            <w:pPr>
              <w:widowControl w:val="0"/>
              <w:jc w:val="both"/>
              <w:rPr>
                <w:sz w:val="22"/>
                <w:szCs w:val="22"/>
                <w:lang w:val="sr-Latn-ME" w:eastAsia="en-GB"/>
              </w:rPr>
            </w:pPr>
            <w:r w:rsidRPr="00346B80">
              <w:rPr>
                <w:sz w:val="22"/>
                <w:szCs w:val="22"/>
                <w:lang w:val="sr-Latn-ME" w:eastAsia="en-GB"/>
              </w:rPr>
              <w:t>Podaci iz jednogodišnje studije BM 16549</w:t>
            </w:r>
          </w:p>
        </w:tc>
        <w:tc>
          <w:tcPr>
            <w:tcW w:w="1857" w:type="pct"/>
            <w:gridSpan w:val="2"/>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2575560F" w14:textId="77777777" w:rsidR="00C72D0F" w:rsidRPr="00346B80" w:rsidRDefault="00C72D0F">
            <w:pPr>
              <w:widowControl w:val="0"/>
              <w:jc w:val="both"/>
              <w:rPr>
                <w:sz w:val="22"/>
                <w:szCs w:val="22"/>
                <w:lang w:val="sr-Latn-ME" w:eastAsia="en-GB"/>
              </w:rPr>
            </w:pPr>
            <w:r w:rsidRPr="00346B80">
              <w:rPr>
                <w:sz w:val="22"/>
                <w:szCs w:val="22"/>
                <w:lang w:val="sr-Latn-ME" w:eastAsia="en-GB"/>
              </w:rPr>
              <w:t>Podaci iz dvogodišnje BM 16549 studije</w:t>
            </w:r>
          </w:p>
        </w:tc>
      </w:tr>
      <w:tr w:rsidR="00C72D0F" w:rsidRPr="00346B80" w14:paraId="723F7E43" w14:textId="77777777" w:rsidTr="00814AE3">
        <w:trPr>
          <w:tblCellSpacing w:w="0" w:type="dxa"/>
        </w:trPr>
        <w:tc>
          <w:tcPr>
            <w:tcW w:w="138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5D6D6BA5" w14:textId="77777777" w:rsidR="00C72D0F" w:rsidRPr="00346B80" w:rsidRDefault="00C72D0F" w:rsidP="00346B80">
            <w:pPr>
              <w:widowControl w:val="0"/>
              <w:jc w:val="both"/>
              <w:rPr>
                <w:sz w:val="22"/>
                <w:szCs w:val="22"/>
                <w:lang w:val="sr-Latn-ME" w:eastAsia="en-GB"/>
              </w:rPr>
            </w:pPr>
            <w:r w:rsidRPr="00346B80">
              <w:rPr>
                <w:sz w:val="22"/>
                <w:szCs w:val="22"/>
                <w:lang w:val="sr-Latn-ME" w:eastAsia="en-GB"/>
              </w:rPr>
              <w:t xml:space="preserve">Srednja vrijednost relativne promjene u odnosu na referentnu vrijednost % [95% CI] </w:t>
            </w:r>
          </w:p>
          <w:p w14:paraId="49C77DDF" w14:textId="77777777" w:rsidR="00C72D0F" w:rsidRPr="00FC2EEC" w:rsidRDefault="00C72D0F" w:rsidP="00FC2EEC">
            <w:pPr>
              <w:widowControl w:val="0"/>
              <w:jc w:val="both"/>
              <w:rPr>
                <w:sz w:val="22"/>
                <w:szCs w:val="22"/>
                <w:lang w:val="sr-Latn-ME" w:eastAsia="en-GB"/>
              </w:rPr>
            </w:pPr>
          </w:p>
        </w:tc>
        <w:tc>
          <w:tcPr>
            <w:tcW w:w="879"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0534A131" w14:textId="77777777" w:rsidR="00C72D0F" w:rsidRPr="00346B80" w:rsidRDefault="00C72D0F">
            <w:pPr>
              <w:widowControl w:val="0"/>
              <w:jc w:val="both"/>
              <w:rPr>
                <w:sz w:val="22"/>
                <w:szCs w:val="22"/>
                <w:lang w:val="sr-Latn-ME" w:eastAsia="en-GB"/>
              </w:rPr>
            </w:pPr>
            <w:r w:rsidRPr="00346B80">
              <w:rPr>
                <w:sz w:val="22"/>
                <w:szCs w:val="22"/>
                <w:lang w:val="sr-Latn-ME" w:eastAsia="en-GB"/>
              </w:rPr>
              <w:t xml:space="preserve">Ibandronska kiselina 2,5 mg dnevno </w:t>
            </w:r>
          </w:p>
          <w:p w14:paraId="4F188BB9" w14:textId="77777777" w:rsidR="00C72D0F" w:rsidRPr="00346B80" w:rsidRDefault="00C72D0F">
            <w:pPr>
              <w:widowControl w:val="0"/>
              <w:jc w:val="both"/>
              <w:rPr>
                <w:sz w:val="22"/>
                <w:szCs w:val="22"/>
                <w:lang w:val="sr-Latn-ME" w:eastAsia="en-GB"/>
              </w:rPr>
            </w:pPr>
            <w:r w:rsidRPr="00346B80">
              <w:rPr>
                <w:sz w:val="22"/>
                <w:szCs w:val="22"/>
                <w:lang w:val="sr-Latn-ME" w:eastAsia="en-GB"/>
              </w:rPr>
              <w:t>(N=318)</w:t>
            </w:r>
          </w:p>
        </w:tc>
        <w:tc>
          <w:tcPr>
            <w:tcW w:w="879"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7BB51783" w14:textId="4919C372" w:rsidR="00C72D0F" w:rsidRPr="00346B80" w:rsidRDefault="00C72D0F">
            <w:pPr>
              <w:widowControl w:val="0"/>
              <w:jc w:val="both"/>
              <w:rPr>
                <w:sz w:val="22"/>
                <w:szCs w:val="22"/>
                <w:lang w:val="sr-Latn-ME" w:eastAsia="en-GB"/>
              </w:rPr>
            </w:pPr>
            <w:r w:rsidRPr="00346B80">
              <w:rPr>
                <w:sz w:val="22"/>
                <w:szCs w:val="22"/>
                <w:lang w:val="sr-Latn-ME"/>
              </w:rPr>
              <w:t xml:space="preserve">lijek </w:t>
            </w:r>
            <w:r w:rsidRPr="00814AE3">
              <w:rPr>
                <w:bCs/>
                <w:sz w:val="22"/>
                <w:szCs w:val="22"/>
                <w:lang w:val="sr-Latn-ME"/>
              </w:rPr>
              <w:t>Alvodronic 150 mg film tablete</w:t>
            </w:r>
            <w:r w:rsidRPr="00346B80">
              <w:rPr>
                <w:sz w:val="22"/>
                <w:szCs w:val="22"/>
                <w:lang w:val="sr-Latn-ME" w:eastAsia="en-GB"/>
              </w:rPr>
              <w:t xml:space="preserve"> jedanput mjesečno </w:t>
            </w:r>
          </w:p>
          <w:p w14:paraId="6D53FE97" w14:textId="77777777" w:rsidR="00C72D0F" w:rsidRPr="00346B80" w:rsidRDefault="00C72D0F">
            <w:pPr>
              <w:widowControl w:val="0"/>
              <w:jc w:val="both"/>
              <w:rPr>
                <w:sz w:val="22"/>
                <w:szCs w:val="22"/>
                <w:lang w:val="sr-Latn-ME" w:eastAsia="en-GB"/>
              </w:rPr>
            </w:pPr>
            <w:r w:rsidRPr="00346B80">
              <w:rPr>
                <w:sz w:val="22"/>
                <w:szCs w:val="22"/>
                <w:lang w:val="sr-Latn-ME" w:eastAsia="en-GB"/>
              </w:rPr>
              <w:t>(N=320)</w:t>
            </w:r>
          </w:p>
        </w:tc>
        <w:tc>
          <w:tcPr>
            <w:tcW w:w="848"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4A5AC664" w14:textId="77777777" w:rsidR="00C72D0F" w:rsidRPr="00346B80" w:rsidRDefault="00C72D0F">
            <w:pPr>
              <w:widowControl w:val="0"/>
              <w:jc w:val="both"/>
              <w:rPr>
                <w:sz w:val="22"/>
                <w:szCs w:val="22"/>
                <w:lang w:val="sr-Latn-ME" w:eastAsia="en-GB"/>
              </w:rPr>
            </w:pPr>
            <w:r w:rsidRPr="00346B80">
              <w:rPr>
                <w:sz w:val="22"/>
                <w:szCs w:val="22"/>
                <w:lang w:val="sr-Latn-ME" w:eastAsia="en-GB"/>
              </w:rPr>
              <w:t xml:space="preserve">Ibandronska kiselina 2,5 mg dnevno </w:t>
            </w:r>
          </w:p>
          <w:p w14:paraId="1779B496" w14:textId="77777777" w:rsidR="00C72D0F" w:rsidRPr="00346B80" w:rsidRDefault="00C72D0F">
            <w:pPr>
              <w:widowControl w:val="0"/>
              <w:jc w:val="both"/>
              <w:rPr>
                <w:sz w:val="22"/>
                <w:szCs w:val="22"/>
                <w:lang w:val="sr-Latn-ME" w:eastAsia="en-GB"/>
              </w:rPr>
            </w:pPr>
            <w:r w:rsidRPr="00346B80">
              <w:rPr>
                <w:sz w:val="22"/>
                <w:szCs w:val="22"/>
                <w:lang w:val="sr-Latn-ME" w:eastAsia="en-GB"/>
              </w:rPr>
              <w:t xml:space="preserve"> (N=294)</w:t>
            </w:r>
          </w:p>
        </w:tc>
        <w:tc>
          <w:tcPr>
            <w:tcW w:w="1009"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33119232" w14:textId="7C6BBE02" w:rsidR="00C72D0F" w:rsidRPr="00346B80" w:rsidRDefault="00C72D0F">
            <w:pPr>
              <w:widowControl w:val="0"/>
              <w:jc w:val="both"/>
              <w:rPr>
                <w:sz w:val="22"/>
                <w:szCs w:val="22"/>
                <w:lang w:val="sr-Latn-ME" w:eastAsia="en-GB"/>
              </w:rPr>
            </w:pPr>
            <w:r w:rsidRPr="00346B80">
              <w:rPr>
                <w:sz w:val="22"/>
                <w:szCs w:val="22"/>
                <w:lang w:val="sr-Latn-ME"/>
              </w:rPr>
              <w:t xml:space="preserve">lijek </w:t>
            </w:r>
            <w:r w:rsidRPr="00814AE3">
              <w:rPr>
                <w:bCs/>
                <w:sz w:val="22"/>
                <w:szCs w:val="22"/>
                <w:lang w:val="sr-Latn-ME"/>
              </w:rPr>
              <w:t>Alvodronic 150 mg film tablete</w:t>
            </w:r>
            <w:r w:rsidRPr="00346B80">
              <w:rPr>
                <w:sz w:val="22"/>
                <w:szCs w:val="22"/>
                <w:lang w:val="sr-Latn-ME" w:eastAsia="en-GB"/>
              </w:rPr>
              <w:t xml:space="preserve"> jedanput mjesečno </w:t>
            </w:r>
          </w:p>
          <w:p w14:paraId="44224861" w14:textId="77777777" w:rsidR="00C72D0F" w:rsidRPr="00346B80" w:rsidRDefault="00C72D0F">
            <w:pPr>
              <w:widowControl w:val="0"/>
              <w:jc w:val="both"/>
              <w:rPr>
                <w:sz w:val="22"/>
                <w:szCs w:val="22"/>
                <w:lang w:val="sr-Latn-ME" w:eastAsia="en-GB"/>
              </w:rPr>
            </w:pPr>
            <w:r w:rsidRPr="00346B80">
              <w:rPr>
                <w:sz w:val="22"/>
                <w:szCs w:val="22"/>
                <w:lang w:val="sr-Latn-ME" w:eastAsia="en-GB"/>
              </w:rPr>
              <w:t xml:space="preserve"> (N=291)</w:t>
            </w:r>
          </w:p>
        </w:tc>
      </w:tr>
      <w:tr w:rsidR="00C72D0F" w:rsidRPr="00346B80" w14:paraId="52BD2DF0" w14:textId="77777777" w:rsidTr="00814AE3">
        <w:trPr>
          <w:tblCellSpacing w:w="0" w:type="dxa"/>
        </w:trPr>
        <w:tc>
          <w:tcPr>
            <w:tcW w:w="138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08DBC60E" w14:textId="77777777" w:rsidR="00C72D0F" w:rsidRPr="00346B80" w:rsidRDefault="00C72D0F" w:rsidP="00346B80">
            <w:pPr>
              <w:widowControl w:val="0"/>
              <w:jc w:val="both"/>
              <w:rPr>
                <w:sz w:val="22"/>
                <w:szCs w:val="22"/>
                <w:lang w:val="sr-Latn-ME" w:eastAsia="en-GB"/>
              </w:rPr>
            </w:pPr>
            <w:r w:rsidRPr="00346B80">
              <w:rPr>
                <w:sz w:val="22"/>
                <w:szCs w:val="22"/>
                <w:lang w:val="sr-Latn-ME" w:eastAsia="en-GB"/>
              </w:rPr>
              <w:t>Lumbalna kičma L2-L4 BMD</w:t>
            </w:r>
          </w:p>
        </w:tc>
        <w:tc>
          <w:tcPr>
            <w:tcW w:w="879"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7249C859" w14:textId="77777777" w:rsidR="00C72D0F" w:rsidRPr="00FC2EEC" w:rsidRDefault="00C72D0F" w:rsidP="00FC2EEC">
            <w:pPr>
              <w:widowControl w:val="0"/>
              <w:jc w:val="both"/>
              <w:rPr>
                <w:sz w:val="22"/>
                <w:szCs w:val="22"/>
                <w:lang w:val="sr-Latn-ME" w:eastAsia="en-GB"/>
              </w:rPr>
            </w:pPr>
            <w:r w:rsidRPr="00FC2EEC">
              <w:rPr>
                <w:sz w:val="22"/>
                <w:szCs w:val="22"/>
                <w:lang w:val="sr-Latn-ME" w:eastAsia="en-GB"/>
              </w:rPr>
              <w:t xml:space="preserve">3,9 [3,4; 4,3] </w:t>
            </w:r>
          </w:p>
        </w:tc>
        <w:tc>
          <w:tcPr>
            <w:tcW w:w="879"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1397E031" w14:textId="77777777" w:rsidR="00C72D0F" w:rsidRPr="00346B80" w:rsidRDefault="00C72D0F">
            <w:pPr>
              <w:widowControl w:val="0"/>
              <w:jc w:val="both"/>
              <w:rPr>
                <w:sz w:val="22"/>
                <w:szCs w:val="22"/>
                <w:lang w:val="sr-Latn-ME" w:eastAsia="en-GB"/>
              </w:rPr>
            </w:pPr>
            <w:r w:rsidRPr="00346B80">
              <w:rPr>
                <w:sz w:val="22"/>
                <w:szCs w:val="22"/>
                <w:lang w:val="sr-Latn-ME" w:eastAsia="en-GB"/>
              </w:rPr>
              <w:t xml:space="preserve">4,9 [4,4; 5,3] </w:t>
            </w:r>
          </w:p>
        </w:tc>
        <w:tc>
          <w:tcPr>
            <w:tcW w:w="848"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448073F8" w14:textId="77777777" w:rsidR="00C72D0F" w:rsidRPr="00346B80" w:rsidRDefault="00C72D0F">
            <w:pPr>
              <w:widowControl w:val="0"/>
              <w:jc w:val="both"/>
              <w:rPr>
                <w:sz w:val="22"/>
                <w:szCs w:val="22"/>
                <w:lang w:val="sr-Latn-ME" w:eastAsia="en-GB"/>
              </w:rPr>
            </w:pPr>
            <w:r w:rsidRPr="00346B80">
              <w:rPr>
                <w:sz w:val="22"/>
                <w:szCs w:val="22"/>
                <w:lang w:val="sr-Latn-ME" w:eastAsia="en-GB"/>
              </w:rPr>
              <w:t xml:space="preserve">5,0 [4,4; 5,5] </w:t>
            </w:r>
          </w:p>
        </w:tc>
        <w:tc>
          <w:tcPr>
            <w:tcW w:w="1009"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0EEDC577" w14:textId="77777777" w:rsidR="00C72D0F" w:rsidRPr="00346B80" w:rsidRDefault="00C72D0F">
            <w:pPr>
              <w:widowControl w:val="0"/>
              <w:jc w:val="both"/>
              <w:rPr>
                <w:sz w:val="22"/>
                <w:szCs w:val="22"/>
                <w:lang w:val="sr-Latn-ME" w:eastAsia="en-GB"/>
              </w:rPr>
            </w:pPr>
            <w:r w:rsidRPr="00346B80">
              <w:rPr>
                <w:sz w:val="22"/>
                <w:szCs w:val="22"/>
                <w:lang w:val="sr-Latn-ME" w:eastAsia="en-GB"/>
              </w:rPr>
              <w:t xml:space="preserve">6,6 [6,0; 7,1] </w:t>
            </w:r>
          </w:p>
        </w:tc>
      </w:tr>
      <w:tr w:rsidR="00C72D0F" w:rsidRPr="00346B80" w14:paraId="28A61868" w14:textId="77777777" w:rsidTr="00814AE3">
        <w:trPr>
          <w:tblCellSpacing w:w="0" w:type="dxa"/>
        </w:trPr>
        <w:tc>
          <w:tcPr>
            <w:tcW w:w="138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3E982382" w14:textId="77777777" w:rsidR="00C72D0F" w:rsidRPr="00346B80" w:rsidRDefault="00C72D0F" w:rsidP="00346B80">
            <w:pPr>
              <w:widowControl w:val="0"/>
              <w:jc w:val="both"/>
              <w:rPr>
                <w:sz w:val="22"/>
                <w:szCs w:val="22"/>
                <w:lang w:val="sr-Latn-ME" w:eastAsia="en-GB"/>
              </w:rPr>
            </w:pPr>
            <w:r w:rsidRPr="00346B80">
              <w:rPr>
                <w:sz w:val="22"/>
                <w:szCs w:val="22"/>
                <w:lang w:val="sr-Latn-ME" w:eastAsia="en-GB"/>
              </w:rPr>
              <w:t>Kuk BMD</w:t>
            </w:r>
          </w:p>
        </w:tc>
        <w:tc>
          <w:tcPr>
            <w:tcW w:w="879"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6D970B77" w14:textId="77777777" w:rsidR="00C72D0F" w:rsidRPr="00FC2EEC" w:rsidRDefault="00C72D0F" w:rsidP="00FC2EEC">
            <w:pPr>
              <w:widowControl w:val="0"/>
              <w:jc w:val="both"/>
              <w:rPr>
                <w:sz w:val="22"/>
                <w:szCs w:val="22"/>
                <w:lang w:val="sr-Latn-ME" w:eastAsia="en-GB"/>
              </w:rPr>
            </w:pPr>
            <w:r w:rsidRPr="00FC2EEC">
              <w:rPr>
                <w:sz w:val="22"/>
                <w:szCs w:val="22"/>
                <w:lang w:val="sr-Latn-ME" w:eastAsia="en-GB"/>
              </w:rPr>
              <w:t xml:space="preserve">2,0 [1,7; 2,3] </w:t>
            </w:r>
          </w:p>
        </w:tc>
        <w:tc>
          <w:tcPr>
            <w:tcW w:w="879"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569FBAE2" w14:textId="77777777" w:rsidR="00C72D0F" w:rsidRPr="00346B80" w:rsidRDefault="00C72D0F">
            <w:pPr>
              <w:widowControl w:val="0"/>
              <w:jc w:val="both"/>
              <w:rPr>
                <w:sz w:val="22"/>
                <w:szCs w:val="22"/>
                <w:lang w:val="sr-Latn-ME" w:eastAsia="en-GB"/>
              </w:rPr>
            </w:pPr>
            <w:r w:rsidRPr="00346B80">
              <w:rPr>
                <w:sz w:val="22"/>
                <w:szCs w:val="22"/>
                <w:lang w:val="sr-Latn-ME" w:eastAsia="en-GB"/>
              </w:rPr>
              <w:t xml:space="preserve">3,1 [2,8; 3,4] </w:t>
            </w:r>
          </w:p>
        </w:tc>
        <w:tc>
          <w:tcPr>
            <w:tcW w:w="848"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48D1443F" w14:textId="77777777" w:rsidR="00C72D0F" w:rsidRPr="00346B80" w:rsidRDefault="00C72D0F">
            <w:pPr>
              <w:widowControl w:val="0"/>
              <w:jc w:val="both"/>
              <w:rPr>
                <w:sz w:val="22"/>
                <w:szCs w:val="22"/>
                <w:lang w:val="sr-Latn-ME" w:eastAsia="en-GB"/>
              </w:rPr>
            </w:pPr>
            <w:r w:rsidRPr="00346B80">
              <w:rPr>
                <w:sz w:val="22"/>
                <w:szCs w:val="22"/>
                <w:lang w:val="sr-Latn-ME" w:eastAsia="en-GB"/>
              </w:rPr>
              <w:t xml:space="preserve">2,5 [2,1; 2,9] </w:t>
            </w:r>
          </w:p>
        </w:tc>
        <w:tc>
          <w:tcPr>
            <w:tcW w:w="1009"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1F33FE0E" w14:textId="77777777" w:rsidR="00C72D0F" w:rsidRPr="00346B80" w:rsidRDefault="00C72D0F">
            <w:pPr>
              <w:widowControl w:val="0"/>
              <w:jc w:val="both"/>
              <w:rPr>
                <w:sz w:val="22"/>
                <w:szCs w:val="22"/>
                <w:lang w:val="sr-Latn-ME" w:eastAsia="en-GB"/>
              </w:rPr>
            </w:pPr>
            <w:r w:rsidRPr="00346B80">
              <w:rPr>
                <w:sz w:val="22"/>
                <w:szCs w:val="22"/>
                <w:lang w:val="sr-Latn-ME" w:eastAsia="en-GB"/>
              </w:rPr>
              <w:t xml:space="preserve">4,2 [3,8; 4,5] </w:t>
            </w:r>
          </w:p>
        </w:tc>
      </w:tr>
      <w:tr w:rsidR="00C72D0F" w:rsidRPr="00346B80" w14:paraId="78454439" w14:textId="77777777" w:rsidTr="00814AE3">
        <w:trPr>
          <w:tblCellSpacing w:w="0" w:type="dxa"/>
        </w:trPr>
        <w:tc>
          <w:tcPr>
            <w:tcW w:w="138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070325E7" w14:textId="77777777" w:rsidR="00C72D0F" w:rsidRPr="00346B80" w:rsidRDefault="00C72D0F" w:rsidP="00346B80">
            <w:pPr>
              <w:widowControl w:val="0"/>
              <w:jc w:val="both"/>
              <w:rPr>
                <w:sz w:val="22"/>
                <w:szCs w:val="22"/>
                <w:lang w:val="sr-Latn-ME" w:eastAsia="en-GB"/>
              </w:rPr>
            </w:pPr>
            <w:r w:rsidRPr="00346B80">
              <w:rPr>
                <w:sz w:val="22"/>
                <w:szCs w:val="22"/>
                <w:lang w:val="sr-Latn-ME" w:eastAsia="en-GB"/>
              </w:rPr>
              <w:t>Vrat femura BMD</w:t>
            </w:r>
          </w:p>
        </w:tc>
        <w:tc>
          <w:tcPr>
            <w:tcW w:w="879"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1ED1B369" w14:textId="77777777" w:rsidR="00C72D0F" w:rsidRPr="00FC2EEC" w:rsidRDefault="00C72D0F" w:rsidP="00FC2EEC">
            <w:pPr>
              <w:widowControl w:val="0"/>
              <w:jc w:val="both"/>
              <w:rPr>
                <w:sz w:val="22"/>
                <w:szCs w:val="22"/>
                <w:lang w:val="sr-Latn-ME" w:eastAsia="en-GB"/>
              </w:rPr>
            </w:pPr>
            <w:r w:rsidRPr="00FC2EEC">
              <w:rPr>
                <w:sz w:val="22"/>
                <w:szCs w:val="22"/>
                <w:lang w:val="sr-Latn-ME" w:eastAsia="en-GB"/>
              </w:rPr>
              <w:t xml:space="preserve">1,7 [1,3; 2,1] </w:t>
            </w:r>
          </w:p>
        </w:tc>
        <w:tc>
          <w:tcPr>
            <w:tcW w:w="879"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6DDC883A" w14:textId="77777777" w:rsidR="00C72D0F" w:rsidRPr="00346B80" w:rsidRDefault="00C72D0F">
            <w:pPr>
              <w:widowControl w:val="0"/>
              <w:jc w:val="both"/>
              <w:rPr>
                <w:sz w:val="22"/>
                <w:szCs w:val="22"/>
                <w:lang w:val="sr-Latn-ME" w:eastAsia="en-GB"/>
              </w:rPr>
            </w:pPr>
            <w:r w:rsidRPr="00346B80">
              <w:rPr>
                <w:sz w:val="22"/>
                <w:szCs w:val="22"/>
                <w:lang w:val="sr-Latn-ME" w:eastAsia="en-GB"/>
              </w:rPr>
              <w:t xml:space="preserve">2,2 [1,9; 2,6] </w:t>
            </w:r>
          </w:p>
        </w:tc>
        <w:tc>
          <w:tcPr>
            <w:tcW w:w="848"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4063050B" w14:textId="77777777" w:rsidR="00C72D0F" w:rsidRPr="00346B80" w:rsidRDefault="00C72D0F">
            <w:pPr>
              <w:widowControl w:val="0"/>
              <w:jc w:val="both"/>
              <w:rPr>
                <w:sz w:val="22"/>
                <w:szCs w:val="22"/>
                <w:lang w:val="sr-Latn-ME" w:eastAsia="en-GB"/>
              </w:rPr>
            </w:pPr>
            <w:r w:rsidRPr="00346B80">
              <w:rPr>
                <w:sz w:val="22"/>
                <w:szCs w:val="22"/>
                <w:lang w:val="sr-Latn-ME" w:eastAsia="en-GB"/>
              </w:rPr>
              <w:t xml:space="preserve">1,9 [1,4; 2,4] </w:t>
            </w:r>
          </w:p>
        </w:tc>
        <w:tc>
          <w:tcPr>
            <w:tcW w:w="1009"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31C54718" w14:textId="77777777" w:rsidR="00C72D0F" w:rsidRPr="00346B80" w:rsidRDefault="00C72D0F">
            <w:pPr>
              <w:widowControl w:val="0"/>
              <w:jc w:val="both"/>
              <w:rPr>
                <w:sz w:val="22"/>
                <w:szCs w:val="22"/>
                <w:lang w:val="sr-Latn-ME" w:eastAsia="en-GB"/>
              </w:rPr>
            </w:pPr>
            <w:r w:rsidRPr="00346B80">
              <w:rPr>
                <w:sz w:val="22"/>
                <w:szCs w:val="22"/>
                <w:lang w:val="sr-Latn-ME" w:eastAsia="en-GB"/>
              </w:rPr>
              <w:t xml:space="preserve">3,1 [2,7; 3,6] </w:t>
            </w:r>
          </w:p>
        </w:tc>
      </w:tr>
      <w:tr w:rsidR="00C72D0F" w:rsidRPr="00346B80" w14:paraId="4949B41B" w14:textId="77777777" w:rsidTr="00814AE3">
        <w:trPr>
          <w:tblCellSpacing w:w="0" w:type="dxa"/>
        </w:trPr>
        <w:tc>
          <w:tcPr>
            <w:tcW w:w="138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14573D1D" w14:textId="77777777" w:rsidR="00C72D0F" w:rsidRPr="00346B80" w:rsidRDefault="00C72D0F" w:rsidP="00346B80">
            <w:pPr>
              <w:widowControl w:val="0"/>
              <w:jc w:val="both"/>
              <w:rPr>
                <w:sz w:val="22"/>
                <w:szCs w:val="22"/>
                <w:lang w:val="sr-Latn-ME" w:eastAsia="en-GB"/>
              </w:rPr>
            </w:pPr>
            <w:r w:rsidRPr="00346B80">
              <w:rPr>
                <w:sz w:val="22"/>
                <w:szCs w:val="22"/>
                <w:lang w:val="sr-Latn-ME" w:eastAsia="en-GB"/>
              </w:rPr>
              <w:t>Trohanter BMD</w:t>
            </w:r>
          </w:p>
        </w:tc>
        <w:tc>
          <w:tcPr>
            <w:tcW w:w="879"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71D0457E" w14:textId="77777777" w:rsidR="00C72D0F" w:rsidRPr="00FC2EEC" w:rsidRDefault="00C72D0F" w:rsidP="00FC2EEC">
            <w:pPr>
              <w:widowControl w:val="0"/>
              <w:jc w:val="both"/>
              <w:rPr>
                <w:sz w:val="22"/>
                <w:szCs w:val="22"/>
                <w:lang w:val="sr-Latn-ME" w:eastAsia="en-GB"/>
              </w:rPr>
            </w:pPr>
            <w:r w:rsidRPr="00FC2EEC">
              <w:rPr>
                <w:sz w:val="22"/>
                <w:szCs w:val="22"/>
                <w:lang w:val="sr-Latn-ME" w:eastAsia="en-GB"/>
              </w:rPr>
              <w:t xml:space="preserve">3,2 [2,8; 3,7] </w:t>
            </w:r>
          </w:p>
        </w:tc>
        <w:tc>
          <w:tcPr>
            <w:tcW w:w="879"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5E06E94F" w14:textId="77777777" w:rsidR="00C72D0F" w:rsidRPr="00346B80" w:rsidRDefault="00C72D0F">
            <w:pPr>
              <w:widowControl w:val="0"/>
              <w:jc w:val="both"/>
              <w:rPr>
                <w:sz w:val="22"/>
                <w:szCs w:val="22"/>
                <w:lang w:val="sr-Latn-ME" w:eastAsia="en-GB"/>
              </w:rPr>
            </w:pPr>
            <w:r w:rsidRPr="00346B80">
              <w:rPr>
                <w:sz w:val="22"/>
                <w:szCs w:val="22"/>
                <w:lang w:val="sr-Latn-ME" w:eastAsia="en-GB"/>
              </w:rPr>
              <w:t xml:space="preserve">4,6 [4,2; 5,1] </w:t>
            </w:r>
          </w:p>
        </w:tc>
        <w:tc>
          <w:tcPr>
            <w:tcW w:w="848"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4A316353" w14:textId="77777777" w:rsidR="00C72D0F" w:rsidRPr="00346B80" w:rsidRDefault="00C72D0F">
            <w:pPr>
              <w:widowControl w:val="0"/>
              <w:jc w:val="both"/>
              <w:rPr>
                <w:sz w:val="22"/>
                <w:szCs w:val="22"/>
                <w:lang w:val="sr-Latn-ME" w:eastAsia="en-GB"/>
              </w:rPr>
            </w:pPr>
            <w:r w:rsidRPr="00346B80">
              <w:rPr>
                <w:sz w:val="22"/>
                <w:szCs w:val="22"/>
                <w:lang w:val="sr-Latn-ME" w:eastAsia="en-GB"/>
              </w:rPr>
              <w:t xml:space="preserve">4,0 [3,5; 4,5] </w:t>
            </w:r>
          </w:p>
        </w:tc>
        <w:tc>
          <w:tcPr>
            <w:tcW w:w="1009"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63BC4902" w14:textId="77777777" w:rsidR="00C72D0F" w:rsidRPr="00346B80" w:rsidRDefault="00C72D0F">
            <w:pPr>
              <w:widowControl w:val="0"/>
              <w:jc w:val="both"/>
              <w:rPr>
                <w:sz w:val="22"/>
                <w:szCs w:val="22"/>
                <w:lang w:val="sr-Latn-ME" w:eastAsia="en-GB"/>
              </w:rPr>
            </w:pPr>
            <w:r w:rsidRPr="00346B80">
              <w:rPr>
                <w:sz w:val="22"/>
                <w:szCs w:val="22"/>
                <w:lang w:val="sr-Latn-ME" w:eastAsia="en-GB"/>
              </w:rPr>
              <w:t xml:space="preserve">6,2 [5,7; 6,7] </w:t>
            </w:r>
          </w:p>
        </w:tc>
      </w:tr>
    </w:tbl>
    <w:p w14:paraId="2B8F5C9B" w14:textId="77777777" w:rsidR="00C72D0F" w:rsidRPr="00346B80" w:rsidRDefault="00C72D0F" w:rsidP="00346B80">
      <w:pPr>
        <w:widowControl w:val="0"/>
        <w:jc w:val="both"/>
        <w:rPr>
          <w:sz w:val="22"/>
          <w:szCs w:val="22"/>
          <w:lang w:val="sr-Latn-ME" w:eastAsia="en-GB"/>
        </w:rPr>
      </w:pPr>
    </w:p>
    <w:p w14:paraId="35E07642" w14:textId="4C654B83" w:rsidR="00C72D0F" w:rsidRPr="00346B80" w:rsidRDefault="00C72D0F" w:rsidP="00346B80">
      <w:pPr>
        <w:widowControl w:val="0"/>
        <w:jc w:val="both"/>
        <w:rPr>
          <w:sz w:val="22"/>
          <w:szCs w:val="22"/>
          <w:lang w:val="sr-Latn-ME" w:eastAsia="en-GB"/>
        </w:rPr>
      </w:pPr>
      <w:r w:rsidRPr="00346B80">
        <w:rPr>
          <w:sz w:val="22"/>
          <w:szCs w:val="22"/>
          <w:lang w:val="sr-Latn-ME" w:eastAsia="en-GB"/>
        </w:rPr>
        <w:t xml:space="preserve">Osim toga, primjena </w:t>
      </w:r>
      <w:r w:rsidRPr="00346B80">
        <w:rPr>
          <w:sz w:val="22"/>
          <w:szCs w:val="22"/>
          <w:lang w:val="sr-Latn-ME"/>
        </w:rPr>
        <w:t>Alvodronic</w:t>
      </w:r>
      <w:r w:rsidRPr="00FC2EEC">
        <w:rPr>
          <w:sz w:val="22"/>
          <w:szCs w:val="22"/>
          <w:lang w:val="sr-Latn-ME"/>
        </w:rPr>
        <w:t xml:space="preserve"> 150 mg film tablete</w:t>
      </w:r>
      <w:r w:rsidRPr="00FC2EEC">
        <w:rPr>
          <w:sz w:val="22"/>
          <w:szCs w:val="22"/>
          <w:lang w:val="sr-Latn-ME" w:eastAsia="en-GB"/>
        </w:rPr>
        <w:t xml:space="preserve"> jedanput mjesečno dokazano je bolja od primjene ibandronske kiseline 2,5 mg jedanput dnevno kod povećanja gustine kosti (BMD) lumbalne kičme u prospektivno planiranoj jednogodišnjoj analiz</w:t>
      </w:r>
      <w:r w:rsidRPr="00346B80">
        <w:rPr>
          <w:sz w:val="22"/>
          <w:szCs w:val="22"/>
          <w:lang w:val="sr-Latn-ME" w:eastAsia="en-GB"/>
        </w:rPr>
        <w:t>i, p=0,002, odnosno u dvogodišnjoj analizi, p&lt;0,001.</w:t>
      </w:r>
    </w:p>
    <w:p w14:paraId="7F25948B" w14:textId="7FF36C90" w:rsidR="00C72D0F" w:rsidRPr="00346B80" w:rsidRDefault="00C72D0F" w:rsidP="00FC2EEC">
      <w:pPr>
        <w:widowControl w:val="0"/>
        <w:jc w:val="both"/>
        <w:rPr>
          <w:sz w:val="22"/>
          <w:szCs w:val="22"/>
          <w:lang w:val="sr-Latn-ME" w:eastAsia="en-GB"/>
        </w:rPr>
      </w:pPr>
      <w:r w:rsidRPr="00346B80">
        <w:rPr>
          <w:sz w:val="22"/>
          <w:szCs w:val="22"/>
          <w:lang w:val="sr-Latn-ME" w:eastAsia="en-GB"/>
        </w:rPr>
        <w:t xml:space="preserve">U jednogodišnjoj (primarnoj analizi), 91,3% (p=0,005) pacijenata koji su primali </w:t>
      </w:r>
      <w:r w:rsidRPr="00346B80">
        <w:rPr>
          <w:sz w:val="22"/>
          <w:szCs w:val="22"/>
          <w:lang w:val="sr-Latn-ME"/>
        </w:rPr>
        <w:t>Alvodronic 150 mg film tablete</w:t>
      </w:r>
      <w:r w:rsidRPr="00346B80">
        <w:rPr>
          <w:sz w:val="22"/>
          <w:szCs w:val="22"/>
          <w:lang w:val="sr-Latn-ME" w:eastAsia="en-GB"/>
        </w:rPr>
        <w:t xml:space="preserve"> jedanput mjesečno imali su povećanje gustine kosti (BMD) lumbalne kičme veće ili jednako u odnosu na referentnu vrijednost, u poređenju sa 84% pacijenata koji su primali ibandronsku kiselinu u dozi od 2,5 mg dnevno. Za dvije godine, 93,5% (p=0,004) i 86,4% pacijenata koji su primali </w:t>
      </w:r>
      <w:r w:rsidRPr="00346B80">
        <w:rPr>
          <w:sz w:val="22"/>
          <w:szCs w:val="22"/>
          <w:lang w:val="sr-Latn-ME"/>
        </w:rPr>
        <w:t>Alvodronic 150 mg film tablete</w:t>
      </w:r>
      <w:r w:rsidRPr="00346B80">
        <w:rPr>
          <w:sz w:val="22"/>
          <w:szCs w:val="22"/>
          <w:lang w:val="sr-Latn-ME" w:eastAsia="en-GB"/>
        </w:rPr>
        <w:t xml:space="preserve"> jedanput mjesečno ili ibandronsku kiselinu u dozi od 2,5 mg dnevno, su odgovorili na primjenu lijeka.</w:t>
      </w:r>
    </w:p>
    <w:p w14:paraId="5FC09F24" w14:textId="77777777" w:rsidR="00C72D0F" w:rsidRPr="00346B80" w:rsidRDefault="00C72D0F">
      <w:pPr>
        <w:widowControl w:val="0"/>
        <w:jc w:val="both"/>
        <w:rPr>
          <w:sz w:val="22"/>
          <w:szCs w:val="22"/>
          <w:lang w:val="sr-Latn-ME" w:eastAsia="en-GB"/>
        </w:rPr>
      </w:pPr>
    </w:p>
    <w:p w14:paraId="7BA611A6" w14:textId="57F77B8C" w:rsidR="00C72D0F" w:rsidRPr="00346B80" w:rsidRDefault="00C72D0F">
      <w:pPr>
        <w:widowControl w:val="0"/>
        <w:jc w:val="both"/>
        <w:rPr>
          <w:sz w:val="22"/>
          <w:szCs w:val="22"/>
          <w:lang w:val="sr-Latn-ME" w:eastAsia="en-GB"/>
        </w:rPr>
      </w:pPr>
      <w:r w:rsidRPr="00346B80">
        <w:rPr>
          <w:sz w:val="22"/>
          <w:szCs w:val="22"/>
          <w:lang w:val="sr-Latn-ME" w:eastAsia="en-GB"/>
        </w:rPr>
        <w:t xml:space="preserve">Za gustinu koštane mase (BMD) kuka, 90% (p&lt;0,001) pacijenata koji su primali </w:t>
      </w:r>
      <w:r w:rsidRPr="00346B80">
        <w:rPr>
          <w:sz w:val="22"/>
          <w:szCs w:val="22"/>
          <w:lang w:val="sr-Latn-ME"/>
        </w:rPr>
        <w:t>Alvodronic 150 mg film tablete</w:t>
      </w:r>
      <w:r w:rsidRPr="00346B80">
        <w:rPr>
          <w:sz w:val="22"/>
          <w:szCs w:val="22"/>
          <w:lang w:val="sr-Latn-ME" w:eastAsia="en-GB"/>
        </w:rPr>
        <w:t xml:space="preserve"> jedanput mjesečno i 76,7% pacijenata koji su primali ibandronsku kiselinu u dozi od 2,5 mg dnevno imali su povećanje gustine kosti veće ili jednako u odnosu na referentnu vrijednost za godinu dana. Za dvije godine 93,4% (p&lt;0,001) pacijenata koji su primali </w:t>
      </w:r>
      <w:r w:rsidRPr="00346B80">
        <w:rPr>
          <w:sz w:val="22"/>
          <w:szCs w:val="22"/>
          <w:lang w:val="sr-Latn-ME"/>
        </w:rPr>
        <w:t>Alvodronic 150 mg film tablete</w:t>
      </w:r>
      <w:r w:rsidRPr="00346B80">
        <w:rPr>
          <w:sz w:val="22"/>
          <w:szCs w:val="22"/>
          <w:lang w:val="sr-Latn-ME" w:eastAsia="en-GB"/>
        </w:rPr>
        <w:t xml:space="preserve"> jedanput mjesečno i 78,4% pacijenata koji su primali ibandronsku kiselinu u dozi od 2,5 mg dnevno imali su povećanje gustine kosti veće ili jednako u odnosu na referentnu vrijednost.</w:t>
      </w:r>
    </w:p>
    <w:p w14:paraId="2D000AE3" w14:textId="77777777" w:rsidR="00C72D0F" w:rsidRPr="00346B80" w:rsidRDefault="00C72D0F">
      <w:pPr>
        <w:widowControl w:val="0"/>
        <w:jc w:val="both"/>
        <w:rPr>
          <w:sz w:val="22"/>
          <w:szCs w:val="22"/>
          <w:lang w:val="sr-Latn-ME" w:eastAsia="en-GB"/>
        </w:rPr>
      </w:pPr>
    </w:p>
    <w:p w14:paraId="75AE6A6C" w14:textId="4C4B8379" w:rsidR="00C72D0F" w:rsidRPr="00346B80" w:rsidRDefault="00C72D0F">
      <w:pPr>
        <w:widowControl w:val="0"/>
        <w:jc w:val="both"/>
        <w:rPr>
          <w:sz w:val="22"/>
          <w:szCs w:val="22"/>
          <w:lang w:val="sr-Latn-ME" w:eastAsia="en-GB"/>
        </w:rPr>
      </w:pPr>
      <w:r w:rsidRPr="00346B80">
        <w:rPr>
          <w:sz w:val="22"/>
          <w:szCs w:val="22"/>
          <w:lang w:val="sr-Latn-ME" w:eastAsia="en-GB"/>
        </w:rPr>
        <w:t xml:space="preserve">Kada se razmotri strožiji kriterijum, koji kombinuje i BMD lumbalne kičme i BMD kuka, 83,9% (p&lt;0,001) i 65,7% pacijenata koji su primali </w:t>
      </w:r>
      <w:r w:rsidRPr="00346B80">
        <w:rPr>
          <w:sz w:val="22"/>
          <w:szCs w:val="22"/>
          <w:lang w:val="sr-Latn-ME"/>
        </w:rPr>
        <w:t>Alvodronic 150 mg film tablete</w:t>
      </w:r>
      <w:r w:rsidRPr="00346B80">
        <w:rPr>
          <w:sz w:val="22"/>
          <w:szCs w:val="22"/>
          <w:lang w:val="sr-Latn-ME" w:eastAsia="en-GB"/>
        </w:rPr>
        <w:t xml:space="preserve"> jedanput mjesečno, </w:t>
      </w:r>
      <w:r w:rsidRPr="00346B80">
        <w:rPr>
          <w:sz w:val="22"/>
          <w:szCs w:val="22"/>
          <w:lang w:val="sr-Latn-ME" w:eastAsia="en-GB"/>
        </w:rPr>
        <w:lastRenderedPageBreak/>
        <w:t>odnosno  ibandronsku kiselinu u dozi od 2,5 mg dnevno, odgovorili su na primjenu lijeka za godinu dana. Za dvije godine, 87,1% (p&lt;0,001) pacijenata koji su primali 150 mg jedanput mjesečno, odnosno 70,5% pacijenata koji su primali 2,5 mg dnevno ispunilo je ovaj kriterijum.</w:t>
      </w:r>
    </w:p>
    <w:p w14:paraId="3F35A7C5" w14:textId="77777777" w:rsidR="00C72D0F" w:rsidRPr="00346B80" w:rsidRDefault="00C72D0F">
      <w:pPr>
        <w:widowControl w:val="0"/>
        <w:jc w:val="both"/>
        <w:rPr>
          <w:sz w:val="22"/>
          <w:szCs w:val="22"/>
          <w:lang w:val="sr-Latn-ME" w:eastAsia="en-GB"/>
        </w:rPr>
      </w:pPr>
    </w:p>
    <w:p w14:paraId="08721832" w14:textId="77777777" w:rsidR="00C72D0F" w:rsidRPr="00346B80" w:rsidRDefault="00C72D0F">
      <w:pPr>
        <w:widowControl w:val="0"/>
        <w:jc w:val="both"/>
        <w:rPr>
          <w:sz w:val="22"/>
          <w:szCs w:val="22"/>
          <w:lang w:val="sr-Latn-ME" w:eastAsia="en-GB"/>
        </w:rPr>
      </w:pPr>
      <w:r w:rsidRPr="00346B80">
        <w:rPr>
          <w:sz w:val="22"/>
          <w:szCs w:val="22"/>
          <w:u w:val="single"/>
          <w:lang w:val="sr-Latn-ME" w:eastAsia="en-GB"/>
        </w:rPr>
        <w:t>Biohemijski markeri remodelovanja kostiju</w:t>
      </w:r>
    </w:p>
    <w:p w14:paraId="1C16F1A9" w14:textId="07FF9C17" w:rsidR="00C72D0F" w:rsidRPr="00346B80" w:rsidRDefault="00C72D0F">
      <w:pPr>
        <w:widowControl w:val="0"/>
        <w:jc w:val="both"/>
        <w:rPr>
          <w:sz w:val="22"/>
          <w:szCs w:val="22"/>
          <w:lang w:val="sr-Latn-ME" w:eastAsia="en-GB"/>
        </w:rPr>
      </w:pPr>
      <w:r w:rsidRPr="00346B80">
        <w:rPr>
          <w:sz w:val="22"/>
          <w:szCs w:val="22"/>
          <w:lang w:val="sr-Latn-ME" w:eastAsia="en-GB"/>
        </w:rPr>
        <w:t xml:space="preserve">Klinički značajno smanjenje serumskog CTX nivoa primijećeno je pri svakom mjerenju, npr. nakon 3, 6, 12 i 24 mjeseci. Nakon jedne godine (primarna analiza) srednja vrijednost relativne promjene u odnosu na referentnu vrijednost bila je -76% za </w:t>
      </w:r>
      <w:r w:rsidRPr="00346B80">
        <w:rPr>
          <w:sz w:val="22"/>
          <w:szCs w:val="22"/>
          <w:lang w:val="sr-Latn-ME"/>
        </w:rPr>
        <w:t>Alvodronic 150 mg film tablete</w:t>
      </w:r>
      <w:r w:rsidRPr="00346B80">
        <w:rPr>
          <w:sz w:val="22"/>
          <w:szCs w:val="22"/>
          <w:lang w:val="sr-Latn-ME" w:eastAsia="en-GB"/>
        </w:rPr>
        <w:t xml:space="preserve"> jedanput mjesečno i - 67% za ibandronsku kiselinu 2,5 mg dnevno. Za dvije godine srednja vrijednost relativne promjene bila je – 68% i – 62%, za 150 mg jedanput mjesečno, odnosno 2,5 mg dnevno.</w:t>
      </w:r>
    </w:p>
    <w:p w14:paraId="37419C6A" w14:textId="7413DDBE" w:rsidR="00C72D0F" w:rsidRPr="00346B80" w:rsidRDefault="00C72D0F">
      <w:pPr>
        <w:widowControl w:val="0"/>
        <w:jc w:val="both"/>
        <w:rPr>
          <w:sz w:val="22"/>
          <w:szCs w:val="22"/>
          <w:lang w:val="sr-Latn-ME" w:eastAsia="en-GB"/>
        </w:rPr>
      </w:pPr>
      <w:r w:rsidRPr="00346B80">
        <w:rPr>
          <w:sz w:val="22"/>
          <w:szCs w:val="22"/>
          <w:lang w:val="sr-Latn-ME" w:eastAsia="en-GB"/>
        </w:rPr>
        <w:t xml:space="preserve">Za godinu dana, 83,5% (p=0,006) pacijenata koji su primali </w:t>
      </w:r>
      <w:r w:rsidRPr="00346B80">
        <w:rPr>
          <w:sz w:val="22"/>
          <w:szCs w:val="22"/>
          <w:lang w:val="sr-Latn-ME"/>
        </w:rPr>
        <w:t>Alvodronic 150 mg film tablete</w:t>
      </w:r>
      <w:r w:rsidRPr="00346B80">
        <w:rPr>
          <w:sz w:val="22"/>
          <w:szCs w:val="22"/>
          <w:lang w:val="sr-Latn-ME" w:eastAsia="en-GB"/>
        </w:rPr>
        <w:t xml:space="preserve"> jedanput mesečno i 73,9% pacijenata koji su primali ibandronsku kiselinu 2,5 mg dnevno bili su označeni kao pacijenti koji su dali odgovor na primjenu leka (definisano kao smanjenje ≥ 50% u odnosu na referentnu vrijednost). Za dvije godine 78,7% (p=0,002) i 65,6% pacijenata bilo je identifikovano kao pacijenti koji su dali odgovor na primjenu 150 mg lijeka jedanput mjesečno, odnosno na primjenu 2,5 mg dnevno.</w:t>
      </w:r>
    </w:p>
    <w:p w14:paraId="6B1A54F0" w14:textId="392EB57D" w:rsidR="00C72D0F" w:rsidRPr="00ED752B" w:rsidRDefault="00C72D0F">
      <w:pPr>
        <w:widowControl w:val="0"/>
        <w:jc w:val="both"/>
        <w:rPr>
          <w:sz w:val="22"/>
          <w:szCs w:val="22"/>
          <w:lang w:val="sr-Latn-ME" w:eastAsia="en-GB"/>
        </w:rPr>
      </w:pPr>
      <w:r w:rsidRPr="00346B80">
        <w:rPr>
          <w:sz w:val="22"/>
          <w:szCs w:val="22"/>
          <w:lang w:val="sr-Latn-ME" w:eastAsia="en-GB"/>
        </w:rPr>
        <w:t xml:space="preserve">Na osnovu rezultata dobijenih iz studije BM 16549, za lijek </w:t>
      </w:r>
      <w:r w:rsidRPr="00346B80">
        <w:rPr>
          <w:sz w:val="22"/>
          <w:szCs w:val="22"/>
          <w:lang w:val="sr-Latn-ME"/>
        </w:rPr>
        <w:t>Alvodronic 150 mg film tablete</w:t>
      </w:r>
      <w:r w:rsidRPr="00346B80">
        <w:rPr>
          <w:sz w:val="22"/>
          <w:szCs w:val="22"/>
          <w:lang w:val="sr-Latn-ME" w:eastAsia="en-GB"/>
        </w:rPr>
        <w:t xml:space="preserve"> primijenjene jedanput mjesečno očekuje se da bude makar onoliko efikasan u spr</w:t>
      </w:r>
      <w:r w:rsidR="00ED752B">
        <w:rPr>
          <w:sz w:val="22"/>
          <w:szCs w:val="22"/>
          <w:lang w:val="sr-Latn-ME" w:eastAsia="en-GB"/>
        </w:rPr>
        <w:t>j</w:t>
      </w:r>
      <w:r w:rsidRPr="00ED752B">
        <w:rPr>
          <w:sz w:val="22"/>
          <w:szCs w:val="22"/>
          <w:lang w:val="sr-Latn-ME" w:eastAsia="en-GB"/>
        </w:rPr>
        <w:t>ečavanju nastanka fraktura koliko je ibandronska kiselina primijenjena u dozi od 2,5 mg dnevno.</w:t>
      </w:r>
    </w:p>
    <w:p w14:paraId="44D21741" w14:textId="77777777" w:rsidR="00C53453" w:rsidRPr="00346B80" w:rsidRDefault="00C53453">
      <w:pPr>
        <w:widowControl w:val="0"/>
        <w:jc w:val="both"/>
        <w:rPr>
          <w:sz w:val="22"/>
          <w:szCs w:val="22"/>
          <w:u w:val="single"/>
          <w:lang w:val="sr-Latn-ME" w:eastAsia="en-GB"/>
        </w:rPr>
      </w:pPr>
    </w:p>
    <w:p w14:paraId="6C39717F" w14:textId="3256BE5F" w:rsidR="00C72D0F" w:rsidRPr="00346B80" w:rsidRDefault="00C72D0F">
      <w:pPr>
        <w:widowControl w:val="0"/>
        <w:jc w:val="both"/>
        <w:rPr>
          <w:sz w:val="22"/>
          <w:szCs w:val="22"/>
          <w:u w:val="single"/>
          <w:lang w:val="sr-Latn-ME" w:eastAsia="en-GB"/>
        </w:rPr>
      </w:pPr>
      <w:r w:rsidRPr="00346B80">
        <w:rPr>
          <w:sz w:val="22"/>
          <w:szCs w:val="22"/>
          <w:u w:val="single"/>
          <w:lang w:val="sr-Latn-ME" w:eastAsia="en-GB"/>
        </w:rPr>
        <w:t>Ibandronska kiselina 2,5 mg dnevno</w:t>
      </w:r>
    </w:p>
    <w:p w14:paraId="72C40E25" w14:textId="77777777" w:rsidR="00C72D0F" w:rsidRPr="00346B80" w:rsidRDefault="00C72D0F">
      <w:pPr>
        <w:widowControl w:val="0"/>
        <w:jc w:val="both"/>
        <w:rPr>
          <w:sz w:val="22"/>
          <w:szCs w:val="22"/>
          <w:lang w:val="sr-Latn-ME" w:eastAsia="en-GB"/>
        </w:rPr>
      </w:pPr>
      <w:r w:rsidRPr="00346B80">
        <w:rPr>
          <w:sz w:val="22"/>
          <w:szCs w:val="22"/>
          <w:lang w:val="sr-Latn-ME" w:eastAsia="en-GB"/>
        </w:rPr>
        <w:t>Na početku trogodišnje, randomizirane, dvostruko slijepe, placebom kontrolisane, studije frakture (MF 4411), prikazano je statistički značajno i medicinski relevantno smanjenje incidence novih radiografskih morfometrijskih i kliničkih fraktura kičmenih pršljenova (tabela 3). U ovoj studiji, procjenjivana je ibandronska kiselina</w:t>
      </w:r>
      <w:r w:rsidRPr="00346B80">
        <w:rPr>
          <w:b/>
          <w:sz w:val="22"/>
          <w:szCs w:val="22"/>
          <w:lang w:val="sr-Latn-ME" w:eastAsia="en-GB"/>
        </w:rPr>
        <w:t xml:space="preserve"> </w:t>
      </w:r>
      <w:r w:rsidRPr="00346B80">
        <w:rPr>
          <w:sz w:val="22"/>
          <w:szCs w:val="22"/>
          <w:lang w:val="sr-Latn-ME" w:eastAsia="en-GB"/>
        </w:rPr>
        <w:t>pri primjeni oralnih doza od 2,5 mg dnevno i 20 mg povremeno. Ibandronska kiselina uzimana je 60 minuta prije prvog dnevnog obroka ili napitka. U studiji su učestvovale žene od 55 do 80 godina, koje su najmanje 5 godina u postmenopauzi, koje su imale BMD lumbalne kičme od 2 do 5 SD ispod prosječnog premenopauzalnog (T-rezultata) u najmanje jednom pršljenu (L1-L4) i koje su imale jednu do četiri prethodne frakture pršljena. Sve pacijentkinje primale su 500 mg kalcijuma i 400 IU vitamina D dnevno. Efikasnost je procijenjena kod 2928 pacijentkinja. Ibandronska kiselina</w:t>
      </w:r>
      <w:r w:rsidRPr="00346B80">
        <w:rPr>
          <w:b/>
          <w:sz w:val="22"/>
          <w:szCs w:val="22"/>
          <w:lang w:val="sr-Latn-ME" w:eastAsia="en-GB"/>
        </w:rPr>
        <w:t xml:space="preserve"> </w:t>
      </w:r>
      <w:r w:rsidRPr="00346B80">
        <w:rPr>
          <w:sz w:val="22"/>
          <w:szCs w:val="22"/>
          <w:lang w:val="sr-Latn-ME" w:eastAsia="en-GB"/>
        </w:rPr>
        <w:t>u dozi od 2,5 mg primijenjena jednom dnevno pokazala je statistički značajno i medicinski relevantno smanjenje incidence novih fraktura kičmenih pršljenova. Ovaj način liječenja smanjuje pojavu novih radiografskih fraktura pršljenova za 62% (p=0,0001) kroz tri godine trajanja studije. Relativni rizik smanjenja od 61% primijećen je nakon 2 godine (p=0,0006). Nije postignuta statistički značajna razlika nakon godine dana liječenja (p=0,056). Anti-frakturni efekat bio je nepromjenjiv za vrijeme trajanja studije. Nije bilo nagovještaja o slabljenju efekta tokom vremena.</w:t>
      </w:r>
    </w:p>
    <w:p w14:paraId="665F88C4" w14:textId="77777777" w:rsidR="00C72D0F" w:rsidRPr="00346B80" w:rsidRDefault="00C72D0F">
      <w:pPr>
        <w:widowControl w:val="0"/>
        <w:jc w:val="both"/>
        <w:rPr>
          <w:sz w:val="22"/>
          <w:szCs w:val="22"/>
          <w:lang w:val="sr-Latn-ME" w:eastAsia="en-GB"/>
        </w:rPr>
      </w:pPr>
      <w:r w:rsidRPr="00346B80">
        <w:rPr>
          <w:sz w:val="22"/>
          <w:szCs w:val="22"/>
          <w:lang w:val="sr-Latn-ME" w:eastAsia="en-GB"/>
        </w:rPr>
        <w:t>Incidenca kliničke frakture kičmenih pršljenova takođe je značajno smanjena za 49% (p=0,011). Snažan uticaj na frakturu kičmenih pršljenova nadalje se reflektuje statistički značajnim smanjenjem gubitka visine u poređenju sa placebom (p&lt;0,0001).</w:t>
      </w:r>
    </w:p>
    <w:p w14:paraId="7A0EB39F" w14:textId="77777777" w:rsidR="00C72D0F" w:rsidRPr="00346B80" w:rsidRDefault="00C72D0F">
      <w:pPr>
        <w:widowControl w:val="0"/>
        <w:jc w:val="both"/>
        <w:rPr>
          <w:sz w:val="22"/>
          <w:szCs w:val="22"/>
          <w:lang w:val="sr-Latn-ME" w:eastAsia="en-GB"/>
        </w:rPr>
      </w:pPr>
    </w:p>
    <w:p w14:paraId="210DD499" w14:textId="77777777" w:rsidR="00C72D0F" w:rsidRPr="00346B80" w:rsidRDefault="00C72D0F">
      <w:pPr>
        <w:widowControl w:val="0"/>
        <w:jc w:val="both"/>
        <w:rPr>
          <w:sz w:val="22"/>
          <w:szCs w:val="22"/>
          <w:lang w:val="sr-Latn-ME" w:eastAsia="en-GB"/>
        </w:rPr>
      </w:pPr>
      <w:r w:rsidRPr="00346B80">
        <w:rPr>
          <w:sz w:val="22"/>
          <w:szCs w:val="22"/>
          <w:lang w:val="sr-Latn-ME" w:eastAsia="en-GB"/>
        </w:rPr>
        <w:t>Tabela 3: Rezultati iz trogodišnje studije frakture MF 4411 (%, 95% CI)</w:t>
      </w:r>
    </w:p>
    <w:p w14:paraId="2AA1B28C" w14:textId="77777777" w:rsidR="00C72D0F" w:rsidRPr="00346B80" w:rsidRDefault="00C72D0F">
      <w:pPr>
        <w:widowControl w:val="0"/>
        <w:jc w:val="both"/>
        <w:rPr>
          <w:sz w:val="22"/>
          <w:szCs w:val="22"/>
          <w:lang w:val="sr-Latn-ME" w:eastAsia="en-GB"/>
        </w:rPr>
      </w:pP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3576"/>
        <w:gridCol w:w="2583"/>
        <w:gridCol w:w="2898"/>
      </w:tblGrid>
      <w:tr w:rsidR="00C72D0F" w:rsidRPr="000210AD" w14:paraId="70A7EEDE" w14:textId="77777777" w:rsidTr="00814AE3">
        <w:trPr>
          <w:tblCellSpacing w:w="0" w:type="dxa"/>
        </w:trPr>
        <w:tc>
          <w:tcPr>
            <w:tcW w:w="1974"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184B6AD8" w14:textId="77777777" w:rsidR="00C72D0F" w:rsidRPr="00346B80" w:rsidRDefault="00C72D0F">
            <w:pPr>
              <w:widowControl w:val="0"/>
              <w:jc w:val="both"/>
              <w:rPr>
                <w:sz w:val="22"/>
                <w:szCs w:val="22"/>
                <w:lang w:val="sr-Latn-ME" w:eastAsia="en-GB"/>
              </w:rPr>
            </w:pPr>
            <w:r w:rsidRPr="00346B80">
              <w:rPr>
                <w:sz w:val="22"/>
                <w:szCs w:val="22"/>
                <w:lang w:val="sr-Latn-ME" w:eastAsia="en-GB"/>
              </w:rPr>
              <w:t> </w:t>
            </w:r>
          </w:p>
          <w:p w14:paraId="204EACF9" w14:textId="77777777" w:rsidR="00C72D0F" w:rsidRPr="00346B80" w:rsidRDefault="00C72D0F">
            <w:pPr>
              <w:widowControl w:val="0"/>
              <w:jc w:val="both"/>
              <w:rPr>
                <w:sz w:val="22"/>
                <w:szCs w:val="22"/>
                <w:lang w:val="sr-Latn-ME" w:eastAsia="en-GB"/>
              </w:rPr>
            </w:pPr>
            <w:r w:rsidRPr="00346B80">
              <w:rPr>
                <w:sz w:val="22"/>
                <w:szCs w:val="22"/>
                <w:lang w:val="sr-Latn-ME" w:eastAsia="en-GB"/>
              </w:rPr>
              <w:t> </w:t>
            </w:r>
          </w:p>
        </w:tc>
        <w:tc>
          <w:tcPr>
            <w:tcW w:w="142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054E9165" w14:textId="77777777" w:rsidR="00C72D0F" w:rsidRPr="00346B80" w:rsidRDefault="00C72D0F">
            <w:pPr>
              <w:widowControl w:val="0"/>
              <w:jc w:val="both"/>
              <w:rPr>
                <w:sz w:val="22"/>
                <w:szCs w:val="22"/>
                <w:lang w:val="sr-Latn-ME" w:eastAsia="en-GB"/>
              </w:rPr>
            </w:pPr>
            <w:r w:rsidRPr="00346B80">
              <w:rPr>
                <w:sz w:val="22"/>
                <w:szCs w:val="22"/>
                <w:lang w:val="sr-Latn-ME" w:eastAsia="en-GB"/>
              </w:rPr>
              <w:t>Placebo</w:t>
            </w:r>
          </w:p>
          <w:p w14:paraId="322C875D" w14:textId="77777777" w:rsidR="00C72D0F" w:rsidRPr="00346B80" w:rsidRDefault="00C72D0F">
            <w:pPr>
              <w:widowControl w:val="0"/>
              <w:jc w:val="both"/>
              <w:rPr>
                <w:sz w:val="22"/>
                <w:szCs w:val="22"/>
                <w:lang w:val="sr-Latn-ME" w:eastAsia="en-GB"/>
              </w:rPr>
            </w:pPr>
            <w:r w:rsidRPr="00346B80">
              <w:rPr>
                <w:sz w:val="22"/>
                <w:szCs w:val="22"/>
                <w:lang w:val="sr-Latn-ME" w:eastAsia="en-GB"/>
              </w:rPr>
              <w:t>(N=974)</w:t>
            </w:r>
          </w:p>
        </w:tc>
        <w:tc>
          <w:tcPr>
            <w:tcW w:w="1600"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7151D30C" w14:textId="77777777" w:rsidR="00C72D0F" w:rsidRPr="00346B80" w:rsidRDefault="00C72D0F">
            <w:pPr>
              <w:widowControl w:val="0"/>
              <w:jc w:val="both"/>
              <w:rPr>
                <w:sz w:val="22"/>
                <w:szCs w:val="22"/>
                <w:lang w:val="sr-Latn-ME" w:eastAsia="en-GB"/>
              </w:rPr>
            </w:pPr>
            <w:r w:rsidRPr="00346B80">
              <w:rPr>
                <w:sz w:val="22"/>
                <w:szCs w:val="22"/>
                <w:lang w:val="sr-Latn-ME" w:eastAsia="en-GB"/>
              </w:rPr>
              <w:t>Ibandronska kiselina 2,5 mg dnevno</w:t>
            </w:r>
          </w:p>
          <w:p w14:paraId="6B1A7283" w14:textId="77777777" w:rsidR="00C72D0F" w:rsidRPr="00346B80" w:rsidRDefault="00C72D0F">
            <w:pPr>
              <w:widowControl w:val="0"/>
              <w:jc w:val="both"/>
              <w:rPr>
                <w:sz w:val="22"/>
                <w:szCs w:val="22"/>
                <w:lang w:val="sr-Latn-ME" w:eastAsia="en-GB"/>
              </w:rPr>
            </w:pPr>
            <w:r w:rsidRPr="00346B80">
              <w:rPr>
                <w:sz w:val="22"/>
                <w:szCs w:val="22"/>
                <w:lang w:val="sr-Latn-ME" w:eastAsia="en-GB"/>
              </w:rPr>
              <w:t>(N=977)</w:t>
            </w:r>
          </w:p>
        </w:tc>
      </w:tr>
      <w:tr w:rsidR="00C72D0F" w:rsidRPr="00346B80" w14:paraId="5751CDED" w14:textId="77777777" w:rsidTr="00814AE3">
        <w:trPr>
          <w:tblCellSpacing w:w="0" w:type="dxa"/>
        </w:trPr>
        <w:tc>
          <w:tcPr>
            <w:tcW w:w="1974"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7583AE69" w14:textId="77777777" w:rsidR="00C72D0F" w:rsidRPr="00346B80" w:rsidRDefault="00C72D0F" w:rsidP="00346B80">
            <w:pPr>
              <w:widowControl w:val="0"/>
              <w:jc w:val="both"/>
              <w:rPr>
                <w:sz w:val="22"/>
                <w:szCs w:val="22"/>
                <w:lang w:val="sr-Latn-ME" w:eastAsia="en-GB"/>
              </w:rPr>
            </w:pPr>
            <w:r w:rsidRPr="00346B80">
              <w:rPr>
                <w:sz w:val="22"/>
                <w:szCs w:val="22"/>
                <w:lang w:val="sr-Latn-ME" w:eastAsia="en-GB"/>
              </w:rPr>
              <w:t>Relativni rizik smanjenja</w:t>
            </w:r>
          </w:p>
          <w:p w14:paraId="57C6E469" w14:textId="77777777" w:rsidR="00C72D0F" w:rsidRPr="00FC2EEC" w:rsidRDefault="00C72D0F" w:rsidP="00FC2EEC">
            <w:pPr>
              <w:widowControl w:val="0"/>
              <w:jc w:val="both"/>
              <w:rPr>
                <w:sz w:val="22"/>
                <w:szCs w:val="22"/>
                <w:lang w:val="sr-Latn-ME" w:eastAsia="en-GB"/>
              </w:rPr>
            </w:pPr>
            <w:r w:rsidRPr="00FC2EEC">
              <w:rPr>
                <w:sz w:val="22"/>
                <w:szCs w:val="22"/>
                <w:lang w:val="sr-Latn-ME" w:eastAsia="en-GB"/>
              </w:rPr>
              <w:t>novih morfometrijskih fraktura kičmenih pršljenova</w:t>
            </w:r>
          </w:p>
        </w:tc>
        <w:tc>
          <w:tcPr>
            <w:tcW w:w="142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04356A23" w14:textId="77777777" w:rsidR="00C72D0F" w:rsidRPr="00346B80" w:rsidRDefault="00C72D0F">
            <w:pPr>
              <w:widowControl w:val="0"/>
              <w:jc w:val="both"/>
              <w:rPr>
                <w:sz w:val="22"/>
                <w:szCs w:val="22"/>
                <w:lang w:val="sr-Latn-ME" w:eastAsia="en-GB"/>
              </w:rPr>
            </w:pPr>
            <w:r w:rsidRPr="00346B80">
              <w:rPr>
                <w:sz w:val="22"/>
                <w:szCs w:val="22"/>
                <w:lang w:val="sr-Latn-ME" w:eastAsia="en-GB"/>
              </w:rPr>
              <w:t> </w:t>
            </w:r>
          </w:p>
          <w:p w14:paraId="103579F7" w14:textId="77777777" w:rsidR="00C72D0F" w:rsidRPr="00346B80" w:rsidRDefault="00C72D0F">
            <w:pPr>
              <w:widowControl w:val="0"/>
              <w:jc w:val="both"/>
              <w:rPr>
                <w:sz w:val="22"/>
                <w:szCs w:val="22"/>
                <w:lang w:val="sr-Latn-ME" w:eastAsia="en-GB"/>
              </w:rPr>
            </w:pPr>
            <w:r w:rsidRPr="00346B80">
              <w:rPr>
                <w:sz w:val="22"/>
                <w:szCs w:val="22"/>
                <w:lang w:val="sr-Latn-ME" w:eastAsia="en-GB"/>
              </w:rPr>
              <w:t> </w:t>
            </w:r>
          </w:p>
        </w:tc>
        <w:tc>
          <w:tcPr>
            <w:tcW w:w="1600"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6E94A383" w14:textId="77777777" w:rsidR="00C72D0F" w:rsidRPr="00346B80" w:rsidRDefault="00C72D0F">
            <w:pPr>
              <w:widowControl w:val="0"/>
              <w:jc w:val="both"/>
              <w:rPr>
                <w:sz w:val="22"/>
                <w:szCs w:val="22"/>
                <w:lang w:val="sr-Latn-ME" w:eastAsia="en-GB"/>
              </w:rPr>
            </w:pPr>
            <w:r w:rsidRPr="00346B80">
              <w:rPr>
                <w:sz w:val="22"/>
                <w:szCs w:val="22"/>
                <w:lang w:val="sr-Latn-ME" w:eastAsia="en-GB"/>
              </w:rPr>
              <w:t>62 % (40,9; 75,1)</w:t>
            </w:r>
          </w:p>
        </w:tc>
      </w:tr>
      <w:tr w:rsidR="00C72D0F" w:rsidRPr="00346B80" w14:paraId="24C45D13" w14:textId="77777777" w:rsidTr="00814AE3">
        <w:trPr>
          <w:tblCellSpacing w:w="0" w:type="dxa"/>
        </w:trPr>
        <w:tc>
          <w:tcPr>
            <w:tcW w:w="1974"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7855E851" w14:textId="77777777" w:rsidR="00C72D0F" w:rsidRPr="00346B80" w:rsidRDefault="00C72D0F" w:rsidP="00346B80">
            <w:pPr>
              <w:widowControl w:val="0"/>
              <w:jc w:val="both"/>
              <w:rPr>
                <w:sz w:val="22"/>
                <w:szCs w:val="22"/>
                <w:lang w:val="sr-Latn-ME" w:eastAsia="en-GB"/>
              </w:rPr>
            </w:pPr>
            <w:r w:rsidRPr="00346B80">
              <w:rPr>
                <w:sz w:val="22"/>
                <w:szCs w:val="22"/>
                <w:lang w:val="sr-Latn-ME" w:eastAsia="en-GB"/>
              </w:rPr>
              <w:t xml:space="preserve">Incidenca novih morfometrijskih fraktura kičmenih pršljenova </w:t>
            </w:r>
          </w:p>
        </w:tc>
        <w:tc>
          <w:tcPr>
            <w:tcW w:w="142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12BE68DC" w14:textId="77777777" w:rsidR="00C72D0F" w:rsidRPr="00FC2EEC" w:rsidRDefault="00C72D0F" w:rsidP="00FC2EEC">
            <w:pPr>
              <w:widowControl w:val="0"/>
              <w:jc w:val="both"/>
              <w:rPr>
                <w:sz w:val="22"/>
                <w:szCs w:val="22"/>
                <w:lang w:val="sr-Latn-ME" w:eastAsia="en-GB"/>
              </w:rPr>
            </w:pPr>
            <w:r w:rsidRPr="00FC2EEC">
              <w:rPr>
                <w:sz w:val="22"/>
                <w:szCs w:val="22"/>
                <w:lang w:val="sr-Latn-ME" w:eastAsia="en-GB"/>
              </w:rPr>
              <w:t>9,56 % (7,5; 11,7)</w:t>
            </w:r>
          </w:p>
        </w:tc>
        <w:tc>
          <w:tcPr>
            <w:tcW w:w="1600"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2DC97619" w14:textId="77777777" w:rsidR="00C72D0F" w:rsidRPr="00346B80" w:rsidRDefault="00C72D0F">
            <w:pPr>
              <w:widowControl w:val="0"/>
              <w:jc w:val="both"/>
              <w:rPr>
                <w:sz w:val="22"/>
                <w:szCs w:val="22"/>
                <w:lang w:val="sr-Latn-ME" w:eastAsia="en-GB"/>
              </w:rPr>
            </w:pPr>
            <w:r w:rsidRPr="00346B80">
              <w:rPr>
                <w:sz w:val="22"/>
                <w:szCs w:val="22"/>
                <w:lang w:val="sr-Latn-ME" w:eastAsia="en-GB"/>
              </w:rPr>
              <w:t>4,68 % (3,2; 6,2)</w:t>
            </w:r>
          </w:p>
        </w:tc>
      </w:tr>
      <w:tr w:rsidR="00C72D0F" w:rsidRPr="00346B80" w14:paraId="1BED0880" w14:textId="77777777" w:rsidTr="00814AE3">
        <w:trPr>
          <w:tblCellSpacing w:w="0" w:type="dxa"/>
        </w:trPr>
        <w:tc>
          <w:tcPr>
            <w:tcW w:w="1974"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1C335A07" w14:textId="77777777" w:rsidR="00C72D0F" w:rsidRPr="00346B80" w:rsidRDefault="00C72D0F" w:rsidP="00346B80">
            <w:pPr>
              <w:widowControl w:val="0"/>
              <w:jc w:val="both"/>
              <w:rPr>
                <w:sz w:val="22"/>
                <w:szCs w:val="22"/>
                <w:lang w:val="sr-Latn-ME" w:eastAsia="en-GB"/>
              </w:rPr>
            </w:pPr>
            <w:r w:rsidRPr="00346B80">
              <w:rPr>
                <w:sz w:val="22"/>
                <w:szCs w:val="22"/>
                <w:lang w:val="sr-Latn-ME" w:eastAsia="en-GB"/>
              </w:rPr>
              <w:t>Relativni rizik smanjenja kliničkih fraktura kičmenih pršljenova</w:t>
            </w:r>
          </w:p>
          <w:p w14:paraId="791173E4" w14:textId="77777777" w:rsidR="00C72D0F" w:rsidRPr="00FC2EEC" w:rsidRDefault="00C72D0F" w:rsidP="00FC2EEC">
            <w:pPr>
              <w:widowControl w:val="0"/>
              <w:jc w:val="both"/>
              <w:rPr>
                <w:sz w:val="22"/>
                <w:szCs w:val="22"/>
                <w:lang w:val="sr-Latn-ME" w:eastAsia="en-GB"/>
              </w:rPr>
            </w:pPr>
          </w:p>
        </w:tc>
        <w:tc>
          <w:tcPr>
            <w:tcW w:w="142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2D97D842" w14:textId="77777777" w:rsidR="00C72D0F" w:rsidRPr="00346B80" w:rsidRDefault="00C72D0F">
            <w:pPr>
              <w:widowControl w:val="0"/>
              <w:jc w:val="both"/>
              <w:rPr>
                <w:sz w:val="22"/>
                <w:szCs w:val="22"/>
                <w:lang w:val="sr-Latn-ME" w:eastAsia="en-GB"/>
              </w:rPr>
            </w:pPr>
            <w:r w:rsidRPr="00346B80">
              <w:rPr>
                <w:sz w:val="22"/>
                <w:szCs w:val="22"/>
                <w:lang w:val="sr-Latn-ME" w:eastAsia="en-GB"/>
              </w:rPr>
              <w:t> </w:t>
            </w:r>
          </w:p>
          <w:p w14:paraId="35501B24" w14:textId="77777777" w:rsidR="00C72D0F" w:rsidRPr="00346B80" w:rsidRDefault="00C72D0F">
            <w:pPr>
              <w:widowControl w:val="0"/>
              <w:jc w:val="both"/>
              <w:rPr>
                <w:sz w:val="22"/>
                <w:szCs w:val="22"/>
                <w:lang w:val="sr-Latn-ME" w:eastAsia="en-GB"/>
              </w:rPr>
            </w:pPr>
            <w:r w:rsidRPr="00346B80">
              <w:rPr>
                <w:sz w:val="22"/>
                <w:szCs w:val="22"/>
                <w:lang w:val="sr-Latn-ME" w:eastAsia="en-GB"/>
              </w:rPr>
              <w:t> </w:t>
            </w:r>
          </w:p>
        </w:tc>
        <w:tc>
          <w:tcPr>
            <w:tcW w:w="1600"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5D2E12A3" w14:textId="77777777" w:rsidR="00C72D0F" w:rsidRPr="00346B80" w:rsidRDefault="00C72D0F">
            <w:pPr>
              <w:widowControl w:val="0"/>
              <w:jc w:val="both"/>
              <w:rPr>
                <w:sz w:val="22"/>
                <w:szCs w:val="22"/>
                <w:lang w:val="sr-Latn-ME" w:eastAsia="en-GB"/>
              </w:rPr>
            </w:pPr>
            <w:r w:rsidRPr="00346B80">
              <w:rPr>
                <w:sz w:val="22"/>
                <w:szCs w:val="22"/>
                <w:lang w:val="sr-Latn-ME" w:eastAsia="en-GB"/>
              </w:rPr>
              <w:t xml:space="preserve">49 % </w:t>
            </w:r>
          </w:p>
          <w:p w14:paraId="4B8DD9E5" w14:textId="77777777" w:rsidR="00C72D0F" w:rsidRPr="00346B80" w:rsidRDefault="00C72D0F">
            <w:pPr>
              <w:widowControl w:val="0"/>
              <w:jc w:val="both"/>
              <w:rPr>
                <w:sz w:val="22"/>
                <w:szCs w:val="22"/>
                <w:lang w:val="sr-Latn-ME" w:eastAsia="en-GB"/>
              </w:rPr>
            </w:pPr>
            <w:r w:rsidRPr="00346B80">
              <w:rPr>
                <w:sz w:val="22"/>
                <w:szCs w:val="22"/>
                <w:lang w:val="sr-Latn-ME" w:eastAsia="en-GB"/>
              </w:rPr>
              <w:t>(14,03; 69,49)</w:t>
            </w:r>
          </w:p>
        </w:tc>
      </w:tr>
      <w:tr w:rsidR="00C72D0F" w:rsidRPr="00346B80" w14:paraId="34E7FAF6" w14:textId="77777777" w:rsidTr="00814AE3">
        <w:trPr>
          <w:tblCellSpacing w:w="0" w:type="dxa"/>
        </w:trPr>
        <w:tc>
          <w:tcPr>
            <w:tcW w:w="1974"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6F6BD5F6" w14:textId="77777777" w:rsidR="00C72D0F" w:rsidRPr="00346B80" w:rsidRDefault="00C72D0F" w:rsidP="00346B80">
            <w:pPr>
              <w:widowControl w:val="0"/>
              <w:jc w:val="both"/>
              <w:rPr>
                <w:sz w:val="22"/>
                <w:szCs w:val="22"/>
                <w:lang w:val="sr-Latn-ME" w:eastAsia="en-GB"/>
              </w:rPr>
            </w:pPr>
            <w:r w:rsidRPr="00346B80">
              <w:rPr>
                <w:sz w:val="22"/>
                <w:szCs w:val="22"/>
                <w:lang w:val="sr-Latn-ME" w:eastAsia="en-GB"/>
              </w:rPr>
              <w:t xml:space="preserve">Incidenca kliničkih fraktura kičmenih pršljenova </w:t>
            </w:r>
          </w:p>
        </w:tc>
        <w:tc>
          <w:tcPr>
            <w:tcW w:w="142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16FC38CE" w14:textId="77777777" w:rsidR="00C72D0F" w:rsidRPr="00FC2EEC" w:rsidRDefault="00C72D0F" w:rsidP="00FC2EEC">
            <w:pPr>
              <w:widowControl w:val="0"/>
              <w:jc w:val="both"/>
              <w:rPr>
                <w:sz w:val="22"/>
                <w:szCs w:val="22"/>
                <w:lang w:val="sr-Latn-ME" w:eastAsia="en-GB"/>
              </w:rPr>
            </w:pPr>
            <w:r w:rsidRPr="00FC2EEC">
              <w:rPr>
                <w:sz w:val="22"/>
                <w:szCs w:val="22"/>
                <w:lang w:val="sr-Latn-ME" w:eastAsia="en-GB"/>
              </w:rPr>
              <w:t xml:space="preserve">5,33 % </w:t>
            </w:r>
          </w:p>
          <w:p w14:paraId="651BE2D1" w14:textId="77777777" w:rsidR="00C72D0F" w:rsidRPr="00346B80" w:rsidRDefault="00C72D0F">
            <w:pPr>
              <w:widowControl w:val="0"/>
              <w:jc w:val="both"/>
              <w:rPr>
                <w:sz w:val="22"/>
                <w:szCs w:val="22"/>
                <w:lang w:val="sr-Latn-ME" w:eastAsia="en-GB"/>
              </w:rPr>
            </w:pPr>
            <w:r w:rsidRPr="00346B80">
              <w:rPr>
                <w:sz w:val="22"/>
                <w:szCs w:val="22"/>
                <w:lang w:val="sr-Latn-ME" w:eastAsia="en-GB"/>
              </w:rPr>
              <w:t>(3,73; 6,92)</w:t>
            </w:r>
          </w:p>
        </w:tc>
        <w:tc>
          <w:tcPr>
            <w:tcW w:w="1600"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79D95DAA" w14:textId="77777777" w:rsidR="00C72D0F" w:rsidRPr="00346B80" w:rsidRDefault="00C72D0F">
            <w:pPr>
              <w:widowControl w:val="0"/>
              <w:jc w:val="both"/>
              <w:rPr>
                <w:sz w:val="22"/>
                <w:szCs w:val="22"/>
                <w:lang w:val="sr-Latn-ME" w:eastAsia="en-GB"/>
              </w:rPr>
            </w:pPr>
            <w:r w:rsidRPr="00346B80">
              <w:rPr>
                <w:sz w:val="22"/>
                <w:szCs w:val="22"/>
                <w:lang w:val="sr-Latn-ME" w:eastAsia="en-GB"/>
              </w:rPr>
              <w:t xml:space="preserve">2,75 % </w:t>
            </w:r>
          </w:p>
          <w:p w14:paraId="22EB389F" w14:textId="77777777" w:rsidR="00C72D0F" w:rsidRPr="00346B80" w:rsidRDefault="00C72D0F">
            <w:pPr>
              <w:widowControl w:val="0"/>
              <w:jc w:val="both"/>
              <w:rPr>
                <w:sz w:val="22"/>
                <w:szCs w:val="22"/>
                <w:lang w:val="sr-Latn-ME" w:eastAsia="en-GB"/>
              </w:rPr>
            </w:pPr>
            <w:r w:rsidRPr="00346B80">
              <w:rPr>
                <w:sz w:val="22"/>
                <w:szCs w:val="22"/>
                <w:lang w:val="sr-Latn-ME" w:eastAsia="en-GB"/>
              </w:rPr>
              <w:t>(1,61; 3,89)</w:t>
            </w:r>
          </w:p>
        </w:tc>
      </w:tr>
      <w:tr w:rsidR="00C72D0F" w:rsidRPr="00346B80" w14:paraId="6F0A6106" w14:textId="77777777" w:rsidTr="00814AE3">
        <w:trPr>
          <w:tblCellSpacing w:w="0" w:type="dxa"/>
        </w:trPr>
        <w:tc>
          <w:tcPr>
            <w:tcW w:w="1974"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429388FB" w14:textId="77777777" w:rsidR="00C72D0F" w:rsidRPr="00346B80" w:rsidRDefault="00C72D0F" w:rsidP="00346B80">
            <w:pPr>
              <w:widowControl w:val="0"/>
              <w:jc w:val="both"/>
              <w:rPr>
                <w:sz w:val="22"/>
                <w:szCs w:val="22"/>
                <w:lang w:val="sr-Latn-ME" w:eastAsia="en-GB"/>
              </w:rPr>
            </w:pPr>
            <w:r w:rsidRPr="00346B80">
              <w:rPr>
                <w:sz w:val="22"/>
                <w:szCs w:val="22"/>
                <w:lang w:val="sr-Latn-ME" w:eastAsia="en-GB"/>
              </w:rPr>
              <w:t xml:space="preserve">BMD – prosječna promjena u odnosu na referentnu vrijednost za lumbalnu </w:t>
            </w:r>
            <w:r w:rsidRPr="00346B80">
              <w:rPr>
                <w:sz w:val="22"/>
                <w:szCs w:val="22"/>
                <w:lang w:val="sr-Latn-ME" w:eastAsia="en-GB"/>
              </w:rPr>
              <w:lastRenderedPageBreak/>
              <w:t>kičmu nakon 3 godine</w:t>
            </w:r>
          </w:p>
        </w:tc>
        <w:tc>
          <w:tcPr>
            <w:tcW w:w="142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30FAE851" w14:textId="77777777" w:rsidR="00C72D0F" w:rsidRPr="00FC2EEC" w:rsidRDefault="00C72D0F" w:rsidP="00FC2EEC">
            <w:pPr>
              <w:widowControl w:val="0"/>
              <w:jc w:val="both"/>
              <w:rPr>
                <w:sz w:val="22"/>
                <w:szCs w:val="22"/>
                <w:lang w:val="sr-Latn-ME" w:eastAsia="en-GB"/>
              </w:rPr>
            </w:pPr>
            <w:r w:rsidRPr="00FC2EEC">
              <w:rPr>
                <w:sz w:val="22"/>
                <w:szCs w:val="22"/>
                <w:lang w:val="sr-Latn-ME" w:eastAsia="en-GB"/>
              </w:rPr>
              <w:lastRenderedPageBreak/>
              <w:t>1,26 % (0,8; 1,7)</w:t>
            </w:r>
          </w:p>
        </w:tc>
        <w:tc>
          <w:tcPr>
            <w:tcW w:w="1600"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24AF2AD1" w14:textId="77777777" w:rsidR="00C72D0F" w:rsidRPr="00346B80" w:rsidRDefault="00C72D0F">
            <w:pPr>
              <w:widowControl w:val="0"/>
              <w:jc w:val="both"/>
              <w:rPr>
                <w:sz w:val="22"/>
                <w:szCs w:val="22"/>
                <w:lang w:val="sr-Latn-ME" w:eastAsia="en-GB"/>
              </w:rPr>
            </w:pPr>
            <w:r w:rsidRPr="00346B80">
              <w:rPr>
                <w:sz w:val="22"/>
                <w:szCs w:val="22"/>
                <w:lang w:val="sr-Latn-ME" w:eastAsia="en-GB"/>
              </w:rPr>
              <w:t>6,54 % (6,1; 7,0)</w:t>
            </w:r>
          </w:p>
        </w:tc>
      </w:tr>
      <w:tr w:rsidR="00C72D0F" w:rsidRPr="00346B80" w14:paraId="7B5FB654" w14:textId="77777777" w:rsidTr="00814AE3">
        <w:trPr>
          <w:tblCellSpacing w:w="0" w:type="dxa"/>
        </w:trPr>
        <w:tc>
          <w:tcPr>
            <w:tcW w:w="1974"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7C391FDB" w14:textId="77777777" w:rsidR="00C72D0F" w:rsidRPr="00346B80" w:rsidRDefault="00C72D0F" w:rsidP="00346B80">
            <w:pPr>
              <w:widowControl w:val="0"/>
              <w:jc w:val="both"/>
              <w:rPr>
                <w:sz w:val="22"/>
                <w:szCs w:val="22"/>
                <w:lang w:val="sr-Latn-ME" w:eastAsia="en-GB"/>
              </w:rPr>
            </w:pPr>
            <w:r w:rsidRPr="00346B80">
              <w:rPr>
                <w:sz w:val="22"/>
                <w:szCs w:val="22"/>
                <w:lang w:val="sr-Latn-ME" w:eastAsia="en-GB"/>
              </w:rPr>
              <w:t>BMD – prosječna promjena u odnosu na referentnu vrijednost za kuk nakon 3 godine</w:t>
            </w:r>
          </w:p>
        </w:tc>
        <w:tc>
          <w:tcPr>
            <w:tcW w:w="142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36881E5A" w14:textId="77777777" w:rsidR="00C72D0F" w:rsidRPr="00FC2EEC" w:rsidRDefault="00C72D0F" w:rsidP="00FC2EEC">
            <w:pPr>
              <w:widowControl w:val="0"/>
              <w:jc w:val="both"/>
              <w:rPr>
                <w:sz w:val="22"/>
                <w:szCs w:val="22"/>
                <w:lang w:val="sr-Latn-ME" w:eastAsia="en-GB"/>
              </w:rPr>
            </w:pPr>
            <w:r w:rsidRPr="00FC2EEC">
              <w:rPr>
                <w:sz w:val="22"/>
                <w:szCs w:val="22"/>
                <w:lang w:val="sr-Latn-ME" w:eastAsia="en-GB"/>
              </w:rPr>
              <w:t>-0,69 %</w:t>
            </w:r>
          </w:p>
          <w:p w14:paraId="1F013E09" w14:textId="77777777" w:rsidR="00C72D0F" w:rsidRPr="00346B80" w:rsidRDefault="00C72D0F">
            <w:pPr>
              <w:widowControl w:val="0"/>
              <w:jc w:val="both"/>
              <w:rPr>
                <w:sz w:val="22"/>
                <w:szCs w:val="22"/>
                <w:lang w:val="sr-Latn-ME" w:eastAsia="en-GB"/>
              </w:rPr>
            </w:pPr>
            <w:r w:rsidRPr="00346B80">
              <w:rPr>
                <w:sz w:val="22"/>
                <w:szCs w:val="22"/>
                <w:lang w:val="sr-Latn-ME" w:eastAsia="en-GB"/>
              </w:rPr>
              <w:t>(-1,0; -0,4)</w:t>
            </w:r>
          </w:p>
        </w:tc>
        <w:tc>
          <w:tcPr>
            <w:tcW w:w="1600"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0DB5A2DC" w14:textId="77777777" w:rsidR="00C72D0F" w:rsidRPr="00346B80" w:rsidRDefault="00C72D0F">
            <w:pPr>
              <w:widowControl w:val="0"/>
              <w:jc w:val="both"/>
              <w:rPr>
                <w:sz w:val="22"/>
                <w:szCs w:val="22"/>
                <w:lang w:val="sr-Latn-ME" w:eastAsia="en-GB"/>
              </w:rPr>
            </w:pPr>
            <w:r w:rsidRPr="00346B80">
              <w:rPr>
                <w:sz w:val="22"/>
                <w:szCs w:val="22"/>
                <w:lang w:val="sr-Latn-ME" w:eastAsia="en-GB"/>
              </w:rPr>
              <w:t>3,36 %</w:t>
            </w:r>
          </w:p>
          <w:p w14:paraId="0C357F42" w14:textId="77777777" w:rsidR="00C72D0F" w:rsidRPr="00346B80" w:rsidRDefault="00C72D0F">
            <w:pPr>
              <w:widowControl w:val="0"/>
              <w:jc w:val="both"/>
              <w:rPr>
                <w:sz w:val="22"/>
                <w:szCs w:val="22"/>
                <w:lang w:val="sr-Latn-ME" w:eastAsia="en-GB"/>
              </w:rPr>
            </w:pPr>
            <w:r w:rsidRPr="00346B80">
              <w:rPr>
                <w:sz w:val="22"/>
                <w:szCs w:val="22"/>
                <w:lang w:val="sr-Latn-ME" w:eastAsia="en-GB"/>
              </w:rPr>
              <w:t>(3,0; 3,7)</w:t>
            </w:r>
          </w:p>
        </w:tc>
      </w:tr>
    </w:tbl>
    <w:p w14:paraId="21E2ACED" w14:textId="77777777" w:rsidR="00C72D0F" w:rsidRPr="00346B80" w:rsidRDefault="00C72D0F" w:rsidP="00346B80">
      <w:pPr>
        <w:widowControl w:val="0"/>
        <w:jc w:val="both"/>
        <w:rPr>
          <w:sz w:val="22"/>
          <w:szCs w:val="22"/>
          <w:lang w:val="sr-Latn-ME" w:eastAsia="en-GB"/>
        </w:rPr>
      </w:pPr>
    </w:p>
    <w:p w14:paraId="1010D60B" w14:textId="77777777" w:rsidR="00C72D0F" w:rsidRPr="00FC2EEC" w:rsidRDefault="00C72D0F" w:rsidP="00346B80">
      <w:pPr>
        <w:widowControl w:val="0"/>
        <w:jc w:val="both"/>
        <w:rPr>
          <w:sz w:val="22"/>
          <w:szCs w:val="22"/>
          <w:lang w:val="sr-Latn-ME" w:eastAsia="en-GB"/>
        </w:rPr>
      </w:pPr>
      <w:r w:rsidRPr="00346B80">
        <w:rPr>
          <w:sz w:val="22"/>
          <w:szCs w:val="22"/>
          <w:lang w:val="sr-Latn-ME" w:eastAsia="en-GB"/>
        </w:rPr>
        <w:t>Efekat liječenja ibandronskom kiselinom dodatno je ocijenjen u analizi podgrupe pacijenata koji su imali referentnu vrijednost gustine koštane mase (BMD) lumbalne kičme T-rezultat ispod -2,5. Smanjenje rizika od frakture kičmenih pršljenova bio je veoma dosljedan onom koji je zabilježen u cjelokupnoj populaciji.</w:t>
      </w:r>
    </w:p>
    <w:p w14:paraId="70F02495" w14:textId="77777777" w:rsidR="00C72D0F" w:rsidRPr="00346B80" w:rsidRDefault="00C72D0F" w:rsidP="00FC2EEC">
      <w:pPr>
        <w:widowControl w:val="0"/>
        <w:jc w:val="both"/>
        <w:rPr>
          <w:sz w:val="22"/>
          <w:szCs w:val="22"/>
          <w:lang w:val="sr-Latn-ME" w:eastAsia="en-GB"/>
        </w:rPr>
      </w:pPr>
      <w:r w:rsidRPr="00FC2EEC">
        <w:rPr>
          <w:sz w:val="22"/>
          <w:szCs w:val="22"/>
          <w:lang w:val="sr-Latn-ME" w:eastAsia="en-GB"/>
        </w:rPr>
        <w:t>Tabela 4: Rezultati iz trogodišnje studije frakture MF 4411 (%, 95% CI) za pacijente sa vrijednošću gustine koštane mase (BMD) lum</w:t>
      </w:r>
      <w:r w:rsidRPr="00346B80">
        <w:rPr>
          <w:sz w:val="22"/>
          <w:szCs w:val="22"/>
          <w:lang w:val="sr-Latn-ME" w:eastAsia="en-GB"/>
        </w:rPr>
        <w:t>balne kičme T-rezultat ispod – 2,5 pri referentnoj vrijednosti.</w:t>
      </w:r>
    </w:p>
    <w:p w14:paraId="47B857FF" w14:textId="77777777" w:rsidR="00C72D0F" w:rsidRPr="00346B80" w:rsidRDefault="00C72D0F">
      <w:pPr>
        <w:widowControl w:val="0"/>
        <w:jc w:val="both"/>
        <w:rPr>
          <w:sz w:val="22"/>
          <w:szCs w:val="22"/>
          <w:lang w:val="sr-Latn-ME" w:eastAsia="en-GB"/>
        </w:rPr>
      </w:pP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3576"/>
        <w:gridCol w:w="2583"/>
        <w:gridCol w:w="2898"/>
      </w:tblGrid>
      <w:tr w:rsidR="00C72D0F" w:rsidRPr="000210AD" w14:paraId="7B81562A" w14:textId="77777777" w:rsidTr="00814AE3">
        <w:trPr>
          <w:tblCellSpacing w:w="0" w:type="dxa"/>
        </w:trPr>
        <w:tc>
          <w:tcPr>
            <w:tcW w:w="1974"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0614B2D3" w14:textId="77777777" w:rsidR="00C72D0F" w:rsidRPr="00346B80" w:rsidRDefault="00C72D0F">
            <w:pPr>
              <w:widowControl w:val="0"/>
              <w:jc w:val="both"/>
              <w:rPr>
                <w:sz w:val="22"/>
                <w:szCs w:val="22"/>
                <w:lang w:val="sr-Latn-ME" w:eastAsia="en-GB"/>
              </w:rPr>
            </w:pPr>
            <w:r w:rsidRPr="00346B80">
              <w:rPr>
                <w:sz w:val="22"/>
                <w:szCs w:val="22"/>
                <w:lang w:val="sr-Latn-ME" w:eastAsia="en-GB"/>
              </w:rPr>
              <w:t> </w:t>
            </w:r>
          </w:p>
          <w:p w14:paraId="631CEC51" w14:textId="77777777" w:rsidR="00C72D0F" w:rsidRPr="00346B80" w:rsidRDefault="00C72D0F">
            <w:pPr>
              <w:widowControl w:val="0"/>
              <w:jc w:val="both"/>
              <w:rPr>
                <w:sz w:val="22"/>
                <w:szCs w:val="22"/>
                <w:lang w:val="sr-Latn-ME" w:eastAsia="en-GB"/>
              </w:rPr>
            </w:pPr>
            <w:r w:rsidRPr="00346B80">
              <w:rPr>
                <w:sz w:val="22"/>
                <w:szCs w:val="22"/>
                <w:lang w:val="sr-Latn-ME" w:eastAsia="en-GB"/>
              </w:rPr>
              <w:t> </w:t>
            </w:r>
          </w:p>
        </w:tc>
        <w:tc>
          <w:tcPr>
            <w:tcW w:w="142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67A2CAF2" w14:textId="77777777" w:rsidR="00C72D0F" w:rsidRPr="00346B80" w:rsidRDefault="00C72D0F">
            <w:pPr>
              <w:widowControl w:val="0"/>
              <w:jc w:val="both"/>
              <w:rPr>
                <w:sz w:val="22"/>
                <w:szCs w:val="22"/>
                <w:lang w:val="sr-Latn-ME" w:eastAsia="en-GB"/>
              </w:rPr>
            </w:pPr>
            <w:r w:rsidRPr="00346B80">
              <w:rPr>
                <w:sz w:val="22"/>
                <w:szCs w:val="22"/>
                <w:lang w:val="sr-Latn-ME" w:eastAsia="en-GB"/>
              </w:rPr>
              <w:t>Placebo</w:t>
            </w:r>
          </w:p>
          <w:p w14:paraId="6B5098DA" w14:textId="77777777" w:rsidR="00C72D0F" w:rsidRPr="00346B80" w:rsidRDefault="00C72D0F">
            <w:pPr>
              <w:widowControl w:val="0"/>
              <w:jc w:val="both"/>
              <w:rPr>
                <w:sz w:val="22"/>
                <w:szCs w:val="22"/>
                <w:lang w:val="sr-Latn-ME" w:eastAsia="en-GB"/>
              </w:rPr>
            </w:pPr>
            <w:r w:rsidRPr="00346B80">
              <w:rPr>
                <w:sz w:val="22"/>
                <w:szCs w:val="22"/>
                <w:lang w:val="sr-Latn-ME" w:eastAsia="en-GB"/>
              </w:rPr>
              <w:t>(N=587)</w:t>
            </w:r>
          </w:p>
        </w:tc>
        <w:tc>
          <w:tcPr>
            <w:tcW w:w="1600"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0E04D577" w14:textId="77777777" w:rsidR="00C72D0F" w:rsidRPr="00346B80" w:rsidRDefault="00C72D0F">
            <w:pPr>
              <w:widowControl w:val="0"/>
              <w:jc w:val="both"/>
              <w:rPr>
                <w:sz w:val="22"/>
                <w:szCs w:val="22"/>
                <w:lang w:val="sr-Latn-ME" w:eastAsia="en-GB"/>
              </w:rPr>
            </w:pPr>
            <w:r w:rsidRPr="00346B80">
              <w:rPr>
                <w:sz w:val="22"/>
                <w:szCs w:val="22"/>
                <w:lang w:val="sr-Latn-ME" w:eastAsia="en-GB"/>
              </w:rPr>
              <w:t>Ibandronska kiselina 2,5 mg dnevno</w:t>
            </w:r>
          </w:p>
          <w:p w14:paraId="6A7DE9DB" w14:textId="77777777" w:rsidR="00C72D0F" w:rsidRPr="00346B80" w:rsidRDefault="00C72D0F">
            <w:pPr>
              <w:widowControl w:val="0"/>
              <w:jc w:val="both"/>
              <w:rPr>
                <w:sz w:val="22"/>
                <w:szCs w:val="22"/>
                <w:lang w:val="sr-Latn-ME" w:eastAsia="en-GB"/>
              </w:rPr>
            </w:pPr>
            <w:r w:rsidRPr="00346B80">
              <w:rPr>
                <w:sz w:val="22"/>
                <w:szCs w:val="22"/>
                <w:lang w:val="sr-Latn-ME" w:eastAsia="en-GB"/>
              </w:rPr>
              <w:t>(N=575)</w:t>
            </w:r>
          </w:p>
        </w:tc>
      </w:tr>
      <w:tr w:rsidR="00C72D0F" w:rsidRPr="00346B80" w14:paraId="42303940" w14:textId="77777777" w:rsidTr="00814AE3">
        <w:trPr>
          <w:tblCellSpacing w:w="0" w:type="dxa"/>
        </w:trPr>
        <w:tc>
          <w:tcPr>
            <w:tcW w:w="1974"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2BD380C5" w14:textId="77777777" w:rsidR="00C72D0F" w:rsidRPr="00346B80" w:rsidRDefault="00C72D0F" w:rsidP="00346B80">
            <w:pPr>
              <w:widowControl w:val="0"/>
              <w:jc w:val="both"/>
              <w:rPr>
                <w:sz w:val="22"/>
                <w:szCs w:val="22"/>
                <w:lang w:val="sr-Latn-ME" w:eastAsia="en-GB"/>
              </w:rPr>
            </w:pPr>
            <w:r w:rsidRPr="00346B80">
              <w:rPr>
                <w:sz w:val="22"/>
                <w:szCs w:val="22"/>
                <w:lang w:val="sr-Latn-ME" w:eastAsia="en-GB"/>
              </w:rPr>
              <w:t>Relativni rizik smanjenja</w:t>
            </w:r>
          </w:p>
          <w:p w14:paraId="6BFFD49D" w14:textId="77777777" w:rsidR="00C72D0F" w:rsidRPr="00FC2EEC" w:rsidRDefault="00C72D0F" w:rsidP="00FC2EEC">
            <w:pPr>
              <w:widowControl w:val="0"/>
              <w:jc w:val="both"/>
              <w:rPr>
                <w:sz w:val="22"/>
                <w:szCs w:val="22"/>
                <w:lang w:val="sr-Latn-ME" w:eastAsia="en-GB"/>
              </w:rPr>
            </w:pPr>
            <w:r w:rsidRPr="00FC2EEC">
              <w:rPr>
                <w:sz w:val="22"/>
                <w:szCs w:val="22"/>
                <w:lang w:val="sr-Latn-ME" w:eastAsia="en-GB"/>
              </w:rPr>
              <w:t>novih morfometrijskih fraktura kičmenih pršljenova</w:t>
            </w:r>
          </w:p>
        </w:tc>
        <w:tc>
          <w:tcPr>
            <w:tcW w:w="142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508C7D13" w14:textId="77777777" w:rsidR="00C72D0F" w:rsidRPr="00346B80" w:rsidRDefault="00C72D0F">
            <w:pPr>
              <w:widowControl w:val="0"/>
              <w:jc w:val="both"/>
              <w:rPr>
                <w:sz w:val="22"/>
                <w:szCs w:val="22"/>
                <w:lang w:val="sr-Latn-ME" w:eastAsia="en-GB"/>
              </w:rPr>
            </w:pPr>
            <w:r w:rsidRPr="00346B80">
              <w:rPr>
                <w:sz w:val="22"/>
                <w:szCs w:val="22"/>
                <w:lang w:val="sr-Latn-ME" w:eastAsia="en-GB"/>
              </w:rPr>
              <w:t> </w:t>
            </w:r>
          </w:p>
          <w:p w14:paraId="38A72D6D" w14:textId="77777777" w:rsidR="00C72D0F" w:rsidRPr="00346B80" w:rsidRDefault="00C72D0F">
            <w:pPr>
              <w:widowControl w:val="0"/>
              <w:jc w:val="both"/>
              <w:rPr>
                <w:sz w:val="22"/>
                <w:szCs w:val="22"/>
                <w:lang w:val="sr-Latn-ME" w:eastAsia="en-GB"/>
              </w:rPr>
            </w:pPr>
            <w:r w:rsidRPr="00346B80">
              <w:rPr>
                <w:sz w:val="22"/>
                <w:szCs w:val="22"/>
                <w:lang w:val="sr-Latn-ME" w:eastAsia="en-GB"/>
              </w:rPr>
              <w:t> </w:t>
            </w:r>
          </w:p>
        </w:tc>
        <w:tc>
          <w:tcPr>
            <w:tcW w:w="1600"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00867B2E" w14:textId="77777777" w:rsidR="00C72D0F" w:rsidRPr="00346B80" w:rsidRDefault="00C72D0F">
            <w:pPr>
              <w:widowControl w:val="0"/>
              <w:jc w:val="both"/>
              <w:rPr>
                <w:sz w:val="22"/>
                <w:szCs w:val="22"/>
                <w:lang w:val="sr-Latn-ME" w:eastAsia="en-GB"/>
              </w:rPr>
            </w:pPr>
            <w:r w:rsidRPr="00346B80">
              <w:rPr>
                <w:sz w:val="22"/>
                <w:szCs w:val="22"/>
                <w:lang w:val="sr-Latn-ME" w:eastAsia="en-GB"/>
              </w:rPr>
              <w:t>59 % (34,5; 74,3)</w:t>
            </w:r>
          </w:p>
        </w:tc>
      </w:tr>
      <w:tr w:rsidR="00C72D0F" w:rsidRPr="00346B80" w14:paraId="2B9B8B86" w14:textId="77777777" w:rsidTr="00814AE3">
        <w:trPr>
          <w:tblCellSpacing w:w="0" w:type="dxa"/>
        </w:trPr>
        <w:tc>
          <w:tcPr>
            <w:tcW w:w="1974"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4F11262A" w14:textId="77777777" w:rsidR="00C72D0F" w:rsidRPr="00346B80" w:rsidRDefault="00C72D0F" w:rsidP="00346B80">
            <w:pPr>
              <w:widowControl w:val="0"/>
              <w:jc w:val="both"/>
              <w:rPr>
                <w:sz w:val="22"/>
                <w:szCs w:val="22"/>
                <w:lang w:val="sr-Latn-ME" w:eastAsia="en-GB"/>
              </w:rPr>
            </w:pPr>
            <w:r w:rsidRPr="00346B80">
              <w:rPr>
                <w:sz w:val="22"/>
                <w:szCs w:val="22"/>
                <w:lang w:val="sr-Latn-ME" w:eastAsia="en-GB"/>
              </w:rPr>
              <w:t>Incidenca novih morfometrijskih fraktura kičmenih pršljenova</w:t>
            </w:r>
          </w:p>
        </w:tc>
        <w:tc>
          <w:tcPr>
            <w:tcW w:w="142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5FF1FD5C" w14:textId="77777777" w:rsidR="00C72D0F" w:rsidRPr="00FC2EEC" w:rsidRDefault="00C72D0F" w:rsidP="00FC2EEC">
            <w:pPr>
              <w:widowControl w:val="0"/>
              <w:jc w:val="both"/>
              <w:rPr>
                <w:sz w:val="22"/>
                <w:szCs w:val="22"/>
                <w:lang w:val="sr-Latn-ME" w:eastAsia="en-GB"/>
              </w:rPr>
            </w:pPr>
            <w:r w:rsidRPr="00FC2EEC">
              <w:rPr>
                <w:sz w:val="22"/>
                <w:szCs w:val="22"/>
                <w:lang w:val="sr-Latn-ME" w:eastAsia="en-GB"/>
              </w:rPr>
              <w:t>12,54 % (9,53; 15,55)</w:t>
            </w:r>
          </w:p>
        </w:tc>
        <w:tc>
          <w:tcPr>
            <w:tcW w:w="1600"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6191A609" w14:textId="77777777" w:rsidR="00C72D0F" w:rsidRPr="00346B80" w:rsidRDefault="00C72D0F">
            <w:pPr>
              <w:widowControl w:val="0"/>
              <w:jc w:val="both"/>
              <w:rPr>
                <w:sz w:val="22"/>
                <w:szCs w:val="22"/>
                <w:lang w:val="sr-Latn-ME" w:eastAsia="en-GB"/>
              </w:rPr>
            </w:pPr>
            <w:r w:rsidRPr="00346B80">
              <w:rPr>
                <w:sz w:val="22"/>
                <w:szCs w:val="22"/>
                <w:lang w:val="sr-Latn-ME" w:eastAsia="en-GB"/>
              </w:rPr>
              <w:t>5,36 % (3,3; 7,41)</w:t>
            </w:r>
          </w:p>
        </w:tc>
      </w:tr>
      <w:tr w:rsidR="00C72D0F" w:rsidRPr="00346B80" w14:paraId="7EB9B972" w14:textId="77777777" w:rsidTr="00814AE3">
        <w:trPr>
          <w:tblCellSpacing w:w="0" w:type="dxa"/>
        </w:trPr>
        <w:tc>
          <w:tcPr>
            <w:tcW w:w="1974"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09446EDF" w14:textId="77777777" w:rsidR="00C72D0F" w:rsidRPr="00346B80" w:rsidRDefault="00C72D0F" w:rsidP="00346B80">
            <w:pPr>
              <w:widowControl w:val="0"/>
              <w:jc w:val="both"/>
              <w:rPr>
                <w:sz w:val="22"/>
                <w:szCs w:val="22"/>
                <w:lang w:val="sr-Latn-ME" w:eastAsia="en-GB"/>
              </w:rPr>
            </w:pPr>
            <w:r w:rsidRPr="00346B80">
              <w:rPr>
                <w:sz w:val="22"/>
                <w:szCs w:val="22"/>
                <w:lang w:val="sr-Latn-ME" w:eastAsia="en-GB"/>
              </w:rPr>
              <w:t>Relativni rizik smanjenja kliničkih fraktura kičmenih pršljenova</w:t>
            </w:r>
          </w:p>
          <w:p w14:paraId="215E16AA" w14:textId="77777777" w:rsidR="00C72D0F" w:rsidRPr="00FC2EEC" w:rsidRDefault="00C72D0F" w:rsidP="00FC2EEC">
            <w:pPr>
              <w:widowControl w:val="0"/>
              <w:jc w:val="both"/>
              <w:rPr>
                <w:sz w:val="22"/>
                <w:szCs w:val="22"/>
                <w:lang w:val="sr-Latn-ME" w:eastAsia="en-GB"/>
              </w:rPr>
            </w:pPr>
          </w:p>
        </w:tc>
        <w:tc>
          <w:tcPr>
            <w:tcW w:w="142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31982D55" w14:textId="77777777" w:rsidR="00C72D0F" w:rsidRPr="00346B80" w:rsidRDefault="00C72D0F">
            <w:pPr>
              <w:widowControl w:val="0"/>
              <w:jc w:val="both"/>
              <w:rPr>
                <w:sz w:val="22"/>
                <w:szCs w:val="22"/>
                <w:lang w:val="sr-Latn-ME" w:eastAsia="en-GB"/>
              </w:rPr>
            </w:pPr>
            <w:r w:rsidRPr="00346B80">
              <w:rPr>
                <w:sz w:val="22"/>
                <w:szCs w:val="22"/>
                <w:lang w:val="sr-Latn-ME" w:eastAsia="en-GB"/>
              </w:rPr>
              <w:t> </w:t>
            </w:r>
          </w:p>
          <w:p w14:paraId="360FEAD9" w14:textId="77777777" w:rsidR="00C72D0F" w:rsidRPr="00346B80" w:rsidRDefault="00C72D0F">
            <w:pPr>
              <w:widowControl w:val="0"/>
              <w:jc w:val="both"/>
              <w:rPr>
                <w:sz w:val="22"/>
                <w:szCs w:val="22"/>
                <w:lang w:val="sr-Latn-ME" w:eastAsia="en-GB"/>
              </w:rPr>
            </w:pPr>
            <w:r w:rsidRPr="00346B80">
              <w:rPr>
                <w:sz w:val="22"/>
                <w:szCs w:val="22"/>
                <w:lang w:val="sr-Latn-ME" w:eastAsia="en-GB"/>
              </w:rPr>
              <w:t> </w:t>
            </w:r>
          </w:p>
        </w:tc>
        <w:tc>
          <w:tcPr>
            <w:tcW w:w="1600"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1BB15FED" w14:textId="77777777" w:rsidR="00C72D0F" w:rsidRPr="00346B80" w:rsidRDefault="00C72D0F">
            <w:pPr>
              <w:widowControl w:val="0"/>
              <w:jc w:val="both"/>
              <w:rPr>
                <w:sz w:val="22"/>
                <w:szCs w:val="22"/>
                <w:lang w:val="sr-Latn-ME" w:eastAsia="en-GB"/>
              </w:rPr>
            </w:pPr>
            <w:r w:rsidRPr="00346B80">
              <w:rPr>
                <w:sz w:val="22"/>
                <w:szCs w:val="22"/>
                <w:lang w:val="sr-Latn-ME" w:eastAsia="en-GB"/>
              </w:rPr>
              <w:t>50 % (9,49; 71,91)</w:t>
            </w:r>
          </w:p>
        </w:tc>
      </w:tr>
      <w:tr w:rsidR="00C72D0F" w:rsidRPr="00346B80" w14:paraId="3EC09111" w14:textId="77777777" w:rsidTr="00814AE3">
        <w:trPr>
          <w:tblCellSpacing w:w="0" w:type="dxa"/>
        </w:trPr>
        <w:tc>
          <w:tcPr>
            <w:tcW w:w="1974"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360C4D04" w14:textId="77777777" w:rsidR="00C72D0F" w:rsidRPr="00346B80" w:rsidRDefault="00C72D0F" w:rsidP="00346B80">
            <w:pPr>
              <w:widowControl w:val="0"/>
              <w:jc w:val="both"/>
              <w:rPr>
                <w:sz w:val="22"/>
                <w:szCs w:val="22"/>
                <w:lang w:val="sr-Latn-ME" w:eastAsia="en-GB"/>
              </w:rPr>
            </w:pPr>
            <w:r w:rsidRPr="00346B80">
              <w:rPr>
                <w:sz w:val="22"/>
                <w:szCs w:val="22"/>
                <w:lang w:val="sr-Latn-ME" w:eastAsia="en-GB"/>
              </w:rPr>
              <w:t>Incidenca kliničkih fraktura kičmenih pršljenova</w:t>
            </w:r>
          </w:p>
        </w:tc>
        <w:tc>
          <w:tcPr>
            <w:tcW w:w="142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10F35D03" w14:textId="77777777" w:rsidR="00C72D0F" w:rsidRPr="00FC2EEC" w:rsidRDefault="00C72D0F" w:rsidP="00FC2EEC">
            <w:pPr>
              <w:widowControl w:val="0"/>
              <w:jc w:val="both"/>
              <w:rPr>
                <w:sz w:val="22"/>
                <w:szCs w:val="22"/>
                <w:lang w:val="sr-Latn-ME" w:eastAsia="en-GB"/>
              </w:rPr>
            </w:pPr>
            <w:r w:rsidRPr="00FC2EEC">
              <w:rPr>
                <w:sz w:val="22"/>
                <w:szCs w:val="22"/>
                <w:lang w:val="sr-Latn-ME" w:eastAsia="en-GB"/>
              </w:rPr>
              <w:t>6,97 % (4,67; 9,27)</w:t>
            </w:r>
          </w:p>
        </w:tc>
        <w:tc>
          <w:tcPr>
            <w:tcW w:w="1600"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6343E54C" w14:textId="77777777" w:rsidR="00C72D0F" w:rsidRPr="00346B80" w:rsidRDefault="00C72D0F">
            <w:pPr>
              <w:widowControl w:val="0"/>
              <w:jc w:val="both"/>
              <w:rPr>
                <w:sz w:val="22"/>
                <w:szCs w:val="22"/>
                <w:lang w:val="sr-Latn-ME" w:eastAsia="en-GB"/>
              </w:rPr>
            </w:pPr>
            <w:r w:rsidRPr="00346B80">
              <w:rPr>
                <w:sz w:val="22"/>
                <w:szCs w:val="22"/>
                <w:lang w:val="sr-Latn-ME" w:eastAsia="en-GB"/>
              </w:rPr>
              <w:t>3,57 % (1,89; 5,24)</w:t>
            </w:r>
          </w:p>
        </w:tc>
      </w:tr>
      <w:tr w:rsidR="00C72D0F" w:rsidRPr="00346B80" w14:paraId="0E064BEF" w14:textId="77777777" w:rsidTr="00814AE3">
        <w:trPr>
          <w:tblCellSpacing w:w="0" w:type="dxa"/>
        </w:trPr>
        <w:tc>
          <w:tcPr>
            <w:tcW w:w="1974"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7C8A07B2" w14:textId="77777777" w:rsidR="00C72D0F" w:rsidRPr="00346B80" w:rsidRDefault="00C72D0F" w:rsidP="00346B80">
            <w:pPr>
              <w:widowControl w:val="0"/>
              <w:jc w:val="both"/>
              <w:rPr>
                <w:sz w:val="22"/>
                <w:szCs w:val="22"/>
                <w:lang w:val="sr-Latn-ME" w:eastAsia="en-GB"/>
              </w:rPr>
            </w:pPr>
            <w:r w:rsidRPr="00346B80">
              <w:rPr>
                <w:sz w:val="22"/>
                <w:szCs w:val="22"/>
                <w:lang w:val="sr-Latn-ME" w:eastAsia="en-GB"/>
              </w:rPr>
              <w:t>BMD – prosječna promjena u odnosu na referentnu vrijednost za lumbalnu kičmu nakon 3 godine</w:t>
            </w:r>
          </w:p>
        </w:tc>
        <w:tc>
          <w:tcPr>
            <w:tcW w:w="142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565645A7" w14:textId="77777777" w:rsidR="00C72D0F" w:rsidRPr="00FC2EEC" w:rsidRDefault="00C72D0F" w:rsidP="00FC2EEC">
            <w:pPr>
              <w:widowControl w:val="0"/>
              <w:jc w:val="both"/>
              <w:rPr>
                <w:sz w:val="22"/>
                <w:szCs w:val="22"/>
                <w:lang w:val="sr-Latn-ME" w:eastAsia="en-GB"/>
              </w:rPr>
            </w:pPr>
            <w:r w:rsidRPr="00FC2EEC">
              <w:rPr>
                <w:sz w:val="22"/>
                <w:szCs w:val="22"/>
                <w:lang w:val="sr-Latn-ME" w:eastAsia="en-GB"/>
              </w:rPr>
              <w:t>1,13 % (0,6; 1,7)</w:t>
            </w:r>
          </w:p>
        </w:tc>
        <w:tc>
          <w:tcPr>
            <w:tcW w:w="1600"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46BAF999" w14:textId="77777777" w:rsidR="00C72D0F" w:rsidRPr="00346B80" w:rsidRDefault="00C72D0F">
            <w:pPr>
              <w:widowControl w:val="0"/>
              <w:jc w:val="both"/>
              <w:rPr>
                <w:sz w:val="22"/>
                <w:szCs w:val="22"/>
                <w:lang w:val="sr-Latn-ME" w:eastAsia="en-GB"/>
              </w:rPr>
            </w:pPr>
            <w:r w:rsidRPr="00346B80">
              <w:rPr>
                <w:sz w:val="22"/>
                <w:szCs w:val="22"/>
                <w:lang w:val="sr-Latn-ME" w:eastAsia="en-GB"/>
              </w:rPr>
              <w:t>7,01 % (6,5; 7,6)</w:t>
            </w:r>
          </w:p>
        </w:tc>
      </w:tr>
      <w:tr w:rsidR="00C72D0F" w:rsidRPr="00346B80" w14:paraId="55493C40" w14:textId="77777777" w:rsidTr="00814AE3">
        <w:trPr>
          <w:tblCellSpacing w:w="0" w:type="dxa"/>
        </w:trPr>
        <w:tc>
          <w:tcPr>
            <w:tcW w:w="1974"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229BD223" w14:textId="33DCF2D2" w:rsidR="00C72D0F" w:rsidRPr="00346B80" w:rsidRDefault="00C72D0F" w:rsidP="00346B80">
            <w:pPr>
              <w:widowControl w:val="0"/>
              <w:jc w:val="both"/>
              <w:rPr>
                <w:sz w:val="22"/>
                <w:szCs w:val="22"/>
                <w:lang w:val="sr-Latn-ME" w:eastAsia="en-GB"/>
              </w:rPr>
            </w:pPr>
            <w:r w:rsidRPr="00346B80">
              <w:rPr>
                <w:sz w:val="22"/>
                <w:szCs w:val="22"/>
                <w:lang w:val="sr-Latn-ME" w:eastAsia="en-GB"/>
              </w:rPr>
              <w:t>BMD – pros</w:t>
            </w:r>
            <w:r w:rsidR="00ED752B">
              <w:rPr>
                <w:sz w:val="22"/>
                <w:szCs w:val="22"/>
                <w:lang w:val="sr-Latn-ME" w:eastAsia="en-GB"/>
              </w:rPr>
              <w:t>j</w:t>
            </w:r>
            <w:r w:rsidRPr="00346B80">
              <w:rPr>
                <w:sz w:val="22"/>
                <w:szCs w:val="22"/>
                <w:lang w:val="sr-Latn-ME" w:eastAsia="en-GB"/>
              </w:rPr>
              <w:t>ečna promjena u odnosu na referentnu vrijednost za  kuk nakon 3 godine</w:t>
            </w:r>
          </w:p>
        </w:tc>
        <w:tc>
          <w:tcPr>
            <w:tcW w:w="142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4ED9590A" w14:textId="77777777" w:rsidR="00C72D0F" w:rsidRPr="00FC2EEC" w:rsidRDefault="00C72D0F" w:rsidP="00FC2EEC">
            <w:pPr>
              <w:widowControl w:val="0"/>
              <w:jc w:val="both"/>
              <w:rPr>
                <w:sz w:val="22"/>
                <w:szCs w:val="22"/>
                <w:lang w:val="sr-Latn-ME" w:eastAsia="en-GB"/>
              </w:rPr>
            </w:pPr>
            <w:r w:rsidRPr="00FC2EEC">
              <w:rPr>
                <w:sz w:val="22"/>
                <w:szCs w:val="22"/>
                <w:lang w:val="sr-Latn-ME" w:eastAsia="en-GB"/>
              </w:rPr>
              <w:t>-0,70 % (-1,1; -0,2)</w:t>
            </w:r>
          </w:p>
        </w:tc>
        <w:tc>
          <w:tcPr>
            <w:tcW w:w="1600"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0339A3B0" w14:textId="77777777" w:rsidR="00C72D0F" w:rsidRPr="00346B80" w:rsidRDefault="00C72D0F">
            <w:pPr>
              <w:widowControl w:val="0"/>
              <w:jc w:val="both"/>
              <w:rPr>
                <w:sz w:val="22"/>
                <w:szCs w:val="22"/>
                <w:lang w:val="sr-Latn-ME" w:eastAsia="en-GB"/>
              </w:rPr>
            </w:pPr>
            <w:r w:rsidRPr="00346B80">
              <w:rPr>
                <w:sz w:val="22"/>
                <w:szCs w:val="22"/>
                <w:lang w:val="sr-Latn-ME" w:eastAsia="en-GB"/>
              </w:rPr>
              <w:t>3,59 % (3,1; 4,1)</w:t>
            </w:r>
          </w:p>
        </w:tc>
      </w:tr>
    </w:tbl>
    <w:p w14:paraId="75994E9F" w14:textId="77777777" w:rsidR="00C72D0F" w:rsidRPr="00346B80" w:rsidRDefault="00C72D0F" w:rsidP="00346B80">
      <w:pPr>
        <w:widowControl w:val="0"/>
        <w:jc w:val="both"/>
        <w:rPr>
          <w:sz w:val="22"/>
          <w:szCs w:val="22"/>
          <w:lang w:val="sr-Latn-ME" w:eastAsia="en-GB"/>
        </w:rPr>
      </w:pPr>
    </w:p>
    <w:p w14:paraId="156A25C5" w14:textId="77777777" w:rsidR="00C72D0F" w:rsidRPr="00FC2EEC" w:rsidRDefault="00C72D0F" w:rsidP="00346B80">
      <w:pPr>
        <w:widowControl w:val="0"/>
        <w:jc w:val="both"/>
        <w:rPr>
          <w:sz w:val="22"/>
          <w:szCs w:val="22"/>
          <w:lang w:val="sr-Latn-ME" w:eastAsia="en-GB"/>
        </w:rPr>
      </w:pPr>
      <w:r w:rsidRPr="00346B80">
        <w:rPr>
          <w:sz w:val="22"/>
          <w:szCs w:val="22"/>
          <w:lang w:val="sr-Latn-ME" w:eastAsia="en-GB"/>
        </w:rPr>
        <w:t>U ukupnoj populaciji pacijenata studije MF 4411, nije bilo primijećeno smanjenje ne-pršljenskih fraktura, međutim, svakodnevna primjena ibandronata izgleda da je efikasna u visoko rizičnoj podgrupi (vrijednost gustine kosti (BMD) vrata femura T-rezultat &lt; -3,0), pri čemu je primijećeno smanjenje rizika od ne-pršljenskih f</w:t>
      </w:r>
      <w:r w:rsidRPr="00FC2EEC">
        <w:rPr>
          <w:sz w:val="22"/>
          <w:szCs w:val="22"/>
          <w:lang w:val="sr-Latn-ME" w:eastAsia="en-GB"/>
        </w:rPr>
        <w:t>raktura od 69%.</w:t>
      </w:r>
    </w:p>
    <w:p w14:paraId="2437C1B9" w14:textId="77777777" w:rsidR="00C72D0F" w:rsidRPr="00FC2EEC" w:rsidRDefault="00C72D0F" w:rsidP="00FC2EEC">
      <w:pPr>
        <w:widowControl w:val="0"/>
        <w:jc w:val="both"/>
        <w:rPr>
          <w:sz w:val="22"/>
          <w:szCs w:val="22"/>
          <w:lang w:val="sr-Latn-ME" w:eastAsia="en-GB"/>
        </w:rPr>
      </w:pPr>
    </w:p>
    <w:p w14:paraId="0A0F90CE" w14:textId="77777777" w:rsidR="00C72D0F" w:rsidRPr="00346B80" w:rsidRDefault="00C72D0F">
      <w:pPr>
        <w:widowControl w:val="0"/>
        <w:jc w:val="both"/>
        <w:rPr>
          <w:sz w:val="22"/>
          <w:szCs w:val="22"/>
          <w:lang w:val="sr-Latn-ME" w:eastAsia="en-GB"/>
        </w:rPr>
      </w:pPr>
      <w:r w:rsidRPr="00346B80">
        <w:rPr>
          <w:sz w:val="22"/>
          <w:szCs w:val="22"/>
          <w:lang w:val="sr-Latn-ME" w:eastAsia="en-GB"/>
        </w:rPr>
        <w:t>Svakodnevno liječenje sa 2,5 mg ibandronske kiseline rezultovalo je progresivnim povećanjem BMD pršljenskih i nepršljenskih djelova skeleta.</w:t>
      </w:r>
    </w:p>
    <w:p w14:paraId="1232E3F7" w14:textId="77777777" w:rsidR="00C72D0F" w:rsidRPr="00346B80" w:rsidRDefault="00C72D0F">
      <w:pPr>
        <w:widowControl w:val="0"/>
        <w:jc w:val="both"/>
        <w:rPr>
          <w:sz w:val="22"/>
          <w:szCs w:val="22"/>
          <w:lang w:val="sr-Latn-ME" w:eastAsia="en-GB"/>
        </w:rPr>
      </w:pPr>
    </w:p>
    <w:p w14:paraId="456025E4" w14:textId="77777777" w:rsidR="00C72D0F" w:rsidRPr="00346B80" w:rsidRDefault="00C72D0F">
      <w:pPr>
        <w:widowControl w:val="0"/>
        <w:jc w:val="both"/>
        <w:rPr>
          <w:sz w:val="22"/>
          <w:szCs w:val="22"/>
          <w:lang w:val="sr-Latn-ME" w:eastAsia="en-GB"/>
        </w:rPr>
      </w:pPr>
      <w:r w:rsidRPr="00346B80">
        <w:rPr>
          <w:sz w:val="22"/>
          <w:szCs w:val="22"/>
          <w:lang w:val="sr-Latn-ME" w:eastAsia="en-GB"/>
        </w:rPr>
        <w:t>Trogodišnje povećanje BMD lumbalne kičme u poređenju sa placebom bilo je 5,3% i 6,5% u poređenju sa referentnom vrijednošću. Povećanje BMD kuka u poređenju s referentnom vrijednošću bilo je 2,8% za vrat femura, 3,4% za kuk i 5,5% za trohanter.</w:t>
      </w:r>
    </w:p>
    <w:p w14:paraId="149A6749" w14:textId="77777777" w:rsidR="00C72D0F" w:rsidRPr="00346B80" w:rsidRDefault="00C72D0F">
      <w:pPr>
        <w:widowControl w:val="0"/>
        <w:jc w:val="both"/>
        <w:rPr>
          <w:sz w:val="22"/>
          <w:szCs w:val="22"/>
          <w:lang w:val="sr-Latn-ME" w:eastAsia="en-GB"/>
        </w:rPr>
      </w:pPr>
    </w:p>
    <w:p w14:paraId="02790BA1" w14:textId="77777777" w:rsidR="00C72D0F" w:rsidRPr="00346B80" w:rsidRDefault="00C72D0F">
      <w:pPr>
        <w:widowControl w:val="0"/>
        <w:jc w:val="both"/>
        <w:rPr>
          <w:sz w:val="22"/>
          <w:szCs w:val="22"/>
          <w:lang w:val="sr-Latn-ME" w:eastAsia="en-GB"/>
        </w:rPr>
      </w:pPr>
      <w:r w:rsidRPr="00346B80">
        <w:rPr>
          <w:sz w:val="22"/>
          <w:szCs w:val="22"/>
          <w:lang w:val="sr-Latn-ME" w:eastAsia="en-GB"/>
        </w:rPr>
        <w:t>Biohemijski markeri gubitka koštane mase (kao što su urinarni CTX i serumski osteokalcin) pokazali su očekivani model supresije u premenopauznim nivoima i dostigli maksimalnu supresiju u periodu od 3 do 6 mjeseci.</w:t>
      </w:r>
    </w:p>
    <w:p w14:paraId="78BFC420" w14:textId="77777777" w:rsidR="00C72D0F" w:rsidRPr="00346B80" w:rsidRDefault="00C72D0F">
      <w:pPr>
        <w:widowControl w:val="0"/>
        <w:jc w:val="both"/>
        <w:rPr>
          <w:sz w:val="22"/>
          <w:szCs w:val="22"/>
          <w:lang w:val="sr-Latn-ME" w:eastAsia="en-GB"/>
        </w:rPr>
      </w:pPr>
    </w:p>
    <w:p w14:paraId="6FD3F902" w14:textId="77777777" w:rsidR="00C72D0F" w:rsidRPr="00346B80" w:rsidRDefault="00C72D0F">
      <w:pPr>
        <w:widowControl w:val="0"/>
        <w:jc w:val="both"/>
        <w:rPr>
          <w:sz w:val="22"/>
          <w:szCs w:val="22"/>
          <w:lang w:val="sr-Latn-ME" w:eastAsia="en-GB"/>
        </w:rPr>
      </w:pPr>
      <w:r w:rsidRPr="00346B80">
        <w:rPr>
          <w:sz w:val="22"/>
          <w:szCs w:val="22"/>
          <w:lang w:val="sr-Latn-ME" w:eastAsia="en-GB"/>
        </w:rPr>
        <w:t>Klinički značajno smanjenje biohemijskih markera resorpcije kosti od 50 % bilo je primijećeno već mjesec dana nakon početka liječenja ibandronskom kiselinom od 2,5 mg.</w:t>
      </w:r>
    </w:p>
    <w:p w14:paraId="3204BC89" w14:textId="77777777" w:rsidR="00C72D0F" w:rsidRPr="00346B80" w:rsidRDefault="00C72D0F">
      <w:pPr>
        <w:widowControl w:val="0"/>
        <w:jc w:val="both"/>
        <w:rPr>
          <w:sz w:val="22"/>
          <w:szCs w:val="22"/>
          <w:lang w:val="sr-Latn-ME" w:eastAsia="en-GB"/>
        </w:rPr>
      </w:pPr>
    </w:p>
    <w:p w14:paraId="7AC1A284" w14:textId="77777777" w:rsidR="00C72D0F" w:rsidRPr="00346B80" w:rsidRDefault="00C72D0F">
      <w:pPr>
        <w:widowControl w:val="0"/>
        <w:jc w:val="both"/>
        <w:rPr>
          <w:sz w:val="22"/>
          <w:szCs w:val="22"/>
          <w:lang w:val="sr-Latn-ME" w:eastAsia="en-GB"/>
        </w:rPr>
      </w:pPr>
      <w:r w:rsidRPr="00346B80">
        <w:rPr>
          <w:sz w:val="22"/>
          <w:szCs w:val="22"/>
          <w:lang w:val="sr-Latn-ME" w:eastAsia="en-GB"/>
        </w:rPr>
        <w:t>Nakon prekida liječenja, očekuje se vraćanje na patološke, od prije liječenja, vrijednosti povećane resorpcije kosti povezane sa postmenopauzalnom osteoporozom.</w:t>
      </w:r>
    </w:p>
    <w:p w14:paraId="71849E7B" w14:textId="77777777" w:rsidR="00C72D0F" w:rsidRPr="00346B80" w:rsidRDefault="00C72D0F">
      <w:pPr>
        <w:widowControl w:val="0"/>
        <w:jc w:val="both"/>
        <w:rPr>
          <w:sz w:val="22"/>
          <w:szCs w:val="22"/>
          <w:lang w:val="sr-Latn-ME" w:eastAsia="en-GB"/>
        </w:rPr>
      </w:pPr>
    </w:p>
    <w:p w14:paraId="07C0D0B2" w14:textId="77777777" w:rsidR="00C72D0F" w:rsidRPr="00346B80" w:rsidRDefault="00C72D0F">
      <w:pPr>
        <w:widowControl w:val="0"/>
        <w:jc w:val="both"/>
        <w:rPr>
          <w:sz w:val="22"/>
          <w:szCs w:val="22"/>
          <w:lang w:val="sr-Latn-ME" w:eastAsia="en-GB"/>
        </w:rPr>
      </w:pPr>
      <w:r w:rsidRPr="00346B80">
        <w:rPr>
          <w:sz w:val="22"/>
          <w:szCs w:val="22"/>
          <w:lang w:val="sr-Latn-ME" w:eastAsia="en-GB"/>
        </w:rPr>
        <w:lastRenderedPageBreak/>
        <w:t>Histološke analize koštane biopsije dvije i tri godine poslije liječenja žena u postmenopauzi pokazalo je normalan kvalitet kosti i bez znakova poremećaja mineralizacije.</w:t>
      </w:r>
    </w:p>
    <w:p w14:paraId="0B12E175" w14:textId="77777777" w:rsidR="00C72D0F" w:rsidRPr="00346B80" w:rsidRDefault="00C72D0F">
      <w:pPr>
        <w:widowControl w:val="0"/>
        <w:jc w:val="both"/>
        <w:rPr>
          <w:sz w:val="22"/>
          <w:szCs w:val="22"/>
          <w:lang w:val="sr-Latn-ME" w:eastAsia="en-GB"/>
        </w:rPr>
      </w:pPr>
    </w:p>
    <w:p w14:paraId="6E600018" w14:textId="11766CE0" w:rsidR="00C72D0F" w:rsidRPr="00346B80" w:rsidRDefault="00C72D0F">
      <w:pPr>
        <w:widowControl w:val="0"/>
        <w:jc w:val="both"/>
        <w:rPr>
          <w:i/>
          <w:sz w:val="22"/>
          <w:szCs w:val="22"/>
          <w:lang w:val="sr-Latn-ME"/>
        </w:rPr>
      </w:pPr>
      <w:r w:rsidRPr="00346B80">
        <w:rPr>
          <w:i/>
          <w:sz w:val="22"/>
          <w:szCs w:val="22"/>
          <w:lang w:val="sr-Latn-ME"/>
        </w:rPr>
        <w:t xml:space="preserve">Pedijatrijska populacija </w:t>
      </w:r>
      <w:r w:rsidRPr="00346B80">
        <w:rPr>
          <w:sz w:val="22"/>
          <w:szCs w:val="22"/>
          <w:lang w:val="sr-Latn-ME"/>
        </w:rPr>
        <w:t xml:space="preserve">(vidjeti </w:t>
      </w:r>
      <w:r w:rsidR="00C53453" w:rsidRPr="00346B80">
        <w:rPr>
          <w:sz w:val="22"/>
          <w:szCs w:val="22"/>
          <w:lang w:val="sr-Latn-ME"/>
        </w:rPr>
        <w:t>dio</w:t>
      </w:r>
      <w:r w:rsidRPr="00346B80">
        <w:rPr>
          <w:sz w:val="22"/>
          <w:szCs w:val="22"/>
          <w:lang w:val="sr-Latn-ME"/>
        </w:rPr>
        <w:t xml:space="preserve"> 4.2 i </w:t>
      </w:r>
      <w:r w:rsidR="00C53453" w:rsidRPr="00346B80">
        <w:rPr>
          <w:sz w:val="22"/>
          <w:szCs w:val="22"/>
          <w:lang w:val="sr-Latn-ME"/>
        </w:rPr>
        <w:t>dio</w:t>
      </w:r>
      <w:r w:rsidRPr="00346B80">
        <w:rPr>
          <w:sz w:val="22"/>
          <w:szCs w:val="22"/>
          <w:lang w:val="sr-Latn-ME"/>
        </w:rPr>
        <w:t xml:space="preserve"> 5.2)</w:t>
      </w:r>
    </w:p>
    <w:p w14:paraId="75C36619" w14:textId="073B7E28" w:rsidR="00C72D0F" w:rsidRPr="00346B80" w:rsidRDefault="00C72D0F" w:rsidP="00814AE3">
      <w:pPr>
        <w:widowControl w:val="0"/>
        <w:tabs>
          <w:tab w:val="left" w:pos="540"/>
          <w:tab w:val="left" w:pos="569"/>
        </w:tabs>
        <w:jc w:val="both"/>
        <w:rPr>
          <w:sz w:val="22"/>
          <w:szCs w:val="22"/>
          <w:lang w:val="sr-Latn-ME"/>
        </w:rPr>
      </w:pPr>
      <w:r w:rsidRPr="00346B80">
        <w:rPr>
          <w:sz w:val="22"/>
          <w:szCs w:val="22"/>
          <w:lang w:val="sr-Latn-ME"/>
        </w:rPr>
        <w:t>Primjena lijeka Alvodronic nije ispitivana kod pedijatrijske populacije pacijenata, pa stoga za ovu populaciju pacijenata nema podataka o bezbjednosti i efikasnosti.</w:t>
      </w:r>
    </w:p>
    <w:p w14:paraId="6E661520" w14:textId="77777777" w:rsidR="00C72D0F" w:rsidRPr="00346B80" w:rsidRDefault="00C72D0F" w:rsidP="00814AE3">
      <w:pPr>
        <w:widowControl w:val="0"/>
        <w:tabs>
          <w:tab w:val="left" w:pos="540"/>
          <w:tab w:val="left" w:pos="569"/>
        </w:tabs>
        <w:jc w:val="both"/>
        <w:rPr>
          <w:sz w:val="22"/>
          <w:szCs w:val="22"/>
          <w:lang w:val="sr-Latn-ME"/>
        </w:rPr>
      </w:pPr>
    </w:p>
    <w:p w14:paraId="1F855791" w14:textId="77777777" w:rsidR="0072020E" w:rsidRPr="00346B80" w:rsidRDefault="0072020E" w:rsidP="00814AE3">
      <w:pPr>
        <w:widowControl w:val="0"/>
        <w:tabs>
          <w:tab w:val="left" w:pos="540"/>
          <w:tab w:val="left" w:pos="569"/>
        </w:tabs>
        <w:jc w:val="both"/>
        <w:rPr>
          <w:b/>
          <w:bCs/>
          <w:sz w:val="22"/>
          <w:szCs w:val="22"/>
          <w:lang w:val="sr-Latn-ME"/>
        </w:rPr>
      </w:pPr>
      <w:r w:rsidRPr="00346B80">
        <w:rPr>
          <w:b/>
          <w:bCs/>
          <w:sz w:val="22"/>
          <w:szCs w:val="22"/>
          <w:lang w:val="sr-Latn-ME"/>
        </w:rPr>
        <w:t xml:space="preserve">5.2. </w:t>
      </w:r>
      <w:r w:rsidR="00480FB1" w:rsidRPr="00346B80">
        <w:rPr>
          <w:b/>
          <w:bCs/>
          <w:sz w:val="22"/>
          <w:szCs w:val="22"/>
          <w:lang w:val="sr-Latn-ME"/>
        </w:rPr>
        <w:tab/>
      </w:r>
      <w:r w:rsidRPr="00346B80">
        <w:rPr>
          <w:b/>
          <w:bCs/>
          <w:sz w:val="22"/>
          <w:szCs w:val="22"/>
          <w:lang w:val="sr-Latn-ME"/>
        </w:rPr>
        <w:t>Farmakokinetički podaci</w:t>
      </w:r>
      <w:r w:rsidR="003A7059" w:rsidRPr="00346B80">
        <w:rPr>
          <w:b/>
          <w:bCs/>
          <w:sz w:val="22"/>
          <w:szCs w:val="22"/>
          <w:lang w:val="sr-Latn-ME"/>
        </w:rPr>
        <w:t xml:space="preserve"> </w:t>
      </w:r>
    </w:p>
    <w:p w14:paraId="1F855792" w14:textId="77777777" w:rsidR="0072020E" w:rsidRPr="00346B80" w:rsidRDefault="0072020E" w:rsidP="00814AE3">
      <w:pPr>
        <w:widowControl w:val="0"/>
        <w:tabs>
          <w:tab w:val="left" w:pos="540"/>
          <w:tab w:val="left" w:pos="569"/>
        </w:tabs>
        <w:jc w:val="both"/>
        <w:rPr>
          <w:bCs/>
          <w:sz w:val="22"/>
          <w:szCs w:val="22"/>
          <w:lang w:val="sr-Latn-ME"/>
        </w:rPr>
      </w:pPr>
    </w:p>
    <w:p w14:paraId="22001E9E" w14:textId="77777777" w:rsidR="00C72D0F" w:rsidRPr="00346B80" w:rsidRDefault="00C72D0F" w:rsidP="00346B80">
      <w:pPr>
        <w:widowControl w:val="0"/>
        <w:jc w:val="both"/>
        <w:rPr>
          <w:sz w:val="22"/>
          <w:szCs w:val="22"/>
          <w:lang w:val="sr-Latn-ME" w:eastAsia="en-GB"/>
        </w:rPr>
      </w:pPr>
      <w:r w:rsidRPr="00346B80">
        <w:rPr>
          <w:sz w:val="22"/>
          <w:szCs w:val="22"/>
          <w:lang w:val="sr-Latn-ME" w:eastAsia="en-GB"/>
        </w:rPr>
        <w:t>Primarni farmakološki efekti ibandronske kiseline na kost nisu direktno povezani sa postojećom plazmatskom koncentracijom, što je i pokazano u različitim studijama na životinjama i ljudima.</w:t>
      </w:r>
    </w:p>
    <w:p w14:paraId="79A362D2" w14:textId="77777777" w:rsidR="00C72D0F" w:rsidRPr="00346B80" w:rsidRDefault="00C72D0F" w:rsidP="00FC2EEC">
      <w:pPr>
        <w:widowControl w:val="0"/>
        <w:jc w:val="both"/>
        <w:rPr>
          <w:sz w:val="22"/>
          <w:szCs w:val="22"/>
          <w:lang w:val="sr-Latn-ME" w:eastAsia="en-GB"/>
        </w:rPr>
      </w:pPr>
    </w:p>
    <w:p w14:paraId="0C1317D1" w14:textId="77777777" w:rsidR="00C72D0F" w:rsidRPr="00346B80" w:rsidRDefault="00C72D0F">
      <w:pPr>
        <w:widowControl w:val="0"/>
        <w:jc w:val="both"/>
        <w:rPr>
          <w:sz w:val="22"/>
          <w:szCs w:val="22"/>
          <w:lang w:val="sr-Latn-ME" w:eastAsia="en-GB"/>
        </w:rPr>
      </w:pPr>
      <w:r w:rsidRPr="00346B80">
        <w:rPr>
          <w:i/>
          <w:sz w:val="22"/>
          <w:szCs w:val="22"/>
          <w:lang w:val="sr-Latn-ME" w:eastAsia="en-GB"/>
        </w:rPr>
        <w:t>Resorpcija</w:t>
      </w:r>
    </w:p>
    <w:p w14:paraId="5385546A" w14:textId="77777777" w:rsidR="00C72D0F" w:rsidRPr="00346B80" w:rsidRDefault="00C72D0F">
      <w:pPr>
        <w:widowControl w:val="0"/>
        <w:jc w:val="both"/>
        <w:rPr>
          <w:sz w:val="22"/>
          <w:szCs w:val="22"/>
          <w:lang w:val="sr-Latn-ME" w:eastAsia="en-GB"/>
        </w:rPr>
      </w:pPr>
      <w:r w:rsidRPr="00346B80">
        <w:rPr>
          <w:sz w:val="22"/>
          <w:szCs w:val="22"/>
          <w:lang w:val="sr-Latn-ME" w:eastAsia="en-GB"/>
        </w:rPr>
        <w:t>Resorpcija ibandronske kiseline</w:t>
      </w:r>
      <w:r w:rsidRPr="00346B80">
        <w:rPr>
          <w:b/>
          <w:sz w:val="22"/>
          <w:szCs w:val="22"/>
          <w:lang w:val="sr-Latn-ME" w:eastAsia="en-GB"/>
        </w:rPr>
        <w:t xml:space="preserve"> </w:t>
      </w:r>
      <w:r w:rsidRPr="00346B80">
        <w:rPr>
          <w:sz w:val="22"/>
          <w:szCs w:val="22"/>
          <w:lang w:val="sr-Latn-ME" w:eastAsia="en-GB"/>
        </w:rPr>
        <w:t>iz gornjeg dijela gastrointestinalnog sistema poslije oralne primjene je brza i plazmatska koncentracija raste proporcionalno sa dozom do 50 mg oralno primenjene doze, a unosom većih doza povećanje koncentracije u plazmi je iznad dozno-proporcionalnog. Maksimalno primijećene plazmatske koncentracije postignute su kroz 0,5 do 2 sata (prosječno 1 sat) na prazan želudac i apsolutna bioraspoloživost iznosila je oko 0,6%. Brzina resorpcije je umanjena kada se uzima zajedno sa hranom ili pićima (osim s običnom vodom). Bioraspoloživost je smanjena za oko 90% kada je ibandronska kiselina</w:t>
      </w:r>
      <w:r w:rsidRPr="00346B80">
        <w:rPr>
          <w:b/>
          <w:sz w:val="22"/>
          <w:szCs w:val="22"/>
          <w:lang w:val="sr-Latn-ME" w:eastAsia="en-GB"/>
        </w:rPr>
        <w:t xml:space="preserve"> </w:t>
      </w:r>
      <w:r w:rsidRPr="00346B80">
        <w:rPr>
          <w:sz w:val="22"/>
          <w:szCs w:val="22"/>
          <w:lang w:val="sr-Latn-ME" w:eastAsia="en-GB"/>
        </w:rPr>
        <w:t>primijenjena sa standardnim doručkom u poređenju sa bioraspoloživošću kod osoba koje su je uzimale na prazan želudac. Nema značajnog smanjenja bioraspoloživosti ako je ibandronska kiselina uzeta 60 minuta prije prvog obroka. I bioraspoloživost i BMD su smanjene ako je hrana ili piće uzeto najmanje 60 minuta poslije uzimanja ibandronske kiseline.</w:t>
      </w:r>
    </w:p>
    <w:p w14:paraId="65901A3D" w14:textId="77777777" w:rsidR="00C72D0F" w:rsidRPr="00346B80" w:rsidRDefault="00C72D0F">
      <w:pPr>
        <w:widowControl w:val="0"/>
        <w:jc w:val="both"/>
        <w:rPr>
          <w:sz w:val="22"/>
          <w:szCs w:val="22"/>
          <w:lang w:val="sr-Latn-ME" w:eastAsia="en-GB"/>
        </w:rPr>
      </w:pPr>
    </w:p>
    <w:p w14:paraId="644B752B" w14:textId="77777777" w:rsidR="00C72D0F" w:rsidRPr="00346B80" w:rsidRDefault="00C72D0F">
      <w:pPr>
        <w:widowControl w:val="0"/>
        <w:jc w:val="both"/>
        <w:rPr>
          <w:i/>
          <w:sz w:val="22"/>
          <w:szCs w:val="22"/>
          <w:lang w:val="sr-Latn-ME" w:eastAsia="en-GB"/>
        </w:rPr>
      </w:pPr>
      <w:r w:rsidRPr="00346B80">
        <w:rPr>
          <w:i/>
          <w:sz w:val="22"/>
          <w:szCs w:val="22"/>
          <w:lang w:val="sr-Latn-ME" w:eastAsia="en-GB"/>
        </w:rPr>
        <w:t>Distribucija</w:t>
      </w:r>
    </w:p>
    <w:p w14:paraId="3DDAD8C0" w14:textId="77777777" w:rsidR="00C72D0F" w:rsidRPr="00346B80" w:rsidRDefault="00C72D0F">
      <w:pPr>
        <w:widowControl w:val="0"/>
        <w:jc w:val="both"/>
        <w:rPr>
          <w:sz w:val="22"/>
          <w:szCs w:val="22"/>
          <w:lang w:val="sr-Latn-ME" w:eastAsia="en-GB"/>
        </w:rPr>
      </w:pPr>
      <w:r w:rsidRPr="00346B80">
        <w:rPr>
          <w:sz w:val="22"/>
          <w:szCs w:val="22"/>
          <w:lang w:val="sr-Latn-ME" w:eastAsia="en-GB"/>
        </w:rPr>
        <w:t xml:space="preserve">Nakon početne sistemske izloženosti ibandronska kiselina se brzo veže za kost ili se izlučuje u urin. Kod ljudi, očigledan terminalni volumen distribucije je najmanje 90 l i količina lijeka koja dospijeva do kostiju je procijenjena na 40-50% od doze u cirkulaciji. Vezivanje za proteine u ljudskoj plazmi je oko 85% - 87% (određeno </w:t>
      </w:r>
      <w:r w:rsidRPr="00346B80">
        <w:rPr>
          <w:i/>
          <w:sz w:val="22"/>
          <w:szCs w:val="22"/>
          <w:lang w:val="sr-Latn-ME" w:eastAsia="en-GB"/>
        </w:rPr>
        <w:t>in vitro</w:t>
      </w:r>
      <w:r w:rsidRPr="00346B80">
        <w:rPr>
          <w:sz w:val="22"/>
          <w:szCs w:val="22"/>
          <w:lang w:val="sr-Latn-ME" w:eastAsia="en-GB"/>
        </w:rPr>
        <w:t xml:space="preserve"> pri terapijskim koncentracijama) i iz tog razloga postoji mali potencijal za interakcije s ostalim ljekovima usljed istiskivanja.</w:t>
      </w:r>
    </w:p>
    <w:p w14:paraId="0FBA0755" w14:textId="77777777" w:rsidR="00C72D0F" w:rsidRPr="00346B80" w:rsidRDefault="00C72D0F">
      <w:pPr>
        <w:widowControl w:val="0"/>
        <w:jc w:val="both"/>
        <w:rPr>
          <w:sz w:val="22"/>
          <w:szCs w:val="22"/>
          <w:lang w:val="sr-Latn-ME" w:eastAsia="en-GB"/>
        </w:rPr>
      </w:pPr>
    </w:p>
    <w:p w14:paraId="6EB80997" w14:textId="77777777" w:rsidR="00C72D0F" w:rsidRPr="00346B80" w:rsidRDefault="00C72D0F">
      <w:pPr>
        <w:widowControl w:val="0"/>
        <w:jc w:val="both"/>
        <w:rPr>
          <w:sz w:val="22"/>
          <w:szCs w:val="22"/>
          <w:lang w:val="sr-Latn-ME" w:eastAsia="en-GB"/>
        </w:rPr>
      </w:pPr>
      <w:r w:rsidRPr="00346B80">
        <w:rPr>
          <w:i/>
          <w:sz w:val="22"/>
          <w:szCs w:val="22"/>
          <w:lang w:val="sr-Latn-ME" w:eastAsia="en-GB"/>
        </w:rPr>
        <w:t>Metabolizam</w:t>
      </w:r>
    </w:p>
    <w:p w14:paraId="2554CB29" w14:textId="77777777" w:rsidR="00C72D0F" w:rsidRPr="00346B80" w:rsidRDefault="00C72D0F">
      <w:pPr>
        <w:widowControl w:val="0"/>
        <w:jc w:val="both"/>
        <w:rPr>
          <w:sz w:val="22"/>
          <w:szCs w:val="22"/>
          <w:lang w:val="sr-Latn-ME" w:eastAsia="en-GB"/>
        </w:rPr>
      </w:pPr>
      <w:r w:rsidRPr="00346B80">
        <w:rPr>
          <w:sz w:val="22"/>
          <w:szCs w:val="22"/>
          <w:lang w:val="sr-Latn-ME" w:eastAsia="en-GB"/>
        </w:rPr>
        <w:t>Nema dokaza da se ibandronska kiselina metaboliše kod životinja ili ljudi.</w:t>
      </w:r>
    </w:p>
    <w:p w14:paraId="4102AD8D" w14:textId="77777777" w:rsidR="00C72D0F" w:rsidRPr="00346B80" w:rsidRDefault="00C72D0F">
      <w:pPr>
        <w:widowControl w:val="0"/>
        <w:jc w:val="both"/>
        <w:rPr>
          <w:sz w:val="22"/>
          <w:szCs w:val="22"/>
          <w:lang w:val="sr-Latn-ME" w:eastAsia="en-GB"/>
        </w:rPr>
      </w:pPr>
    </w:p>
    <w:p w14:paraId="1EC8C2E8" w14:textId="77777777" w:rsidR="00C72D0F" w:rsidRPr="00346B80" w:rsidRDefault="00C72D0F">
      <w:pPr>
        <w:widowControl w:val="0"/>
        <w:jc w:val="both"/>
        <w:rPr>
          <w:sz w:val="22"/>
          <w:szCs w:val="22"/>
          <w:lang w:val="sr-Latn-ME" w:eastAsia="en-GB"/>
        </w:rPr>
      </w:pPr>
      <w:r w:rsidRPr="00346B80">
        <w:rPr>
          <w:i/>
          <w:sz w:val="22"/>
          <w:szCs w:val="22"/>
          <w:lang w:val="sr-Latn-ME" w:eastAsia="en-GB"/>
        </w:rPr>
        <w:t>Eliminacija</w:t>
      </w:r>
    </w:p>
    <w:p w14:paraId="16E9F91A" w14:textId="77777777" w:rsidR="00C72D0F" w:rsidRPr="00346B80" w:rsidRDefault="00C72D0F">
      <w:pPr>
        <w:widowControl w:val="0"/>
        <w:jc w:val="both"/>
        <w:rPr>
          <w:sz w:val="22"/>
          <w:szCs w:val="22"/>
          <w:lang w:val="sr-Latn-ME" w:eastAsia="en-GB"/>
        </w:rPr>
      </w:pPr>
      <w:r w:rsidRPr="00346B80">
        <w:rPr>
          <w:sz w:val="22"/>
          <w:szCs w:val="22"/>
          <w:lang w:val="sr-Latn-ME" w:eastAsia="en-GB"/>
        </w:rPr>
        <w:t>Resorbovana frakcija ibandronske kiseline</w:t>
      </w:r>
      <w:r w:rsidRPr="00346B80">
        <w:rPr>
          <w:b/>
          <w:sz w:val="22"/>
          <w:szCs w:val="22"/>
          <w:lang w:val="sr-Latn-ME" w:eastAsia="en-GB"/>
        </w:rPr>
        <w:t xml:space="preserve"> </w:t>
      </w:r>
      <w:r w:rsidRPr="00346B80">
        <w:rPr>
          <w:sz w:val="22"/>
          <w:szCs w:val="22"/>
          <w:lang w:val="sr-Latn-ME" w:eastAsia="en-GB"/>
        </w:rPr>
        <w:t xml:space="preserve">odstranjuje se iz cirkulacije putem koštane resorpcije (procjenjuje se da ona iznosi 40% - 50% kod žena u postmenopauzi), a ostatak se eliminiše u nepromijenjenom obliku bubrezima. Neresorbovana frakcija ibandronske kiseline se eliminiše nepromijenjena fecesom. </w:t>
      </w:r>
    </w:p>
    <w:p w14:paraId="2906247A" w14:textId="77777777" w:rsidR="00C72D0F" w:rsidRPr="00346B80" w:rsidRDefault="00C72D0F">
      <w:pPr>
        <w:widowControl w:val="0"/>
        <w:jc w:val="both"/>
        <w:rPr>
          <w:b/>
          <w:color w:val="FF0000"/>
          <w:sz w:val="22"/>
          <w:szCs w:val="22"/>
          <w:lang w:val="sr-Latn-ME" w:eastAsia="en-GB"/>
        </w:rPr>
      </w:pPr>
      <w:r w:rsidRPr="00346B80">
        <w:rPr>
          <w:sz w:val="22"/>
          <w:szCs w:val="22"/>
          <w:lang w:val="sr-Latn-ME" w:eastAsia="en-GB"/>
        </w:rPr>
        <w:t xml:space="preserve">Raspon utvrđenog poluvremena eliminacije je širok, očigledno terminalno poluvrijeme eliminacije obično je u rasponu od 10 do 72 sata. </w:t>
      </w:r>
      <w:r w:rsidRPr="00346B80">
        <w:rPr>
          <w:rStyle w:val="longtext1"/>
          <w:color w:val="000000"/>
          <w:sz w:val="22"/>
          <w:szCs w:val="22"/>
          <w:lang w:val="sr-Latn-ME"/>
        </w:rPr>
        <w:t xml:space="preserve">Kako su izračunate vrijednosti u velikoj meri funkcija trajanja studije, primijenjena doza i osjetljivost testa, stvarno terminalno poluvrijeme eliminacije vjerovatno je znatno duže, kao što je slučaj i sa ostalim bisfosfonatima. </w:t>
      </w:r>
      <w:r w:rsidRPr="00346B80">
        <w:rPr>
          <w:sz w:val="22"/>
          <w:szCs w:val="22"/>
          <w:lang w:val="sr-Latn-ME" w:eastAsia="en-GB"/>
        </w:rPr>
        <w:t>Početni plazmatski nivo brzo opada, dostižući 10% od maksimalne vrijednosti kroz 3 odnosno 8 sati nakon intravenske ili oralne primjene.</w:t>
      </w:r>
    </w:p>
    <w:p w14:paraId="6BB2217A" w14:textId="77777777" w:rsidR="00C72D0F" w:rsidRPr="00346B80" w:rsidRDefault="00C72D0F">
      <w:pPr>
        <w:widowControl w:val="0"/>
        <w:jc w:val="both"/>
        <w:rPr>
          <w:sz w:val="22"/>
          <w:szCs w:val="22"/>
          <w:lang w:val="sr-Latn-ME" w:eastAsia="en-GB"/>
        </w:rPr>
      </w:pPr>
      <w:r w:rsidRPr="00346B80">
        <w:rPr>
          <w:sz w:val="22"/>
          <w:szCs w:val="22"/>
          <w:lang w:val="sr-Latn-ME" w:eastAsia="en-GB"/>
        </w:rPr>
        <w:t>Ukupan klirens ibandronske kiseline je mali sa prosječnim vrijednostima u rasponu od 84 - 160 ml/min. Renalni klirens (oko 60 ml/min kod zdravih postmenopauzalnih žena) iznosi 50% - 60% od ukupnog klirensa i u vezi je sa klirensom kreatinina. Razlika između ukupnog i renalnog klirensa smatra se odrazom koštane resorpcije.</w:t>
      </w:r>
    </w:p>
    <w:p w14:paraId="2BBB3843" w14:textId="77777777" w:rsidR="00C72D0F" w:rsidRPr="00346B80" w:rsidRDefault="00C72D0F">
      <w:pPr>
        <w:widowControl w:val="0"/>
        <w:jc w:val="both"/>
        <w:rPr>
          <w:sz w:val="22"/>
          <w:szCs w:val="22"/>
          <w:lang w:val="sr-Latn-ME" w:eastAsia="en-GB"/>
        </w:rPr>
      </w:pPr>
      <w:r w:rsidRPr="00346B80">
        <w:rPr>
          <w:sz w:val="22"/>
          <w:szCs w:val="22"/>
          <w:lang w:val="sr-Latn-ME" w:eastAsia="en-GB"/>
        </w:rPr>
        <w:t>Izgleda da u eliminaciji nisu uključeni poznati transportni sistemi za kiseline ili baze koji učestvuju u ekskreciji drugih aktivnih supstanci. Osim toga, ibandronska kiselina ne inhibira glavni humani hepatički izoenzim P450 i ne indukuje hepatički citohrom P450 kod pacova.</w:t>
      </w:r>
    </w:p>
    <w:p w14:paraId="391C75CF" w14:textId="77777777" w:rsidR="00C53453" w:rsidRPr="00346B80" w:rsidRDefault="00C53453">
      <w:pPr>
        <w:widowControl w:val="0"/>
        <w:jc w:val="both"/>
        <w:rPr>
          <w:sz w:val="22"/>
          <w:szCs w:val="22"/>
          <w:u w:val="single"/>
          <w:lang w:val="sr-Latn-ME" w:eastAsia="en-GB"/>
        </w:rPr>
      </w:pPr>
    </w:p>
    <w:p w14:paraId="486A2E64" w14:textId="064FA93E" w:rsidR="00C72D0F" w:rsidRPr="00346B80" w:rsidRDefault="00C72D0F">
      <w:pPr>
        <w:widowControl w:val="0"/>
        <w:jc w:val="both"/>
        <w:rPr>
          <w:sz w:val="22"/>
          <w:szCs w:val="22"/>
          <w:u w:val="single"/>
          <w:lang w:val="sr-Latn-ME" w:eastAsia="en-GB"/>
        </w:rPr>
      </w:pPr>
      <w:r w:rsidRPr="00346B80">
        <w:rPr>
          <w:sz w:val="22"/>
          <w:szCs w:val="22"/>
          <w:u w:val="single"/>
          <w:lang w:val="sr-Latn-ME" w:eastAsia="en-GB"/>
        </w:rPr>
        <w:t>Farmakokinetika u posebnim kliničkim situacijama</w:t>
      </w:r>
    </w:p>
    <w:p w14:paraId="2C829A2E" w14:textId="77777777" w:rsidR="00C72D0F" w:rsidRPr="00346B80" w:rsidRDefault="00C72D0F">
      <w:pPr>
        <w:widowControl w:val="0"/>
        <w:jc w:val="both"/>
        <w:rPr>
          <w:sz w:val="22"/>
          <w:szCs w:val="22"/>
          <w:lang w:val="sr-Latn-ME" w:eastAsia="en-GB"/>
        </w:rPr>
      </w:pPr>
    </w:p>
    <w:p w14:paraId="2961A71C" w14:textId="77777777" w:rsidR="00C72D0F" w:rsidRPr="00346B80" w:rsidRDefault="00C72D0F">
      <w:pPr>
        <w:widowControl w:val="0"/>
        <w:jc w:val="both"/>
        <w:rPr>
          <w:sz w:val="22"/>
          <w:szCs w:val="22"/>
          <w:lang w:val="sr-Latn-ME" w:eastAsia="en-GB"/>
        </w:rPr>
      </w:pPr>
      <w:r w:rsidRPr="00346B80">
        <w:rPr>
          <w:i/>
          <w:sz w:val="22"/>
          <w:szCs w:val="22"/>
          <w:lang w:val="sr-Latn-ME" w:eastAsia="en-GB"/>
        </w:rPr>
        <w:t>Pol</w:t>
      </w:r>
    </w:p>
    <w:p w14:paraId="2254B331" w14:textId="77777777" w:rsidR="00C72D0F" w:rsidRPr="00346B80" w:rsidRDefault="00C72D0F">
      <w:pPr>
        <w:widowControl w:val="0"/>
        <w:jc w:val="both"/>
        <w:rPr>
          <w:sz w:val="22"/>
          <w:szCs w:val="22"/>
          <w:lang w:val="sr-Latn-ME" w:eastAsia="en-GB"/>
        </w:rPr>
      </w:pPr>
      <w:r w:rsidRPr="00346B80">
        <w:rPr>
          <w:sz w:val="22"/>
          <w:szCs w:val="22"/>
          <w:lang w:val="sr-Latn-ME" w:eastAsia="en-GB"/>
        </w:rPr>
        <w:t>Bioraspoloživost i farmakokinetika ibandronske kiseline slična je kod žena i muškaraca.</w:t>
      </w:r>
    </w:p>
    <w:p w14:paraId="266B265C" w14:textId="77777777" w:rsidR="00C72D0F" w:rsidRPr="00346B80" w:rsidRDefault="00C72D0F">
      <w:pPr>
        <w:widowControl w:val="0"/>
        <w:jc w:val="both"/>
        <w:rPr>
          <w:sz w:val="22"/>
          <w:szCs w:val="22"/>
          <w:lang w:val="sr-Latn-ME" w:eastAsia="en-GB"/>
        </w:rPr>
      </w:pPr>
    </w:p>
    <w:p w14:paraId="77AB5CCD" w14:textId="77777777" w:rsidR="00C72D0F" w:rsidRPr="00346B80" w:rsidRDefault="00C72D0F">
      <w:pPr>
        <w:widowControl w:val="0"/>
        <w:jc w:val="both"/>
        <w:rPr>
          <w:sz w:val="22"/>
          <w:szCs w:val="22"/>
          <w:lang w:val="sr-Latn-ME" w:eastAsia="en-GB"/>
        </w:rPr>
      </w:pPr>
      <w:r w:rsidRPr="00346B80">
        <w:rPr>
          <w:i/>
          <w:sz w:val="22"/>
          <w:szCs w:val="22"/>
          <w:lang w:val="sr-Latn-ME" w:eastAsia="en-GB"/>
        </w:rPr>
        <w:t>Rasa</w:t>
      </w:r>
    </w:p>
    <w:p w14:paraId="04142C52" w14:textId="77777777" w:rsidR="00C72D0F" w:rsidRPr="00346B80" w:rsidRDefault="00C72D0F">
      <w:pPr>
        <w:widowControl w:val="0"/>
        <w:jc w:val="both"/>
        <w:rPr>
          <w:sz w:val="22"/>
          <w:szCs w:val="22"/>
          <w:lang w:val="sr-Latn-ME" w:eastAsia="en-GB"/>
        </w:rPr>
      </w:pPr>
      <w:r w:rsidRPr="00346B80">
        <w:rPr>
          <w:sz w:val="22"/>
          <w:szCs w:val="22"/>
          <w:lang w:val="sr-Latn-ME" w:eastAsia="en-GB"/>
        </w:rPr>
        <w:lastRenderedPageBreak/>
        <w:t>Nema podataka o bilo kakvim klinički relevantnim međuetničkim razlikama među pripadnicima azijatske i bijele rase u raspoloživosti ibandronske kiseline. Postoji nedovoljno podataka o pacijentima afričkog porekla.</w:t>
      </w:r>
    </w:p>
    <w:p w14:paraId="14F50568" w14:textId="77777777" w:rsidR="00C72D0F" w:rsidRPr="00346B80" w:rsidRDefault="00C72D0F">
      <w:pPr>
        <w:widowControl w:val="0"/>
        <w:jc w:val="both"/>
        <w:rPr>
          <w:sz w:val="22"/>
          <w:szCs w:val="22"/>
          <w:lang w:val="sr-Latn-ME" w:eastAsia="en-GB"/>
        </w:rPr>
      </w:pPr>
    </w:p>
    <w:p w14:paraId="16DD226D" w14:textId="77777777" w:rsidR="00C72D0F" w:rsidRPr="00346B80" w:rsidRDefault="00C72D0F">
      <w:pPr>
        <w:widowControl w:val="0"/>
        <w:jc w:val="both"/>
        <w:rPr>
          <w:i/>
          <w:sz w:val="22"/>
          <w:szCs w:val="22"/>
          <w:lang w:val="sr-Latn-ME" w:eastAsia="en-GB"/>
        </w:rPr>
      </w:pPr>
      <w:r w:rsidRPr="00346B80">
        <w:rPr>
          <w:i/>
          <w:sz w:val="22"/>
          <w:szCs w:val="22"/>
          <w:lang w:val="sr-Latn-ME" w:eastAsia="en-GB"/>
        </w:rPr>
        <w:t>Pacijenti s oštećenom bubrežnom funkcijom</w:t>
      </w:r>
    </w:p>
    <w:p w14:paraId="3C7E798D" w14:textId="77777777" w:rsidR="00C72D0F" w:rsidRPr="00346B80" w:rsidRDefault="00C72D0F">
      <w:pPr>
        <w:widowControl w:val="0"/>
        <w:jc w:val="both"/>
        <w:rPr>
          <w:sz w:val="22"/>
          <w:szCs w:val="22"/>
          <w:lang w:val="sr-Latn-ME" w:eastAsia="en-GB"/>
        </w:rPr>
      </w:pPr>
      <w:r w:rsidRPr="00346B80">
        <w:rPr>
          <w:sz w:val="22"/>
          <w:szCs w:val="22"/>
          <w:lang w:val="sr-Latn-ME" w:eastAsia="en-GB"/>
        </w:rPr>
        <w:t>Renalni klirens ibandronske kiseline kod pacijenata sa različitim stepenom bubrežnog oštećenja je u linearnoj vezi sa klirensom kreatinina. Nije potrebno prilagođavanje doze kod pacijenata sa blagim do umjerenim oštećenjem bubrežne funkcije (klirens kreatinina (Clcr) jednak ili veći od 30 ml/min), kao što je pokazano u studiji BM 16549 gdje je većina pacijenata imala blago do umjereno bubrežno oštećenje.</w:t>
      </w:r>
    </w:p>
    <w:p w14:paraId="5B09FAC6" w14:textId="6BF3C88E" w:rsidR="00C72D0F" w:rsidRPr="00346B80" w:rsidRDefault="00C72D0F">
      <w:pPr>
        <w:widowControl w:val="0"/>
        <w:jc w:val="both"/>
        <w:rPr>
          <w:sz w:val="22"/>
          <w:szCs w:val="22"/>
          <w:lang w:val="sr-Latn-ME" w:eastAsia="en-GB"/>
        </w:rPr>
      </w:pPr>
      <w:r w:rsidRPr="00346B80">
        <w:rPr>
          <w:sz w:val="22"/>
          <w:szCs w:val="22"/>
          <w:lang w:val="sr-Latn-ME" w:eastAsia="en-GB"/>
        </w:rPr>
        <w:t xml:space="preserve">Osobe sa teško oštećenom bubrežnom funkcijom (Clcr manji od 30 ml/min) koje su dnevno primale oralno primijenjenu ibandronsku kiselinu u dozi od 10 mg u trajanju od 21 dan imale su 2 do 3 puta veću plazmatsku koncentraciju nego osobe sa normalnom bubrežnom funkcijom i ukupan klirens ibandronske kiseline bio je 44 ml/min. Poslije intravenske primjene 0,5 mg, ukupni, renalni i nerenalni klirens smanjeni su za 67%, 77% i 50%, kod osoba sa teško oštećenom bubrežnom funkcijom, ali nije bila smanjena podnošljivost povezana sa povećanom izloženošću. Zbog ograničenog kliničkog iskustva, </w:t>
      </w:r>
      <w:r w:rsidRPr="00346B80">
        <w:rPr>
          <w:sz w:val="22"/>
          <w:szCs w:val="22"/>
          <w:lang w:val="sr-Latn-ME"/>
        </w:rPr>
        <w:t>Alvodronic 150 mg film tablete</w:t>
      </w:r>
      <w:r w:rsidRPr="00346B80">
        <w:rPr>
          <w:sz w:val="22"/>
          <w:szCs w:val="22"/>
          <w:lang w:val="sr-Latn-ME" w:eastAsia="en-GB"/>
        </w:rPr>
        <w:t xml:space="preserve"> se ne preporučuju pacijentima sa teškim oštećenjem bubrega (vidjeti </w:t>
      </w:r>
      <w:r w:rsidR="00C53453" w:rsidRPr="00346B80">
        <w:rPr>
          <w:sz w:val="22"/>
          <w:szCs w:val="22"/>
          <w:lang w:val="sr-Latn-ME" w:eastAsia="en-GB"/>
        </w:rPr>
        <w:t>dio</w:t>
      </w:r>
      <w:r w:rsidRPr="00346B80">
        <w:rPr>
          <w:sz w:val="22"/>
          <w:szCs w:val="22"/>
          <w:lang w:val="sr-Latn-ME" w:eastAsia="en-GB"/>
        </w:rPr>
        <w:t xml:space="preserve"> 4.2 i </w:t>
      </w:r>
      <w:r w:rsidR="00C53453" w:rsidRPr="00346B80">
        <w:rPr>
          <w:sz w:val="22"/>
          <w:szCs w:val="22"/>
          <w:lang w:val="sr-Latn-ME" w:eastAsia="en-GB"/>
        </w:rPr>
        <w:t>dio</w:t>
      </w:r>
      <w:r w:rsidRPr="00346B80">
        <w:rPr>
          <w:sz w:val="22"/>
          <w:szCs w:val="22"/>
          <w:lang w:val="sr-Latn-ME" w:eastAsia="en-GB"/>
        </w:rPr>
        <w:t xml:space="preserve"> 4.4). Farmakokinetika ibandronske kiseline nije utvrđena kod pacijenata sa terminalnim bubrežnim poremećajem, a koji se ne liječe hemodijalizom. Farmakokinetika ibandronske kiseline kod ovih pacijenata nije poznata i lijek se ne smije koristiti pod ovim okolnostima.</w:t>
      </w:r>
    </w:p>
    <w:p w14:paraId="3670A0EE" w14:textId="77777777" w:rsidR="00C53453" w:rsidRPr="00346B80" w:rsidRDefault="00C53453">
      <w:pPr>
        <w:widowControl w:val="0"/>
        <w:jc w:val="both"/>
        <w:rPr>
          <w:i/>
          <w:sz w:val="22"/>
          <w:szCs w:val="22"/>
          <w:lang w:val="sr-Latn-ME" w:eastAsia="en-GB"/>
        </w:rPr>
      </w:pPr>
    </w:p>
    <w:p w14:paraId="28E674FE" w14:textId="0261ED65" w:rsidR="00C72D0F" w:rsidRPr="00346B80" w:rsidRDefault="00C72D0F">
      <w:pPr>
        <w:widowControl w:val="0"/>
        <w:jc w:val="both"/>
        <w:rPr>
          <w:i/>
          <w:sz w:val="22"/>
          <w:szCs w:val="22"/>
          <w:lang w:val="sr-Latn-ME" w:eastAsia="en-GB"/>
        </w:rPr>
      </w:pPr>
      <w:r w:rsidRPr="00346B80">
        <w:rPr>
          <w:i/>
          <w:sz w:val="22"/>
          <w:szCs w:val="22"/>
          <w:lang w:val="sr-Latn-ME" w:eastAsia="en-GB"/>
        </w:rPr>
        <w:t xml:space="preserve">Pacijenti s oštećenom funkcijom jetre (vidjeti </w:t>
      </w:r>
      <w:r w:rsidR="00C53453" w:rsidRPr="00346B80">
        <w:rPr>
          <w:i/>
          <w:sz w:val="22"/>
          <w:szCs w:val="22"/>
          <w:lang w:val="sr-Latn-ME" w:eastAsia="en-GB"/>
        </w:rPr>
        <w:t>dio</w:t>
      </w:r>
      <w:r w:rsidRPr="00346B80">
        <w:rPr>
          <w:i/>
          <w:sz w:val="22"/>
          <w:szCs w:val="22"/>
          <w:lang w:val="sr-Latn-ME" w:eastAsia="en-GB"/>
        </w:rPr>
        <w:t xml:space="preserve"> 4.2)</w:t>
      </w:r>
    </w:p>
    <w:p w14:paraId="2C22FFCD" w14:textId="77777777" w:rsidR="00C72D0F" w:rsidRPr="00346B80" w:rsidRDefault="00C72D0F">
      <w:pPr>
        <w:widowControl w:val="0"/>
        <w:jc w:val="both"/>
        <w:rPr>
          <w:sz w:val="22"/>
          <w:szCs w:val="22"/>
          <w:lang w:val="sr-Latn-ME" w:eastAsia="en-GB"/>
        </w:rPr>
      </w:pPr>
      <w:r w:rsidRPr="00346B80">
        <w:rPr>
          <w:sz w:val="22"/>
          <w:szCs w:val="22"/>
          <w:lang w:val="sr-Latn-ME" w:eastAsia="en-GB"/>
        </w:rPr>
        <w:t>Nema podataka o farmakokinetici ibandronske kiseline kod pacijenata sa oštećenjem jetre. Jetra nema značajnu ulogu u klirensu ibandronske kiseline koja se ne metaboliše, ali se odstranjuje renalnom ekskrecijom i preuzimanjem od strane kostiju. Zbog toga nije potrebno prilagođavanje doze kod pacijenata s oštećenjem jetre.</w:t>
      </w:r>
    </w:p>
    <w:p w14:paraId="1282593D" w14:textId="77777777" w:rsidR="00C53453" w:rsidRPr="00346B80" w:rsidRDefault="00C53453">
      <w:pPr>
        <w:widowControl w:val="0"/>
        <w:jc w:val="both"/>
        <w:rPr>
          <w:i/>
          <w:iCs/>
          <w:sz w:val="22"/>
          <w:szCs w:val="22"/>
          <w:lang w:val="sr-Latn-ME" w:eastAsia="en-GB"/>
        </w:rPr>
      </w:pPr>
    </w:p>
    <w:p w14:paraId="55BC38E8" w14:textId="01DCEE46" w:rsidR="00C72D0F" w:rsidRPr="00346B80" w:rsidRDefault="00C72D0F">
      <w:pPr>
        <w:widowControl w:val="0"/>
        <w:jc w:val="both"/>
        <w:rPr>
          <w:i/>
          <w:iCs/>
          <w:sz w:val="22"/>
          <w:szCs w:val="22"/>
          <w:lang w:val="sr-Latn-ME" w:eastAsia="en-GB"/>
        </w:rPr>
      </w:pPr>
      <w:r w:rsidRPr="00346B80">
        <w:rPr>
          <w:i/>
          <w:iCs/>
          <w:sz w:val="22"/>
          <w:szCs w:val="22"/>
          <w:lang w:val="sr-Latn-ME" w:eastAsia="en-GB"/>
        </w:rPr>
        <w:t xml:space="preserve">Stariji pacijenti </w:t>
      </w:r>
      <w:r w:rsidRPr="00346B80">
        <w:rPr>
          <w:i/>
          <w:sz w:val="22"/>
          <w:szCs w:val="22"/>
          <w:lang w:val="sr-Latn-ME" w:eastAsia="en-GB"/>
        </w:rPr>
        <w:t xml:space="preserve">(vidjeti </w:t>
      </w:r>
      <w:r w:rsidR="00C53453" w:rsidRPr="00346B80">
        <w:rPr>
          <w:i/>
          <w:sz w:val="22"/>
          <w:szCs w:val="22"/>
          <w:lang w:val="sr-Latn-ME" w:eastAsia="en-GB"/>
        </w:rPr>
        <w:t>dio</w:t>
      </w:r>
      <w:r w:rsidRPr="00346B80">
        <w:rPr>
          <w:i/>
          <w:sz w:val="22"/>
          <w:szCs w:val="22"/>
          <w:lang w:val="sr-Latn-ME" w:eastAsia="en-GB"/>
        </w:rPr>
        <w:t xml:space="preserve"> 4.2)</w:t>
      </w:r>
    </w:p>
    <w:p w14:paraId="30E00987" w14:textId="77777777" w:rsidR="00C72D0F" w:rsidRPr="00346B80" w:rsidRDefault="00C72D0F">
      <w:pPr>
        <w:widowControl w:val="0"/>
        <w:jc w:val="both"/>
        <w:rPr>
          <w:sz w:val="22"/>
          <w:szCs w:val="22"/>
          <w:lang w:val="sr-Latn-ME" w:eastAsia="en-GB"/>
        </w:rPr>
      </w:pPr>
      <w:r w:rsidRPr="00346B80">
        <w:rPr>
          <w:iCs/>
          <w:sz w:val="22"/>
          <w:szCs w:val="22"/>
          <w:lang w:val="sr-Latn-ME" w:eastAsia="en-GB"/>
        </w:rPr>
        <w:t xml:space="preserve">U varijabilnim analizama, nije utvrđeno da je uzrast nezavisan faktor bilo kojeg farmakokinetičkog ispitivanog parametra. Pošto se bubrežna funkcija sa godinama smanjuje, to je jedini faktor koji treba uzeti u obzir (vidjeti </w:t>
      </w:r>
      <w:r w:rsidRPr="00346B80">
        <w:rPr>
          <w:i/>
          <w:sz w:val="22"/>
          <w:szCs w:val="22"/>
          <w:lang w:val="sr-Latn-ME" w:eastAsia="en-GB"/>
        </w:rPr>
        <w:t>Pacijenti s oštećenom bubrežnom funkcijom</w:t>
      </w:r>
      <w:r w:rsidRPr="00346B80">
        <w:rPr>
          <w:sz w:val="22"/>
          <w:szCs w:val="22"/>
          <w:lang w:val="sr-Latn-ME" w:eastAsia="en-GB"/>
        </w:rPr>
        <w:t>).</w:t>
      </w:r>
    </w:p>
    <w:p w14:paraId="3523F091" w14:textId="77777777" w:rsidR="00C53453" w:rsidRPr="00346B80" w:rsidRDefault="00C53453">
      <w:pPr>
        <w:widowControl w:val="0"/>
        <w:jc w:val="both"/>
        <w:rPr>
          <w:i/>
          <w:iCs/>
          <w:sz w:val="22"/>
          <w:szCs w:val="22"/>
          <w:lang w:val="sr-Latn-ME" w:eastAsia="en-GB"/>
        </w:rPr>
      </w:pPr>
    </w:p>
    <w:p w14:paraId="1DDA5371" w14:textId="05A734F3" w:rsidR="00C72D0F" w:rsidRPr="00346B80" w:rsidRDefault="00C72D0F">
      <w:pPr>
        <w:widowControl w:val="0"/>
        <w:jc w:val="both"/>
        <w:rPr>
          <w:iCs/>
          <w:sz w:val="22"/>
          <w:szCs w:val="22"/>
          <w:lang w:val="sr-Latn-ME" w:eastAsia="en-GB"/>
        </w:rPr>
      </w:pPr>
      <w:r w:rsidRPr="00346B80">
        <w:rPr>
          <w:i/>
          <w:iCs/>
          <w:sz w:val="22"/>
          <w:szCs w:val="22"/>
          <w:lang w:val="sr-Latn-ME" w:eastAsia="en-GB"/>
        </w:rPr>
        <w:t xml:space="preserve">Pedijatrijska populacija </w:t>
      </w:r>
      <w:r w:rsidRPr="00346B80">
        <w:rPr>
          <w:i/>
          <w:sz w:val="22"/>
          <w:szCs w:val="22"/>
          <w:lang w:val="sr-Latn-ME" w:eastAsia="en-GB"/>
        </w:rPr>
        <w:t xml:space="preserve">(vidjeti </w:t>
      </w:r>
      <w:r w:rsidR="00C53453" w:rsidRPr="00346B80">
        <w:rPr>
          <w:i/>
          <w:sz w:val="22"/>
          <w:szCs w:val="22"/>
          <w:lang w:val="sr-Latn-ME" w:eastAsia="en-GB"/>
        </w:rPr>
        <w:t>dio</w:t>
      </w:r>
      <w:r w:rsidRPr="00346B80">
        <w:rPr>
          <w:i/>
          <w:sz w:val="22"/>
          <w:szCs w:val="22"/>
          <w:lang w:val="sr-Latn-ME" w:eastAsia="en-GB"/>
        </w:rPr>
        <w:t xml:space="preserve"> 4.2 i </w:t>
      </w:r>
      <w:r w:rsidR="00C53453" w:rsidRPr="00346B80">
        <w:rPr>
          <w:i/>
          <w:sz w:val="22"/>
          <w:szCs w:val="22"/>
          <w:lang w:val="sr-Latn-ME" w:eastAsia="en-GB"/>
        </w:rPr>
        <w:t>dio</w:t>
      </w:r>
      <w:r w:rsidRPr="00346B80">
        <w:rPr>
          <w:i/>
          <w:sz w:val="22"/>
          <w:szCs w:val="22"/>
          <w:lang w:val="sr-Latn-ME" w:eastAsia="en-GB"/>
        </w:rPr>
        <w:t xml:space="preserve"> 5.1)</w:t>
      </w:r>
    </w:p>
    <w:p w14:paraId="022D6173" w14:textId="7AA70750" w:rsidR="00C72D0F" w:rsidRPr="00346B80" w:rsidRDefault="00C72D0F">
      <w:pPr>
        <w:widowControl w:val="0"/>
        <w:jc w:val="both"/>
        <w:rPr>
          <w:bCs/>
          <w:sz w:val="22"/>
          <w:szCs w:val="22"/>
          <w:lang w:val="sr-Latn-ME"/>
        </w:rPr>
      </w:pPr>
      <w:r w:rsidRPr="00346B80">
        <w:rPr>
          <w:iCs/>
          <w:sz w:val="22"/>
          <w:szCs w:val="22"/>
          <w:lang w:val="sr-Latn-ME" w:eastAsia="en-GB"/>
        </w:rPr>
        <w:t xml:space="preserve">Nema podataka o primeni </w:t>
      </w:r>
      <w:r w:rsidRPr="00346B80">
        <w:rPr>
          <w:sz w:val="22"/>
          <w:szCs w:val="22"/>
          <w:lang w:val="sr-Latn-ME"/>
        </w:rPr>
        <w:t>lijeka Alvodronic 150 mg film tablete</w:t>
      </w:r>
      <w:r w:rsidRPr="00346B80">
        <w:rPr>
          <w:b/>
          <w:color w:val="FF0000"/>
          <w:sz w:val="22"/>
          <w:szCs w:val="22"/>
          <w:lang w:val="sr-Latn-ME" w:eastAsia="en-GB"/>
        </w:rPr>
        <w:t xml:space="preserve"> </w:t>
      </w:r>
      <w:r w:rsidRPr="00346B80">
        <w:rPr>
          <w:sz w:val="22"/>
          <w:szCs w:val="22"/>
          <w:lang w:val="sr-Latn-ME" w:eastAsia="en-GB"/>
        </w:rPr>
        <w:t>u ovoj starosnoj grupi.</w:t>
      </w:r>
    </w:p>
    <w:p w14:paraId="61DD8311" w14:textId="77777777" w:rsidR="00C53453" w:rsidRPr="00346B80" w:rsidRDefault="00C53453" w:rsidP="00814AE3">
      <w:pPr>
        <w:widowControl w:val="0"/>
        <w:tabs>
          <w:tab w:val="left" w:pos="540"/>
          <w:tab w:val="left" w:pos="569"/>
        </w:tabs>
        <w:jc w:val="both"/>
        <w:rPr>
          <w:b/>
          <w:bCs/>
          <w:sz w:val="22"/>
          <w:szCs w:val="22"/>
          <w:lang w:val="sr-Latn-ME"/>
        </w:rPr>
      </w:pPr>
    </w:p>
    <w:p w14:paraId="1F855793" w14:textId="0C3ED77D" w:rsidR="0072020E" w:rsidRPr="00346B80" w:rsidRDefault="0072020E" w:rsidP="00814AE3">
      <w:pPr>
        <w:widowControl w:val="0"/>
        <w:tabs>
          <w:tab w:val="left" w:pos="540"/>
          <w:tab w:val="left" w:pos="569"/>
        </w:tabs>
        <w:jc w:val="both"/>
        <w:rPr>
          <w:b/>
          <w:bCs/>
          <w:sz w:val="22"/>
          <w:szCs w:val="22"/>
          <w:lang w:val="sr-Latn-ME"/>
        </w:rPr>
      </w:pPr>
      <w:r w:rsidRPr="00346B80">
        <w:rPr>
          <w:b/>
          <w:bCs/>
          <w:sz w:val="22"/>
          <w:szCs w:val="22"/>
          <w:lang w:val="sr-Latn-ME"/>
        </w:rPr>
        <w:t xml:space="preserve">5.3. </w:t>
      </w:r>
      <w:r w:rsidR="00480FB1" w:rsidRPr="00346B80">
        <w:rPr>
          <w:b/>
          <w:bCs/>
          <w:sz w:val="22"/>
          <w:szCs w:val="22"/>
          <w:lang w:val="sr-Latn-ME"/>
        </w:rPr>
        <w:tab/>
      </w:r>
      <w:r w:rsidRPr="00346B80">
        <w:rPr>
          <w:b/>
          <w:bCs/>
          <w:sz w:val="22"/>
          <w:szCs w:val="22"/>
          <w:lang w:val="sr-Latn-ME"/>
        </w:rPr>
        <w:t xml:space="preserve">Pretklinički podaci o bezbjednosti </w:t>
      </w:r>
    </w:p>
    <w:p w14:paraId="1F855794" w14:textId="77777777" w:rsidR="00836B35" w:rsidRPr="00346B80" w:rsidRDefault="00836B35" w:rsidP="00814AE3">
      <w:pPr>
        <w:widowControl w:val="0"/>
        <w:tabs>
          <w:tab w:val="left" w:pos="540"/>
          <w:tab w:val="left" w:pos="569"/>
        </w:tabs>
        <w:jc w:val="both"/>
        <w:rPr>
          <w:bCs/>
          <w:sz w:val="22"/>
          <w:szCs w:val="22"/>
          <w:lang w:val="sr-Latn-ME"/>
        </w:rPr>
      </w:pPr>
    </w:p>
    <w:p w14:paraId="58D44806" w14:textId="77777777" w:rsidR="00C72D0F" w:rsidRPr="00346B80" w:rsidRDefault="00C72D0F" w:rsidP="00346B80">
      <w:pPr>
        <w:widowControl w:val="0"/>
        <w:jc w:val="both"/>
        <w:rPr>
          <w:sz w:val="22"/>
          <w:szCs w:val="22"/>
          <w:lang w:val="sr-Latn-ME" w:eastAsia="en-GB"/>
        </w:rPr>
      </w:pPr>
      <w:r w:rsidRPr="00346B80">
        <w:rPr>
          <w:sz w:val="22"/>
          <w:szCs w:val="22"/>
          <w:lang w:val="sr-Latn-ME" w:eastAsia="en-GB"/>
        </w:rPr>
        <w:t>Toksični efekti, npr. znaci bubrežnog oštećenja, primijećeni su kod pasa samo pri izloženosti dozama za koje se smatra da prilično premašuju maksimalnu dozu izloženosti za ljude, što ukazuje na malu važnost u kliničkoj primjeni.</w:t>
      </w:r>
    </w:p>
    <w:p w14:paraId="62DC059D" w14:textId="77777777" w:rsidR="00C72D0F" w:rsidRPr="00346B80" w:rsidRDefault="00C72D0F" w:rsidP="00FC2EEC">
      <w:pPr>
        <w:widowControl w:val="0"/>
        <w:jc w:val="both"/>
        <w:rPr>
          <w:sz w:val="22"/>
          <w:szCs w:val="22"/>
          <w:lang w:val="sr-Latn-ME" w:eastAsia="en-GB"/>
        </w:rPr>
      </w:pPr>
    </w:p>
    <w:p w14:paraId="2DD04668" w14:textId="77777777" w:rsidR="00C72D0F" w:rsidRPr="00346B80" w:rsidRDefault="00C72D0F">
      <w:pPr>
        <w:widowControl w:val="0"/>
        <w:jc w:val="both"/>
        <w:rPr>
          <w:sz w:val="22"/>
          <w:szCs w:val="22"/>
          <w:lang w:val="sr-Latn-ME" w:eastAsia="en-GB"/>
        </w:rPr>
      </w:pPr>
      <w:r w:rsidRPr="00346B80">
        <w:rPr>
          <w:i/>
          <w:sz w:val="22"/>
          <w:szCs w:val="22"/>
          <w:lang w:val="sr-Latn-ME" w:eastAsia="en-GB"/>
        </w:rPr>
        <w:t>Mutagenost/Karcinogenost:</w:t>
      </w:r>
    </w:p>
    <w:p w14:paraId="2A29CC9D" w14:textId="77777777" w:rsidR="00C72D0F" w:rsidRPr="00346B80" w:rsidRDefault="00C72D0F">
      <w:pPr>
        <w:widowControl w:val="0"/>
        <w:jc w:val="both"/>
        <w:rPr>
          <w:sz w:val="22"/>
          <w:szCs w:val="22"/>
          <w:lang w:val="sr-Latn-ME" w:eastAsia="en-GB"/>
        </w:rPr>
      </w:pPr>
      <w:r w:rsidRPr="00346B80">
        <w:rPr>
          <w:sz w:val="22"/>
          <w:szCs w:val="22"/>
          <w:lang w:val="sr-Latn-ME" w:eastAsia="en-GB"/>
        </w:rPr>
        <w:t>Nije primijećen karcinogeni potencijal. Testovi o genotoksičnosti nisu otkrili dokaz o genetičkoj aktivnosti ibandronske kiseline.</w:t>
      </w:r>
    </w:p>
    <w:p w14:paraId="209B6BCB" w14:textId="77777777" w:rsidR="00C72D0F" w:rsidRPr="00346B80" w:rsidRDefault="00C72D0F">
      <w:pPr>
        <w:widowControl w:val="0"/>
        <w:jc w:val="both"/>
        <w:rPr>
          <w:sz w:val="22"/>
          <w:szCs w:val="22"/>
          <w:lang w:val="sr-Latn-ME" w:eastAsia="en-GB"/>
        </w:rPr>
      </w:pPr>
    </w:p>
    <w:p w14:paraId="05830C89" w14:textId="77777777" w:rsidR="00C72D0F" w:rsidRPr="00346B80" w:rsidRDefault="00C72D0F">
      <w:pPr>
        <w:widowControl w:val="0"/>
        <w:jc w:val="both"/>
        <w:rPr>
          <w:sz w:val="22"/>
          <w:szCs w:val="22"/>
          <w:lang w:val="sr-Latn-ME" w:eastAsia="en-GB"/>
        </w:rPr>
      </w:pPr>
      <w:r w:rsidRPr="00346B80">
        <w:rPr>
          <w:i/>
          <w:sz w:val="22"/>
          <w:szCs w:val="22"/>
          <w:lang w:val="sr-Latn-ME" w:eastAsia="en-GB"/>
        </w:rPr>
        <w:t>Reproduktivna toksičnost:</w:t>
      </w:r>
    </w:p>
    <w:p w14:paraId="1F855795" w14:textId="0F84A9AE" w:rsidR="00396DFD" w:rsidRPr="00346B80" w:rsidRDefault="00C72D0F" w:rsidP="00814AE3">
      <w:pPr>
        <w:widowControl w:val="0"/>
        <w:tabs>
          <w:tab w:val="left" w:pos="540"/>
          <w:tab w:val="left" w:pos="569"/>
        </w:tabs>
        <w:jc w:val="both"/>
        <w:rPr>
          <w:sz w:val="22"/>
          <w:szCs w:val="22"/>
          <w:lang w:val="sr-Latn-ME" w:eastAsia="en-GB"/>
        </w:rPr>
      </w:pPr>
      <w:r w:rsidRPr="00346B80">
        <w:rPr>
          <w:sz w:val="22"/>
          <w:szCs w:val="22"/>
          <w:lang w:val="sr-Latn-ME" w:eastAsia="en-GB"/>
        </w:rPr>
        <w:t>Nema dokaza o direktnom toksičnom ili teratogenom efektu ibandronske kiseline na fetus kod oralno liječenih pacova i zečeva i nije bilo neželjenih efekata u razvoju F1 potomstva pacova pri najmanje 35 puta većoj izloženosti u odnosu na dozu primijenjenu kod ljudi. U reproduktivnim studijama koje su  vršene na pacovima kojima je ibandronska kiselina davana oralnim poutem dejstvo na fertilitet se  ogledalo u povećanim preimplantacionim gubicima pri doznim nivoima od 1 mg/kg/dan i višim. U  reproduktivnim studijama sprovedenim na pacovima kojima je ibandronska kiselina davana intravenskim putem, pokazalo se da ibandronska kiselina dovodi do smanjenja broja pokretnih spermatozoida pri dozama od 0,3 i 1 mg/kg/dan, kao i da dovodi do pada fertilnosti kod mužjaka pri dozi od 1 mg/kg/dan, a kod ženki pri dozi od 1,2 mg/kg/dan. Neželjeni efekti ibandronske kiseline u studijama reproduktivne toksičnosti kod pacova su efekti tipični za tu grupu ljekova (bisfosfonati). Oni uključuju smanjen broj implantacije zametaka, otežan porod (distocija) i povećanje visceralnih promjena (sindrom bubrežne čašice i uretera).</w:t>
      </w:r>
    </w:p>
    <w:p w14:paraId="07063019" w14:textId="17D0441B" w:rsidR="00C72D0F" w:rsidRPr="00346B80" w:rsidRDefault="00C72D0F" w:rsidP="00814AE3">
      <w:pPr>
        <w:widowControl w:val="0"/>
        <w:tabs>
          <w:tab w:val="left" w:pos="540"/>
          <w:tab w:val="left" w:pos="569"/>
        </w:tabs>
        <w:jc w:val="both"/>
        <w:rPr>
          <w:sz w:val="22"/>
          <w:szCs w:val="22"/>
          <w:lang w:val="sr-Latn-ME"/>
        </w:rPr>
      </w:pPr>
    </w:p>
    <w:p w14:paraId="2BD17F80" w14:textId="77777777" w:rsidR="00C53453" w:rsidRPr="00346B80" w:rsidRDefault="00C53453" w:rsidP="00814AE3">
      <w:pPr>
        <w:widowControl w:val="0"/>
        <w:tabs>
          <w:tab w:val="left" w:pos="540"/>
          <w:tab w:val="left" w:pos="569"/>
        </w:tabs>
        <w:jc w:val="both"/>
        <w:rPr>
          <w:sz w:val="22"/>
          <w:szCs w:val="22"/>
          <w:lang w:val="sr-Latn-ME"/>
        </w:rPr>
      </w:pPr>
    </w:p>
    <w:p w14:paraId="1F855796" w14:textId="77777777" w:rsidR="0072020E" w:rsidRPr="00346B80" w:rsidRDefault="0072020E" w:rsidP="00814AE3">
      <w:pPr>
        <w:widowControl w:val="0"/>
        <w:tabs>
          <w:tab w:val="left" w:pos="540"/>
          <w:tab w:val="left" w:pos="569"/>
        </w:tabs>
        <w:jc w:val="both"/>
        <w:rPr>
          <w:b/>
          <w:bCs/>
          <w:sz w:val="22"/>
          <w:szCs w:val="22"/>
          <w:lang w:val="sr-Latn-ME"/>
        </w:rPr>
      </w:pPr>
      <w:r w:rsidRPr="00346B80">
        <w:rPr>
          <w:b/>
          <w:bCs/>
          <w:sz w:val="22"/>
          <w:szCs w:val="22"/>
          <w:lang w:val="sr-Latn-ME"/>
        </w:rPr>
        <w:t xml:space="preserve">6. </w:t>
      </w:r>
      <w:r w:rsidR="00480FB1" w:rsidRPr="00346B80">
        <w:rPr>
          <w:b/>
          <w:bCs/>
          <w:sz w:val="22"/>
          <w:szCs w:val="22"/>
          <w:lang w:val="sr-Latn-ME"/>
        </w:rPr>
        <w:tab/>
      </w:r>
      <w:r w:rsidRPr="00346B80">
        <w:rPr>
          <w:b/>
          <w:bCs/>
          <w:sz w:val="22"/>
          <w:szCs w:val="22"/>
          <w:lang w:val="sr-Latn-ME"/>
        </w:rPr>
        <w:t>FARMACEUTSKI PODACI</w:t>
      </w:r>
    </w:p>
    <w:p w14:paraId="1F855797" w14:textId="77777777" w:rsidR="00836B35" w:rsidRPr="00346B80" w:rsidRDefault="00836B35" w:rsidP="00814AE3">
      <w:pPr>
        <w:widowControl w:val="0"/>
        <w:tabs>
          <w:tab w:val="left" w:pos="540"/>
          <w:tab w:val="left" w:pos="569"/>
        </w:tabs>
        <w:jc w:val="both"/>
        <w:rPr>
          <w:bCs/>
          <w:sz w:val="22"/>
          <w:szCs w:val="22"/>
          <w:lang w:val="sr-Latn-ME"/>
        </w:rPr>
      </w:pPr>
    </w:p>
    <w:p w14:paraId="1F855798" w14:textId="77777777" w:rsidR="0072020E" w:rsidRPr="00346B80" w:rsidRDefault="0072020E" w:rsidP="00814AE3">
      <w:pPr>
        <w:widowControl w:val="0"/>
        <w:tabs>
          <w:tab w:val="left" w:pos="540"/>
          <w:tab w:val="left" w:pos="569"/>
        </w:tabs>
        <w:jc w:val="both"/>
        <w:rPr>
          <w:b/>
          <w:bCs/>
          <w:sz w:val="22"/>
          <w:szCs w:val="22"/>
          <w:lang w:val="sr-Latn-ME"/>
        </w:rPr>
      </w:pPr>
      <w:r w:rsidRPr="00346B80">
        <w:rPr>
          <w:b/>
          <w:bCs/>
          <w:sz w:val="22"/>
          <w:szCs w:val="22"/>
          <w:lang w:val="sr-Latn-ME"/>
        </w:rPr>
        <w:t xml:space="preserve">6.1. </w:t>
      </w:r>
      <w:r w:rsidR="00480FB1" w:rsidRPr="00346B80">
        <w:rPr>
          <w:b/>
          <w:bCs/>
          <w:sz w:val="22"/>
          <w:szCs w:val="22"/>
          <w:lang w:val="sr-Latn-ME"/>
        </w:rPr>
        <w:tab/>
      </w:r>
      <w:r w:rsidRPr="00346B80">
        <w:rPr>
          <w:b/>
          <w:bCs/>
          <w:sz w:val="22"/>
          <w:szCs w:val="22"/>
          <w:lang w:val="sr-Latn-ME"/>
        </w:rPr>
        <w:t>Lista pomoćnih supstanci</w:t>
      </w:r>
      <w:r w:rsidR="002E0135" w:rsidRPr="00346B80">
        <w:rPr>
          <w:b/>
          <w:bCs/>
          <w:sz w:val="22"/>
          <w:szCs w:val="22"/>
          <w:lang w:val="sr-Latn-ME"/>
        </w:rPr>
        <w:t xml:space="preserve"> (ekscipijenasa)</w:t>
      </w:r>
    </w:p>
    <w:p w14:paraId="614673E0" w14:textId="77777777" w:rsidR="00C72D0F" w:rsidRPr="00346B80" w:rsidRDefault="00C72D0F" w:rsidP="00814AE3">
      <w:pPr>
        <w:pStyle w:val="Header"/>
        <w:widowControl w:val="0"/>
        <w:tabs>
          <w:tab w:val="left" w:pos="284"/>
        </w:tabs>
        <w:jc w:val="both"/>
        <w:rPr>
          <w:sz w:val="22"/>
          <w:szCs w:val="22"/>
          <w:lang w:val="sr-Latn-ME" w:eastAsia="en-GB"/>
        </w:rPr>
      </w:pPr>
    </w:p>
    <w:p w14:paraId="37FD9429" w14:textId="5227F09C" w:rsidR="00C72D0F" w:rsidRPr="00346B80" w:rsidRDefault="00C72D0F" w:rsidP="00814AE3">
      <w:pPr>
        <w:pStyle w:val="Header"/>
        <w:widowControl w:val="0"/>
        <w:tabs>
          <w:tab w:val="left" w:pos="284"/>
        </w:tabs>
        <w:jc w:val="both"/>
        <w:rPr>
          <w:sz w:val="22"/>
          <w:szCs w:val="22"/>
          <w:lang w:val="sr-Latn-ME" w:eastAsia="en-GB"/>
        </w:rPr>
      </w:pPr>
      <w:r w:rsidRPr="00346B80">
        <w:rPr>
          <w:sz w:val="22"/>
          <w:szCs w:val="22"/>
          <w:lang w:val="sr-Latn-ME" w:eastAsia="en-GB"/>
        </w:rPr>
        <w:t xml:space="preserve">Pomoćne supstance: </w:t>
      </w:r>
    </w:p>
    <w:p w14:paraId="1629BACB" w14:textId="77777777" w:rsidR="00C72D0F" w:rsidRPr="00346B80" w:rsidRDefault="00C72D0F" w:rsidP="00814AE3">
      <w:pPr>
        <w:pStyle w:val="Header"/>
        <w:widowControl w:val="0"/>
        <w:tabs>
          <w:tab w:val="left" w:pos="284"/>
        </w:tabs>
        <w:jc w:val="both"/>
        <w:rPr>
          <w:sz w:val="22"/>
          <w:szCs w:val="22"/>
          <w:lang w:val="sr-Latn-ME" w:eastAsia="en-GB"/>
        </w:rPr>
      </w:pPr>
      <w:r w:rsidRPr="00346B80">
        <w:rPr>
          <w:i/>
          <w:sz w:val="22"/>
          <w:szCs w:val="22"/>
          <w:lang w:val="sr-Latn-ME" w:eastAsia="en-GB"/>
        </w:rPr>
        <w:t>Jezgro tablete</w:t>
      </w:r>
      <w:r w:rsidRPr="00346B80">
        <w:rPr>
          <w:sz w:val="22"/>
          <w:szCs w:val="22"/>
          <w:lang w:val="sr-Latn-ME" w:eastAsia="en-GB"/>
        </w:rPr>
        <w:t>:</w:t>
      </w:r>
    </w:p>
    <w:p w14:paraId="59EFC5AD" w14:textId="74D0892E" w:rsidR="00C72D0F" w:rsidRPr="00346B80" w:rsidRDefault="00C72D0F" w:rsidP="00814AE3">
      <w:pPr>
        <w:pStyle w:val="Header"/>
        <w:widowControl w:val="0"/>
        <w:tabs>
          <w:tab w:val="left" w:pos="284"/>
        </w:tabs>
        <w:jc w:val="both"/>
        <w:rPr>
          <w:sz w:val="22"/>
          <w:szCs w:val="22"/>
          <w:lang w:val="sr-Latn-ME" w:eastAsia="en-GB"/>
        </w:rPr>
      </w:pPr>
      <w:r w:rsidRPr="00346B80">
        <w:rPr>
          <w:sz w:val="22"/>
          <w:szCs w:val="22"/>
          <w:lang w:val="sr-Latn-ME" w:eastAsia="en-GB"/>
        </w:rPr>
        <w:t xml:space="preserve">Povidon Κ30, </w:t>
      </w:r>
    </w:p>
    <w:p w14:paraId="5E7F6612" w14:textId="77777777" w:rsidR="00C72D0F" w:rsidRPr="00346B80" w:rsidRDefault="00C72D0F" w:rsidP="00814AE3">
      <w:pPr>
        <w:pStyle w:val="Header"/>
        <w:widowControl w:val="0"/>
        <w:tabs>
          <w:tab w:val="left" w:pos="284"/>
        </w:tabs>
        <w:jc w:val="both"/>
        <w:rPr>
          <w:sz w:val="22"/>
          <w:szCs w:val="22"/>
          <w:lang w:val="sr-Latn-ME" w:eastAsia="en-GB"/>
        </w:rPr>
      </w:pPr>
      <w:r w:rsidRPr="00346B80">
        <w:rPr>
          <w:sz w:val="22"/>
          <w:szCs w:val="22"/>
          <w:lang w:val="sr-Latn-ME" w:eastAsia="en-GB"/>
        </w:rPr>
        <w:t xml:space="preserve">Celuloza, mikrokristalna,  </w:t>
      </w:r>
    </w:p>
    <w:p w14:paraId="587BB3C7" w14:textId="77777777" w:rsidR="00C72D0F" w:rsidRPr="00346B80" w:rsidRDefault="00C72D0F" w:rsidP="00814AE3">
      <w:pPr>
        <w:pStyle w:val="Header"/>
        <w:widowControl w:val="0"/>
        <w:tabs>
          <w:tab w:val="left" w:pos="284"/>
        </w:tabs>
        <w:jc w:val="both"/>
        <w:rPr>
          <w:sz w:val="22"/>
          <w:szCs w:val="22"/>
          <w:lang w:val="sr-Latn-ME" w:eastAsia="en-GB"/>
        </w:rPr>
      </w:pPr>
      <w:r w:rsidRPr="00346B80">
        <w:rPr>
          <w:sz w:val="22"/>
          <w:szCs w:val="22"/>
          <w:lang w:val="sr-Latn-ME" w:eastAsia="en-GB"/>
        </w:rPr>
        <w:t xml:space="preserve">Kukuruzni skrob preželatinizovan, </w:t>
      </w:r>
    </w:p>
    <w:p w14:paraId="1CACC112" w14:textId="77777777" w:rsidR="00C72D0F" w:rsidRPr="00346B80" w:rsidRDefault="00C72D0F" w:rsidP="00814AE3">
      <w:pPr>
        <w:pStyle w:val="Header"/>
        <w:widowControl w:val="0"/>
        <w:tabs>
          <w:tab w:val="left" w:pos="284"/>
        </w:tabs>
        <w:jc w:val="both"/>
        <w:rPr>
          <w:sz w:val="22"/>
          <w:szCs w:val="22"/>
          <w:lang w:val="sr-Latn-ME" w:eastAsia="en-GB"/>
        </w:rPr>
      </w:pPr>
      <w:r w:rsidRPr="00346B80">
        <w:rPr>
          <w:sz w:val="22"/>
          <w:szCs w:val="22"/>
          <w:lang w:val="sr-Latn-ME" w:eastAsia="en-GB"/>
        </w:rPr>
        <w:t xml:space="preserve">Krospovidon, </w:t>
      </w:r>
    </w:p>
    <w:p w14:paraId="2A7798F8" w14:textId="77777777" w:rsidR="00C72D0F" w:rsidRPr="00346B80" w:rsidRDefault="00C72D0F" w:rsidP="00814AE3">
      <w:pPr>
        <w:pStyle w:val="Header"/>
        <w:widowControl w:val="0"/>
        <w:tabs>
          <w:tab w:val="left" w:pos="284"/>
        </w:tabs>
        <w:jc w:val="both"/>
        <w:rPr>
          <w:sz w:val="22"/>
          <w:szCs w:val="22"/>
          <w:lang w:val="sr-Latn-ME" w:eastAsia="en-GB"/>
        </w:rPr>
      </w:pPr>
      <w:r w:rsidRPr="00346B80">
        <w:rPr>
          <w:sz w:val="22"/>
          <w:szCs w:val="22"/>
          <w:lang w:val="sr-Latn-ME" w:eastAsia="en-GB"/>
        </w:rPr>
        <w:t xml:space="preserve">Silicijum dioksid, koloidni, bezvodni, </w:t>
      </w:r>
    </w:p>
    <w:p w14:paraId="49343C3B" w14:textId="6DE09556" w:rsidR="00C72D0F" w:rsidRPr="00346B80" w:rsidRDefault="00C72D0F" w:rsidP="00814AE3">
      <w:pPr>
        <w:pStyle w:val="Header"/>
        <w:widowControl w:val="0"/>
        <w:tabs>
          <w:tab w:val="left" w:pos="284"/>
        </w:tabs>
        <w:jc w:val="both"/>
        <w:rPr>
          <w:sz w:val="22"/>
          <w:szCs w:val="22"/>
          <w:lang w:val="sr-Latn-ME" w:eastAsia="en-GB"/>
        </w:rPr>
      </w:pPr>
      <w:r w:rsidRPr="00346B80">
        <w:rPr>
          <w:sz w:val="22"/>
          <w:szCs w:val="22"/>
          <w:lang w:val="sr-Latn-ME" w:eastAsia="en-GB"/>
        </w:rPr>
        <w:t>Glicerol,</w:t>
      </w:r>
      <w:r w:rsidR="00F922B9" w:rsidRPr="00346B80">
        <w:rPr>
          <w:sz w:val="22"/>
          <w:szCs w:val="22"/>
          <w:lang w:val="sr-Latn-ME" w:eastAsia="en-GB"/>
        </w:rPr>
        <w:t xml:space="preserve"> </w:t>
      </w:r>
      <w:r w:rsidRPr="00346B80">
        <w:rPr>
          <w:sz w:val="22"/>
          <w:szCs w:val="22"/>
          <w:lang w:val="sr-Latn-ME" w:eastAsia="en-GB"/>
        </w:rPr>
        <w:t xml:space="preserve">dibehenat </w:t>
      </w:r>
    </w:p>
    <w:p w14:paraId="025924D2" w14:textId="77777777" w:rsidR="00F922B9" w:rsidRPr="00346B80" w:rsidRDefault="00F922B9" w:rsidP="00814AE3">
      <w:pPr>
        <w:pStyle w:val="Header"/>
        <w:widowControl w:val="0"/>
        <w:tabs>
          <w:tab w:val="left" w:pos="284"/>
        </w:tabs>
        <w:jc w:val="both"/>
        <w:rPr>
          <w:i/>
          <w:sz w:val="22"/>
          <w:szCs w:val="22"/>
          <w:lang w:val="sr-Latn-ME"/>
        </w:rPr>
      </w:pPr>
    </w:p>
    <w:p w14:paraId="73F790FA" w14:textId="2AEDDD8D" w:rsidR="00C72D0F" w:rsidRPr="00346B80" w:rsidRDefault="00C72D0F" w:rsidP="00814AE3">
      <w:pPr>
        <w:pStyle w:val="Header"/>
        <w:widowControl w:val="0"/>
        <w:tabs>
          <w:tab w:val="left" w:pos="284"/>
        </w:tabs>
        <w:jc w:val="both"/>
        <w:rPr>
          <w:sz w:val="22"/>
          <w:szCs w:val="22"/>
          <w:lang w:val="sr-Latn-ME"/>
        </w:rPr>
      </w:pPr>
      <w:r w:rsidRPr="00346B80">
        <w:rPr>
          <w:i/>
          <w:sz w:val="22"/>
          <w:szCs w:val="22"/>
          <w:lang w:val="sr-Latn-ME"/>
        </w:rPr>
        <w:t>Film tablete</w:t>
      </w:r>
      <w:r w:rsidRPr="00346B80">
        <w:rPr>
          <w:sz w:val="22"/>
          <w:szCs w:val="22"/>
          <w:lang w:val="sr-Latn-ME"/>
        </w:rPr>
        <w:t>:</w:t>
      </w:r>
    </w:p>
    <w:p w14:paraId="7B81B616" w14:textId="77777777" w:rsidR="00C72D0F" w:rsidRPr="00346B80" w:rsidRDefault="00C72D0F" w:rsidP="00814AE3">
      <w:pPr>
        <w:pStyle w:val="Header"/>
        <w:widowControl w:val="0"/>
        <w:tabs>
          <w:tab w:val="left" w:pos="284"/>
        </w:tabs>
        <w:jc w:val="both"/>
        <w:rPr>
          <w:i/>
          <w:iCs/>
          <w:sz w:val="22"/>
          <w:szCs w:val="22"/>
          <w:lang w:val="sr-Latn-ME"/>
        </w:rPr>
      </w:pPr>
      <w:r w:rsidRPr="00346B80">
        <w:rPr>
          <w:i/>
          <w:iCs/>
          <w:sz w:val="22"/>
          <w:szCs w:val="22"/>
          <w:lang w:val="sr-Latn-ME"/>
        </w:rPr>
        <w:t>Opadry OY-LS-28908 (bijeli II) se sastoji od:</w:t>
      </w:r>
    </w:p>
    <w:p w14:paraId="3A336028" w14:textId="77777777" w:rsidR="00C72D0F" w:rsidRPr="00346B80" w:rsidRDefault="00C72D0F" w:rsidP="00814AE3">
      <w:pPr>
        <w:widowControl w:val="0"/>
        <w:autoSpaceDE w:val="0"/>
        <w:autoSpaceDN w:val="0"/>
        <w:adjustRightInd w:val="0"/>
        <w:jc w:val="both"/>
        <w:rPr>
          <w:sz w:val="22"/>
          <w:szCs w:val="22"/>
          <w:lang w:val="sr-Latn-ME" w:eastAsia="en-GB"/>
        </w:rPr>
      </w:pPr>
      <w:r w:rsidRPr="00346B80">
        <w:rPr>
          <w:sz w:val="22"/>
          <w:szCs w:val="22"/>
          <w:lang w:val="sr-Latn-ME" w:eastAsia="en-GB"/>
        </w:rPr>
        <w:t xml:space="preserve">Titan dioksid (E171), </w:t>
      </w:r>
    </w:p>
    <w:p w14:paraId="5FFCA33D" w14:textId="77777777" w:rsidR="00C72D0F" w:rsidRPr="00346B80" w:rsidRDefault="00C72D0F" w:rsidP="00814AE3">
      <w:pPr>
        <w:widowControl w:val="0"/>
        <w:autoSpaceDE w:val="0"/>
        <w:autoSpaceDN w:val="0"/>
        <w:adjustRightInd w:val="0"/>
        <w:jc w:val="both"/>
        <w:rPr>
          <w:sz w:val="22"/>
          <w:szCs w:val="22"/>
          <w:lang w:val="sr-Latn-ME" w:eastAsia="en-GB"/>
        </w:rPr>
      </w:pPr>
      <w:r w:rsidRPr="00346B80">
        <w:rPr>
          <w:sz w:val="22"/>
          <w:szCs w:val="22"/>
          <w:lang w:val="sr-Latn-ME" w:eastAsia="en-GB"/>
        </w:rPr>
        <w:t>Laktoza, monohidrat,</w:t>
      </w:r>
    </w:p>
    <w:p w14:paraId="7A0F4AA6" w14:textId="77777777" w:rsidR="00C72D0F" w:rsidRPr="00814AE3" w:rsidRDefault="00C72D0F" w:rsidP="00814AE3">
      <w:pPr>
        <w:widowControl w:val="0"/>
        <w:autoSpaceDE w:val="0"/>
        <w:autoSpaceDN w:val="0"/>
        <w:adjustRightInd w:val="0"/>
        <w:jc w:val="both"/>
        <w:rPr>
          <w:sz w:val="22"/>
          <w:szCs w:val="22"/>
          <w:lang w:val="sr-Latn-ME" w:eastAsia="en-GB"/>
        </w:rPr>
      </w:pPr>
      <w:r w:rsidRPr="00346B80">
        <w:rPr>
          <w:sz w:val="22"/>
          <w:szCs w:val="22"/>
          <w:lang w:val="sr-Latn-ME" w:eastAsia="en-GB"/>
        </w:rPr>
        <w:t>Hipromeloza</w:t>
      </w:r>
      <w:r w:rsidRPr="00814AE3">
        <w:rPr>
          <w:sz w:val="22"/>
          <w:szCs w:val="22"/>
          <w:lang w:val="sr-Latn-ME" w:eastAsia="en-GB"/>
        </w:rPr>
        <w:t xml:space="preserve"> </w:t>
      </w:r>
    </w:p>
    <w:p w14:paraId="1F855799" w14:textId="37AFCD4C" w:rsidR="0072020E" w:rsidRPr="00346B80" w:rsidRDefault="00C72D0F" w:rsidP="00814AE3">
      <w:pPr>
        <w:widowControl w:val="0"/>
        <w:tabs>
          <w:tab w:val="left" w:pos="540"/>
          <w:tab w:val="left" w:pos="569"/>
        </w:tabs>
        <w:jc w:val="both"/>
        <w:rPr>
          <w:sz w:val="22"/>
          <w:szCs w:val="22"/>
          <w:lang w:val="sr-Latn-ME" w:eastAsia="en-GB"/>
        </w:rPr>
      </w:pPr>
      <w:r w:rsidRPr="00346B80">
        <w:rPr>
          <w:sz w:val="22"/>
          <w:szCs w:val="22"/>
          <w:lang w:val="sr-Latn-ME" w:eastAsia="en-GB"/>
        </w:rPr>
        <w:t>Makrogol 4000</w:t>
      </w:r>
    </w:p>
    <w:p w14:paraId="11DF9911" w14:textId="77777777" w:rsidR="00C72D0F" w:rsidRPr="00FC2EEC" w:rsidRDefault="00C72D0F" w:rsidP="00814AE3">
      <w:pPr>
        <w:widowControl w:val="0"/>
        <w:tabs>
          <w:tab w:val="left" w:pos="540"/>
          <w:tab w:val="left" w:pos="569"/>
        </w:tabs>
        <w:jc w:val="both"/>
        <w:rPr>
          <w:bCs/>
          <w:sz w:val="22"/>
          <w:szCs w:val="22"/>
          <w:lang w:val="sr-Latn-ME"/>
        </w:rPr>
      </w:pPr>
    </w:p>
    <w:p w14:paraId="1F85579A" w14:textId="77777777" w:rsidR="0072020E" w:rsidRPr="00346B80" w:rsidRDefault="0072020E" w:rsidP="00814AE3">
      <w:pPr>
        <w:widowControl w:val="0"/>
        <w:tabs>
          <w:tab w:val="left" w:pos="540"/>
          <w:tab w:val="left" w:pos="569"/>
        </w:tabs>
        <w:jc w:val="both"/>
        <w:rPr>
          <w:b/>
          <w:bCs/>
          <w:sz w:val="22"/>
          <w:szCs w:val="22"/>
          <w:lang w:val="sr-Latn-ME"/>
        </w:rPr>
      </w:pPr>
      <w:r w:rsidRPr="00346B80">
        <w:rPr>
          <w:b/>
          <w:bCs/>
          <w:sz w:val="22"/>
          <w:szCs w:val="22"/>
          <w:lang w:val="sr-Latn-ME"/>
        </w:rPr>
        <w:t xml:space="preserve">6.2. </w:t>
      </w:r>
      <w:r w:rsidR="00480FB1" w:rsidRPr="00346B80">
        <w:rPr>
          <w:b/>
          <w:bCs/>
          <w:sz w:val="22"/>
          <w:szCs w:val="22"/>
          <w:lang w:val="sr-Latn-ME"/>
        </w:rPr>
        <w:tab/>
      </w:r>
      <w:r w:rsidRPr="00346B80">
        <w:rPr>
          <w:b/>
          <w:bCs/>
          <w:sz w:val="22"/>
          <w:szCs w:val="22"/>
          <w:lang w:val="sr-Latn-ME"/>
        </w:rPr>
        <w:t>Inkompatibilnost</w:t>
      </w:r>
      <w:r w:rsidR="002846DB" w:rsidRPr="00346B80">
        <w:rPr>
          <w:b/>
          <w:bCs/>
          <w:sz w:val="22"/>
          <w:szCs w:val="22"/>
          <w:lang w:val="sr-Latn-ME"/>
        </w:rPr>
        <w:t>i</w:t>
      </w:r>
    </w:p>
    <w:p w14:paraId="1F85579B" w14:textId="77777777" w:rsidR="0072020E" w:rsidRPr="00346B80" w:rsidRDefault="0072020E" w:rsidP="00814AE3">
      <w:pPr>
        <w:widowControl w:val="0"/>
        <w:tabs>
          <w:tab w:val="left" w:pos="540"/>
          <w:tab w:val="left" w:pos="569"/>
        </w:tabs>
        <w:jc w:val="both"/>
        <w:rPr>
          <w:bCs/>
          <w:sz w:val="22"/>
          <w:szCs w:val="22"/>
          <w:lang w:val="sr-Latn-ME"/>
        </w:rPr>
      </w:pPr>
    </w:p>
    <w:p w14:paraId="72BFA668" w14:textId="77777777" w:rsidR="00C72D0F" w:rsidRPr="00346B80" w:rsidRDefault="00C72D0F" w:rsidP="00814AE3">
      <w:pPr>
        <w:pStyle w:val="Header"/>
        <w:widowControl w:val="0"/>
        <w:tabs>
          <w:tab w:val="left" w:pos="284"/>
        </w:tabs>
        <w:jc w:val="both"/>
        <w:rPr>
          <w:sz w:val="22"/>
          <w:szCs w:val="22"/>
          <w:lang w:val="sr-Latn-ME"/>
        </w:rPr>
      </w:pPr>
      <w:r w:rsidRPr="00346B80">
        <w:rPr>
          <w:sz w:val="22"/>
          <w:szCs w:val="22"/>
          <w:lang w:val="sr-Latn-ME"/>
        </w:rPr>
        <w:t>Nije poznato.</w:t>
      </w:r>
    </w:p>
    <w:p w14:paraId="356EB26C" w14:textId="77777777" w:rsidR="00C72D0F" w:rsidRPr="00346B80" w:rsidRDefault="00C72D0F" w:rsidP="00814AE3">
      <w:pPr>
        <w:widowControl w:val="0"/>
        <w:tabs>
          <w:tab w:val="left" w:pos="540"/>
          <w:tab w:val="left" w:pos="569"/>
        </w:tabs>
        <w:jc w:val="both"/>
        <w:rPr>
          <w:bCs/>
          <w:sz w:val="22"/>
          <w:szCs w:val="22"/>
          <w:lang w:val="sr-Latn-ME"/>
        </w:rPr>
      </w:pPr>
    </w:p>
    <w:p w14:paraId="1F85579C" w14:textId="77777777" w:rsidR="0072020E" w:rsidRPr="00346B80" w:rsidRDefault="0072020E" w:rsidP="00814AE3">
      <w:pPr>
        <w:widowControl w:val="0"/>
        <w:tabs>
          <w:tab w:val="left" w:pos="540"/>
          <w:tab w:val="left" w:pos="569"/>
        </w:tabs>
        <w:jc w:val="both"/>
        <w:rPr>
          <w:b/>
          <w:bCs/>
          <w:sz w:val="22"/>
          <w:szCs w:val="22"/>
          <w:lang w:val="sr-Latn-ME"/>
        </w:rPr>
      </w:pPr>
      <w:r w:rsidRPr="00346B80">
        <w:rPr>
          <w:b/>
          <w:bCs/>
          <w:sz w:val="22"/>
          <w:szCs w:val="22"/>
          <w:lang w:val="sr-Latn-ME"/>
        </w:rPr>
        <w:t>6.3.</w:t>
      </w:r>
      <w:r w:rsidR="00C05DF8" w:rsidRPr="00346B80">
        <w:rPr>
          <w:b/>
          <w:bCs/>
          <w:sz w:val="22"/>
          <w:szCs w:val="22"/>
          <w:lang w:val="sr-Latn-ME"/>
        </w:rPr>
        <w:t xml:space="preserve"> </w:t>
      </w:r>
      <w:r w:rsidR="00480FB1" w:rsidRPr="00346B80">
        <w:rPr>
          <w:b/>
          <w:bCs/>
          <w:sz w:val="22"/>
          <w:szCs w:val="22"/>
          <w:lang w:val="sr-Latn-ME"/>
        </w:rPr>
        <w:tab/>
      </w:r>
      <w:r w:rsidRPr="00346B80">
        <w:rPr>
          <w:b/>
          <w:bCs/>
          <w:sz w:val="22"/>
          <w:szCs w:val="22"/>
          <w:lang w:val="sr-Latn-ME"/>
        </w:rPr>
        <w:t>Rok upotrebe</w:t>
      </w:r>
    </w:p>
    <w:p w14:paraId="1F85579D" w14:textId="77777777" w:rsidR="0072020E" w:rsidRPr="00346B80" w:rsidRDefault="0072020E" w:rsidP="00814AE3">
      <w:pPr>
        <w:widowControl w:val="0"/>
        <w:tabs>
          <w:tab w:val="left" w:pos="540"/>
          <w:tab w:val="left" w:pos="569"/>
        </w:tabs>
        <w:jc w:val="both"/>
        <w:rPr>
          <w:bCs/>
          <w:sz w:val="22"/>
          <w:szCs w:val="22"/>
          <w:lang w:val="sr-Latn-ME"/>
        </w:rPr>
      </w:pPr>
    </w:p>
    <w:p w14:paraId="532D8F24" w14:textId="77777777" w:rsidR="00C72D0F" w:rsidRPr="00346B80" w:rsidRDefault="00C72D0F" w:rsidP="00814AE3">
      <w:pPr>
        <w:widowControl w:val="0"/>
        <w:autoSpaceDE w:val="0"/>
        <w:autoSpaceDN w:val="0"/>
        <w:adjustRightInd w:val="0"/>
        <w:jc w:val="both"/>
        <w:rPr>
          <w:sz w:val="22"/>
          <w:szCs w:val="22"/>
          <w:lang w:val="sr-Latn-ME"/>
        </w:rPr>
      </w:pPr>
      <w:r w:rsidRPr="00346B80">
        <w:rPr>
          <w:sz w:val="22"/>
          <w:szCs w:val="22"/>
          <w:lang w:val="sr-Latn-ME"/>
        </w:rPr>
        <w:t>4 godine</w:t>
      </w:r>
    </w:p>
    <w:p w14:paraId="0C9F37D5" w14:textId="77777777" w:rsidR="00C72D0F" w:rsidRPr="00346B80" w:rsidRDefault="00C72D0F" w:rsidP="00814AE3">
      <w:pPr>
        <w:widowControl w:val="0"/>
        <w:tabs>
          <w:tab w:val="left" w:pos="540"/>
          <w:tab w:val="left" w:pos="569"/>
        </w:tabs>
        <w:jc w:val="both"/>
        <w:rPr>
          <w:bCs/>
          <w:sz w:val="22"/>
          <w:szCs w:val="22"/>
          <w:lang w:val="sr-Latn-ME"/>
        </w:rPr>
      </w:pPr>
    </w:p>
    <w:p w14:paraId="1F85579E" w14:textId="77777777" w:rsidR="0072020E" w:rsidRPr="00346B80" w:rsidRDefault="0072020E" w:rsidP="00814AE3">
      <w:pPr>
        <w:widowControl w:val="0"/>
        <w:tabs>
          <w:tab w:val="left" w:pos="540"/>
          <w:tab w:val="left" w:pos="569"/>
        </w:tabs>
        <w:jc w:val="both"/>
        <w:rPr>
          <w:b/>
          <w:bCs/>
          <w:sz w:val="22"/>
          <w:szCs w:val="22"/>
          <w:lang w:val="sr-Latn-ME"/>
        </w:rPr>
      </w:pPr>
      <w:r w:rsidRPr="00346B80">
        <w:rPr>
          <w:b/>
          <w:bCs/>
          <w:sz w:val="22"/>
          <w:szCs w:val="22"/>
          <w:lang w:val="sr-Latn-ME"/>
        </w:rPr>
        <w:t xml:space="preserve">6.4. </w:t>
      </w:r>
      <w:r w:rsidR="00480FB1" w:rsidRPr="00346B80">
        <w:rPr>
          <w:b/>
          <w:bCs/>
          <w:sz w:val="22"/>
          <w:szCs w:val="22"/>
          <w:lang w:val="sr-Latn-ME"/>
        </w:rPr>
        <w:tab/>
      </w:r>
      <w:r w:rsidRPr="00346B80">
        <w:rPr>
          <w:b/>
          <w:bCs/>
          <w:sz w:val="22"/>
          <w:szCs w:val="22"/>
          <w:lang w:val="sr-Latn-ME"/>
        </w:rPr>
        <w:t>Posebne mjere upozorenja pri čuvanju</w:t>
      </w:r>
      <w:r w:rsidR="00F8570A" w:rsidRPr="00346B80">
        <w:rPr>
          <w:b/>
          <w:bCs/>
          <w:sz w:val="22"/>
          <w:szCs w:val="22"/>
          <w:lang w:val="sr-Latn-ME"/>
        </w:rPr>
        <w:t xml:space="preserve"> lijeka</w:t>
      </w:r>
    </w:p>
    <w:p w14:paraId="1F85579F" w14:textId="77777777" w:rsidR="00EC2532" w:rsidRPr="00346B80" w:rsidRDefault="00EC2532" w:rsidP="00814AE3">
      <w:pPr>
        <w:widowControl w:val="0"/>
        <w:tabs>
          <w:tab w:val="left" w:pos="540"/>
          <w:tab w:val="left" w:pos="569"/>
        </w:tabs>
        <w:jc w:val="both"/>
        <w:rPr>
          <w:bCs/>
          <w:sz w:val="22"/>
          <w:szCs w:val="22"/>
          <w:lang w:val="sr-Latn-ME"/>
        </w:rPr>
      </w:pPr>
    </w:p>
    <w:p w14:paraId="7168DE56" w14:textId="77777777" w:rsidR="000C7A7F" w:rsidRPr="00346B80" w:rsidRDefault="00C72D0F" w:rsidP="00814AE3">
      <w:pPr>
        <w:pStyle w:val="Header"/>
        <w:widowControl w:val="0"/>
        <w:tabs>
          <w:tab w:val="left" w:pos="284"/>
        </w:tabs>
        <w:jc w:val="both"/>
        <w:rPr>
          <w:sz w:val="22"/>
          <w:szCs w:val="22"/>
          <w:lang w:val="sr-Latn-ME" w:eastAsia="en-GB"/>
        </w:rPr>
      </w:pPr>
      <w:r w:rsidRPr="00346B80">
        <w:rPr>
          <w:sz w:val="22"/>
          <w:szCs w:val="22"/>
          <w:lang w:val="sr-Latn-ME" w:eastAsia="en-GB"/>
        </w:rPr>
        <w:t>Lijek ne zahtijeva posebne temperaturne uslove čuvanja. Čuvati u originalnom pakovanju radi zaštite od svjetlosti i vlage</w:t>
      </w:r>
      <w:r w:rsidR="000C7A7F" w:rsidRPr="00346B80">
        <w:rPr>
          <w:sz w:val="22"/>
          <w:szCs w:val="22"/>
          <w:lang w:val="sr-Latn-ME" w:eastAsia="en-GB"/>
        </w:rPr>
        <w:t>.</w:t>
      </w:r>
    </w:p>
    <w:p w14:paraId="7BDF9C23" w14:textId="77777777" w:rsidR="000C7A7F" w:rsidRPr="00346B80" w:rsidRDefault="000C7A7F" w:rsidP="00814AE3">
      <w:pPr>
        <w:pStyle w:val="Header"/>
        <w:widowControl w:val="0"/>
        <w:tabs>
          <w:tab w:val="left" w:pos="284"/>
        </w:tabs>
        <w:jc w:val="both"/>
        <w:rPr>
          <w:sz w:val="22"/>
          <w:szCs w:val="22"/>
          <w:lang w:val="sr-Latn-ME" w:eastAsia="en-GB"/>
        </w:rPr>
      </w:pPr>
    </w:p>
    <w:p w14:paraId="4CFA03F7" w14:textId="523CA700" w:rsidR="00C72D0F" w:rsidRPr="00346B80" w:rsidRDefault="00C72D0F" w:rsidP="00814AE3">
      <w:pPr>
        <w:pStyle w:val="Header"/>
        <w:widowControl w:val="0"/>
        <w:tabs>
          <w:tab w:val="left" w:pos="284"/>
        </w:tabs>
        <w:jc w:val="both"/>
        <w:rPr>
          <w:sz w:val="22"/>
          <w:szCs w:val="22"/>
          <w:lang w:val="sr-Latn-ME"/>
        </w:rPr>
      </w:pPr>
      <w:r w:rsidRPr="00346B80">
        <w:rPr>
          <w:sz w:val="22"/>
          <w:szCs w:val="22"/>
          <w:lang w:val="sr-Latn-ME"/>
        </w:rPr>
        <w:t>Čuvati van vidokruga i domašaja djece.</w:t>
      </w:r>
    </w:p>
    <w:p w14:paraId="2E76E7D5" w14:textId="77777777" w:rsidR="00C72D0F" w:rsidRPr="00346B80" w:rsidRDefault="00C72D0F" w:rsidP="00814AE3">
      <w:pPr>
        <w:pStyle w:val="Header"/>
        <w:widowControl w:val="0"/>
        <w:tabs>
          <w:tab w:val="left" w:pos="284"/>
        </w:tabs>
        <w:jc w:val="both"/>
        <w:rPr>
          <w:sz w:val="22"/>
          <w:szCs w:val="22"/>
          <w:lang w:val="sr-Latn-ME"/>
        </w:rPr>
      </w:pPr>
    </w:p>
    <w:p w14:paraId="22A8ACB3" w14:textId="77777777" w:rsidR="00C72D0F" w:rsidRPr="00346B80" w:rsidRDefault="00C72D0F" w:rsidP="00814AE3">
      <w:pPr>
        <w:pStyle w:val="Header"/>
        <w:widowControl w:val="0"/>
        <w:tabs>
          <w:tab w:val="left" w:pos="284"/>
        </w:tabs>
        <w:jc w:val="both"/>
        <w:rPr>
          <w:sz w:val="22"/>
          <w:szCs w:val="22"/>
          <w:lang w:val="sr-Latn-ME" w:eastAsia="en-GB"/>
        </w:rPr>
      </w:pPr>
      <w:r w:rsidRPr="00346B80">
        <w:rPr>
          <w:sz w:val="22"/>
          <w:szCs w:val="22"/>
          <w:lang w:val="sr-Latn-ME" w:eastAsia="en-GB"/>
        </w:rPr>
        <w:t>Neiskorišćeni lijek ili otpadni materijal treba se odbaciti u skladu sa lokalnim zahtjevima.</w:t>
      </w:r>
    </w:p>
    <w:p w14:paraId="0A7887AF" w14:textId="77777777" w:rsidR="00C72D0F" w:rsidRPr="00346B80" w:rsidRDefault="00C72D0F" w:rsidP="00814AE3">
      <w:pPr>
        <w:widowControl w:val="0"/>
        <w:tabs>
          <w:tab w:val="left" w:pos="540"/>
          <w:tab w:val="left" w:pos="569"/>
        </w:tabs>
        <w:jc w:val="both"/>
        <w:rPr>
          <w:bCs/>
          <w:sz w:val="22"/>
          <w:szCs w:val="22"/>
          <w:lang w:val="sr-Latn-ME"/>
        </w:rPr>
      </w:pPr>
    </w:p>
    <w:p w14:paraId="1F8557A0" w14:textId="77777777" w:rsidR="0072020E" w:rsidRPr="00346B80" w:rsidRDefault="0072020E" w:rsidP="00814AE3">
      <w:pPr>
        <w:widowControl w:val="0"/>
        <w:tabs>
          <w:tab w:val="left" w:pos="540"/>
          <w:tab w:val="left" w:pos="569"/>
        </w:tabs>
        <w:jc w:val="both"/>
        <w:rPr>
          <w:b/>
          <w:bCs/>
          <w:sz w:val="22"/>
          <w:szCs w:val="22"/>
          <w:lang w:val="sr-Latn-ME"/>
        </w:rPr>
      </w:pPr>
      <w:r w:rsidRPr="00346B80">
        <w:rPr>
          <w:b/>
          <w:bCs/>
          <w:sz w:val="22"/>
          <w:szCs w:val="22"/>
          <w:lang w:val="sr-Latn-ME"/>
        </w:rPr>
        <w:t xml:space="preserve">6.5. </w:t>
      </w:r>
      <w:r w:rsidR="00480FB1" w:rsidRPr="00346B80">
        <w:rPr>
          <w:b/>
          <w:bCs/>
          <w:sz w:val="22"/>
          <w:szCs w:val="22"/>
          <w:lang w:val="sr-Latn-ME"/>
        </w:rPr>
        <w:tab/>
      </w:r>
      <w:r w:rsidR="002846DB" w:rsidRPr="00346B80">
        <w:rPr>
          <w:b/>
          <w:bCs/>
          <w:sz w:val="22"/>
          <w:szCs w:val="22"/>
          <w:lang w:val="sr-Latn-ME"/>
        </w:rPr>
        <w:t xml:space="preserve">Vrsta i sadržaj </w:t>
      </w:r>
      <w:r w:rsidR="00F8570A" w:rsidRPr="00346B80">
        <w:rPr>
          <w:b/>
          <w:bCs/>
          <w:sz w:val="22"/>
          <w:szCs w:val="22"/>
          <w:lang w:val="sr-Latn-ME"/>
        </w:rPr>
        <w:t>pakovanja</w:t>
      </w:r>
      <w:r w:rsidR="00C06864" w:rsidRPr="00346B80">
        <w:rPr>
          <w:b/>
          <w:bCs/>
          <w:sz w:val="22"/>
          <w:szCs w:val="22"/>
          <w:lang w:val="sr-Latn-ME"/>
        </w:rPr>
        <w:t xml:space="preserve"> </w:t>
      </w:r>
    </w:p>
    <w:p w14:paraId="1F8557A1" w14:textId="77777777" w:rsidR="0072020E" w:rsidRPr="00346B80" w:rsidRDefault="0072020E" w:rsidP="00814AE3">
      <w:pPr>
        <w:widowControl w:val="0"/>
        <w:tabs>
          <w:tab w:val="left" w:pos="540"/>
          <w:tab w:val="left" w:pos="569"/>
        </w:tabs>
        <w:jc w:val="both"/>
        <w:rPr>
          <w:bCs/>
          <w:sz w:val="22"/>
          <w:szCs w:val="22"/>
          <w:lang w:val="sr-Latn-ME"/>
        </w:rPr>
      </w:pPr>
    </w:p>
    <w:p w14:paraId="6BA1B7AB" w14:textId="7F2BA0EB" w:rsidR="00C72D0F" w:rsidRPr="00346B80" w:rsidRDefault="00C72D0F" w:rsidP="00814AE3">
      <w:pPr>
        <w:widowControl w:val="0"/>
        <w:tabs>
          <w:tab w:val="left" w:pos="540"/>
          <w:tab w:val="left" w:pos="569"/>
        </w:tabs>
        <w:jc w:val="both"/>
        <w:rPr>
          <w:sz w:val="22"/>
          <w:szCs w:val="22"/>
          <w:lang w:val="sr-Latn-ME" w:eastAsia="en-GB"/>
        </w:rPr>
      </w:pPr>
      <w:r w:rsidRPr="00346B80">
        <w:rPr>
          <w:sz w:val="22"/>
          <w:szCs w:val="22"/>
          <w:lang w:val="sr-Latn-ME"/>
        </w:rPr>
        <w:t>Lijek Alvodronic</w:t>
      </w:r>
      <w:r w:rsidR="00F922B9" w:rsidRPr="00346B80">
        <w:rPr>
          <w:sz w:val="22"/>
          <w:szCs w:val="22"/>
          <w:lang w:val="sr-Latn-ME"/>
        </w:rPr>
        <w:t xml:space="preserve"> </w:t>
      </w:r>
      <w:r w:rsidRPr="00346B80">
        <w:rPr>
          <w:sz w:val="22"/>
          <w:szCs w:val="22"/>
          <w:lang w:val="sr-Latn-ME"/>
        </w:rPr>
        <w:t>150 mg film tablete</w:t>
      </w:r>
      <w:r w:rsidRPr="00346B80">
        <w:rPr>
          <w:sz w:val="22"/>
          <w:szCs w:val="22"/>
          <w:lang w:val="sr-Latn-ME" w:eastAsia="en-GB"/>
        </w:rPr>
        <w:t xml:space="preserve"> pakovane su u blisteru (PA/ALL /PVC Aluminijum) koji sadrži 1 tabletu.</w:t>
      </w:r>
    </w:p>
    <w:p w14:paraId="42AC6B6B" w14:textId="77777777" w:rsidR="00C72D0F" w:rsidRPr="00346B80" w:rsidRDefault="00C72D0F" w:rsidP="00814AE3">
      <w:pPr>
        <w:widowControl w:val="0"/>
        <w:tabs>
          <w:tab w:val="left" w:pos="540"/>
          <w:tab w:val="left" w:pos="569"/>
        </w:tabs>
        <w:jc w:val="both"/>
        <w:rPr>
          <w:bCs/>
          <w:sz w:val="22"/>
          <w:szCs w:val="22"/>
          <w:lang w:val="sr-Latn-ME"/>
        </w:rPr>
      </w:pPr>
    </w:p>
    <w:p w14:paraId="1F8557A2" w14:textId="77777777" w:rsidR="002846DB" w:rsidRPr="00346B80" w:rsidRDefault="0072020E" w:rsidP="00814AE3">
      <w:pPr>
        <w:widowControl w:val="0"/>
        <w:tabs>
          <w:tab w:val="left" w:pos="540"/>
          <w:tab w:val="left" w:pos="569"/>
        </w:tabs>
        <w:jc w:val="both"/>
        <w:rPr>
          <w:b/>
          <w:bCs/>
          <w:sz w:val="22"/>
          <w:szCs w:val="22"/>
          <w:lang w:val="sr-Latn-ME"/>
        </w:rPr>
      </w:pPr>
      <w:r w:rsidRPr="00346B80">
        <w:rPr>
          <w:b/>
          <w:bCs/>
          <w:sz w:val="22"/>
          <w:szCs w:val="22"/>
          <w:lang w:val="sr-Latn-ME"/>
        </w:rPr>
        <w:t xml:space="preserve">6.6. </w:t>
      </w:r>
      <w:r w:rsidR="00480FB1" w:rsidRPr="00346B80">
        <w:rPr>
          <w:b/>
          <w:bCs/>
          <w:sz w:val="22"/>
          <w:szCs w:val="22"/>
          <w:lang w:val="sr-Latn-ME"/>
        </w:rPr>
        <w:tab/>
      </w:r>
      <w:r w:rsidRPr="00346B80">
        <w:rPr>
          <w:b/>
          <w:bCs/>
          <w:color w:val="000000"/>
          <w:sz w:val="22"/>
          <w:szCs w:val="22"/>
          <w:lang w:val="sr-Latn-ME"/>
        </w:rPr>
        <w:t>Posebne mjere opreza pri odlaganju materijala koji treba odbaciti nakon primjene lijeka</w:t>
      </w:r>
      <w:r w:rsidRPr="00346B80">
        <w:rPr>
          <w:b/>
          <w:bCs/>
          <w:sz w:val="22"/>
          <w:szCs w:val="22"/>
          <w:lang w:val="sr-Latn-ME"/>
        </w:rPr>
        <w:t xml:space="preserve"> </w:t>
      </w:r>
      <w:r w:rsidR="00310F03" w:rsidRPr="00346B80">
        <w:rPr>
          <w:b/>
          <w:bCs/>
          <w:sz w:val="22"/>
          <w:szCs w:val="22"/>
          <w:lang w:val="sr-Latn-ME"/>
        </w:rPr>
        <w:t>(i druga uputs</w:t>
      </w:r>
      <w:r w:rsidR="004109FA" w:rsidRPr="00346B80">
        <w:rPr>
          <w:b/>
          <w:bCs/>
          <w:sz w:val="22"/>
          <w:szCs w:val="22"/>
          <w:lang w:val="sr-Latn-ME"/>
        </w:rPr>
        <w:t>t</w:t>
      </w:r>
      <w:r w:rsidR="00310F03" w:rsidRPr="00346B80">
        <w:rPr>
          <w:b/>
          <w:bCs/>
          <w:sz w:val="22"/>
          <w:szCs w:val="22"/>
          <w:lang w:val="sr-Latn-ME"/>
        </w:rPr>
        <w:t xml:space="preserve">va za rukovanje lijekom) </w:t>
      </w:r>
    </w:p>
    <w:p w14:paraId="1F8557A3" w14:textId="77777777" w:rsidR="00B66A70" w:rsidRPr="00346B80" w:rsidRDefault="00B66A70" w:rsidP="00814AE3">
      <w:pPr>
        <w:widowControl w:val="0"/>
        <w:tabs>
          <w:tab w:val="left" w:pos="540"/>
          <w:tab w:val="left" w:pos="569"/>
        </w:tabs>
        <w:jc w:val="both"/>
        <w:rPr>
          <w:b/>
          <w:bCs/>
          <w:sz w:val="22"/>
          <w:szCs w:val="22"/>
          <w:lang w:val="sr-Latn-ME"/>
        </w:rPr>
      </w:pPr>
    </w:p>
    <w:p w14:paraId="0BF25E96" w14:textId="4601C4CD" w:rsidR="00C72D0F" w:rsidRPr="00346B80" w:rsidRDefault="00C72D0F" w:rsidP="00814AE3">
      <w:pPr>
        <w:pStyle w:val="Header"/>
        <w:widowControl w:val="0"/>
        <w:tabs>
          <w:tab w:val="left" w:pos="284"/>
        </w:tabs>
        <w:jc w:val="both"/>
        <w:rPr>
          <w:sz w:val="22"/>
          <w:szCs w:val="22"/>
          <w:lang w:val="sr-Latn-ME"/>
        </w:rPr>
      </w:pPr>
      <w:r w:rsidRPr="00346B80">
        <w:rPr>
          <w:sz w:val="22"/>
          <w:szCs w:val="22"/>
          <w:lang w:val="sr-Latn-ME"/>
        </w:rPr>
        <w:t>Nema posebnih zahtjeva.</w:t>
      </w:r>
    </w:p>
    <w:p w14:paraId="7A0A37A2" w14:textId="77777777" w:rsidR="00C53453" w:rsidRPr="00346B80" w:rsidRDefault="00C53453" w:rsidP="00814AE3">
      <w:pPr>
        <w:widowControl w:val="0"/>
        <w:tabs>
          <w:tab w:val="left" w:pos="540"/>
          <w:tab w:val="left" w:pos="569"/>
        </w:tabs>
        <w:jc w:val="both"/>
        <w:rPr>
          <w:b/>
          <w:bCs/>
          <w:sz w:val="22"/>
          <w:szCs w:val="22"/>
          <w:lang w:val="sr-Latn-ME"/>
        </w:rPr>
      </w:pPr>
    </w:p>
    <w:p w14:paraId="7FE55DAD" w14:textId="77777777" w:rsidR="00C53453" w:rsidRPr="00346B80" w:rsidRDefault="00C53453" w:rsidP="00814AE3">
      <w:pPr>
        <w:widowControl w:val="0"/>
        <w:tabs>
          <w:tab w:val="left" w:pos="540"/>
          <w:tab w:val="left" w:pos="569"/>
        </w:tabs>
        <w:jc w:val="both"/>
        <w:rPr>
          <w:b/>
          <w:bCs/>
          <w:sz w:val="22"/>
          <w:szCs w:val="22"/>
          <w:lang w:val="sr-Latn-ME"/>
        </w:rPr>
      </w:pPr>
    </w:p>
    <w:p w14:paraId="1F8557A5" w14:textId="6B92F59C" w:rsidR="00F8570A" w:rsidRPr="00346B80" w:rsidRDefault="0072020E" w:rsidP="00814AE3">
      <w:pPr>
        <w:widowControl w:val="0"/>
        <w:tabs>
          <w:tab w:val="left" w:pos="540"/>
          <w:tab w:val="left" w:pos="569"/>
        </w:tabs>
        <w:jc w:val="both"/>
        <w:rPr>
          <w:b/>
          <w:bCs/>
          <w:sz w:val="22"/>
          <w:szCs w:val="22"/>
          <w:lang w:val="sr-Latn-ME"/>
        </w:rPr>
      </w:pPr>
      <w:r w:rsidRPr="00346B80">
        <w:rPr>
          <w:b/>
          <w:bCs/>
          <w:sz w:val="22"/>
          <w:szCs w:val="22"/>
          <w:lang w:val="sr-Latn-ME"/>
        </w:rPr>
        <w:t xml:space="preserve">7. </w:t>
      </w:r>
      <w:r w:rsidR="00480FB1" w:rsidRPr="00346B80">
        <w:rPr>
          <w:b/>
          <w:bCs/>
          <w:sz w:val="22"/>
          <w:szCs w:val="22"/>
          <w:lang w:val="sr-Latn-ME"/>
        </w:rPr>
        <w:tab/>
      </w:r>
      <w:r w:rsidRPr="00346B80">
        <w:rPr>
          <w:b/>
          <w:bCs/>
          <w:sz w:val="22"/>
          <w:szCs w:val="22"/>
          <w:lang w:val="sr-Latn-ME"/>
        </w:rPr>
        <w:t>NOSILAC DOZVOLE</w:t>
      </w:r>
      <w:r w:rsidR="00483928" w:rsidRPr="00346B80">
        <w:rPr>
          <w:b/>
          <w:bCs/>
          <w:sz w:val="22"/>
          <w:szCs w:val="22"/>
          <w:lang w:val="sr-Latn-ME"/>
        </w:rPr>
        <w:t xml:space="preserve"> </w:t>
      </w:r>
    </w:p>
    <w:p w14:paraId="1F8557A6" w14:textId="77777777" w:rsidR="00C61BE0" w:rsidRPr="00346B80" w:rsidRDefault="00C61BE0" w:rsidP="00814AE3">
      <w:pPr>
        <w:widowControl w:val="0"/>
        <w:tabs>
          <w:tab w:val="left" w:pos="540"/>
          <w:tab w:val="left" w:pos="569"/>
        </w:tabs>
        <w:jc w:val="both"/>
        <w:rPr>
          <w:bCs/>
          <w:sz w:val="22"/>
          <w:szCs w:val="22"/>
          <w:lang w:val="sr-Latn-ME"/>
        </w:rPr>
      </w:pPr>
    </w:p>
    <w:p w14:paraId="34D0BBCD" w14:textId="77777777" w:rsidR="00C72D0F" w:rsidRPr="00346B80" w:rsidRDefault="00C72D0F" w:rsidP="00814AE3">
      <w:pPr>
        <w:widowControl w:val="0"/>
        <w:jc w:val="both"/>
        <w:rPr>
          <w:sz w:val="22"/>
          <w:szCs w:val="22"/>
          <w:lang w:val="sr-Latn-ME"/>
        </w:rPr>
      </w:pPr>
      <w:r w:rsidRPr="00346B80">
        <w:rPr>
          <w:sz w:val="22"/>
          <w:szCs w:val="22"/>
          <w:lang w:val="sr-Latn-ME"/>
        </w:rPr>
        <w:t>Zentiva Pharma d.o.o. – dio stranog društva Podgorica</w:t>
      </w:r>
    </w:p>
    <w:p w14:paraId="46C1703A" w14:textId="77777777" w:rsidR="00C72D0F" w:rsidRPr="00346B80" w:rsidRDefault="00C72D0F" w:rsidP="00814AE3">
      <w:pPr>
        <w:widowControl w:val="0"/>
        <w:jc w:val="both"/>
        <w:rPr>
          <w:sz w:val="22"/>
          <w:szCs w:val="22"/>
          <w:lang w:val="sr-Latn-ME"/>
        </w:rPr>
      </w:pPr>
      <w:r w:rsidRPr="00346B80">
        <w:rPr>
          <w:sz w:val="22"/>
          <w:szCs w:val="22"/>
          <w:lang w:val="sr-Latn-ME"/>
        </w:rPr>
        <w:t>Kritskog odreda 4/1, 81 000 Podgorica, Crna Gora</w:t>
      </w:r>
    </w:p>
    <w:p w14:paraId="19989A56" w14:textId="77777777" w:rsidR="00C53453" w:rsidRPr="00346B80" w:rsidRDefault="00C53453" w:rsidP="00814AE3">
      <w:pPr>
        <w:widowControl w:val="0"/>
        <w:tabs>
          <w:tab w:val="left" w:pos="540"/>
          <w:tab w:val="left" w:pos="569"/>
        </w:tabs>
        <w:jc w:val="both"/>
        <w:rPr>
          <w:b/>
          <w:bCs/>
          <w:sz w:val="22"/>
          <w:szCs w:val="22"/>
          <w:lang w:val="sr-Latn-ME"/>
        </w:rPr>
      </w:pPr>
    </w:p>
    <w:p w14:paraId="193D17C4" w14:textId="77777777" w:rsidR="00C53453" w:rsidRPr="00FC2EEC" w:rsidRDefault="00C53453" w:rsidP="00814AE3">
      <w:pPr>
        <w:widowControl w:val="0"/>
        <w:tabs>
          <w:tab w:val="left" w:pos="540"/>
          <w:tab w:val="left" w:pos="569"/>
        </w:tabs>
        <w:jc w:val="both"/>
        <w:rPr>
          <w:b/>
          <w:bCs/>
          <w:sz w:val="22"/>
          <w:szCs w:val="22"/>
          <w:lang w:val="sr-Latn-ME"/>
        </w:rPr>
      </w:pPr>
    </w:p>
    <w:p w14:paraId="1F8557A8" w14:textId="5853930C" w:rsidR="0072020E" w:rsidRPr="00346B80" w:rsidRDefault="0072020E" w:rsidP="00814AE3">
      <w:pPr>
        <w:widowControl w:val="0"/>
        <w:tabs>
          <w:tab w:val="left" w:pos="540"/>
          <w:tab w:val="left" w:pos="569"/>
        </w:tabs>
        <w:jc w:val="both"/>
        <w:rPr>
          <w:b/>
          <w:bCs/>
          <w:sz w:val="22"/>
          <w:szCs w:val="22"/>
          <w:lang w:val="sr-Latn-ME"/>
        </w:rPr>
      </w:pPr>
      <w:r w:rsidRPr="00346B80">
        <w:rPr>
          <w:b/>
          <w:bCs/>
          <w:sz w:val="22"/>
          <w:szCs w:val="22"/>
          <w:lang w:val="sr-Latn-ME"/>
        </w:rPr>
        <w:t xml:space="preserve">8. </w:t>
      </w:r>
      <w:r w:rsidR="00480FB1" w:rsidRPr="00346B80">
        <w:rPr>
          <w:b/>
          <w:bCs/>
          <w:sz w:val="22"/>
          <w:szCs w:val="22"/>
          <w:lang w:val="sr-Latn-ME"/>
        </w:rPr>
        <w:tab/>
      </w:r>
      <w:r w:rsidRPr="00346B80">
        <w:rPr>
          <w:b/>
          <w:bCs/>
          <w:sz w:val="22"/>
          <w:szCs w:val="22"/>
          <w:lang w:val="sr-Latn-ME"/>
        </w:rPr>
        <w:t>BROJ DOZVOLE</w:t>
      </w:r>
      <w:r w:rsidR="008A6D43" w:rsidRPr="00346B80">
        <w:rPr>
          <w:b/>
          <w:bCs/>
          <w:sz w:val="22"/>
          <w:szCs w:val="22"/>
          <w:lang w:val="sr-Latn-ME"/>
        </w:rPr>
        <w:t xml:space="preserve"> ZA STAVLJANJE LIJEKA U PROMET</w:t>
      </w:r>
    </w:p>
    <w:p w14:paraId="1F8557A9" w14:textId="77777777" w:rsidR="0072020E" w:rsidRPr="00346B80" w:rsidRDefault="0072020E" w:rsidP="00814AE3">
      <w:pPr>
        <w:widowControl w:val="0"/>
        <w:tabs>
          <w:tab w:val="left" w:pos="540"/>
          <w:tab w:val="left" w:pos="569"/>
        </w:tabs>
        <w:jc w:val="both"/>
        <w:rPr>
          <w:bCs/>
          <w:sz w:val="22"/>
          <w:szCs w:val="22"/>
          <w:lang w:val="sr-Latn-ME"/>
        </w:rPr>
      </w:pPr>
    </w:p>
    <w:p w14:paraId="1A5962E4" w14:textId="6D03C7D6" w:rsidR="00C72D0F" w:rsidRPr="00346B80" w:rsidRDefault="00C72D0F" w:rsidP="00814AE3">
      <w:pPr>
        <w:widowControl w:val="0"/>
        <w:autoSpaceDE w:val="0"/>
        <w:autoSpaceDN w:val="0"/>
        <w:adjustRightInd w:val="0"/>
        <w:jc w:val="both"/>
        <w:rPr>
          <w:bCs/>
          <w:sz w:val="22"/>
          <w:szCs w:val="22"/>
          <w:lang w:val="sr-Latn-ME" w:eastAsia="de-DE"/>
        </w:rPr>
      </w:pPr>
      <w:r w:rsidRPr="00346B80">
        <w:rPr>
          <w:bCs/>
          <w:sz w:val="22"/>
          <w:szCs w:val="22"/>
          <w:lang w:val="sr-Latn-ME" w:eastAsia="de-DE"/>
        </w:rPr>
        <w:lastRenderedPageBreak/>
        <w:t>2030/14/110-8362</w:t>
      </w:r>
    </w:p>
    <w:p w14:paraId="1F8557AA" w14:textId="5ABB9D89" w:rsidR="00F45F77" w:rsidRPr="00346B80" w:rsidRDefault="00F45F77" w:rsidP="00814AE3">
      <w:pPr>
        <w:widowControl w:val="0"/>
        <w:tabs>
          <w:tab w:val="left" w:pos="540"/>
          <w:tab w:val="left" w:pos="569"/>
        </w:tabs>
        <w:jc w:val="both"/>
        <w:rPr>
          <w:bCs/>
          <w:sz w:val="22"/>
          <w:szCs w:val="22"/>
          <w:lang w:val="sr-Latn-ME"/>
        </w:rPr>
      </w:pPr>
    </w:p>
    <w:p w14:paraId="6A977DCA" w14:textId="77777777" w:rsidR="00C53453" w:rsidRPr="00346B80" w:rsidRDefault="00C53453" w:rsidP="00814AE3">
      <w:pPr>
        <w:widowControl w:val="0"/>
        <w:tabs>
          <w:tab w:val="left" w:pos="540"/>
          <w:tab w:val="left" w:pos="569"/>
        </w:tabs>
        <w:jc w:val="both"/>
        <w:rPr>
          <w:bCs/>
          <w:sz w:val="22"/>
          <w:szCs w:val="22"/>
          <w:lang w:val="sr-Latn-ME"/>
        </w:rPr>
      </w:pPr>
    </w:p>
    <w:p w14:paraId="1F8557AB" w14:textId="77777777" w:rsidR="0072020E" w:rsidRPr="00346B80" w:rsidRDefault="0072020E" w:rsidP="00814AE3">
      <w:pPr>
        <w:widowControl w:val="0"/>
        <w:tabs>
          <w:tab w:val="left" w:pos="540"/>
          <w:tab w:val="left" w:pos="569"/>
        </w:tabs>
        <w:jc w:val="both"/>
        <w:rPr>
          <w:b/>
          <w:bCs/>
          <w:sz w:val="22"/>
          <w:szCs w:val="22"/>
          <w:lang w:val="sr-Latn-ME"/>
        </w:rPr>
      </w:pPr>
      <w:r w:rsidRPr="00346B80">
        <w:rPr>
          <w:b/>
          <w:bCs/>
          <w:sz w:val="22"/>
          <w:szCs w:val="22"/>
          <w:lang w:val="sr-Latn-ME"/>
        </w:rPr>
        <w:t xml:space="preserve">9. </w:t>
      </w:r>
      <w:r w:rsidR="00480FB1" w:rsidRPr="00346B80">
        <w:rPr>
          <w:b/>
          <w:bCs/>
          <w:sz w:val="22"/>
          <w:szCs w:val="22"/>
          <w:lang w:val="sr-Latn-ME"/>
        </w:rPr>
        <w:tab/>
      </w:r>
      <w:r w:rsidRPr="00346B80">
        <w:rPr>
          <w:b/>
          <w:bCs/>
          <w:sz w:val="22"/>
          <w:szCs w:val="22"/>
          <w:lang w:val="sr-Latn-ME"/>
        </w:rPr>
        <w:t xml:space="preserve">DATUM </w:t>
      </w:r>
      <w:r w:rsidR="00C05DF8" w:rsidRPr="00346B80">
        <w:rPr>
          <w:b/>
          <w:bCs/>
          <w:sz w:val="22"/>
          <w:szCs w:val="22"/>
          <w:lang w:val="sr-Latn-ME"/>
        </w:rPr>
        <w:t xml:space="preserve">PRVE </w:t>
      </w:r>
      <w:r w:rsidR="008A6D43" w:rsidRPr="00346B80">
        <w:rPr>
          <w:b/>
          <w:bCs/>
          <w:sz w:val="22"/>
          <w:szCs w:val="22"/>
          <w:lang w:val="sr-Latn-ME"/>
        </w:rPr>
        <w:t>DOZVOLE</w:t>
      </w:r>
      <w:r w:rsidR="00C05DF8" w:rsidRPr="00346B80">
        <w:rPr>
          <w:b/>
          <w:bCs/>
          <w:sz w:val="22"/>
          <w:szCs w:val="22"/>
          <w:lang w:val="sr-Latn-ME"/>
        </w:rPr>
        <w:t>/OBNOVE DOZVOLE</w:t>
      </w:r>
      <w:r w:rsidR="008A6D43" w:rsidRPr="00346B80">
        <w:rPr>
          <w:b/>
          <w:bCs/>
          <w:sz w:val="22"/>
          <w:szCs w:val="22"/>
          <w:lang w:val="sr-Latn-ME"/>
        </w:rPr>
        <w:t xml:space="preserve"> ZA STAVLJANJE LIJEKA U PROMET</w:t>
      </w:r>
    </w:p>
    <w:p w14:paraId="1F8557AC" w14:textId="77777777" w:rsidR="0072020E" w:rsidRPr="00346B80" w:rsidRDefault="0072020E" w:rsidP="00814AE3">
      <w:pPr>
        <w:widowControl w:val="0"/>
        <w:tabs>
          <w:tab w:val="left" w:pos="540"/>
          <w:tab w:val="left" w:pos="569"/>
        </w:tabs>
        <w:jc w:val="both"/>
        <w:rPr>
          <w:bCs/>
          <w:sz w:val="22"/>
          <w:szCs w:val="22"/>
          <w:lang w:val="sr-Latn-ME"/>
        </w:rPr>
      </w:pPr>
    </w:p>
    <w:p w14:paraId="78A44097" w14:textId="27243D0E" w:rsidR="00C72D0F" w:rsidRPr="00346B80" w:rsidRDefault="00814AE3" w:rsidP="00814AE3">
      <w:pPr>
        <w:widowControl w:val="0"/>
        <w:autoSpaceDE w:val="0"/>
        <w:autoSpaceDN w:val="0"/>
        <w:adjustRightInd w:val="0"/>
        <w:jc w:val="both"/>
        <w:rPr>
          <w:bCs/>
          <w:sz w:val="22"/>
          <w:szCs w:val="22"/>
          <w:lang w:val="sr-Latn-ME" w:eastAsia="de-DE"/>
        </w:rPr>
      </w:pPr>
      <w:r>
        <w:rPr>
          <w:bCs/>
          <w:sz w:val="22"/>
          <w:szCs w:val="22"/>
          <w:lang w:val="sr-Latn-ME" w:eastAsia="de-DE"/>
        </w:rPr>
        <w:t>10.03.2014. godine</w:t>
      </w:r>
      <w:bookmarkStart w:id="0" w:name="_GoBack"/>
      <w:bookmarkEnd w:id="0"/>
    </w:p>
    <w:p w14:paraId="1F8557AD" w14:textId="1BAEDDB1" w:rsidR="00836B35" w:rsidRPr="00346B80" w:rsidRDefault="00836B35" w:rsidP="00814AE3">
      <w:pPr>
        <w:widowControl w:val="0"/>
        <w:tabs>
          <w:tab w:val="left" w:pos="540"/>
          <w:tab w:val="left" w:pos="569"/>
        </w:tabs>
        <w:jc w:val="both"/>
        <w:rPr>
          <w:bCs/>
          <w:sz w:val="22"/>
          <w:szCs w:val="22"/>
          <w:lang w:val="sr-Latn-ME"/>
        </w:rPr>
      </w:pPr>
    </w:p>
    <w:p w14:paraId="1E7B942A" w14:textId="77777777" w:rsidR="00C53453" w:rsidRPr="00346B80" w:rsidRDefault="00C53453" w:rsidP="00814AE3">
      <w:pPr>
        <w:widowControl w:val="0"/>
        <w:tabs>
          <w:tab w:val="left" w:pos="540"/>
          <w:tab w:val="left" w:pos="569"/>
        </w:tabs>
        <w:jc w:val="both"/>
        <w:rPr>
          <w:bCs/>
          <w:sz w:val="22"/>
          <w:szCs w:val="22"/>
          <w:lang w:val="sr-Latn-ME"/>
        </w:rPr>
      </w:pPr>
    </w:p>
    <w:p w14:paraId="1F8557AE" w14:textId="77777777" w:rsidR="003F6A59" w:rsidRPr="00346B80" w:rsidRDefault="0072020E" w:rsidP="00814AE3">
      <w:pPr>
        <w:widowControl w:val="0"/>
        <w:tabs>
          <w:tab w:val="left" w:pos="540"/>
          <w:tab w:val="left" w:pos="569"/>
        </w:tabs>
        <w:ind w:left="540" w:hanging="540"/>
        <w:jc w:val="both"/>
        <w:rPr>
          <w:bCs/>
          <w:sz w:val="22"/>
          <w:szCs w:val="22"/>
          <w:lang w:val="sr-Latn-ME"/>
        </w:rPr>
      </w:pPr>
      <w:r w:rsidRPr="00346B80">
        <w:rPr>
          <w:b/>
          <w:bCs/>
          <w:sz w:val="22"/>
          <w:szCs w:val="22"/>
          <w:lang w:val="sr-Latn-ME"/>
        </w:rPr>
        <w:t xml:space="preserve">10. </w:t>
      </w:r>
      <w:r w:rsidR="00480FB1" w:rsidRPr="00346B80">
        <w:rPr>
          <w:b/>
          <w:bCs/>
          <w:sz w:val="22"/>
          <w:szCs w:val="22"/>
          <w:lang w:val="sr-Latn-ME"/>
        </w:rPr>
        <w:tab/>
      </w:r>
      <w:r w:rsidR="002846DB" w:rsidRPr="00346B80">
        <w:rPr>
          <w:b/>
          <w:bCs/>
          <w:sz w:val="22"/>
          <w:szCs w:val="22"/>
          <w:lang w:val="sr-Latn-ME"/>
        </w:rPr>
        <w:t>D</w:t>
      </w:r>
      <w:r w:rsidR="00EC2532" w:rsidRPr="00346B80">
        <w:rPr>
          <w:b/>
          <w:bCs/>
          <w:sz w:val="22"/>
          <w:szCs w:val="22"/>
          <w:lang w:val="sr-Latn-ME"/>
        </w:rPr>
        <w:t xml:space="preserve">ATUM REVIZIJE TEKSTA </w:t>
      </w:r>
    </w:p>
    <w:p w14:paraId="1F8557AF" w14:textId="77777777" w:rsidR="003F6A59" w:rsidRPr="00346B80" w:rsidRDefault="003F6A59" w:rsidP="00814AE3">
      <w:pPr>
        <w:widowControl w:val="0"/>
        <w:tabs>
          <w:tab w:val="left" w:pos="540"/>
          <w:tab w:val="left" w:pos="569"/>
        </w:tabs>
        <w:jc w:val="both"/>
        <w:rPr>
          <w:bCs/>
          <w:sz w:val="22"/>
          <w:szCs w:val="22"/>
          <w:lang w:val="sr-Latn-ME"/>
        </w:rPr>
      </w:pPr>
    </w:p>
    <w:p w14:paraId="1F8557B7" w14:textId="47442F2A" w:rsidR="003F6A59" w:rsidRPr="00346B80" w:rsidRDefault="00814AE3" w:rsidP="00814AE3">
      <w:pPr>
        <w:widowControl w:val="0"/>
        <w:jc w:val="both"/>
        <w:rPr>
          <w:sz w:val="22"/>
          <w:szCs w:val="22"/>
          <w:lang w:val="sr-Latn-ME"/>
        </w:rPr>
      </w:pPr>
      <w:r>
        <w:rPr>
          <w:sz w:val="22"/>
          <w:szCs w:val="22"/>
          <w:lang w:val="sr-Latn-ME"/>
        </w:rPr>
        <w:t>Jun, 2025. godine</w:t>
      </w:r>
    </w:p>
    <w:sectPr w:rsidR="003F6A59" w:rsidRPr="00346B80" w:rsidSect="00814AE3">
      <w:headerReference w:type="even" r:id="rId12"/>
      <w:headerReference w:type="default" r:id="rId13"/>
      <w:footerReference w:type="default" r:id="rId14"/>
      <w:headerReference w:type="first" r:id="rId15"/>
      <w:pgSz w:w="11909" w:h="16834" w:code="9"/>
      <w:pgMar w:top="851" w:right="1418" w:bottom="851"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3CC36" w14:textId="77777777" w:rsidR="0051126C" w:rsidRDefault="0051126C">
      <w:r>
        <w:separator/>
      </w:r>
    </w:p>
  </w:endnote>
  <w:endnote w:type="continuationSeparator" w:id="0">
    <w:p w14:paraId="508DBD05" w14:textId="77777777" w:rsidR="0051126C" w:rsidRDefault="00511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557C0" w14:textId="65C87179" w:rsidR="00346B80" w:rsidRPr="00B23F69" w:rsidRDefault="00346B80"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814AE3">
      <w:rPr>
        <w:noProof/>
        <w:sz w:val="22"/>
        <w:szCs w:val="22"/>
      </w:rPr>
      <w:t>15</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814AE3">
      <w:rPr>
        <w:noProof/>
        <w:sz w:val="22"/>
        <w:szCs w:val="22"/>
      </w:rPr>
      <w:t>15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F16FE" w14:textId="77777777" w:rsidR="0051126C" w:rsidRDefault="0051126C">
      <w:r>
        <w:separator/>
      </w:r>
    </w:p>
  </w:footnote>
  <w:footnote w:type="continuationSeparator" w:id="0">
    <w:p w14:paraId="348E5784" w14:textId="77777777" w:rsidR="0051126C" w:rsidRDefault="00511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F1136" w14:textId="725404D4" w:rsidR="00346B80" w:rsidRDefault="00346B80">
    <w:pPr>
      <w:pStyle w:val="Header"/>
    </w:pPr>
    <w:r>
      <w:rPr>
        <w:noProof/>
        <w:lang w:val="sr-Latn-ME" w:eastAsia="sr-Latn-ME"/>
      </w:rPr>
      <mc:AlternateContent>
        <mc:Choice Requires="wps">
          <w:drawing>
            <wp:anchor distT="0" distB="0" distL="0" distR="0" simplePos="0" relativeHeight="251659264" behindDoc="0" locked="0" layoutInCell="1" allowOverlap="1" wp14:anchorId="1C4A1EC5" wp14:editId="09BC73E4">
              <wp:simplePos x="635" y="635"/>
              <wp:positionH relativeFrom="page">
                <wp:align>right</wp:align>
              </wp:positionH>
              <wp:positionV relativeFrom="page">
                <wp:align>top</wp:align>
              </wp:positionV>
              <wp:extent cx="830580" cy="345440"/>
              <wp:effectExtent l="0" t="0" r="0" b="16510"/>
              <wp:wrapNone/>
              <wp:docPr id="532857932" name="Text Box 2" descr="C2-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830580" cy="345440"/>
                      </a:xfrm>
                      <a:prstGeom prst="rect">
                        <a:avLst/>
                      </a:prstGeom>
                      <a:noFill/>
                      <a:ln>
                        <a:noFill/>
                      </a:ln>
                    </wps:spPr>
                    <wps:txbx>
                      <w:txbxContent>
                        <w:p w14:paraId="79CE55E5" w14:textId="7BC23490" w:rsidR="00346B80" w:rsidRPr="00044909" w:rsidRDefault="00346B80" w:rsidP="00044909">
                          <w:pPr>
                            <w:rPr>
                              <w:rFonts w:ascii="Calibri" w:eastAsia="Calibri" w:hAnsi="Calibri" w:cs="Calibri"/>
                              <w:noProof/>
                              <w:color w:val="000000"/>
                              <w:sz w:val="20"/>
                              <w:szCs w:val="20"/>
                            </w:rPr>
                          </w:pPr>
                          <w:r w:rsidRPr="00044909">
                            <w:rPr>
                              <w:rFonts w:ascii="Calibri" w:eastAsia="Calibri" w:hAnsi="Calibri" w:cs="Calibri"/>
                              <w:noProof/>
                              <w:color w:val="000000"/>
                              <w:sz w:val="20"/>
                              <w:szCs w:val="20"/>
                            </w:rPr>
                            <w:t>C2-Internal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4A1EC5" id="_x0000_t202" coordsize="21600,21600" o:spt="202" path="m,l,21600r21600,l21600,xe">
              <v:stroke joinstyle="miter"/>
              <v:path gradientshapeok="t" o:connecttype="rect"/>
            </v:shapetype>
            <v:shape id="Text Box 2" o:spid="_x0000_s1026" type="#_x0000_t202" alt="C2-Internal" style="position:absolute;margin-left:14.2pt;margin-top:0;width:65.4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" filled="f" stroked="f">
              <v:textbox style="mso-fit-shape-to-text:t" inset="0,15pt,20pt,0">
                <w:txbxContent>
                  <w:p w14:paraId="79CE55E5" w14:textId="7BC23490" w:rsidR="00C53453" w:rsidRPr="00044909" w:rsidRDefault="00C53453" w:rsidP="00044909">
                    <w:pPr>
                      <w:rPr>
                        <w:rFonts w:ascii="Calibri" w:eastAsia="Calibri" w:hAnsi="Calibri" w:cs="Calibri"/>
                        <w:noProof/>
                        <w:color w:val="000000"/>
                        <w:sz w:val="20"/>
                        <w:szCs w:val="20"/>
                      </w:rPr>
                    </w:pPr>
                    <w:r w:rsidRPr="00044909">
                      <w:rPr>
                        <w:rFonts w:ascii="Calibri" w:eastAsia="Calibri" w:hAnsi="Calibri" w:cs="Calibri"/>
                        <w:noProof/>
                        <w:color w:val="000000"/>
                        <w:sz w:val="20"/>
                        <w:szCs w:val="20"/>
                      </w:rPr>
                      <w:t>C2-Internal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9AE20" w14:textId="76426F5E" w:rsidR="00346B80" w:rsidRDefault="00346B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954FA" w14:textId="6607D304" w:rsidR="00346B80" w:rsidRDefault="00346B80">
    <w:pPr>
      <w:pStyle w:val="Header"/>
    </w:pPr>
    <w:r>
      <w:rPr>
        <w:noProof/>
        <w:lang w:val="sr-Latn-ME" w:eastAsia="sr-Latn-ME"/>
      </w:rPr>
      <mc:AlternateContent>
        <mc:Choice Requires="wps">
          <w:drawing>
            <wp:anchor distT="0" distB="0" distL="0" distR="0" simplePos="0" relativeHeight="251658240" behindDoc="0" locked="0" layoutInCell="1" allowOverlap="1" wp14:anchorId="5537381D" wp14:editId="3FB8255A">
              <wp:simplePos x="635" y="635"/>
              <wp:positionH relativeFrom="page">
                <wp:align>right</wp:align>
              </wp:positionH>
              <wp:positionV relativeFrom="page">
                <wp:align>top</wp:align>
              </wp:positionV>
              <wp:extent cx="830580" cy="345440"/>
              <wp:effectExtent l="0" t="0" r="0" b="16510"/>
              <wp:wrapNone/>
              <wp:docPr id="308820701" name="Text Box 1" descr="C2-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830580" cy="345440"/>
                      </a:xfrm>
                      <a:prstGeom prst="rect">
                        <a:avLst/>
                      </a:prstGeom>
                      <a:noFill/>
                      <a:ln>
                        <a:noFill/>
                      </a:ln>
                    </wps:spPr>
                    <wps:txbx>
                      <w:txbxContent>
                        <w:p w14:paraId="5D4107C4" w14:textId="22D3C7F1" w:rsidR="00346B80" w:rsidRPr="00044909" w:rsidRDefault="00346B80" w:rsidP="00044909">
                          <w:pPr>
                            <w:rPr>
                              <w:rFonts w:ascii="Calibri" w:eastAsia="Calibri" w:hAnsi="Calibri" w:cs="Calibri"/>
                              <w:noProof/>
                              <w:color w:val="000000"/>
                              <w:sz w:val="20"/>
                              <w:szCs w:val="20"/>
                            </w:rPr>
                          </w:pPr>
                          <w:r w:rsidRPr="00044909">
                            <w:rPr>
                              <w:rFonts w:ascii="Calibri" w:eastAsia="Calibri" w:hAnsi="Calibri" w:cs="Calibri"/>
                              <w:noProof/>
                              <w:color w:val="000000"/>
                              <w:sz w:val="20"/>
                              <w:szCs w:val="20"/>
                            </w:rPr>
                            <w:t>C2-Internal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37381D" id="_x0000_t202" coordsize="21600,21600" o:spt="202" path="m,l,21600r21600,l21600,xe">
              <v:stroke joinstyle="miter"/>
              <v:path gradientshapeok="t" o:connecttype="rect"/>
            </v:shapetype>
            <v:shape id="Text Box 1" o:spid="_x0000_s1028" type="#_x0000_t202" alt="C2-Internal" style="position:absolute;margin-left:14.2pt;margin-top:0;width:65.4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" filled="f" stroked="f">
              <v:textbox style="mso-fit-shape-to-text:t" inset="0,15pt,20pt,0">
                <w:txbxContent>
                  <w:p w14:paraId="5D4107C4" w14:textId="22D3C7F1" w:rsidR="00C53453" w:rsidRPr="00044909" w:rsidRDefault="00C53453" w:rsidP="00044909">
                    <w:pPr>
                      <w:rPr>
                        <w:rFonts w:ascii="Calibri" w:eastAsia="Calibri" w:hAnsi="Calibri" w:cs="Calibri"/>
                        <w:noProof/>
                        <w:color w:val="000000"/>
                        <w:sz w:val="20"/>
                        <w:szCs w:val="20"/>
                      </w:rPr>
                    </w:pPr>
                    <w:r w:rsidRPr="00044909">
                      <w:rPr>
                        <w:rFonts w:ascii="Calibri" w:eastAsia="Calibri" w:hAnsi="Calibri" w:cs="Calibri"/>
                        <w:noProof/>
                        <w:color w:val="000000"/>
                        <w:sz w:val="20"/>
                        <w:szCs w:val="20"/>
                      </w:rPr>
                      <w:t>C2-Internal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6pt;height:13.8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AE6B74"/>
    <w:multiLevelType w:val="hybridMultilevel"/>
    <w:tmpl w:val="04CA0E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5341009"/>
    <w:multiLevelType w:val="hybridMultilevel"/>
    <w:tmpl w:val="D7A8EEC2"/>
    <w:lvl w:ilvl="0" w:tplc="C2EC8352">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4" w15:restartNumberingAfterBreak="0">
    <w:nsid w:val="15BF62E6"/>
    <w:multiLevelType w:val="hybridMultilevel"/>
    <w:tmpl w:val="48A68368"/>
    <w:lvl w:ilvl="0" w:tplc="2772CAC4">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4CE408DC"/>
    <w:multiLevelType w:val="hybridMultilevel"/>
    <w:tmpl w:val="3CBEB6CA"/>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7884F1E"/>
    <w:multiLevelType w:val="hybridMultilevel"/>
    <w:tmpl w:val="A83ED9C4"/>
    <w:lvl w:ilvl="0" w:tplc="2772CAC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6C4A15"/>
    <w:multiLevelType w:val="hybridMultilevel"/>
    <w:tmpl w:val="8E7EF14C"/>
    <w:lvl w:ilvl="0" w:tplc="C2EC8352">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6"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num>
  <w:num w:numId="4">
    <w:abstractNumId w:val="12"/>
  </w:num>
  <w:num w:numId="5">
    <w:abstractNumId w:val="7"/>
  </w:num>
  <w:num w:numId="6">
    <w:abstractNumId w:val="2"/>
  </w:num>
  <w:num w:numId="7">
    <w:abstractNumId w:val="10"/>
  </w:num>
  <w:num w:numId="8">
    <w:abstractNumId w:val="6"/>
  </w:num>
  <w:num w:numId="9">
    <w:abstractNumId w:val="9"/>
  </w:num>
  <w:num w:numId="10">
    <w:abstractNumId w:val="16"/>
  </w:num>
  <w:num w:numId="11">
    <w:abstractNumId w:val="8"/>
  </w:num>
  <w:num w:numId="12">
    <w:abstractNumId w:val="1"/>
  </w:num>
  <w:num w:numId="13">
    <w:abstractNumId w:val="3"/>
  </w:num>
  <w:num w:numId="14">
    <w:abstractNumId w:val="15"/>
  </w:num>
  <w:num w:numId="15">
    <w:abstractNumId w:val="11"/>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10AD"/>
    <w:rsid w:val="00033469"/>
    <w:rsid w:val="00036FA0"/>
    <w:rsid w:val="0003793F"/>
    <w:rsid w:val="00044909"/>
    <w:rsid w:val="00045130"/>
    <w:rsid w:val="00057E35"/>
    <w:rsid w:val="00075E28"/>
    <w:rsid w:val="00076726"/>
    <w:rsid w:val="00080303"/>
    <w:rsid w:val="00083D02"/>
    <w:rsid w:val="000A3F58"/>
    <w:rsid w:val="000C7A7F"/>
    <w:rsid w:val="000D2343"/>
    <w:rsid w:val="000D3449"/>
    <w:rsid w:val="000D425A"/>
    <w:rsid w:val="000D60CC"/>
    <w:rsid w:val="000E2084"/>
    <w:rsid w:val="000E6F55"/>
    <w:rsid w:val="000E7242"/>
    <w:rsid w:val="000F77FA"/>
    <w:rsid w:val="00107BF7"/>
    <w:rsid w:val="00126F53"/>
    <w:rsid w:val="00132473"/>
    <w:rsid w:val="0014766D"/>
    <w:rsid w:val="001536CC"/>
    <w:rsid w:val="001A3FBA"/>
    <w:rsid w:val="001A5518"/>
    <w:rsid w:val="001B1C6A"/>
    <w:rsid w:val="001C1263"/>
    <w:rsid w:val="001C1417"/>
    <w:rsid w:val="001E390B"/>
    <w:rsid w:val="001F42FB"/>
    <w:rsid w:val="001F719A"/>
    <w:rsid w:val="002031B3"/>
    <w:rsid w:val="00215931"/>
    <w:rsid w:val="00224C91"/>
    <w:rsid w:val="00227BDB"/>
    <w:rsid w:val="00234CB1"/>
    <w:rsid w:val="002352F8"/>
    <w:rsid w:val="002510A5"/>
    <w:rsid w:val="00254A0A"/>
    <w:rsid w:val="00266046"/>
    <w:rsid w:val="0027049B"/>
    <w:rsid w:val="002846DB"/>
    <w:rsid w:val="00284CCD"/>
    <w:rsid w:val="002C6637"/>
    <w:rsid w:val="002E0135"/>
    <w:rsid w:val="002E37A5"/>
    <w:rsid w:val="00310F03"/>
    <w:rsid w:val="003247D2"/>
    <w:rsid w:val="003445C1"/>
    <w:rsid w:val="00346B80"/>
    <w:rsid w:val="00355B61"/>
    <w:rsid w:val="003619C2"/>
    <w:rsid w:val="00362686"/>
    <w:rsid w:val="00371510"/>
    <w:rsid w:val="00396DFD"/>
    <w:rsid w:val="003A7059"/>
    <w:rsid w:val="003B7A36"/>
    <w:rsid w:val="003C17AB"/>
    <w:rsid w:val="003C7823"/>
    <w:rsid w:val="003E1DCC"/>
    <w:rsid w:val="003F11A1"/>
    <w:rsid w:val="003F4FAB"/>
    <w:rsid w:val="003F6A59"/>
    <w:rsid w:val="004065C8"/>
    <w:rsid w:val="004109FA"/>
    <w:rsid w:val="00411B4B"/>
    <w:rsid w:val="00415BEE"/>
    <w:rsid w:val="004254E9"/>
    <w:rsid w:val="00427F85"/>
    <w:rsid w:val="00436D43"/>
    <w:rsid w:val="00436F42"/>
    <w:rsid w:val="004378B4"/>
    <w:rsid w:val="00451314"/>
    <w:rsid w:val="00452E9D"/>
    <w:rsid w:val="004534C7"/>
    <w:rsid w:val="004671AA"/>
    <w:rsid w:val="00471DF8"/>
    <w:rsid w:val="00480FB1"/>
    <w:rsid w:val="00483928"/>
    <w:rsid w:val="0049173C"/>
    <w:rsid w:val="004C331F"/>
    <w:rsid w:val="004C45E5"/>
    <w:rsid w:val="004D6103"/>
    <w:rsid w:val="004E3BCE"/>
    <w:rsid w:val="004E70AD"/>
    <w:rsid w:val="004F0E97"/>
    <w:rsid w:val="004F17E2"/>
    <w:rsid w:val="00501DD1"/>
    <w:rsid w:val="0051126C"/>
    <w:rsid w:val="00515C21"/>
    <w:rsid w:val="00530BD7"/>
    <w:rsid w:val="00534EAA"/>
    <w:rsid w:val="00536422"/>
    <w:rsid w:val="00545CD2"/>
    <w:rsid w:val="005476F3"/>
    <w:rsid w:val="00572527"/>
    <w:rsid w:val="00573E40"/>
    <w:rsid w:val="00576348"/>
    <w:rsid w:val="005A0B2E"/>
    <w:rsid w:val="005A23D2"/>
    <w:rsid w:val="005A36CB"/>
    <w:rsid w:val="005B49B8"/>
    <w:rsid w:val="005C0741"/>
    <w:rsid w:val="005C5EF4"/>
    <w:rsid w:val="005E2E0B"/>
    <w:rsid w:val="005E67AD"/>
    <w:rsid w:val="005E7A7D"/>
    <w:rsid w:val="00602457"/>
    <w:rsid w:val="00602F4F"/>
    <w:rsid w:val="00644FC3"/>
    <w:rsid w:val="00646BD1"/>
    <w:rsid w:val="006561C2"/>
    <w:rsid w:val="00671CB3"/>
    <w:rsid w:val="00674BAF"/>
    <w:rsid w:val="00682200"/>
    <w:rsid w:val="00692BF6"/>
    <w:rsid w:val="006A1351"/>
    <w:rsid w:val="006A1497"/>
    <w:rsid w:val="006B0BD1"/>
    <w:rsid w:val="006B5404"/>
    <w:rsid w:val="006B6503"/>
    <w:rsid w:val="006D20A5"/>
    <w:rsid w:val="006D37BF"/>
    <w:rsid w:val="00702E22"/>
    <w:rsid w:val="007103C0"/>
    <w:rsid w:val="0072020E"/>
    <w:rsid w:val="00741F4F"/>
    <w:rsid w:val="00754902"/>
    <w:rsid w:val="00763EF4"/>
    <w:rsid w:val="00786071"/>
    <w:rsid w:val="00796FB4"/>
    <w:rsid w:val="007A3ECB"/>
    <w:rsid w:val="007D7BB3"/>
    <w:rsid w:val="007E31E9"/>
    <w:rsid w:val="007F05E3"/>
    <w:rsid w:val="007F661E"/>
    <w:rsid w:val="00814AE3"/>
    <w:rsid w:val="00824AB9"/>
    <w:rsid w:val="00836B35"/>
    <w:rsid w:val="00843BDE"/>
    <w:rsid w:val="0087588C"/>
    <w:rsid w:val="008947AF"/>
    <w:rsid w:val="0089705C"/>
    <w:rsid w:val="008A4BD2"/>
    <w:rsid w:val="008A6D43"/>
    <w:rsid w:val="008B491E"/>
    <w:rsid w:val="008C06FF"/>
    <w:rsid w:val="008C1A28"/>
    <w:rsid w:val="008C2E98"/>
    <w:rsid w:val="008E49BD"/>
    <w:rsid w:val="008E53E9"/>
    <w:rsid w:val="008E5771"/>
    <w:rsid w:val="008F4ACF"/>
    <w:rsid w:val="00924166"/>
    <w:rsid w:val="00940B9B"/>
    <w:rsid w:val="00947273"/>
    <w:rsid w:val="00950F03"/>
    <w:rsid w:val="00953573"/>
    <w:rsid w:val="0095676E"/>
    <w:rsid w:val="00956983"/>
    <w:rsid w:val="00963CF0"/>
    <w:rsid w:val="00964BB1"/>
    <w:rsid w:val="00972413"/>
    <w:rsid w:val="009775D9"/>
    <w:rsid w:val="00997175"/>
    <w:rsid w:val="009A1847"/>
    <w:rsid w:val="009B062A"/>
    <w:rsid w:val="009E7C6F"/>
    <w:rsid w:val="009F1793"/>
    <w:rsid w:val="009F2D23"/>
    <w:rsid w:val="00A01D69"/>
    <w:rsid w:val="00A02335"/>
    <w:rsid w:val="00A46C9A"/>
    <w:rsid w:val="00A619F3"/>
    <w:rsid w:val="00A62A73"/>
    <w:rsid w:val="00A87FF6"/>
    <w:rsid w:val="00AA0A3B"/>
    <w:rsid w:val="00AA2763"/>
    <w:rsid w:val="00AA33B6"/>
    <w:rsid w:val="00AB50CA"/>
    <w:rsid w:val="00AB6D64"/>
    <w:rsid w:val="00AC53CE"/>
    <w:rsid w:val="00AD2193"/>
    <w:rsid w:val="00AF19F4"/>
    <w:rsid w:val="00AF2AC7"/>
    <w:rsid w:val="00AF5014"/>
    <w:rsid w:val="00AF74CE"/>
    <w:rsid w:val="00B141A8"/>
    <w:rsid w:val="00B208DB"/>
    <w:rsid w:val="00B23F69"/>
    <w:rsid w:val="00B4007A"/>
    <w:rsid w:val="00B60619"/>
    <w:rsid w:val="00B66A70"/>
    <w:rsid w:val="00B67366"/>
    <w:rsid w:val="00B80EE1"/>
    <w:rsid w:val="00B84135"/>
    <w:rsid w:val="00BF6003"/>
    <w:rsid w:val="00C04D34"/>
    <w:rsid w:val="00C05DF8"/>
    <w:rsid w:val="00C06864"/>
    <w:rsid w:val="00C10F54"/>
    <w:rsid w:val="00C23D8D"/>
    <w:rsid w:val="00C37AA3"/>
    <w:rsid w:val="00C37FD7"/>
    <w:rsid w:val="00C43419"/>
    <w:rsid w:val="00C44CF3"/>
    <w:rsid w:val="00C53453"/>
    <w:rsid w:val="00C61BE0"/>
    <w:rsid w:val="00C6707E"/>
    <w:rsid w:val="00C70B0E"/>
    <w:rsid w:val="00C72D0F"/>
    <w:rsid w:val="00C773CA"/>
    <w:rsid w:val="00C83785"/>
    <w:rsid w:val="00C87AC5"/>
    <w:rsid w:val="00C87FA8"/>
    <w:rsid w:val="00C90852"/>
    <w:rsid w:val="00C94C0D"/>
    <w:rsid w:val="00CA1FEB"/>
    <w:rsid w:val="00CD4F85"/>
    <w:rsid w:val="00CD6F02"/>
    <w:rsid w:val="00CE246D"/>
    <w:rsid w:val="00CF07A0"/>
    <w:rsid w:val="00CF3E03"/>
    <w:rsid w:val="00D0082A"/>
    <w:rsid w:val="00D21455"/>
    <w:rsid w:val="00D47634"/>
    <w:rsid w:val="00D709B3"/>
    <w:rsid w:val="00D74CD2"/>
    <w:rsid w:val="00DA2ED6"/>
    <w:rsid w:val="00DB1D55"/>
    <w:rsid w:val="00DB76B8"/>
    <w:rsid w:val="00DC2EA1"/>
    <w:rsid w:val="00DC7E6B"/>
    <w:rsid w:val="00DD6AAF"/>
    <w:rsid w:val="00DE3F5C"/>
    <w:rsid w:val="00DF1D20"/>
    <w:rsid w:val="00E21324"/>
    <w:rsid w:val="00E246B9"/>
    <w:rsid w:val="00E31FEA"/>
    <w:rsid w:val="00E45169"/>
    <w:rsid w:val="00E47787"/>
    <w:rsid w:val="00E51C30"/>
    <w:rsid w:val="00E64180"/>
    <w:rsid w:val="00E7235D"/>
    <w:rsid w:val="00E74AEE"/>
    <w:rsid w:val="00E868E5"/>
    <w:rsid w:val="00E91805"/>
    <w:rsid w:val="00E9237A"/>
    <w:rsid w:val="00E939FA"/>
    <w:rsid w:val="00EA138F"/>
    <w:rsid w:val="00EA5765"/>
    <w:rsid w:val="00EC2532"/>
    <w:rsid w:val="00ED752B"/>
    <w:rsid w:val="00ED7812"/>
    <w:rsid w:val="00EF3B86"/>
    <w:rsid w:val="00F317E9"/>
    <w:rsid w:val="00F34554"/>
    <w:rsid w:val="00F35B68"/>
    <w:rsid w:val="00F45F77"/>
    <w:rsid w:val="00F5167F"/>
    <w:rsid w:val="00F52258"/>
    <w:rsid w:val="00F8570A"/>
    <w:rsid w:val="00F91C7B"/>
    <w:rsid w:val="00F922B9"/>
    <w:rsid w:val="00FA4019"/>
    <w:rsid w:val="00FC2EEC"/>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855742"/>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link w:val="Header"/>
    <w:rsid w:val="00044909"/>
    <w:rPr>
      <w:sz w:val="24"/>
      <w:szCs w:val="24"/>
      <w:lang w:val="en-US" w:eastAsia="en-US"/>
    </w:rPr>
  </w:style>
  <w:style w:type="character" w:customStyle="1" w:styleId="longtext1">
    <w:name w:val="long_text1"/>
    <w:rsid w:val="00C72D0F"/>
    <w:rPr>
      <w:sz w:val="20"/>
      <w:szCs w:val="20"/>
    </w:rPr>
  </w:style>
  <w:style w:type="paragraph" w:styleId="Revision">
    <w:name w:val="Revision"/>
    <w:hidden/>
    <w:uiPriority w:val="99"/>
    <w:semiHidden/>
    <w:rsid w:val="00EA138F"/>
    <w:rPr>
      <w:sz w:val="24"/>
      <w:szCs w:val="24"/>
      <w:lang w:val="en-US" w:eastAsia="en-US"/>
    </w:rPr>
  </w:style>
  <w:style w:type="paragraph" w:styleId="ListParagraph">
    <w:name w:val="List Paragraph"/>
    <w:basedOn w:val="Normal"/>
    <w:uiPriority w:val="34"/>
    <w:qFormat/>
    <w:rsid w:val="00EA13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BEE49-99EF-44DE-B6A7-8A06D39C2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6548</Words>
  <Characters>37330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43791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Nikezić</cp:lastModifiedBy>
  <cp:revision>8</cp:revision>
  <cp:lastPrinted>2023-02-09T08:16:00Z</cp:lastPrinted>
  <dcterms:created xsi:type="dcterms:W3CDTF">2025-04-09T09:38:00Z</dcterms:created>
  <dcterms:modified xsi:type="dcterms:W3CDTF">2025-06-23T12:23:00Z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HeaderShapeIds">
    <vt:lpwstr>12683add,1fc2c44c,7083bd6f</vt:lpwstr>
  </property>
  <property fmtid="{D5CDD505-2E9C-101B-9397-08002B2CF9AE}" pid="4" name="ClassificationContentMarkingHeaderFontProps">
    <vt:lpwstr>#000000,10,Calibri</vt:lpwstr>
  </property>
  <property fmtid="{D5CDD505-2E9C-101B-9397-08002B2CF9AE}" pid="5" name="ClassificationContentMarkingHeaderText">
    <vt:lpwstr>C2-Internal</vt:lpwstr>
  </property>
  <property fmtid="{D5CDD505-2E9C-101B-9397-08002B2CF9AE}" pid="6" name="MSIP_Label_e67a70be-9428-4198-8dbd-5dd218ff11f4_Enabled">
    <vt:lpwstr>true</vt:lpwstr>
  </property>
  <property fmtid="{D5CDD505-2E9C-101B-9397-08002B2CF9AE}" pid="7" name="MSIP_Label_e67a70be-9428-4198-8dbd-5dd218ff11f4_SetDate">
    <vt:lpwstr>2025-03-17T12:23:56Z</vt:lpwstr>
  </property>
  <property fmtid="{D5CDD505-2E9C-101B-9397-08002B2CF9AE}" pid="8" name="MSIP_Label_e67a70be-9428-4198-8dbd-5dd218ff11f4_Method">
    <vt:lpwstr>Standard</vt:lpwstr>
  </property>
  <property fmtid="{D5CDD505-2E9C-101B-9397-08002B2CF9AE}" pid="9" name="MSIP_Label_e67a70be-9428-4198-8dbd-5dd218ff11f4_Name">
    <vt:lpwstr>L002S001</vt:lpwstr>
  </property>
  <property fmtid="{D5CDD505-2E9C-101B-9397-08002B2CF9AE}" pid="10" name="MSIP_Label_e67a70be-9428-4198-8dbd-5dd218ff11f4_SiteId">
    <vt:lpwstr>2c0d789f-2311-4d29-83c5-395a89052a25</vt:lpwstr>
  </property>
  <property fmtid="{D5CDD505-2E9C-101B-9397-08002B2CF9AE}" pid="11" name="MSIP_Label_e67a70be-9428-4198-8dbd-5dd218ff11f4_ActionId">
    <vt:lpwstr>84399491-cf87-4f8c-9cb8-08a7981b3aaa</vt:lpwstr>
  </property>
  <property fmtid="{D5CDD505-2E9C-101B-9397-08002B2CF9AE}" pid="12" name="MSIP_Label_e67a70be-9428-4198-8dbd-5dd218ff11f4_ContentBits">
    <vt:lpwstr>1</vt:lpwstr>
  </property>
  <property fmtid="{D5CDD505-2E9C-101B-9397-08002B2CF9AE}" pid="13" name="MSIP_Label_e67a70be-9428-4198-8dbd-5dd218ff11f4_Tag">
    <vt:lpwstr>10, 3, 0, 1</vt:lpwstr>
  </property>
</Properties>
</file>