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84F3" w14:textId="77777777" w:rsidR="00F91C7B" w:rsidRPr="0023595B" w:rsidRDefault="00F91C7B" w:rsidP="001A5518">
      <w:pPr>
        <w:rPr>
          <w:b/>
          <w:bCs/>
          <w:i/>
          <w:iCs/>
          <w:sz w:val="22"/>
          <w:szCs w:val="22"/>
          <w:u w:val="single"/>
          <w:lang w:val="sr-Latn-ME"/>
        </w:rPr>
      </w:pPr>
      <w:bookmarkStart w:id="0" w:name="_GoBack"/>
      <w:bookmarkEnd w:id="0"/>
    </w:p>
    <w:p w14:paraId="593F4D9F" w14:textId="77777777" w:rsidR="002510A5" w:rsidRPr="0023595B" w:rsidRDefault="002510A5" w:rsidP="002510A5">
      <w:pPr>
        <w:jc w:val="center"/>
        <w:rPr>
          <w:b/>
          <w:bCs/>
          <w:iCs/>
          <w:sz w:val="22"/>
          <w:szCs w:val="22"/>
          <w:u w:val="single"/>
          <w:lang w:val="sr-Latn-ME"/>
        </w:rPr>
      </w:pPr>
      <w:r w:rsidRPr="0023595B">
        <w:rPr>
          <w:b/>
          <w:bCs/>
          <w:iCs/>
          <w:sz w:val="22"/>
          <w:szCs w:val="22"/>
          <w:u w:val="single"/>
          <w:lang w:val="sr-Latn-ME"/>
        </w:rPr>
        <w:t>SAŽETAK KARAKTERISTIKA LIJEKA</w:t>
      </w:r>
    </w:p>
    <w:p w14:paraId="6C91A374" w14:textId="77777777" w:rsidR="002510A5" w:rsidRPr="0023595B" w:rsidRDefault="002510A5" w:rsidP="002510A5">
      <w:pPr>
        <w:rPr>
          <w:b/>
          <w:bCs/>
          <w:i/>
          <w:iCs/>
          <w:sz w:val="22"/>
          <w:szCs w:val="22"/>
          <w:u w:val="single"/>
          <w:lang w:val="sr-Latn-ME"/>
        </w:rPr>
      </w:pPr>
    </w:p>
    <w:p w14:paraId="2A38790D" w14:textId="77777777" w:rsidR="003C17AB" w:rsidRPr="0023595B" w:rsidRDefault="003C17AB" w:rsidP="00CA1FEB">
      <w:pPr>
        <w:rPr>
          <w:sz w:val="22"/>
          <w:szCs w:val="22"/>
          <w:lang w:val="sr-Latn-ME"/>
        </w:rPr>
      </w:pPr>
    </w:p>
    <w:p w14:paraId="5388AE61" w14:textId="77777777" w:rsidR="00411B4B" w:rsidRPr="0023595B" w:rsidRDefault="00411B4B" w:rsidP="00F5167F">
      <w:pPr>
        <w:tabs>
          <w:tab w:val="left" w:pos="540"/>
          <w:tab w:val="left" w:pos="569"/>
        </w:tabs>
        <w:rPr>
          <w:b/>
          <w:bCs/>
          <w:sz w:val="22"/>
          <w:szCs w:val="22"/>
          <w:lang w:val="sr-Latn-ME"/>
        </w:rPr>
      </w:pPr>
      <w:r w:rsidRPr="0023595B">
        <w:rPr>
          <w:b/>
          <w:bCs/>
          <w:sz w:val="22"/>
          <w:szCs w:val="22"/>
          <w:lang w:val="sr-Latn-ME"/>
        </w:rPr>
        <w:t>1.</w:t>
      </w:r>
      <w:r w:rsidR="00F5167F" w:rsidRPr="0023595B">
        <w:rPr>
          <w:b/>
          <w:bCs/>
          <w:sz w:val="22"/>
          <w:szCs w:val="22"/>
          <w:lang w:val="sr-Latn-ME"/>
        </w:rPr>
        <w:tab/>
      </w:r>
      <w:r w:rsidR="002846DB" w:rsidRPr="0023595B">
        <w:rPr>
          <w:b/>
          <w:bCs/>
          <w:sz w:val="22"/>
          <w:szCs w:val="22"/>
          <w:lang w:val="sr-Latn-ME"/>
        </w:rPr>
        <w:t xml:space="preserve">NAZIV </w:t>
      </w:r>
      <w:r w:rsidRPr="0023595B">
        <w:rPr>
          <w:b/>
          <w:bCs/>
          <w:sz w:val="22"/>
          <w:szCs w:val="22"/>
          <w:lang w:val="sr-Latn-ME"/>
        </w:rPr>
        <w:t>LIJEKA</w:t>
      </w:r>
    </w:p>
    <w:p w14:paraId="3D96A418" w14:textId="77777777" w:rsidR="00EC2532" w:rsidRPr="0023595B" w:rsidRDefault="00EC2532">
      <w:pPr>
        <w:rPr>
          <w:sz w:val="22"/>
          <w:szCs w:val="22"/>
          <w:lang w:val="sr-Latn-ME"/>
        </w:rPr>
      </w:pPr>
    </w:p>
    <w:p w14:paraId="5721F2ED" w14:textId="2A1A4F24" w:rsidR="00106B79" w:rsidRPr="0023595B" w:rsidRDefault="00106B79" w:rsidP="00106B79">
      <w:pPr>
        <w:rPr>
          <w:sz w:val="22"/>
          <w:szCs w:val="22"/>
          <w:lang w:val="sr-Latn-ME"/>
        </w:rPr>
      </w:pPr>
      <w:r w:rsidRPr="0023595B">
        <w:rPr>
          <w:bCs/>
          <w:sz w:val="22"/>
          <w:szCs w:val="22"/>
          <w:lang w:val="sr-Latn-ME"/>
        </w:rPr>
        <w:t>Eylea, 40 mg/</w:t>
      </w:r>
      <w:r w:rsidR="005D3145" w:rsidRPr="0023595B">
        <w:rPr>
          <w:bCs/>
          <w:sz w:val="22"/>
          <w:szCs w:val="22"/>
          <w:lang w:val="sr-Latn-ME"/>
        </w:rPr>
        <w:t>m</w:t>
      </w:r>
      <w:r w:rsidR="00D97E4A" w:rsidRPr="0023595B">
        <w:rPr>
          <w:bCs/>
          <w:sz w:val="22"/>
          <w:szCs w:val="22"/>
          <w:lang w:val="sr-Latn-ME"/>
        </w:rPr>
        <w:t>l</w:t>
      </w:r>
      <w:r w:rsidRPr="0023595B">
        <w:rPr>
          <w:bCs/>
          <w:sz w:val="22"/>
          <w:szCs w:val="22"/>
          <w:lang w:val="sr-Latn-ME"/>
        </w:rPr>
        <w:t>, rastvor za injekciju</w:t>
      </w:r>
      <w:r w:rsidRPr="0023595B">
        <w:rPr>
          <w:sz w:val="22"/>
          <w:szCs w:val="22"/>
          <w:lang w:val="sr-Latn-ME"/>
        </w:rPr>
        <w:t xml:space="preserve"> </w:t>
      </w:r>
    </w:p>
    <w:p w14:paraId="4C714F81" w14:textId="77777777" w:rsidR="00106B79" w:rsidRPr="0023595B" w:rsidRDefault="00106B79" w:rsidP="00106B79">
      <w:pPr>
        <w:rPr>
          <w:sz w:val="22"/>
          <w:szCs w:val="22"/>
          <w:lang w:val="sr-Latn-ME"/>
        </w:rPr>
      </w:pPr>
    </w:p>
    <w:p w14:paraId="3203E6CC" w14:textId="77777777" w:rsidR="00106B79" w:rsidRPr="0023595B" w:rsidRDefault="00106B79" w:rsidP="00106B79">
      <w:pPr>
        <w:rPr>
          <w:sz w:val="22"/>
          <w:szCs w:val="22"/>
          <w:lang w:val="sr-Latn-ME"/>
        </w:rPr>
      </w:pPr>
      <w:r w:rsidRPr="0023595B">
        <w:rPr>
          <w:sz w:val="22"/>
          <w:szCs w:val="22"/>
          <w:lang w:val="sr-Latn-ME"/>
        </w:rPr>
        <w:t>INN: aflibercept</w:t>
      </w:r>
    </w:p>
    <w:p w14:paraId="5AB9FF44" w14:textId="77777777" w:rsidR="006D20A5" w:rsidRPr="0023595B" w:rsidRDefault="006D20A5">
      <w:pPr>
        <w:rPr>
          <w:bCs/>
          <w:sz w:val="22"/>
          <w:szCs w:val="22"/>
          <w:lang w:val="sr-Latn-ME"/>
        </w:rPr>
      </w:pPr>
    </w:p>
    <w:p w14:paraId="2C82C7C5" w14:textId="77777777" w:rsidR="00530BD7" w:rsidRPr="0023595B" w:rsidRDefault="00530BD7">
      <w:pPr>
        <w:rPr>
          <w:bCs/>
          <w:sz w:val="22"/>
          <w:szCs w:val="22"/>
          <w:lang w:val="sr-Latn-ME"/>
        </w:rPr>
      </w:pPr>
    </w:p>
    <w:p w14:paraId="303691E8" w14:textId="77777777" w:rsidR="00411B4B" w:rsidRPr="0023595B" w:rsidRDefault="00411B4B" w:rsidP="00F5167F">
      <w:pPr>
        <w:tabs>
          <w:tab w:val="left" w:pos="540"/>
          <w:tab w:val="left" w:pos="569"/>
        </w:tabs>
        <w:rPr>
          <w:b/>
          <w:bCs/>
          <w:sz w:val="22"/>
          <w:szCs w:val="22"/>
          <w:lang w:val="sr-Latn-ME"/>
        </w:rPr>
      </w:pPr>
      <w:r w:rsidRPr="0023595B">
        <w:rPr>
          <w:b/>
          <w:bCs/>
          <w:sz w:val="22"/>
          <w:szCs w:val="22"/>
          <w:lang w:val="sr-Latn-ME"/>
        </w:rPr>
        <w:t xml:space="preserve">2. </w:t>
      </w:r>
      <w:r w:rsidR="00F5167F" w:rsidRPr="0023595B">
        <w:rPr>
          <w:b/>
          <w:bCs/>
          <w:sz w:val="22"/>
          <w:szCs w:val="22"/>
          <w:lang w:val="sr-Latn-ME"/>
        </w:rPr>
        <w:tab/>
      </w:r>
      <w:r w:rsidRPr="0023595B">
        <w:rPr>
          <w:b/>
          <w:bCs/>
          <w:sz w:val="22"/>
          <w:szCs w:val="22"/>
          <w:lang w:val="sr-Latn-ME"/>
        </w:rPr>
        <w:t>KVALITATIVNI I KVANTITATIVNI SASTAV</w:t>
      </w:r>
    </w:p>
    <w:p w14:paraId="388833BE" w14:textId="77777777" w:rsidR="005A0B2E" w:rsidRPr="0023595B" w:rsidRDefault="005A0B2E" w:rsidP="00106B79">
      <w:pPr>
        <w:jc w:val="both"/>
        <w:rPr>
          <w:sz w:val="22"/>
          <w:szCs w:val="22"/>
          <w:lang w:val="sr-Latn-ME"/>
        </w:rPr>
      </w:pPr>
    </w:p>
    <w:p w14:paraId="5C35DE48" w14:textId="29EF6801" w:rsidR="00106B79" w:rsidRPr="0023595B" w:rsidRDefault="00106B79" w:rsidP="00106B79">
      <w:pPr>
        <w:jc w:val="both"/>
        <w:rPr>
          <w:sz w:val="22"/>
          <w:szCs w:val="22"/>
          <w:lang w:val="sr-Latn-ME"/>
        </w:rPr>
      </w:pPr>
      <w:r w:rsidRPr="0023595B">
        <w:rPr>
          <w:sz w:val="22"/>
          <w:szCs w:val="22"/>
          <w:lang w:val="sr-Latn-ME"/>
        </w:rPr>
        <w:t xml:space="preserve">1 </w:t>
      </w:r>
      <w:r w:rsidR="005D3145" w:rsidRPr="0023595B">
        <w:rPr>
          <w:sz w:val="22"/>
          <w:szCs w:val="22"/>
          <w:lang w:val="sr-Latn-ME"/>
        </w:rPr>
        <w:t>m</w:t>
      </w:r>
      <w:r w:rsidR="00D97E4A" w:rsidRPr="0023595B">
        <w:rPr>
          <w:sz w:val="22"/>
          <w:szCs w:val="22"/>
          <w:lang w:val="sr-Latn-ME"/>
        </w:rPr>
        <w:t>l</w:t>
      </w:r>
      <w:r w:rsidR="005D3145" w:rsidRPr="0023595B">
        <w:rPr>
          <w:sz w:val="22"/>
          <w:szCs w:val="22"/>
          <w:lang w:val="sr-Latn-ME"/>
        </w:rPr>
        <w:t xml:space="preserve"> </w:t>
      </w:r>
      <w:r w:rsidRPr="0023595B">
        <w:rPr>
          <w:sz w:val="22"/>
          <w:szCs w:val="22"/>
          <w:lang w:val="sr-Latn-ME"/>
        </w:rPr>
        <w:t>rastvora za injekciju sadrži 40 mg aflibercepta*.</w:t>
      </w:r>
    </w:p>
    <w:p w14:paraId="199D5D54" w14:textId="77777777" w:rsidR="00106B79" w:rsidRPr="0023595B" w:rsidRDefault="00106B79" w:rsidP="00106B79">
      <w:pPr>
        <w:jc w:val="both"/>
        <w:rPr>
          <w:sz w:val="22"/>
          <w:szCs w:val="22"/>
          <w:lang w:val="sr-Latn-ME"/>
        </w:rPr>
      </w:pPr>
    </w:p>
    <w:p w14:paraId="652CA0E1" w14:textId="32128A52"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Jedna bočica sadrži </w:t>
      </w:r>
      <w:r w:rsidR="00093ACA" w:rsidRPr="0023595B">
        <w:rPr>
          <w:sz w:val="22"/>
          <w:szCs w:val="22"/>
          <w:lang w:val="sr-Latn-ME"/>
        </w:rPr>
        <w:t>iskoristivu zapreminu od najmanje 0,1 m</w:t>
      </w:r>
      <w:r w:rsidR="00D97E4A" w:rsidRPr="0023595B">
        <w:rPr>
          <w:sz w:val="22"/>
          <w:szCs w:val="22"/>
          <w:lang w:val="sr-Latn-ME"/>
        </w:rPr>
        <w:t>l</w:t>
      </w:r>
      <w:r w:rsidRPr="0023595B">
        <w:rPr>
          <w:sz w:val="22"/>
          <w:szCs w:val="22"/>
          <w:lang w:val="sr-Latn-ME"/>
        </w:rPr>
        <w:t xml:space="preserve">, što odgovara </w:t>
      </w:r>
      <w:r w:rsidR="00093ACA" w:rsidRPr="0023595B">
        <w:rPr>
          <w:sz w:val="22"/>
          <w:szCs w:val="22"/>
          <w:lang w:val="sr-Latn-ME"/>
        </w:rPr>
        <w:t xml:space="preserve">najmanje </w:t>
      </w:r>
      <w:r w:rsidRPr="0023595B">
        <w:rPr>
          <w:sz w:val="22"/>
          <w:szCs w:val="22"/>
          <w:lang w:val="sr-Latn-ME"/>
        </w:rPr>
        <w:t xml:space="preserve">4 mg aflibercepta. Ovo obezbjeđuje upotrebljivu količinu za primjenu pojedinačne doze od </w:t>
      </w:r>
      <w:r w:rsidR="00093ACA" w:rsidRPr="0023595B">
        <w:rPr>
          <w:sz w:val="22"/>
          <w:szCs w:val="22"/>
          <w:lang w:val="sr-Latn-ME"/>
        </w:rPr>
        <w:t>0,05 m</w:t>
      </w:r>
      <w:r w:rsidR="00D97E4A" w:rsidRPr="0023595B">
        <w:rPr>
          <w:sz w:val="22"/>
          <w:szCs w:val="22"/>
          <w:lang w:val="sr-Latn-ME"/>
        </w:rPr>
        <w:t>l</w:t>
      </w:r>
      <w:r w:rsidRPr="0023595B">
        <w:rPr>
          <w:sz w:val="22"/>
          <w:szCs w:val="22"/>
          <w:lang w:val="sr-Latn-ME"/>
        </w:rPr>
        <w:t>, koja sadrži 2 mg aflibercepta.</w:t>
      </w:r>
    </w:p>
    <w:p w14:paraId="7C24B9E4" w14:textId="77777777" w:rsidR="00106B79" w:rsidRPr="0023595B" w:rsidRDefault="00106B79" w:rsidP="00106B79">
      <w:pPr>
        <w:jc w:val="both"/>
        <w:rPr>
          <w:sz w:val="22"/>
          <w:szCs w:val="22"/>
          <w:lang w:val="sr-Latn-ME"/>
        </w:rPr>
      </w:pPr>
    </w:p>
    <w:p w14:paraId="27FC5E16"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*Fuzioni protein, koji se sastoji od djelova ekstracelularnih domena 1 i 2 humanog VEGF (faktor rasta vaskularnog endotela) receptora, koji su spojeni na Fc segment humanog IgG1, a proizvodi se u K1 ćelijama ovarijuma kineskog hrčka (CHO - </w:t>
      </w:r>
      <w:r w:rsidRPr="0023595B">
        <w:rPr>
          <w:i/>
          <w:sz w:val="22"/>
          <w:szCs w:val="22"/>
          <w:lang w:val="sr-Latn-ME"/>
        </w:rPr>
        <w:t>Chinese hamster ovary</w:t>
      </w:r>
      <w:r w:rsidRPr="0023595B">
        <w:rPr>
          <w:sz w:val="22"/>
          <w:szCs w:val="22"/>
          <w:lang w:val="sr-Latn-ME"/>
        </w:rPr>
        <w:t>) tehnologijom rekombinantne DNK.</w:t>
      </w:r>
    </w:p>
    <w:p w14:paraId="17B22805" w14:textId="77777777" w:rsidR="00106B79" w:rsidRDefault="00106B79">
      <w:pPr>
        <w:rPr>
          <w:sz w:val="22"/>
          <w:szCs w:val="22"/>
          <w:lang w:val="sr-Latn-ME"/>
        </w:rPr>
      </w:pPr>
    </w:p>
    <w:p w14:paraId="58B7D8D7" w14:textId="3970C82C" w:rsidR="0094312F" w:rsidRPr="003801CF" w:rsidRDefault="002F0722">
      <w:pPr>
        <w:rPr>
          <w:sz w:val="22"/>
          <w:szCs w:val="22"/>
          <w:u w:val="single"/>
          <w:lang w:val="sr-Latn-RS"/>
        </w:rPr>
      </w:pPr>
      <w:r w:rsidRPr="003801CF">
        <w:rPr>
          <w:sz w:val="22"/>
          <w:szCs w:val="22"/>
          <w:u w:val="single"/>
          <w:lang w:val="sr-Latn-ME"/>
        </w:rPr>
        <w:t>Ek</w:t>
      </w:r>
      <w:r w:rsidRPr="003801CF">
        <w:rPr>
          <w:sz w:val="22"/>
          <w:szCs w:val="22"/>
          <w:u w:val="single"/>
          <w:lang w:val="sr-Latn-RS"/>
        </w:rPr>
        <w:t>scipijens sa potvrđenim dejstvom</w:t>
      </w:r>
    </w:p>
    <w:p w14:paraId="7B030FD8" w14:textId="77777777" w:rsidR="002F0722" w:rsidRDefault="002F0722">
      <w:pPr>
        <w:rPr>
          <w:sz w:val="22"/>
          <w:szCs w:val="22"/>
          <w:lang w:val="sr-Latn-RS"/>
        </w:rPr>
      </w:pPr>
    </w:p>
    <w:p w14:paraId="07A0718C" w14:textId="59E01268" w:rsidR="002F0722" w:rsidRPr="003801CF" w:rsidRDefault="002F0722">
      <w:pPr>
        <w:rPr>
          <w:sz w:val="22"/>
          <w:szCs w:val="22"/>
          <w:lang w:val="sr-Latn-RS"/>
        </w:rPr>
      </w:pPr>
      <w:r>
        <w:rPr>
          <w:sz w:val="22"/>
          <w:szCs w:val="22"/>
          <w:lang w:val="sr-Latn-RS"/>
        </w:rPr>
        <w:t xml:space="preserve">Jedan ml rastvora za </w:t>
      </w:r>
      <w:r w:rsidR="004059B5">
        <w:rPr>
          <w:sz w:val="22"/>
          <w:szCs w:val="22"/>
          <w:lang w:val="sr-Latn-RS"/>
        </w:rPr>
        <w:t>injekciju sadrži 0,3 mg polisorbata 20 (E 432).</w:t>
      </w:r>
    </w:p>
    <w:p w14:paraId="650B6961" w14:textId="3ECAD5C8" w:rsidR="002F0722" w:rsidRPr="0023595B" w:rsidRDefault="002F0722">
      <w:pPr>
        <w:rPr>
          <w:sz w:val="22"/>
          <w:szCs w:val="22"/>
          <w:lang w:val="sr-Latn-ME"/>
        </w:rPr>
      </w:pPr>
    </w:p>
    <w:p w14:paraId="28B5F9DF" w14:textId="77777777" w:rsidR="0003793F" w:rsidRPr="0023595B" w:rsidRDefault="0003793F">
      <w:pPr>
        <w:rPr>
          <w:sz w:val="22"/>
          <w:szCs w:val="22"/>
          <w:lang w:val="sr-Latn-ME"/>
        </w:rPr>
      </w:pPr>
      <w:r w:rsidRPr="0023595B">
        <w:rPr>
          <w:sz w:val="22"/>
          <w:szCs w:val="22"/>
          <w:lang w:val="sr-Latn-ME"/>
        </w:rPr>
        <w:t>Za spisak svih ekscipijenasa, pogledati dio 6.1.</w:t>
      </w:r>
    </w:p>
    <w:p w14:paraId="683FA05F" w14:textId="77777777" w:rsidR="0003793F" w:rsidRPr="0023595B" w:rsidRDefault="0003793F">
      <w:pPr>
        <w:rPr>
          <w:sz w:val="22"/>
          <w:szCs w:val="22"/>
          <w:lang w:val="sr-Latn-ME"/>
        </w:rPr>
      </w:pPr>
    </w:p>
    <w:p w14:paraId="6BF85DD6" w14:textId="77777777" w:rsidR="00C37FD7" w:rsidRPr="0023595B" w:rsidRDefault="00C37FD7">
      <w:pPr>
        <w:rPr>
          <w:sz w:val="22"/>
          <w:szCs w:val="22"/>
          <w:lang w:val="sr-Latn-ME"/>
        </w:rPr>
      </w:pPr>
    </w:p>
    <w:p w14:paraId="3234C837" w14:textId="77777777" w:rsidR="00411B4B" w:rsidRPr="0023595B" w:rsidRDefault="00411B4B" w:rsidP="00F5167F">
      <w:pPr>
        <w:tabs>
          <w:tab w:val="left" w:pos="540"/>
          <w:tab w:val="left" w:pos="569"/>
        </w:tabs>
        <w:rPr>
          <w:b/>
          <w:bCs/>
          <w:sz w:val="22"/>
          <w:szCs w:val="22"/>
          <w:lang w:val="sr-Latn-ME"/>
        </w:rPr>
      </w:pPr>
      <w:r w:rsidRPr="0023595B">
        <w:rPr>
          <w:b/>
          <w:bCs/>
          <w:sz w:val="22"/>
          <w:szCs w:val="22"/>
          <w:lang w:val="sr-Latn-ME"/>
        </w:rPr>
        <w:t xml:space="preserve">3. </w:t>
      </w:r>
      <w:r w:rsidR="00F5167F" w:rsidRPr="0023595B">
        <w:rPr>
          <w:b/>
          <w:bCs/>
          <w:sz w:val="22"/>
          <w:szCs w:val="22"/>
          <w:lang w:val="sr-Latn-ME"/>
        </w:rPr>
        <w:tab/>
      </w:r>
      <w:r w:rsidRPr="0023595B">
        <w:rPr>
          <w:b/>
          <w:bCs/>
          <w:sz w:val="22"/>
          <w:szCs w:val="22"/>
          <w:lang w:val="sr-Latn-ME"/>
        </w:rPr>
        <w:t>FARMACEUTSKI OBLIK</w:t>
      </w:r>
      <w:r w:rsidR="009F2D23" w:rsidRPr="0023595B">
        <w:rPr>
          <w:b/>
          <w:bCs/>
          <w:sz w:val="22"/>
          <w:szCs w:val="22"/>
          <w:lang w:val="sr-Latn-ME"/>
        </w:rPr>
        <w:t xml:space="preserve"> </w:t>
      </w:r>
    </w:p>
    <w:p w14:paraId="2DF1A7FE" w14:textId="77777777" w:rsidR="00411B4B" w:rsidRPr="0023595B" w:rsidRDefault="00411B4B">
      <w:pPr>
        <w:rPr>
          <w:bCs/>
          <w:sz w:val="22"/>
          <w:szCs w:val="22"/>
          <w:lang w:val="sr-Latn-ME"/>
        </w:rPr>
      </w:pPr>
    </w:p>
    <w:p w14:paraId="2AC69617" w14:textId="77777777" w:rsidR="00106B79" w:rsidRPr="0023595B" w:rsidRDefault="00106B79" w:rsidP="00106B79">
      <w:pPr>
        <w:rPr>
          <w:bCs/>
          <w:sz w:val="22"/>
          <w:szCs w:val="22"/>
          <w:lang w:val="sr-Latn-ME"/>
        </w:rPr>
      </w:pPr>
      <w:r w:rsidRPr="0023595B">
        <w:rPr>
          <w:bCs/>
          <w:sz w:val="22"/>
          <w:szCs w:val="22"/>
          <w:lang w:val="sr-Latn-ME"/>
        </w:rPr>
        <w:t>Rastvor za injekciju.</w:t>
      </w:r>
    </w:p>
    <w:p w14:paraId="1F78A987" w14:textId="77777777" w:rsidR="00106B79" w:rsidRPr="0023595B" w:rsidRDefault="00106B79" w:rsidP="00106B79">
      <w:pPr>
        <w:rPr>
          <w:bCs/>
          <w:sz w:val="22"/>
          <w:szCs w:val="22"/>
          <w:lang w:val="sr-Latn-ME"/>
        </w:rPr>
      </w:pPr>
    </w:p>
    <w:p w14:paraId="730C6A38" w14:textId="0C513D3D" w:rsidR="00106B79" w:rsidRPr="0023595B" w:rsidRDefault="00D97E4A" w:rsidP="00106B79">
      <w:pPr>
        <w:rPr>
          <w:bCs/>
          <w:sz w:val="22"/>
          <w:szCs w:val="22"/>
          <w:lang w:val="sr-Latn-ME"/>
        </w:rPr>
      </w:pPr>
      <w:r w:rsidRPr="0023595B">
        <w:rPr>
          <w:bCs/>
          <w:sz w:val="22"/>
          <w:szCs w:val="22"/>
          <w:lang w:val="sr-Latn-ME"/>
        </w:rPr>
        <w:t>B</w:t>
      </w:r>
      <w:r w:rsidR="00106B79" w:rsidRPr="0023595B">
        <w:rPr>
          <w:bCs/>
          <w:sz w:val="22"/>
          <w:szCs w:val="22"/>
          <w:lang w:val="sr-Latn-ME"/>
        </w:rPr>
        <w:t>istar, bezbojan do blijedožut, izoosmotski rastvor.</w:t>
      </w:r>
    </w:p>
    <w:p w14:paraId="3E53DFCE" w14:textId="77777777" w:rsidR="00EC2532" w:rsidRPr="0023595B" w:rsidRDefault="00EC2532">
      <w:pPr>
        <w:rPr>
          <w:bCs/>
          <w:sz w:val="22"/>
          <w:szCs w:val="22"/>
          <w:lang w:val="sr-Latn-ME"/>
        </w:rPr>
      </w:pPr>
    </w:p>
    <w:p w14:paraId="32BDA63F" w14:textId="77777777" w:rsidR="00106B79" w:rsidRPr="0023595B" w:rsidRDefault="00106B79">
      <w:pPr>
        <w:rPr>
          <w:bCs/>
          <w:sz w:val="22"/>
          <w:szCs w:val="22"/>
          <w:lang w:val="sr-Latn-ME"/>
        </w:rPr>
      </w:pPr>
    </w:p>
    <w:p w14:paraId="309F9282" w14:textId="77777777" w:rsidR="00411B4B" w:rsidRPr="0023595B" w:rsidRDefault="00411B4B" w:rsidP="00F5167F">
      <w:pPr>
        <w:tabs>
          <w:tab w:val="left" w:pos="540"/>
          <w:tab w:val="left" w:pos="569"/>
        </w:tabs>
        <w:rPr>
          <w:b/>
          <w:bCs/>
          <w:sz w:val="22"/>
          <w:szCs w:val="22"/>
          <w:lang w:val="sr-Latn-ME"/>
        </w:rPr>
      </w:pPr>
      <w:r w:rsidRPr="0023595B">
        <w:rPr>
          <w:b/>
          <w:bCs/>
          <w:sz w:val="22"/>
          <w:szCs w:val="22"/>
          <w:lang w:val="sr-Latn-ME"/>
        </w:rPr>
        <w:t xml:space="preserve">4. </w:t>
      </w:r>
      <w:r w:rsidR="00480FB1" w:rsidRPr="0023595B">
        <w:rPr>
          <w:b/>
          <w:bCs/>
          <w:sz w:val="22"/>
          <w:szCs w:val="22"/>
          <w:lang w:val="sr-Latn-ME"/>
        </w:rPr>
        <w:tab/>
      </w:r>
      <w:r w:rsidRPr="0023595B">
        <w:rPr>
          <w:b/>
          <w:bCs/>
          <w:sz w:val="22"/>
          <w:szCs w:val="22"/>
          <w:lang w:val="sr-Latn-ME"/>
        </w:rPr>
        <w:t>KLINIČKI PODACI</w:t>
      </w:r>
    </w:p>
    <w:p w14:paraId="74C453F9" w14:textId="77777777" w:rsidR="00CD6F02" w:rsidRPr="0023595B" w:rsidRDefault="00CD6F02" w:rsidP="00480FB1">
      <w:pPr>
        <w:tabs>
          <w:tab w:val="left" w:pos="540"/>
          <w:tab w:val="left" w:pos="569"/>
        </w:tabs>
        <w:rPr>
          <w:bCs/>
          <w:sz w:val="22"/>
          <w:szCs w:val="22"/>
          <w:lang w:val="sr-Latn-ME"/>
        </w:rPr>
      </w:pPr>
    </w:p>
    <w:p w14:paraId="2AD673FD" w14:textId="77777777" w:rsidR="00411B4B" w:rsidRPr="0023595B" w:rsidRDefault="00411B4B" w:rsidP="00480FB1">
      <w:pPr>
        <w:tabs>
          <w:tab w:val="left" w:pos="540"/>
          <w:tab w:val="left" w:pos="569"/>
        </w:tabs>
        <w:rPr>
          <w:b/>
          <w:bCs/>
          <w:sz w:val="22"/>
          <w:szCs w:val="22"/>
          <w:lang w:val="sr-Latn-ME"/>
        </w:rPr>
      </w:pPr>
      <w:r w:rsidRPr="0023595B">
        <w:rPr>
          <w:b/>
          <w:bCs/>
          <w:sz w:val="22"/>
          <w:szCs w:val="22"/>
          <w:lang w:val="sr-Latn-ME"/>
        </w:rPr>
        <w:t xml:space="preserve">4.1. </w:t>
      </w:r>
      <w:r w:rsidR="00480FB1" w:rsidRPr="0023595B">
        <w:rPr>
          <w:b/>
          <w:bCs/>
          <w:sz w:val="22"/>
          <w:szCs w:val="22"/>
          <w:lang w:val="sr-Latn-ME"/>
        </w:rPr>
        <w:tab/>
      </w:r>
      <w:r w:rsidRPr="0023595B">
        <w:rPr>
          <w:b/>
          <w:bCs/>
          <w:sz w:val="22"/>
          <w:szCs w:val="22"/>
          <w:lang w:val="sr-Latn-ME"/>
        </w:rPr>
        <w:t>Terapijske indikacije</w:t>
      </w:r>
    </w:p>
    <w:p w14:paraId="002C868F" w14:textId="77777777" w:rsidR="00411B4B" w:rsidRPr="0023595B" w:rsidRDefault="00411B4B" w:rsidP="00106B79">
      <w:pPr>
        <w:tabs>
          <w:tab w:val="left" w:pos="540"/>
          <w:tab w:val="left" w:pos="569"/>
        </w:tabs>
        <w:jc w:val="both"/>
        <w:rPr>
          <w:bCs/>
          <w:sz w:val="22"/>
          <w:szCs w:val="22"/>
          <w:lang w:val="sr-Latn-ME"/>
        </w:rPr>
      </w:pPr>
    </w:p>
    <w:p w14:paraId="4732C0AA" w14:textId="77777777" w:rsidR="00106B79" w:rsidRPr="0023595B" w:rsidRDefault="00106B79" w:rsidP="00106B79">
      <w:pPr>
        <w:ind w:left="270" w:hanging="270"/>
        <w:jc w:val="both"/>
        <w:rPr>
          <w:sz w:val="22"/>
          <w:szCs w:val="22"/>
          <w:lang w:val="sr-Latn-ME"/>
        </w:rPr>
      </w:pPr>
      <w:r w:rsidRPr="0023595B">
        <w:rPr>
          <w:sz w:val="22"/>
          <w:szCs w:val="22"/>
          <w:lang w:val="sr-Latn-ME"/>
        </w:rPr>
        <w:t>Lijek Eylea je indikovan kod odraslih osoba u terapiji</w:t>
      </w:r>
    </w:p>
    <w:p w14:paraId="011613C1" w14:textId="4B3EBD31" w:rsidR="00106B79" w:rsidRPr="0023595B" w:rsidRDefault="00106B79" w:rsidP="00106B79">
      <w:pPr>
        <w:ind w:left="270" w:hanging="270"/>
        <w:jc w:val="both"/>
        <w:rPr>
          <w:sz w:val="22"/>
          <w:szCs w:val="22"/>
          <w:lang w:val="sr-Latn-ME"/>
        </w:rPr>
      </w:pPr>
      <w:r w:rsidRPr="0023595B">
        <w:rPr>
          <w:sz w:val="22"/>
          <w:szCs w:val="22"/>
          <w:lang w:val="sr-Latn-ME"/>
        </w:rPr>
        <w:t>•</w:t>
      </w:r>
      <w:r w:rsidRPr="0023595B">
        <w:rPr>
          <w:sz w:val="22"/>
          <w:szCs w:val="22"/>
          <w:lang w:val="sr-Latn-ME"/>
        </w:rPr>
        <w:tab/>
        <w:t xml:space="preserve">neovaskularne (vlažne) senilne degeneracije makule (AMD – engl. </w:t>
      </w:r>
      <w:r w:rsidRPr="0023595B">
        <w:rPr>
          <w:i/>
          <w:sz w:val="22"/>
          <w:szCs w:val="22"/>
          <w:lang w:val="sr-Latn-ME"/>
        </w:rPr>
        <w:t>Age-related Macular Degeneration</w:t>
      </w:r>
      <w:r w:rsidRPr="0023595B">
        <w:rPr>
          <w:sz w:val="22"/>
          <w:szCs w:val="22"/>
          <w:lang w:val="sr-Latn-ME"/>
        </w:rPr>
        <w:t xml:space="preserve">) (vidjeti </w:t>
      </w:r>
      <w:r w:rsidR="004D7C5D" w:rsidRPr="0023595B">
        <w:rPr>
          <w:sz w:val="22"/>
          <w:szCs w:val="22"/>
          <w:lang w:val="sr-Latn-ME"/>
        </w:rPr>
        <w:t xml:space="preserve">dio </w:t>
      </w:r>
      <w:r w:rsidRPr="0023595B">
        <w:rPr>
          <w:sz w:val="22"/>
          <w:szCs w:val="22"/>
          <w:lang w:val="sr-Latn-ME"/>
        </w:rPr>
        <w:t>5.1),</w:t>
      </w:r>
    </w:p>
    <w:p w14:paraId="47007462" w14:textId="7BFB7665" w:rsidR="00106B79" w:rsidRPr="0023595B" w:rsidRDefault="00106B79" w:rsidP="00106B79">
      <w:pPr>
        <w:ind w:left="270" w:hanging="270"/>
        <w:jc w:val="both"/>
        <w:rPr>
          <w:sz w:val="22"/>
          <w:szCs w:val="22"/>
          <w:lang w:val="sr-Latn-ME"/>
        </w:rPr>
      </w:pPr>
      <w:r w:rsidRPr="0023595B">
        <w:rPr>
          <w:sz w:val="22"/>
          <w:szCs w:val="22"/>
          <w:lang w:val="sr-Latn-ME"/>
        </w:rPr>
        <w:t>•</w:t>
      </w:r>
      <w:r w:rsidRPr="0023595B">
        <w:rPr>
          <w:sz w:val="22"/>
          <w:szCs w:val="22"/>
          <w:lang w:val="sr-Latn-ME"/>
        </w:rPr>
        <w:tab/>
        <w:t xml:space="preserve">oštećenja vida nastalog zbog makularnog edema koji se javlja kao posljedica okluzije retinalne vene (okluzije grane retinalne vene (BRVO – engl. </w:t>
      </w:r>
      <w:r w:rsidRPr="0023595B">
        <w:rPr>
          <w:i/>
          <w:sz w:val="22"/>
          <w:szCs w:val="22"/>
          <w:lang w:val="sr-Latn-ME"/>
        </w:rPr>
        <w:t>Branch Retinal Vein Occlussion</w:t>
      </w:r>
      <w:r w:rsidRPr="0023595B">
        <w:rPr>
          <w:sz w:val="22"/>
          <w:szCs w:val="22"/>
          <w:lang w:val="sr-Latn-ME"/>
        </w:rPr>
        <w:t xml:space="preserve">) ili centralne retinalne vene (CRVO – engl. </w:t>
      </w:r>
      <w:r w:rsidRPr="0023595B">
        <w:rPr>
          <w:i/>
          <w:sz w:val="22"/>
          <w:szCs w:val="22"/>
          <w:lang w:val="sr-Latn-ME"/>
        </w:rPr>
        <w:t>Central Retinal Vein Occlusion</w:t>
      </w:r>
      <w:r w:rsidRPr="0023595B">
        <w:rPr>
          <w:sz w:val="22"/>
          <w:szCs w:val="22"/>
          <w:lang w:val="sr-Latn-ME"/>
        </w:rPr>
        <w:t xml:space="preserve">)) (vidjeti </w:t>
      </w:r>
      <w:r w:rsidR="004D7C5D" w:rsidRPr="0023595B">
        <w:rPr>
          <w:sz w:val="22"/>
          <w:szCs w:val="22"/>
          <w:lang w:val="sr-Latn-ME"/>
        </w:rPr>
        <w:t xml:space="preserve">dio </w:t>
      </w:r>
      <w:r w:rsidRPr="0023595B">
        <w:rPr>
          <w:sz w:val="22"/>
          <w:szCs w:val="22"/>
          <w:lang w:val="sr-Latn-ME"/>
        </w:rPr>
        <w:t>5.1),</w:t>
      </w:r>
    </w:p>
    <w:p w14:paraId="777D9FF4" w14:textId="7B8A9804" w:rsidR="00106B79" w:rsidRPr="0023595B" w:rsidRDefault="00106B79" w:rsidP="00106B79">
      <w:pPr>
        <w:ind w:left="270" w:hanging="270"/>
        <w:jc w:val="both"/>
        <w:rPr>
          <w:sz w:val="22"/>
          <w:szCs w:val="22"/>
          <w:lang w:val="sr-Latn-ME"/>
        </w:rPr>
      </w:pPr>
      <w:r w:rsidRPr="0023595B">
        <w:rPr>
          <w:sz w:val="22"/>
          <w:szCs w:val="22"/>
          <w:lang w:val="sr-Latn-ME"/>
        </w:rPr>
        <w:t>•</w:t>
      </w:r>
      <w:r w:rsidRPr="0023595B">
        <w:rPr>
          <w:sz w:val="22"/>
          <w:szCs w:val="22"/>
          <w:lang w:val="sr-Latn-ME"/>
        </w:rPr>
        <w:tab/>
        <w:t xml:space="preserve">oštećenja vida nastalog zbog dijabetičkog makularnog edema (DME – engl. </w:t>
      </w:r>
      <w:r w:rsidRPr="0023595B">
        <w:rPr>
          <w:i/>
          <w:sz w:val="22"/>
          <w:szCs w:val="22"/>
          <w:lang w:val="sr-Latn-ME"/>
        </w:rPr>
        <w:t>Diabetic Macular Oedema</w:t>
      </w:r>
      <w:r w:rsidRPr="0023595B">
        <w:rPr>
          <w:sz w:val="22"/>
          <w:szCs w:val="22"/>
          <w:lang w:val="sr-Latn-ME"/>
        </w:rPr>
        <w:t xml:space="preserve">) (vidjeti </w:t>
      </w:r>
      <w:r w:rsidR="004D7C5D" w:rsidRPr="0023595B">
        <w:rPr>
          <w:sz w:val="22"/>
          <w:szCs w:val="22"/>
          <w:lang w:val="sr-Latn-ME"/>
        </w:rPr>
        <w:t xml:space="preserve">dio </w:t>
      </w:r>
      <w:r w:rsidRPr="0023595B">
        <w:rPr>
          <w:sz w:val="22"/>
          <w:szCs w:val="22"/>
          <w:lang w:val="sr-Latn-ME"/>
        </w:rPr>
        <w:t>5.1),</w:t>
      </w:r>
    </w:p>
    <w:p w14:paraId="296E3C78" w14:textId="07A0BEB2" w:rsidR="00106B79" w:rsidRPr="0023595B" w:rsidRDefault="00106B79" w:rsidP="00106B79">
      <w:pPr>
        <w:ind w:left="270" w:hanging="270"/>
        <w:jc w:val="both"/>
        <w:rPr>
          <w:sz w:val="22"/>
          <w:szCs w:val="22"/>
          <w:lang w:val="sr-Latn-ME"/>
        </w:rPr>
      </w:pPr>
      <w:r w:rsidRPr="0023595B">
        <w:rPr>
          <w:sz w:val="22"/>
          <w:szCs w:val="22"/>
          <w:lang w:val="sr-Latn-ME"/>
        </w:rPr>
        <w:t>•</w:t>
      </w:r>
      <w:r w:rsidRPr="0023595B">
        <w:rPr>
          <w:sz w:val="22"/>
          <w:szCs w:val="22"/>
          <w:lang w:val="sr-Latn-ME"/>
        </w:rPr>
        <w:tab/>
        <w:t>oštećenja vida nastalog usljed horoidalne neovaskularizacije uzrokovane miopijom (miopna CNV – eng</w:t>
      </w:r>
      <w:r w:rsidR="000C0F75" w:rsidRPr="0023595B">
        <w:rPr>
          <w:sz w:val="22"/>
          <w:szCs w:val="22"/>
          <w:lang w:val="sr-Latn-ME"/>
        </w:rPr>
        <w:t>l</w:t>
      </w:r>
      <w:r w:rsidRPr="0023595B">
        <w:rPr>
          <w:sz w:val="22"/>
          <w:szCs w:val="22"/>
          <w:lang w:val="sr-Latn-ME"/>
        </w:rPr>
        <w:t xml:space="preserve">. </w:t>
      </w:r>
      <w:r w:rsidRPr="0023595B">
        <w:rPr>
          <w:i/>
          <w:sz w:val="22"/>
          <w:szCs w:val="22"/>
          <w:lang w:val="sr-Latn-ME"/>
        </w:rPr>
        <w:t>Myopic Choroidal Neovascularisation</w:t>
      </w:r>
      <w:r w:rsidRPr="0023595B">
        <w:rPr>
          <w:sz w:val="22"/>
          <w:szCs w:val="22"/>
          <w:lang w:val="sr-Latn-ME"/>
        </w:rPr>
        <w:t xml:space="preserve">) (vidjeti </w:t>
      </w:r>
      <w:r w:rsidR="004D7C5D" w:rsidRPr="0023595B">
        <w:rPr>
          <w:sz w:val="22"/>
          <w:szCs w:val="22"/>
          <w:lang w:val="sr-Latn-ME"/>
        </w:rPr>
        <w:t xml:space="preserve">dio </w:t>
      </w:r>
      <w:r w:rsidRPr="0023595B">
        <w:rPr>
          <w:sz w:val="22"/>
          <w:szCs w:val="22"/>
          <w:lang w:val="sr-Latn-ME"/>
        </w:rPr>
        <w:t>5.1)</w:t>
      </w:r>
    </w:p>
    <w:p w14:paraId="05127F92" w14:textId="77777777" w:rsidR="00106B79" w:rsidRPr="0023595B" w:rsidRDefault="00106B79" w:rsidP="00480FB1">
      <w:pPr>
        <w:tabs>
          <w:tab w:val="left" w:pos="540"/>
          <w:tab w:val="left" w:pos="569"/>
        </w:tabs>
        <w:rPr>
          <w:bCs/>
          <w:sz w:val="22"/>
          <w:szCs w:val="22"/>
          <w:lang w:val="sr-Latn-ME"/>
        </w:rPr>
      </w:pPr>
    </w:p>
    <w:p w14:paraId="31B4AB74" w14:textId="77777777" w:rsidR="00411B4B" w:rsidRPr="0023595B" w:rsidRDefault="00411B4B" w:rsidP="00480FB1">
      <w:pPr>
        <w:tabs>
          <w:tab w:val="left" w:pos="540"/>
          <w:tab w:val="left" w:pos="569"/>
        </w:tabs>
        <w:rPr>
          <w:b/>
          <w:bCs/>
          <w:sz w:val="22"/>
          <w:szCs w:val="22"/>
          <w:lang w:val="sr-Latn-ME"/>
        </w:rPr>
      </w:pPr>
      <w:r w:rsidRPr="0023595B">
        <w:rPr>
          <w:b/>
          <w:bCs/>
          <w:sz w:val="22"/>
          <w:szCs w:val="22"/>
          <w:lang w:val="sr-Latn-ME"/>
        </w:rPr>
        <w:t xml:space="preserve">4.2. </w:t>
      </w:r>
      <w:r w:rsidR="00480FB1" w:rsidRPr="0023595B">
        <w:rPr>
          <w:b/>
          <w:bCs/>
          <w:sz w:val="22"/>
          <w:szCs w:val="22"/>
          <w:lang w:val="sr-Latn-ME"/>
        </w:rPr>
        <w:tab/>
      </w:r>
      <w:r w:rsidRPr="0023595B">
        <w:rPr>
          <w:b/>
          <w:bCs/>
          <w:sz w:val="22"/>
          <w:szCs w:val="22"/>
          <w:lang w:val="sr-Latn-ME"/>
        </w:rPr>
        <w:t>Doziranje i način primjene</w:t>
      </w:r>
    </w:p>
    <w:p w14:paraId="7B224971" w14:textId="77777777" w:rsidR="0072020E" w:rsidRPr="0023595B" w:rsidRDefault="0072020E" w:rsidP="00106B79">
      <w:pPr>
        <w:tabs>
          <w:tab w:val="left" w:pos="540"/>
          <w:tab w:val="left" w:pos="569"/>
        </w:tabs>
        <w:jc w:val="both"/>
        <w:rPr>
          <w:bCs/>
          <w:sz w:val="22"/>
          <w:szCs w:val="22"/>
          <w:lang w:val="sr-Latn-ME"/>
        </w:rPr>
      </w:pPr>
    </w:p>
    <w:p w14:paraId="6D687F1E"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Lijek Eylea se isključivo primjenjuje putem intravitrealne injekcije.</w:t>
      </w:r>
    </w:p>
    <w:p w14:paraId="5CE18088" w14:textId="77777777" w:rsidR="00106B79" w:rsidRPr="0023595B" w:rsidRDefault="00106B79" w:rsidP="00106B79">
      <w:pPr>
        <w:tabs>
          <w:tab w:val="center" w:pos="4536"/>
          <w:tab w:val="right" w:pos="9072"/>
        </w:tabs>
        <w:jc w:val="both"/>
        <w:rPr>
          <w:sz w:val="22"/>
          <w:szCs w:val="22"/>
          <w:lang w:val="sr-Latn-ME"/>
        </w:rPr>
      </w:pPr>
    </w:p>
    <w:p w14:paraId="520CCB21" w14:textId="71FBB394"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lastRenderedPageBreak/>
        <w:t>Lijek Ey</w:t>
      </w:r>
      <w:r w:rsidR="0023595B">
        <w:rPr>
          <w:sz w:val="22"/>
          <w:szCs w:val="22"/>
          <w:lang w:val="sr-Latn-ME"/>
        </w:rPr>
        <w:t>l</w:t>
      </w:r>
      <w:r w:rsidRPr="0023595B">
        <w:rPr>
          <w:sz w:val="22"/>
          <w:szCs w:val="22"/>
          <w:lang w:val="sr-Latn-ME"/>
        </w:rPr>
        <w:t>ea smije da primjenjuje isključivo kvalifikovan ljekar sa iskustvom u primjeni intravitrealnih injekcija.</w:t>
      </w:r>
    </w:p>
    <w:p w14:paraId="4FD99624" w14:textId="77777777" w:rsidR="00106B79" w:rsidRPr="0023595B" w:rsidRDefault="00106B79" w:rsidP="00106B79">
      <w:pPr>
        <w:tabs>
          <w:tab w:val="center" w:pos="4536"/>
          <w:tab w:val="right" w:pos="9072"/>
        </w:tabs>
        <w:jc w:val="both"/>
        <w:rPr>
          <w:sz w:val="22"/>
          <w:szCs w:val="22"/>
          <w:lang w:val="sr-Latn-ME"/>
        </w:rPr>
      </w:pPr>
    </w:p>
    <w:p w14:paraId="6961C528" w14:textId="77777777" w:rsidR="00106B79" w:rsidRPr="0023595B" w:rsidRDefault="00106B79" w:rsidP="00106B79">
      <w:pPr>
        <w:tabs>
          <w:tab w:val="center" w:pos="4536"/>
          <w:tab w:val="right" w:pos="9072"/>
        </w:tabs>
        <w:jc w:val="both"/>
        <w:rPr>
          <w:i/>
          <w:iCs/>
          <w:sz w:val="22"/>
          <w:szCs w:val="22"/>
          <w:u w:val="single"/>
          <w:lang w:val="sr-Latn-ME"/>
        </w:rPr>
      </w:pPr>
      <w:r w:rsidRPr="0023595B">
        <w:rPr>
          <w:i/>
          <w:iCs/>
          <w:sz w:val="22"/>
          <w:szCs w:val="22"/>
          <w:u w:val="single"/>
          <w:lang w:val="sr-Latn-ME"/>
        </w:rPr>
        <w:t>Doziranje</w:t>
      </w:r>
    </w:p>
    <w:p w14:paraId="66D586D1" w14:textId="77777777" w:rsidR="00106B79" w:rsidRPr="0023595B" w:rsidRDefault="00106B79" w:rsidP="00106B79">
      <w:pPr>
        <w:tabs>
          <w:tab w:val="center" w:pos="4536"/>
          <w:tab w:val="right" w:pos="9072"/>
        </w:tabs>
        <w:jc w:val="both"/>
        <w:rPr>
          <w:sz w:val="22"/>
          <w:szCs w:val="22"/>
          <w:lang w:val="sr-Latn-ME"/>
        </w:rPr>
      </w:pPr>
    </w:p>
    <w:p w14:paraId="28A1E05C" w14:textId="77777777" w:rsidR="00106B79" w:rsidRPr="0023595B" w:rsidRDefault="00106B79" w:rsidP="00106B79">
      <w:pPr>
        <w:tabs>
          <w:tab w:val="center" w:pos="4536"/>
          <w:tab w:val="right" w:pos="9072"/>
        </w:tabs>
        <w:jc w:val="both"/>
        <w:rPr>
          <w:i/>
          <w:sz w:val="22"/>
          <w:szCs w:val="22"/>
          <w:lang w:val="sr-Latn-ME" w:eastAsia="sr-Latn-RS"/>
        </w:rPr>
      </w:pPr>
      <w:r w:rsidRPr="0023595B">
        <w:rPr>
          <w:i/>
          <w:sz w:val="22"/>
          <w:szCs w:val="22"/>
          <w:lang w:val="sr-Latn-ME" w:eastAsia="sr-Latn-RS"/>
        </w:rPr>
        <w:t>Vlažna senilna degeneracija makule</w:t>
      </w:r>
      <w:r w:rsidRPr="0023595B">
        <w:rPr>
          <w:sz w:val="22"/>
          <w:szCs w:val="22"/>
          <w:lang w:val="sr-Latn-ME" w:eastAsia="sr-Latn-RS"/>
        </w:rPr>
        <w:t xml:space="preserve"> (AMD)</w:t>
      </w:r>
    </w:p>
    <w:p w14:paraId="6528FA7E" w14:textId="77777777" w:rsidR="00106B79" w:rsidRPr="0023595B" w:rsidRDefault="00106B79" w:rsidP="00106B79">
      <w:pPr>
        <w:tabs>
          <w:tab w:val="center" w:pos="4536"/>
          <w:tab w:val="right" w:pos="9072"/>
        </w:tabs>
        <w:jc w:val="both"/>
        <w:rPr>
          <w:sz w:val="22"/>
          <w:szCs w:val="22"/>
          <w:lang w:val="sr-Latn-ME"/>
        </w:rPr>
      </w:pPr>
    </w:p>
    <w:p w14:paraId="701EA224" w14:textId="4D543CF8"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Preporučena doza lijeka Eylea je 2 mg aflibercepta, što odgovara količini od </w:t>
      </w:r>
      <w:r w:rsidR="00093ACA" w:rsidRPr="0023595B">
        <w:rPr>
          <w:sz w:val="22"/>
          <w:szCs w:val="22"/>
          <w:lang w:val="sr-Latn-ME"/>
        </w:rPr>
        <w:t>0,05 m</w:t>
      </w:r>
      <w:r w:rsidR="004D7C5D" w:rsidRPr="0023595B">
        <w:rPr>
          <w:sz w:val="22"/>
          <w:szCs w:val="22"/>
          <w:lang w:val="sr-Latn-ME"/>
        </w:rPr>
        <w:t>l</w:t>
      </w:r>
      <w:r w:rsidRPr="0023595B">
        <w:rPr>
          <w:sz w:val="22"/>
          <w:szCs w:val="22"/>
          <w:lang w:val="sr-Latn-ME"/>
        </w:rPr>
        <w:t xml:space="preserve"> lijeka.</w:t>
      </w:r>
    </w:p>
    <w:p w14:paraId="623F2E45" w14:textId="77777777" w:rsidR="00106B79" w:rsidRPr="0023595B" w:rsidRDefault="00106B79" w:rsidP="00106B79">
      <w:pPr>
        <w:jc w:val="both"/>
        <w:rPr>
          <w:sz w:val="22"/>
          <w:szCs w:val="22"/>
          <w:lang w:val="sr-Latn-ME"/>
        </w:rPr>
      </w:pPr>
    </w:p>
    <w:p w14:paraId="2CDEFC30"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Terapija lijekom Eylea započinje jednom injekcijom mjesečno tokom prva tri mjeseca. Nakon toga, terapijski interval se može produžiti na dva mjeseca.</w:t>
      </w:r>
    </w:p>
    <w:p w14:paraId="017D7F3B" w14:textId="77777777" w:rsidR="00106B79" w:rsidRPr="0023595B" w:rsidRDefault="00106B79" w:rsidP="00106B79">
      <w:pPr>
        <w:tabs>
          <w:tab w:val="center" w:pos="4536"/>
          <w:tab w:val="right" w:pos="9072"/>
        </w:tabs>
        <w:jc w:val="both"/>
        <w:rPr>
          <w:sz w:val="22"/>
          <w:szCs w:val="22"/>
          <w:lang w:val="sr-Latn-ME"/>
        </w:rPr>
      </w:pPr>
    </w:p>
    <w:p w14:paraId="26E18AF0" w14:textId="77777777" w:rsidR="004E687D"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Na osnovu procjene rezultata pregleda oštrine vida i pregleda očnog dna od strane ljekara, režim doziranja se može održavati na dva mjeseca ili dalje produžiti režimom doziranja „liječi i produži” (engl. </w:t>
      </w:r>
      <w:r w:rsidRPr="0023595B">
        <w:rPr>
          <w:i/>
          <w:sz w:val="22"/>
          <w:szCs w:val="22"/>
          <w:lang w:val="sr-Latn-ME"/>
        </w:rPr>
        <w:t>treat and extend</w:t>
      </w:r>
      <w:r w:rsidRPr="0023595B">
        <w:rPr>
          <w:sz w:val="22"/>
          <w:szCs w:val="22"/>
          <w:lang w:val="sr-Latn-ME"/>
        </w:rPr>
        <w:t xml:space="preserve">) u kome se intervali primjene lijeka produžavaju u koracima za po 2 ili 4 nedjelje kako bi se održali stabilni rezultati pregleda oštrine vida i pregleda očnog dna. </w:t>
      </w:r>
    </w:p>
    <w:p w14:paraId="468699FA" w14:textId="66F53274"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Ako se rezultati pregleda oštrine vida i pregleda očnog dna pogoršaju, interval primjene lijeka treba skratiti u skladu sa tim. </w:t>
      </w:r>
    </w:p>
    <w:p w14:paraId="34CDF7B8" w14:textId="77777777" w:rsidR="00106B79" w:rsidRPr="0023595B" w:rsidRDefault="00106B79" w:rsidP="00106B79">
      <w:pPr>
        <w:tabs>
          <w:tab w:val="center" w:pos="4536"/>
          <w:tab w:val="right" w:pos="9072"/>
        </w:tabs>
        <w:jc w:val="both"/>
        <w:rPr>
          <w:sz w:val="22"/>
          <w:szCs w:val="22"/>
          <w:lang w:val="sr-Latn-ME"/>
        </w:rPr>
      </w:pPr>
    </w:p>
    <w:p w14:paraId="5CA5225D"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Nema potrebe za praćenjem pacijenta između injekcija. Ljekar na osnovu svoje procjene može zakazati dodatne kontrole radi praćenja, koje mogu biti češće od rasporeda davanja injekcija.</w:t>
      </w:r>
    </w:p>
    <w:p w14:paraId="46241F6E" w14:textId="77777777" w:rsidR="00106B79" w:rsidRPr="0023595B" w:rsidRDefault="00106B79" w:rsidP="00106B79">
      <w:pPr>
        <w:tabs>
          <w:tab w:val="center" w:pos="4536"/>
          <w:tab w:val="right" w:pos="9072"/>
        </w:tabs>
        <w:jc w:val="both"/>
        <w:rPr>
          <w:sz w:val="22"/>
          <w:szCs w:val="22"/>
          <w:lang w:val="sr-Latn-ME"/>
        </w:rPr>
      </w:pPr>
    </w:p>
    <w:p w14:paraId="72D68A09" w14:textId="33B3C91E"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Primjena lijeka u terapijskim intervalima dužim od četiri mjeseca</w:t>
      </w:r>
      <w:r w:rsidR="004E687D" w:rsidRPr="0023595B">
        <w:rPr>
          <w:sz w:val="22"/>
          <w:szCs w:val="22"/>
          <w:lang w:val="sr-Latn-ME"/>
        </w:rPr>
        <w:t xml:space="preserve"> ili kraćim od četiri nedjelje</w:t>
      </w:r>
      <w:r w:rsidRPr="0023595B">
        <w:rPr>
          <w:sz w:val="22"/>
          <w:szCs w:val="22"/>
          <w:lang w:val="sr-Latn-ME"/>
        </w:rPr>
        <w:t xml:space="preserve"> nije ispitivana (vidjeti </w:t>
      </w:r>
      <w:r w:rsidR="004D7C5D" w:rsidRPr="0023595B">
        <w:rPr>
          <w:sz w:val="22"/>
          <w:szCs w:val="22"/>
          <w:lang w:val="sr-Latn-ME"/>
        </w:rPr>
        <w:t xml:space="preserve">dio </w:t>
      </w:r>
      <w:r w:rsidRPr="0023595B">
        <w:rPr>
          <w:sz w:val="22"/>
          <w:szCs w:val="22"/>
          <w:lang w:val="sr-Latn-ME"/>
        </w:rPr>
        <w:t>5.1).</w:t>
      </w:r>
    </w:p>
    <w:p w14:paraId="2B7A7BA0" w14:textId="77777777" w:rsidR="00106B79" w:rsidRPr="0023595B" w:rsidRDefault="00106B79" w:rsidP="00106B79">
      <w:pPr>
        <w:tabs>
          <w:tab w:val="center" w:pos="4536"/>
          <w:tab w:val="right" w:pos="9072"/>
        </w:tabs>
        <w:jc w:val="both"/>
        <w:rPr>
          <w:sz w:val="22"/>
          <w:szCs w:val="22"/>
          <w:lang w:val="sr-Latn-ME"/>
        </w:rPr>
      </w:pPr>
    </w:p>
    <w:p w14:paraId="14E56273" w14:textId="77777777" w:rsidR="00106B79" w:rsidRPr="0023595B" w:rsidRDefault="00106B79" w:rsidP="00106B79">
      <w:pPr>
        <w:tabs>
          <w:tab w:val="center" w:pos="4536"/>
          <w:tab w:val="right" w:pos="9072"/>
        </w:tabs>
        <w:jc w:val="both"/>
        <w:rPr>
          <w:i/>
          <w:sz w:val="22"/>
          <w:szCs w:val="22"/>
          <w:lang w:val="sr-Latn-ME" w:eastAsia="sr-Latn-RS"/>
        </w:rPr>
      </w:pPr>
      <w:r w:rsidRPr="0023595B">
        <w:rPr>
          <w:i/>
          <w:sz w:val="22"/>
          <w:szCs w:val="22"/>
          <w:lang w:val="sr-Latn-ME" w:eastAsia="sr-Latn-RS"/>
        </w:rPr>
        <w:t xml:space="preserve">Makularni edem kao posljedica okluzije retinalne vene RVO </w:t>
      </w:r>
      <w:r w:rsidRPr="0023595B">
        <w:rPr>
          <w:sz w:val="22"/>
          <w:szCs w:val="22"/>
          <w:lang w:val="sr-Latn-ME" w:eastAsia="sr-Latn-RS"/>
        </w:rPr>
        <w:t>(</w:t>
      </w:r>
      <w:r w:rsidRPr="0023595B">
        <w:rPr>
          <w:i/>
          <w:sz w:val="22"/>
          <w:szCs w:val="22"/>
          <w:lang w:val="sr-Latn-ME" w:eastAsia="sr-Latn-RS"/>
        </w:rPr>
        <w:t>grane retinalne vene (BRVO) ili centralne retinalne vene (CRVO))</w:t>
      </w:r>
    </w:p>
    <w:p w14:paraId="3EFE8788" w14:textId="77777777" w:rsidR="00106B79" w:rsidRPr="0023595B" w:rsidRDefault="00106B79" w:rsidP="00106B79">
      <w:pPr>
        <w:tabs>
          <w:tab w:val="center" w:pos="4536"/>
          <w:tab w:val="right" w:pos="9072"/>
        </w:tabs>
        <w:jc w:val="both"/>
        <w:rPr>
          <w:sz w:val="22"/>
          <w:szCs w:val="22"/>
          <w:lang w:val="sr-Latn-ME" w:eastAsia="sr-Latn-RS"/>
        </w:rPr>
      </w:pPr>
    </w:p>
    <w:p w14:paraId="45A23742" w14:textId="1560FC0E" w:rsidR="00106B79" w:rsidRPr="0023595B" w:rsidRDefault="00106B79" w:rsidP="00106B79">
      <w:pPr>
        <w:tabs>
          <w:tab w:val="center" w:pos="4536"/>
          <w:tab w:val="right" w:pos="9072"/>
        </w:tabs>
        <w:jc w:val="both"/>
        <w:rPr>
          <w:sz w:val="22"/>
          <w:szCs w:val="22"/>
          <w:lang w:val="sr-Latn-ME" w:eastAsia="sr-Latn-RS"/>
        </w:rPr>
      </w:pPr>
      <w:r w:rsidRPr="0023595B">
        <w:rPr>
          <w:sz w:val="22"/>
          <w:szCs w:val="22"/>
          <w:lang w:val="sr-Latn-ME" w:eastAsia="sr-Latn-RS"/>
        </w:rPr>
        <w:t xml:space="preserve">Preporučena doza lijeka Eylea je 2 mg aflibercepta, što odgovara količini od </w:t>
      </w:r>
      <w:r w:rsidR="00093ACA" w:rsidRPr="0023595B">
        <w:rPr>
          <w:sz w:val="22"/>
          <w:szCs w:val="22"/>
          <w:lang w:val="sr-Latn-ME" w:eastAsia="sr-Latn-RS"/>
        </w:rPr>
        <w:t>0,05 m</w:t>
      </w:r>
      <w:r w:rsidR="004D7C5D" w:rsidRPr="0023595B">
        <w:rPr>
          <w:sz w:val="22"/>
          <w:szCs w:val="22"/>
          <w:lang w:val="sr-Latn-ME" w:eastAsia="sr-Latn-RS"/>
        </w:rPr>
        <w:t>l</w:t>
      </w:r>
      <w:r w:rsidRPr="0023595B">
        <w:rPr>
          <w:sz w:val="22"/>
          <w:szCs w:val="22"/>
          <w:lang w:val="sr-Latn-ME" w:eastAsia="sr-Latn-RS"/>
        </w:rPr>
        <w:t xml:space="preserve"> lijeka.</w:t>
      </w:r>
    </w:p>
    <w:p w14:paraId="7B2ECA6C" w14:textId="77777777" w:rsidR="00106B79" w:rsidRPr="0023595B" w:rsidRDefault="00106B79" w:rsidP="00106B79">
      <w:pPr>
        <w:tabs>
          <w:tab w:val="center" w:pos="4536"/>
          <w:tab w:val="right" w:pos="9072"/>
        </w:tabs>
        <w:jc w:val="both"/>
        <w:rPr>
          <w:sz w:val="22"/>
          <w:szCs w:val="22"/>
          <w:lang w:val="sr-Latn-ME" w:eastAsia="sr-Latn-RS"/>
        </w:rPr>
      </w:pPr>
      <w:r w:rsidRPr="0023595B">
        <w:rPr>
          <w:sz w:val="22"/>
          <w:szCs w:val="22"/>
          <w:lang w:val="sr-Latn-ME" w:eastAsia="sr-Latn-RS"/>
        </w:rPr>
        <w:t>Nakon prve injekcije, lijek se primjenjuje jednom mjesečno. Interval između dvije doze ne bi trebao da bude kraći od jednog mjeseca.</w:t>
      </w:r>
    </w:p>
    <w:p w14:paraId="4D187D35" w14:textId="77777777" w:rsidR="00106B79" w:rsidRPr="0023595B" w:rsidRDefault="00106B79" w:rsidP="00106B79">
      <w:pPr>
        <w:tabs>
          <w:tab w:val="center" w:pos="4536"/>
          <w:tab w:val="right" w:pos="9072"/>
        </w:tabs>
        <w:jc w:val="both"/>
        <w:rPr>
          <w:sz w:val="22"/>
          <w:szCs w:val="22"/>
          <w:lang w:val="sr-Latn-ME" w:eastAsia="sr-Latn-RS"/>
        </w:rPr>
      </w:pPr>
    </w:p>
    <w:p w14:paraId="3F882A5A" w14:textId="77777777" w:rsidR="00106B79" w:rsidRPr="0023595B" w:rsidRDefault="00106B79" w:rsidP="00106B79">
      <w:pPr>
        <w:tabs>
          <w:tab w:val="center" w:pos="4536"/>
          <w:tab w:val="right" w:pos="9072"/>
        </w:tabs>
        <w:jc w:val="both"/>
        <w:rPr>
          <w:sz w:val="22"/>
          <w:szCs w:val="22"/>
          <w:lang w:val="sr-Latn-ME" w:eastAsia="sr-Latn-RS"/>
        </w:rPr>
      </w:pPr>
      <w:r w:rsidRPr="0023595B">
        <w:rPr>
          <w:sz w:val="22"/>
          <w:szCs w:val="22"/>
          <w:lang w:val="sr-Latn-ME" w:eastAsia="sr-Latn-RS"/>
        </w:rPr>
        <w:t xml:space="preserve">Ukoliko nema poboljšanja u oštrini vida i kod pregleda očnog dna prilikom nastavka liječenja, liječenje lijekom Eylea treba prekinuti. </w:t>
      </w:r>
    </w:p>
    <w:p w14:paraId="65CD9F33" w14:textId="77777777" w:rsidR="00106B79" w:rsidRPr="0023595B" w:rsidRDefault="00106B79" w:rsidP="00106B79">
      <w:pPr>
        <w:tabs>
          <w:tab w:val="center" w:pos="4536"/>
          <w:tab w:val="right" w:pos="9072"/>
        </w:tabs>
        <w:jc w:val="both"/>
        <w:rPr>
          <w:sz w:val="22"/>
          <w:szCs w:val="22"/>
          <w:lang w:val="sr-Latn-ME" w:eastAsia="sr-Latn-RS"/>
        </w:rPr>
      </w:pPr>
    </w:p>
    <w:p w14:paraId="1C6165EF" w14:textId="77777777" w:rsidR="00106B79" w:rsidRPr="0023595B" w:rsidRDefault="00106B79" w:rsidP="00106B79">
      <w:pPr>
        <w:tabs>
          <w:tab w:val="center" w:pos="4536"/>
          <w:tab w:val="right" w:pos="9072"/>
        </w:tabs>
        <w:jc w:val="both"/>
        <w:rPr>
          <w:sz w:val="22"/>
          <w:szCs w:val="22"/>
          <w:lang w:val="sr-Latn-ME" w:eastAsia="sr-Latn-RS"/>
        </w:rPr>
      </w:pPr>
      <w:r w:rsidRPr="0023595B">
        <w:rPr>
          <w:sz w:val="22"/>
          <w:szCs w:val="22"/>
          <w:lang w:val="sr-Latn-ME" w:eastAsia="sr-Latn-RS"/>
        </w:rPr>
        <w:t>Liječenje se nastavlja u mjesečnim intervalima sve dok se ne postigne maksimalna oštrina vida i/ili dok nema znakova aktivnosti bolesti. Možda će biti potrebne tri ili više uzastopnih mjesečnih injekcija.</w:t>
      </w:r>
    </w:p>
    <w:p w14:paraId="5F9045B5" w14:textId="77777777" w:rsidR="00106B79" w:rsidRPr="0023595B" w:rsidRDefault="00106B79" w:rsidP="00106B79">
      <w:pPr>
        <w:tabs>
          <w:tab w:val="center" w:pos="4536"/>
          <w:tab w:val="right" w:pos="9072"/>
        </w:tabs>
        <w:jc w:val="both"/>
        <w:rPr>
          <w:sz w:val="22"/>
          <w:szCs w:val="22"/>
          <w:lang w:val="sr-Latn-ME" w:eastAsia="sr-Latn-RS"/>
        </w:rPr>
      </w:pPr>
    </w:p>
    <w:p w14:paraId="3CCF2053"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eastAsia="sr-Latn-RS"/>
        </w:rPr>
        <w:t xml:space="preserve">Liječenje se tada može nastaviti režimom doziranja </w:t>
      </w:r>
      <w:r w:rsidRPr="0023595B">
        <w:rPr>
          <w:sz w:val="22"/>
          <w:szCs w:val="22"/>
          <w:lang w:val="sr-Latn-ME"/>
        </w:rPr>
        <w:t>„</w:t>
      </w:r>
      <w:r w:rsidRPr="0023595B">
        <w:rPr>
          <w:sz w:val="22"/>
          <w:szCs w:val="22"/>
          <w:lang w:val="sr-Latn-ME" w:eastAsia="sr-Latn-RS"/>
        </w:rPr>
        <w:t>liječi i produži” uz postepeno produžavanje intervala između doza kako bi se oštrina vida i rezultati pregleda očnog dna održali stabilnim.</w:t>
      </w:r>
      <w:r w:rsidRPr="0023595B">
        <w:rPr>
          <w:sz w:val="22"/>
          <w:szCs w:val="22"/>
          <w:lang w:val="sr-Latn-ME"/>
        </w:rPr>
        <w:t xml:space="preserve"> Međutim, nema dovoljno podataka na osnovu kojih bi se zaključilo o tačnoj dužini tih intervala</w:t>
      </w:r>
      <w:r w:rsidRPr="0023595B">
        <w:rPr>
          <w:sz w:val="22"/>
          <w:szCs w:val="22"/>
          <w:lang w:val="sr-Latn-ME" w:eastAsia="sr-Latn-RS"/>
        </w:rPr>
        <w:t>.</w:t>
      </w:r>
      <w:r w:rsidRPr="0023595B">
        <w:rPr>
          <w:sz w:val="22"/>
          <w:szCs w:val="22"/>
          <w:lang w:val="sr-Latn-ME"/>
        </w:rPr>
        <w:t xml:space="preserve"> Ukoliko se oštrina vida i rezultati pregleda očnog dna pogoršaju, intervale između terapije treba skratiti u skladu sa tim.</w:t>
      </w:r>
    </w:p>
    <w:p w14:paraId="7117D562" w14:textId="77777777" w:rsidR="00106B79" w:rsidRPr="0023595B" w:rsidRDefault="00106B79" w:rsidP="00106B79">
      <w:pPr>
        <w:tabs>
          <w:tab w:val="center" w:pos="4536"/>
          <w:tab w:val="right" w:pos="9072"/>
        </w:tabs>
        <w:jc w:val="both"/>
        <w:rPr>
          <w:sz w:val="22"/>
          <w:szCs w:val="22"/>
          <w:lang w:val="sr-Latn-ME" w:eastAsia="sr-Latn-RS"/>
        </w:rPr>
      </w:pPr>
    </w:p>
    <w:p w14:paraId="3A620A83" w14:textId="77777777" w:rsidR="00106B79" w:rsidRPr="0023595B" w:rsidRDefault="00106B79" w:rsidP="00106B79">
      <w:pPr>
        <w:tabs>
          <w:tab w:val="center" w:pos="4536"/>
          <w:tab w:val="right" w:pos="9072"/>
        </w:tabs>
        <w:jc w:val="both"/>
        <w:rPr>
          <w:sz w:val="22"/>
          <w:szCs w:val="22"/>
          <w:lang w:val="sr-Latn-ME" w:eastAsia="sr-Latn-RS"/>
        </w:rPr>
      </w:pPr>
      <w:r w:rsidRPr="0023595B">
        <w:rPr>
          <w:sz w:val="22"/>
          <w:szCs w:val="22"/>
          <w:lang w:val="sr-Latn-ME" w:eastAsia="sr-Latn-RS"/>
        </w:rPr>
        <w:t>Raspored kontrolnih pregleda i terapije određuje nadležni ljekar na osnovu individualnog odgovora pacijenta.</w:t>
      </w:r>
    </w:p>
    <w:p w14:paraId="5E3A0B72" w14:textId="77777777" w:rsidR="00106B79" w:rsidRPr="0023595B" w:rsidRDefault="00106B79" w:rsidP="00106B79">
      <w:pPr>
        <w:tabs>
          <w:tab w:val="center" w:pos="4536"/>
          <w:tab w:val="right" w:pos="9072"/>
        </w:tabs>
        <w:jc w:val="both"/>
        <w:rPr>
          <w:sz w:val="22"/>
          <w:szCs w:val="22"/>
          <w:lang w:val="sr-Latn-ME" w:eastAsia="sr-Latn-RS"/>
        </w:rPr>
      </w:pPr>
    </w:p>
    <w:p w14:paraId="73D5F5AB"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Kontrolni pregledi mogu uključiti kliničko ispitivanje, funkcionalne testove vida ili druge metode (kao što su optička koherentna tomografija ili angiografija fluoresceinom).</w:t>
      </w:r>
    </w:p>
    <w:p w14:paraId="723E987B" w14:textId="77777777" w:rsidR="00106B79" w:rsidRPr="0023595B" w:rsidRDefault="00106B79" w:rsidP="00106B79">
      <w:pPr>
        <w:tabs>
          <w:tab w:val="center" w:pos="4536"/>
          <w:tab w:val="right" w:pos="9072"/>
        </w:tabs>
        <w:jc w:val="both"/>
        <w:rPr>
          <w:sz w:val="22"/>
          <w:szCs w:val="22"/>
          <w:lang w:val="sr-Latn-ME"/>
        </w:rPr>
      </w:pPr>
    </w:p>
    <w:p w14:paraId="666C8E28" w14:textId="77777777" w:rsidR="00106B79" w:rsidRPr="0023595B" w:rsidRDefault="00106B79" w:rsidP="00106B79">
      <w:pPr>
        <w:tabs>
          <w:tab w:val="center" w:pos="4536"/>
          <w:tab w:val="right" w:pos="9072"/>
        </w:tabs>
        <w:jc w:val="both"/>
        <w:rPr>
          <w:i/>
          <w:sz w:val="22"/>
          <w:szCs w:val="22"/>
          <w:lang w:val="sr-Latn-ME" w:eastAsia="sr-Latn-RS"/>
        </w:rPr>
      </w:pPr>
      <w:r w:rsidRPr="0023595B">
        <w:rPr>
          <w:i/>
          <w:sz w:val="22"/>
          <w:szCs w:val="22"/>
          <w:lang w:val="sr-Latn-ME" w:eastAsia="sr-Latn-RS"/>
        </w:rPr>
        <w:t>Dijabetički makularni edem (DME)</w:t>
      </w:r>
    </w:p>
    <w:p w14:paraId="6D968EE3" w14:textId="77777777" w:rsidR="00106B79" w:rsidRPr="0023595B" w:rsidRDefault="00106B79" w:rsidP="00106B79">
      <w:pPr>
        <w:tabs>
          <w:tab w:val="center" w:pos="4536"/>
          <w:tab w:val="right" w:pos="9072"/>
        </w:tabs>
        <w:jc w:val="both"/>
        <w:rPr>
          <w:i/>
          <w:sz w:val="22"/>
          <w:szCs w:val="22"/>
          <w:lang w:val="sr-Latn-ME"/>
        </w:rPr>
      </w:pPr>
    </w:p>
    <w:p w14:paraId="43F48C0E" w14:textId="5FD8F3B6"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Preporučena doza lijeka Eylea je 2 mg aflibercepta, što odgovara količini od </w:t>
      </w:r>
      <w:r w:rsidR="00093ACA" w:rsidRPr="0023595B">
        <w:rPr>
          <w:sz w:val="22"/>
          <w:szCs w:val="22"/>
          <w:lang w:val="sr-Latn-ME"/>
        </w:rPr>
        <w:t>0,05 m</w:t>
      </w:r>
      <w:r w:rsidR="004D7C5D" w:rsidRPr="0023595B">
        <w:rPr>
          <w:sz w:val="22"/>
          <w:szCs w:val="22"/>
          <w:lang w:val="sr-Latn-ME"/>
        </w:rPr>
        <w:t>l</w:t>
      </w:r>
      <w:r w:rsidRPr="0023595B">
        <w:rPr>
          <w:sz w:val="22"/>
          <w:szCs w:val="22"/>
          <w:lang w:val="sr-Latn-ME"/>
        </w:rPr>
        <w:t xml:space="preserve"> lijeka.</w:t>
      </w:r>
    </w:p>
    <w:p w14:paraId="17ADDD04" w14:textId="77777777" w:rsidR="00106B79" w:rsidRPr="0023595B" w:rsidRDefault="00106B79" w:rsidP="00106B79">
      <w:pPr>
        <w:tabs>
          <w:tab w:val="center" w:pos="4536"/>
          <w:tab w:val="right" w:pos="9072"/>
        </w:tabs>
        <w:jc w:val="both"/>
        <w:rPr>
          <w:i/>
          <w:sz w:val="22"/>
          <w:szCs w:val="22"/>
          <w:lang w:val="sr-Latn-ME"/>
        </w:rPr>
      </w:pPr>
    </w:p>
    <w:p w14:paraId="04049376" w14:textId="0518350A"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Terapija lijekom Eylea započinje jednom injekcijom mjesečno tokom prvih pet mjeseci, nakon čega slijedi primjena jedne injekcije na svaka dva mjeseca.</w:t>
      </w:r>
    </w:p>
    <w:p w14:paraId="3E99C167" w14:textId="77777777" w:rsidR="00106B79" w:rsidRPr="0023595B" w:rsidRDefault="00106B79" w:rsidP="00106B79">
      <w:pPr>
        <w:tabs>
          <w:tab w:val="center" w:pos="4536"/>
          <w:tab w:val="right" w:pos="9072"/>
        </w:tabs>
        <w:jc w:val="both"/>
        <w:rPr>
          <w:sz w:val="22"/>
          <w:szCs w:val="22"/>
          <w:lang w:val="sr-Latn-ME"/>
        </w:rPr>
      </w:pPr>
    </w:p>
    <w:p w14:paraId="223D64E4" w14:textId="6C339A5B" w:rsidR="00A82E54" w:rsidRPr="0023595B" w:rsidRDefault="00A82E54" w:rsidP="00A82E54">
      <w:pPr>
        <w:tabs>
          <w:tab w:val="center" w:pos="4536"/>
          <w:tab w:val="right" w:pos="9072"/>
        </w:tabs>
        <w:jc w:val="both"/>
        <w:rPr>
          <w:sz w:val="22"/>
          <w:szCs w:val="22"/>
          <w:lang w:val="sr-Latn-ME" w:eastAsia="sr-Latn-RS"/>
        </w:rPr>
      </w:pPr>
      <w:r w:rsidRPr="0023595B">
        <w:rPr>
          <w:sz w:val="22"/>
          <w:szCs w:val="22"/>
          <w:lang w:val="sr-Latn-ME"/>
        </w:rPr>
        <w:lastRenderedPageBreak/>
        <w:t>N</w:t>
      </w:r>
      <w:r w:rsidR="00061914" w:rsidRPr="0023595B">
        <w:rPr>
          <w:sz w:val="22"/>
          <w:szCs w:val="22"/>
          <w:lang w:val="sr-Latn-ME"/>
        </w:rPr>
        <w:t xml:space="preserve">a </w:t>
      </w:r>
      <w:r w:rsidRPr="0023595B">
        <w:rPr>
          <w:sz w:val="22"/>
          <w:szCs w:val="22"/>
          <w:lang w:val="sr-Latn-ME"/>
        </w:rPr>
        <w:t>osnovu</w:t>
      </w:r>
      <w:r w:rsidR="00061914" w:rsidRPr="0023595B">
        <w:rPr>
          <w:sz w:val="22"/>
          <w:szCs w:val="22"/>
          <w:lang w:val="sr-Latn-ME"/>
        </w:rPr>
        <w:t xml:space="preserve"> procjen</w:t>
      </w:r>
      <w:r w:rsidRPr="0023595B">
        <w:rPr>
          <w:sz w:val="22"/>
          <w:szCs w:val="22"/>
          <w:lang w:val="sr-Latn-ME"/>
        </w:rPr>
        <w:t>e</w:t>
      </w:r>
      <w:r w:rsidR="00061914" w:rsidRPr="0023595B">
        <w:rPr>
          <w:sz w:val="22"/>
          <w:szCs w:val="22"/>
          <w:lang w:val="sr-Latn-ME"/>
        </w:rPr>
        <w:t xml:space="preserve"> rezultata pregleda oštrine vida i pregleda očnog dna od strane ljekara,</w:t>
      </w:r>
      <w:r w:rsidR="00106B79" w:rsidRPr="0023595B">
        <w:rPr>
          <w:sz w:val="22"/>
          <w:szCs w:val="22"/>
          <w:lang w:val="sr-Latn-ME"/>
        </w:rPr>
        <w:t xml:space="preserve"> terapijski interval može biti </w:t>
      </w:r>
      <w:r w:rsidRPr="0023595B">
        <w:rPr>
          <w:sz w:val="22"/>
          <w:szCs w:val="22"/>
          <w:lang w:val="sr-Latn-ME"/>
        </w:rPr>
        <w:t>održavan na dva mjeseca</w:t>
      </w:r>
      <w:r w:rsidR="00106B79" w:rsidRPr="0023595B">
        <w:rPr>
          <w:sz w:val="22"/>
          <w:szCs w:val="22"/>
          <w:lang w:val="sr-Latn-ME"/>
        </w:rPr>
        <w:t xml:space="preserve">, </w:t>
      </w:r>
      <w:r w:rsidRPr="0023595B">
        <w:rPr>
          <w:sz w:val="22"/>
          <w:szCs w:val="22"/>
          <w:lang w:val="sr-Latn-ME"/>
        </w:rPr>
        <w:t xml:space="preserve">ili može biti individualizovan, </w:t>
      </w:r>
      <w:r w:rsidR="00106B79" w:rsidRPr="0023595B">
        <w:rPr>
          <w:sz w:val="22"/>
          <w:szCs w:val="22"/>
          <w:lang w:val="sr-Latn-ME"/>
        </w:rPr>
        <w:t xml:space="preserve">na primjer režimom doziranja „liječi i produži” </w:t>
      </w:r>
      <w:r w:rsidR="00061914" w:rsidRPr="0023595B">
        <w:rPr>
          <w:sz w:val="22"/>
          <w:szCs w:val="22"/>
          <w:lang w:val="sr-Latn-ME"/>
        </w:rPr>
        <w:t xml:space="preserve">kojim se intervali primjene lijeka produžavaju za </w:t>
      </w:r>
      <w:r w:rsidRPr="0023595B">
        <w:rPr>
          <w:sz w:val="22"/>
          <w:szCs w:val="22"/>
          <w:lang w:val="sr-Latn-ME"/>
        </w:rPr>
        <w:t xml:space="preserve">još </w:t>
      </w:r>
      <w:r w:rsidR="00061914" w:rsidRPr="0023595B">
        <w:rPr>
          <w:sz w:val="22"/>
          <w:szCs w:val="22"/>
          <w:lang w:val="sr-Latn-ME"/>
        </w:rPr>
        <w:t>2 nedjelje,</w:t>
      </w:r>
      <w:r w:rsidR="00106B79" w:rsidRPr="0023595B">
        <w:rPr>
          <w:sz w:val="22"/>
          <w:szCs w:val="22"/>
          <w:lang w:val="sr-Latn-ME"/>
        </w:rPr>
        <w:t xml:space="preserve"> kako bi se održali stabilni </w:t>
      </w:r>
      <w:r w:rsidRPr="0023595B">
        <w:rPr>
          <w:sz w:val="22"/>
          <w:szCs w:val="22"/>
          <w:lang w:val="sr-Latn-ME"/>
        </w:rPr>
        <w:t>vidni i anatomski ishodi</w:t>
      </w:r>
      <w:r w:rsidR="00106B79" w:rsidRPr="0023595B">
        <w:rPr>
          <w:sz w:val="22"/>
          <w:szCs w:val="22"/>
          <w:lang w:val="sr-Latn-ME"/>
        </w:rPr>
        <w:t xml:space="preserve">. </w:t>
      </w:r>
      <w:r w:rsidR="00061914" w:rsidRPr="0023595B">
        <w:rPr>
          <w:sz w:val="22"/>
          <w:szCs w:val="22"/>
          <w:lang w:val="sr-Latn-ME"/>
        </w:rPr>
        <w:t>P</w:t>
      </w:r>
      <w:r w:rsidRPr="0023595B">
        <w:rPr>
          <w:sz w:val="22"/>
          <w:szCs w:val="22"/>
          <w:lang w:val="sr-Latn-ME"/>
        </w:rPr>
        <w:t>ostoje ograničeni p</w:t>
      </w:r>
      <w:r w:rsidR="00106B79" w:rsidRPr="0023595B">
        <w:rPr>
          <w:sz w:val="22"/>
          <w:szCs w:val="22"/>
          <w:lang w:val="sr-Latn-ME"/>
        </w:rPr>
        <w:t>odaci</w:t>
      </w:r>
      <w:r w:rsidR="00061914" w:rsidRPr="0023595B">
        <w:rPr>
          <w:sz w:val="22"/>
          <w:szCs w:val="22"/>
          <w:lang w:val="sr-Latn-ME"/>
        </w:rPr>
        <w:t xml:space="preserve"> o terapijskim intervalima dužim od 4 mjeseca</w:t>
      </w:r>
      <w:r w:rsidR="00106B79" w:rsidRPr="0023595B">
        <w:rPr>
          <w:sz w:val="22"/>
          <w:szCs w:val="22"/>
          <w:lang w:val="sr-Latn-ME"/>
        </w:rPr>
        <w:t xml:space="preserve">. Ako se rezultati pregleda oštrine vida i pregleda očnog dna pogoršaju, interval primjene lijeka treba skratiti u skladu s tim. </w:t>
      </w:r>
      <w:r w:rsidRPr="0023595B">
        <w:rPr>
          <w:sz w:val="22"/>
          <w:szCs w:val="22"/>
          <w:lang w:val="sr-Latn-ME" w:eastAsia="sr-Latn-RS"/>
        </w:rPr>
        <w:t>Intervali liječenja između injekcija kraći od 4 ned</w:t>
      </w:r>
      <w:r w:rsidR="005D7702" w:rsidRPr="0023595B">
        <w:rPr>
          <w:sz w:val="22"/>
          <w:szCs w:val="22"/>
          <w:lang w:val="sr-Latn-ME" w:eastAsia="sr-Latn-RS"/>
        </w:rPr>
        <w:t>j</w:t>
      </w:r>
      <w:r w:rsidRPr="0023595B">
        <w:rPr>
          <w:sz w:val="22"/>
          <w:szCs w:val="22"/>
          <w:lang w:val="sr-Latn-ME" w:eastAsia="sr-Latn-RS"/>
        </w:rPr>
        <w:t>elje nijesu proučavani (vidjeti dio 5.1).</w:t>
      </w:r>
    </w:p>
    <w:p w14:paraId="4DB9C28F" w14:textId="77777777" w:rsidR="00106B79" w:rsidRPr="0023595B" w:rsidRDefault="00106B79" w:rsidP="00106B79">
      <w:pPr>
        <w:tabs>
          <w:tab w:val="center" w:pos="4536"/>
          <w:tab w:val="right" w:pos="9072"/>
        </w:tabs>
        <w:jc w:val="both"/>
        <w:rPr>
          <w:sz w:val="22"/>
          <w:szCs w:val="22"/>
          <w:lang w:val="sr-Latn-ME"/>
        </w:rPr>
      </w:pPr>
    </w:p>
    <w:p w14:paraId="6A69B4D3" w14:textId="0AB1A928"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Dalji raspored kontrolnih pregleda treba da odredi ljekar koji liječi pacijenta.</w:t>
      </w:r>
    </w:p>
    <w:p w14:paraId="744AEA6D" w14:textId="77777777" w:rsidR="00106B79" w:rsidRPr="0023595B" w:rsidRDefault="00106B79" w:rsidP="00106B79">
      <w:pPr>
        <w:tabs>
          <w:tab w:val="center" w:pos="4536"/>
          <w:tab w:val="right" w:pos="9072"/>
        </w:tabs>
        <w:jc w:val="both"/>
        <w:rPr>
          <w:sz w:val="22"/>
          <w:szCs w:val="22"/>
          <w:lang w:val="sr-Latn-ME" w:eastAsia="sr-Latn-RS"/>
        </w:rPr>
      </w:pPr>
    </w:p>
    <w:p w14:paraId="79104763" w14:textId="4018C92C" w:rsidR="00106B79" w:rsidRPr="0023595B" w:rsidRDefault="00106B79" w:rsidP="00106B79">
      <w:pPr>
        <w:tabs>
          <w:tab w:val="center" w:pos="4536"/>
          <w:tab w:val="right" w:pos="9072"/>
        </w:tabs>
        <w:jc w:val="both"/>
        <w:rPr>
          <w:sz w:val="22"/>
          <w:szCs w:val="22"/>
          <w:lang w:val="sr-Latn-ME" w:eastAsia="sr-Latn-RS"/>
        </w:rPr>
      </w:pPr>
      <w:r w:rsidRPr="0023595B">
        <w:rPr>
          <w:sz w:val="22"/>
          <w:szCs w:val="22"/>
          <w:lang w:val="sr-Latn-ME" w:eastAsia="sr-Latn-RS"/>
        </w:rPr>
        <w:t xml:space="preserve">Ukoliko nema poboljšanja u oštrini vida i kod pregleda očnog dna, terapiju lijekom Eylea treba prekinuti. </w:t>
      </w:r>
    </w:p>
    <w:p w14:paraId="098A0DA4" w14:textId="77777777" w:rsidR="00061914" w:rsidRPr="0023595B" w:rsidRDefault="00061914" w:rsidP="00106B79">
      <w:pPr>
        <w:tabs>
          <w:tab w:val="center" w:pos="4536"/>
          <w:tab w:val="right" w:pos="9072"/>
        </w:tabs>
        <w:jc w:val="both"/>
        <w:rPr>
          <w:sz w:val="22"/>
          <w:szCs w:val="22"/>
          <w:lang w:val="sr-Latn-ME" w:eastAsia="sr-Latn-RS"/>
        </w:rPr>
      </w:pPr>
    </w:p>
    <w:p w14:paraId="21323FDA" w14:textId="77777777" w:rsidR="00106B79" w:rsidRPr="0023595B" w:rsidRDefault="00106B79" w:rsidP="00106B79">
      <w:pPr>
        <w:tabs>
          <w:tab w:val="center" w:pos="4536"/>
          <w:tab w:val="right" w:pos="9072"/>
        </w:tabs>
        <w:jc w:val="both"/>
        <w:rPr>
          <w:i/>
          <w:sz w:val="22"/>
          <w:szCs w:val="22"/>
          <w:lang w:val="sr-Latn-ME"/>
        </w:rPr>
      </w:pPr>
      <w:r w:rsidRPr="0023595B">
        <w:rPr>
          <w:i/>
          <w:sz w:val="22"/>
          <w:szCs w:val="22"/>
          <w:lang w:val="sr-Latn-ME"/>
        </w:rPr>
        <w:t>Horoidalna neovaskularizacija uzrokovana miopijom (mCNV)</w:t>
      </w:r>
    </w:p>
    <w:p w14:paraId="1FC85E13" w14:textId="77777777" w:rsidR="00106B79" w:rsidRPr="0023595B" w:rsidRDefault="00106B79" w:rsidP="00106B79">
      <w:pPr>
        <w:tabs>
          <w:tab w:val="center" w:pos="4536"/>
          <w:tab w:val="right" w:pos="9072"/>
        </w:tabs>
        <w:jc w:val="both"/>
        <w:rPr>
          <w:sz w:val="22"/>
          <w:szCs w:val="22"/>
          <w:lang w:val="sr-Latn-ME"/>
        </w:rPr>
      </w:pPr>
    </w:p>
    <w:p w14:paraId="64CDAFA4" w14:textId="210A858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Preporučena doza lijeka Eylea je jedna intravitrealna injekcija 2 mg aflibercepta, što odgovara količini od </w:t>
      </w:r>
      <w:r w:rsidR="00093ACA" w:rsidRPr="0023595B">
        <w:rPr>
          <w:sz w:val="22"/>
          <w:szCs w:val="22"/>
          <w:lang w:val="sr-Latn-ME"/>
        </w:rPr>
        <w:t>0,05 m</w:t>
      </w:r>
      <w:r w:rsidR="004D7C5D" w:rsidRPr="0023595B">
        <w:rPr>
          <w:sz w:val="22"/>
          <w:szCs w:val="22"/>
          <w:lang w:val="sr-Latn-ME"/>
        </w:rPr>
        <w:t>l</w:t>
      </w:r>
      <w:r w:rsidRPr="0023595B">
        <w:rPr>
          <w:sz w:val="22"/>
          <w:szCs w:val="22"/>
          <w:lang w:val="sr-Latn-ME"/>
        </w:rPr>
        <w:t xml:space="preserve"> lijeka.</w:t>
      </w:r>
    </w:p>
    <w:p w14:paraId="41D819A1" w14:textId="77777777" w:rsidR="00106B79" w:rsidRPr="0023595B" w:rsidRDefault="00106B79" w:rsidP="00106B79">
      <w:pPr>
        <w:tabs>
          <w:tab w:val="center" w:pos="4536"/>
          <w:tab w:val="right" w:pos="9072"/>
        </w:tabs>
        <w:jc w:val="both"/>
        <w:rPr>
          <w:sz w:val="22"/>
          <w:szCs w:val="22"/>
          <w:lang w:val="sr-Latn-ME"/>
        </w:rPr>
      </w:pPr>
    </w:p>
    <w:p w14:paraId="1A5C1EFD" w14:textId="4F365C09"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Dodatne doze lijeka mogu biti prim</w:t>
      </w:r>
      <w:r w:rsidR="0023595B">
        <w:rPr>
          <w:sz w:val="22"/>
          <w:szCs w:val="22"/>
          <w:lang w:val="sr-Latn-ME"/>
        </w:rPr>
        <w:t>i</w:t>
      </w:r>
      <w:r w:rsidRPr="0023595B">
        <w:rPr>
          <w:sz w:val="22"/>
          <w:szCs w:val="22"/>
          <w:lang w:val="sr-Latn-ME"/>
        </w:rPr>
        <w:t>jenjene, ukoliko rezultati pregleda oštrine vida i pregleda očnog dna ukazuju na to da bolest pe</w:t>
      </w:r>
      <w:r w:rsidR="0023595B">
        <w:rPr>
          <w:sz w:val="22"/>
          <w:szCs w:val="22"/>
          <w:lang w:val="sr-Latn-ME"/>
        </w:rPr>
        <w:t>r</w:t>
      </w:r>
      <w:r w:rsidRPr="0023595B">
        <w:rPr>
          <w:sz w:val="22"/>
          <w:szCs w:val="22"/>
          <w:lang w:val="sr-Latn-ME"/>
        </w:rPr>
        <w:t>zistira. Recidive treba liječiti kao novonastalu manifestaciju bolesti.</w:t>
      </w:r>
    </w:p>
    <w:p w14:paraId="5B1DA028" w14:textId="77777777" w:rsidR="00106B79" w:rsidRPr="0023595B" w:rsidRDefault="00106B79" w:rsidP="00106B79">
      <w:pPr>
        <w:tabs>
          <w:tab w:val="center" w:pos="4536"/>
          <w:tab w:val="right" w:pos="9072"/>
        </w:tabs>
        <w:jc w:val="both"/>
        <w:rPr>
          <w:sz w:val="22"/>
          <w:szCs w:val="22"/>
          <w:lang w:val="sr-Latn-ME"/>
        </w:rPr>
      </w:pPr>
    </w:p>
    <w:p w14:paraId="1A960CFA"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Raspored vršenja kontrolnih pregleda treba da odredi ordinirajući ljekar.</w:t>
      </w:r>
    </w:p>
    <w:p w14:paraId="097CA29F" w14:textId="77777777" w:rsidR="00106B79" w:rsidRPr="0023595B" w:rsidRDefault="00106B79" w:rsidP="00106B79">
      <w:pPr>
        <w:tabs>
          <w:tab w:val="center" w:pos="4536"/>
          <w:tab w:val="right" w:pos="9072"/>
        </w:tabs>
        <w:jc w:val="both"/>
        <w:rPr>
          <w:sz w:val="22"/>
          <w:szCs w:val="22"/>
          <w:lang w:val="sr-Latn-ME"/>
        </w:rPr>
      </w:pPr>
    </w:p>
    <w:p w14:paraId="0D777266"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Interval između dvije primljene doze ne treba da bude kraći od mjesec dana.</w:t>
      </w:r>
    </w:p>
    <w:p w14:paraId="3A6C7538" w14:textId="77777777" w:rsidR="00106B79" w:rsidRPr="0023595B" w:rsidRDefault="00106B79" w:rsidP="00106B79">
      <w:pPr>
        <w:tabs>
          <w:tab w:val="center" w:pos="4536"/>
          <w:tab w:val="right" w:pos="9072"/>
        </w:tabs>
        <w:jc w:val="both"/>
        <w:rPr>
          <w:sz w:val="22"/>
          <w:szCs w:val="22"/>
          <w:lang w:val="sr-Latn-ME"/>
        </w:rPr>
      </w:pPr>
    </w:p>
    <w:p w14:paraId="6DD9A7BA" w14:textId="77777777" w:rsidR="00106B79" w:rsidRPr="0023595B" w:rsidRDefault="00106B79" w:rsidP="00106B79">
      <w:pPr>
        <w:tabs>
          <w:tab w:val="center" w:pos="4536"/>
          <w:tab w:val="right" w:pos="9072"/>
        </w:tabs>
        <w:jc w:val="both"/>
        <w:rPr>
          <w:iCs/>
          <w:sz w:val="22"/>
          <w:szCs w:val="22"/>
          <w:u w:val="single"/>
          <w:lang w:val="sr-Latn-ME"/>
        </w:rPr>
      </w:pPr>
      <w:r w:rsidRPr="0023595B">
        <w:rPr>
          <w:iCs/>
          <w:sz w:val="22"/>
          <w:szCs w:val="22"/>
          <w:u w:val="single"/>
          <w:lang w:val="sr-Latn-ME"/>
        </w:rPr>
        <w:t>Posebne populacije</w:t>
      </w:r>
    </w:p>
    <w:p w14:paraId="52048839" w14:textId="77777777" w:rsidR="00106B79" w:rsidRPr="0023595B" w:rsidRDefault="00106B79" w:rsidP="00106B79">
      <w:pPr>
        <w:tabs>
          <w:tab w:val="center" w:pos="4536"/>
          <w:tab w:val="right" w:pos="9072"/>
        </w:tabs>
        <w:jc w:val="both"/>
        <w:rPr>
          <w:sz w:val="22"/>
          <w:szCs w:val="22"/>
          <w:lang w:val="sr-Latn-ME"/>
        </w:rPr>
      </w:pPr>
    </w:p>
    <w:p w14:paraId="12EAE414" w14:textId="77777777" w:rsidR="00106B79" w:rsidRPr="0023595B" w:rsidRDefault="00106B79" w:rsidP="00106B79">
      <w:pPr>
        <w:tabs>
          <w:tab w:val="center" w:pos="4536"/>
          <w:tab w:val="right" w:pos="9072"/>
        </w:tabs>
        <w:jc w:val="both"/>
        <w:rPr>
          <w:i/>
          <w:iCs/>
          <w:sz w:val="22"/>
          <w:szCs w:val="22"/>
          <w:lang w:val="sr-Latn-ME"/>
        </w:rPr>
      </w:pPr>
      <w:r w:rsidRPr="0023595B">
        <w:rPr>
          <w:i/>
          <w:iCs/>
          <w:sz w:val="22"/>
          <w:szCs w:val="22"/>
          <w:lang w:val="sr-Latn-ME"/>
        </w:rPr>
        <w:t>Oštećenje jetre i/ili bubrega</w:t>
      </w:r>
    </w:p>
    <w:p w14:paraId="583C7FEC"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Nijesu sprovedena specifična ispitivanja za primjenu lijeka Eylea kod pacijenata sa oštećenjem jetre i/ili bubrega.</w:t>
      </w:r>
    </w:p>
    <w:p w14:paraId="24046477" w14:textId="77777777" w:rsidR="00106B79" w:rsidRPr="0023595B" w:rsidRDefault="00106B79" w:rsidP="00106B79">
      <w:pPr>
        <w:tabs>
          <w:tab w:val="center" w:pos="4536"/>
          <w:tab w:val="right" w:pos="9072"/>
        </w:tabs>
        <w:jc w:val="both"/>
        <w:rPr>
          <w:sz w:val="22"/>
          <w:szCs w:val="22"/>
          <w:lang w:val="sr-Latn-ME"/>
        </w:rPr>
      </w:pPr>
    </w:p>
    <w:p w14:paraId="578EFA01" w14:textId="1E0BD322"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Dostupni podaci ne ukazuju na potrebu prilagođavanja doze lijeka Eylea kod ovih pacijenata (vidjeti </w:t>
      </w:r>
      <w:r w:rsidR="004D7C5D" w:rsidRPr="0023595B">
        <w:rPr>
          <w:sz w:val="22"/>
          <w:szCs w:val="22"/>
          <w:lang w:val="sr-Latn-ME"/>
        </w:rPr>
        <w:t xml:space="preserve">dio </w:t>
      </w:r>
      <w:r w:rsidRPr="0023595B">
        <w:rPr>
          <w:sz w:val="22"/>
          <w:szCs w:val="22"/>
          <w:lang w:val="sr-Latn-ME"/>
        </w:rPr>
        <w:t>5.2).</w:t>
      </w:r>
    </w:p>
    <w:p w14:paraId="2319CADD" w14:textId="77777777" w:rsidR="00106B79" w:rsidRPr="0023595B" w:rsidRDefault="00106B79" w:rsidP="00106B79">
      <w:pPr>
        <w:tabs>
          <w:tab w:val="center" w:pos="4536"/>
          <w:tab w:val="right" w:pos="9072"/>
        </w:tabs>
        <w:jc w:val="both"/>
        <w:rPr>
          <w:sz w:val="22"/>
          <w:szCs w:val="22"/>
          <w:lang w:val="sr-Latn-ME"/>
        </w:rPr>
      </w:pPr>
    </w:p>
    <w:p w14:paraId="2F88333D" w14:textId="77777777" w:rsidR="00106B79" w:rsidRPr="0023595B" w:rsidRDefault="00106B79" w:rsidP="00106B79">
      <w:pPr>
        <w:tabs>
          <w:tab w:val="center" w:pos="4536"/>
          <w:tab w:val="right" w:pos="9072"/>
        </w:tabs>
        <w:jc w:val="both"/>
        <w:rPr>
          <w:i/>
          <w:iCs/>
          <w:sz w:val="22"/>
          <w:szCs w:val="22"/>
          <w:lang w:val="sr-Latn-ME"/>
        </w:rPr>
      </w:pPr>
      <w:r w:rsidRPr="0023595B">
        <w:rPr>
          <w:i/>
          <w:iCs/>
          <w:sz w:val="22"/>
          <w:szCs w:val="22"/>
          <w:lang w:val="sr-Latn-ME"/>
        </w:rPr>
        <w:t>Stariji pacijenti</w:t>
      </w:r>
    </w:p>
    <w:p w14:paraId="1722726B"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Nije potreban poseban oprez. Postoji ograničeno iskustvo u primjeni lijeka Eylea kod pacijenata sa DME starijih od 75 godina.</w:t>
      </w:r>
    </w:p>
    <w:p w14:paraId="1F8C42BF" w14:textId="77777777" w:rsidR="00106B79" w:rsidRPr="0023595B" w:rsidRDefault="00106B79" w:rsidP="00106B79">
      <w:pPr>
        <w:tabs>
          <w:tab w:val="center" w:pos="4536"/>
          <w:tab w:val="right" w:pos="9072"/>
        </w:tabs>
        <w:jc w:val="both"/>
        <w:rPr>
          <w:i/>
          <w:iCs/>
          <w:sz w:val="22"/>
          <w:szCs w:val="22"/>
          <w:lang w:val="sr-Latn-ME"/>
        </w:rPr>
      </w:pPr>
    </w:p>
    <w:p w14:paraId="62E964FD" w14:textId="77777777" w:rsidR="00106B79" w:rsidRPr="0023595B" w:rsidRDefault="00106B79" w:rsidP="00106B79">
      <w:pPr>
        <w:tabs>
          <w:tab w:val="center" w:pos="4536"/>
          <w:tab w:val="right" w:pos="9072"/>
        </w:tabs>
        <w:jc w:val="both"/>
        <w:rPr>
          <w:i/>
          <w:iCs/>
          <w:sz w:val="22"/>
          <w:szCs w:val="22"/>
          <w:lang w:val="sr-Latn-ME"/>
        </w:rPr>
      </w:pPr>
      <w:r w:rsidRPr="0023595B">
        <w:rPr>
          <w:i/>
          <w:iCs/>
          <w:sz w:val="22"/>
          <w:szCs w:val="22"/>
          <w:lang w:val="sr-Latn-ME"/>
        </w:rPr>
        <w:t>Pedijatrijska populacija</w:t>
      </w:r>
    </w:p>
    <w:p w14:paraId="2ED42251"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Bezbjednost i efikasnost primjene lijeka Eylea kod djece i adolescenata nije ustanovljena. Ne postoji odgovarajuća primjena lijeka Eylea kod pedijatrijske populacije za indikacije vlažna AMD, CRVO, BRVO, DME i CNV uzrokovana miopijom.</w:t>
      </w:r>
    </w:p>
    <w:p w14:paraId="1B354031" w14:textId="77777777" w:rsidR="00106B79" w:rsidRPr="0023595B" w:rsidRDefault="00106B79" w:rsidP="00106B79">
      <w:pPr>
        <w:tabs>
          <w:tab w:val="center" w:pos="4536"/>
          <w:tab w:val="right" w:pos="9072"/>
        </w:tabs>
        <w:jc w:val="both"/>
        <w:rPr>
          <w:sz w:val="22"/>
          <w:szCs w:val="22"/>
          <w:lang w:val="sr-Latn-ME"/>
        </w:rPr>
      </w:pPr>
    </w:p>
    <w:p w14:paraId="64EC4535" w14:textId="77777777" w:rsidR="00106B79" w:rsidRPr="0023595B" w:rsidRDefault="00106B79" w:rsidP="00106B79">
      <w:pPr>
        <w:tabs>
          <w:tab w:val="center" w:pos="4536"/>
          <w:tab w:val="right" w:pos="9072"/>
        </w:tabs>
        <w:jc w:val="both"/>
        <w:rPr>
          <w:i/>
          <w:sz w:val="22"/>
          <w:szCs w:val="22"/>
          <w:u w:val="single"/>
          <w:lang w:val="sr-Latn-ME"/>
        </w:rPr>
      </w:pPr>
      <w:r w:rsidRPr="0023595B">
        <w:rPr>
          <w:i/>
          <w:sz w:val="22"/>
          <w:szCs w:val="22"/>
          <w:u w:val="single"/>
          <w:lang w:val="sr-Latn-ME"/>
        </w:rPr>
        <w:t>Način primjene</w:t>
      </w:r>
    </w:p>
    <w:p w14:paraId="5727DEF0" w14:textId="77777777" w:rsidR="00106B79" w:rsidRPr="0023595B" w:rsidRDefault="00106B79" w:rsidP="00106B79">
      <w:pPr>
        <w:tabs>
          <w:tab w:val="center" w:pos="4536"/>
          <w:tab w:val="right" w:pos="9072"/>
        </w:tabs>
        <w:jc w:val="both"/>
        <w:rPr>
          <w:sz w:val="22"/>
          <w:szCs w:val="22"/>
          <w:lang w:val="sr-Latn-ME"/>
        </w:rPr>
      </w:pPr>
    </w:p>
    <w:p w14:paraId="2FA0917A"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Primjena intravitrealne injekcije mora se sprovesti u skladu sa medicinskim standardima i važećim smjernicama, od strane kvalifikovanog ljekara koji ima iskustva u davanju intravitrealnih injekcija. U principu, treba obezbijediti adekvatnu anesteziju i mjere asepse, uključujući topikalnu primjenu mikrobicida širokog spektra (na primjer, primjena povidon joda na kožu periokularne regije, kapka i površinu oka). Preporučuje se hirurška dezinfekcija ruku, upotreba sterilnih rukavica, sterilne komprese i sterilnog spekuluma za očne kapke (ili ekvivalentnog instrumenta).</w:t>
      </w:r>
    </w:p>
    <w:p w14:paraId="3DF9CB90" w14:textId="77777777" w:rsidR="00106B79" w:rsidRPr="0023595B" w:rsidRDefault="00106B79" w:rsidP="00106B79">
      <w:pPr>
        <w:tabs>
          <w:tab w:val="center" w:pos="4536"/>
          <w:tab w:val="right" w:pos="9072"/>
        </w:tabs>
        <w:jc w:val="both"/>
        <w:rPr>
          <w:sz w:val="22"/>
          <w:szCs w:val="22"/>
          <w:lang w:val="sr-Latn-ME"/>
        </w:rPr>
      </w:pPr>
    </w:p>
    <w:p w14:paraId="33032FC6" w14:textId="602D8DC6"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Iglu injekcije treba uvesti u vitrealnu šupljinu 3,5-4,0 mm posteriorno od limbusa, izbjegavajući horizontalni meridijan i usmjeravajući je u pravcu centra očne jabučice. Potom se ubrizgava 0,05 </w:t>
      </w:r>
      <w:r w:rsidR="005D3145" w:rsidRPr="0023595B">
        <w:rPr>
          <w:sz w:val="22"/>
          <w:szCs w:val="22"/>
          <w:lang w:val="sr-Latn-ME"/>
        </w:rPr>
        <w:t>m</w:t>
      </w:r>
      <w:r w:rsidR="004D7C5D" w:rsidRPr="0023595B">
        <w:rPr>
          <w:sz w:val="22"/>
          <w:szCs w:val="22"/>
          <w:lang w:val="sr-Latn-ME"/>
        </w:rPr>
        <w:t>l</w:t>
      </w:r>
      <w:r w:rsidR="005D3145" w:rsidRPr="0023595B">
        <w:rPr>
          <w:sz w:val="22"/>
          <w:szCs w:val="22"/>
          <w:lang w:val="sr-Latn-ME"/>
        </w:rPr>
        <w:t xml:space="preserve"> </w:t>
      </w:r>
      <w:r w:rsidRPr="0023595B">
        <w:rPr>
          <w:sz w:val="22"/>
          <w:szCs w:val="22"/>
          <w:lang w:val="sr-Latn-ME"/>
        </w:rPr>
        <w:t>rastvora za injekciju; za sljedeću injekciju treba koristiti drugo mjesto na beonjači.</w:t>
      </w:r>
    </w:p>
    <w:p w14:paraId="1C4C9E51" w14:textId="77777777" w:rsidR="00106B79" w:rsidRPr="0023595B" w:rsidRDefault="00106B79" w:rsidP="00106B79">
      <w:pPr>
        <w:tabs>
          <w:tab w:val="center" w:pos="4536"/>
          <w:tab w:val="right" w:pos="9072"/>
        </w:tabs>
        <w:jc w:val="both"/>
        <w:rPr>
          <w:sz w:val="22"/>
          <w:szCs w:val="22"/>
          <w:lang w:val="sr-Latn-ME"/>
        </w:rPr>
      </w:pPr>
    </w:p>
    <w:p w14:paraId="426245AB"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Neposredno nakon intravitrealne injekcije treba provjeriti da li je kod pacijenta došlo do povećanja vrijednosti intraokularnog pritiska. Odgovarajuća kontrola može se sastojati i od provjere perfuzije papile optičkog nerva ili tonometrije. Ako je potrebno, treba da bude dostupna sterilna oprema za paracentezu.</w:t>
      </w:r>
    </w:p>
    <w:p w14:paraId="4F178C75" w14:textId="77777777" w:rsidR="00106B79" w:rsidRPr="0023595B" w:rsidRDefault="00106B79" w:rsidP="00106B79">
      <w:pPr>
        <w:tabs>
          <w:tab w:val="center" w:pos="4536"/>
          <w:tab w:val="right" w:pos="9072"/>
        </w:tabs>
        <w:jc w:val="both"/>
        <w:rPr>
          <w:sz w:val="22"/>
          <w:szCs w:val="22"/>
          <w:lang w:val="sr-Latn-ME"/>
        </w:rPr>
      </w:pPr>
    </w:p>
    <w:p w14:paraId="55744E74"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Nakon intravitrealne injekcije, pacijente treba uputiti da bez odlaganja prijave simptome koji ukazuju na endoftalmitis (na primjer bol u oku, crvenilo oka, fotofobija, zamagljen vid).</w:t>
      </w:r>
    </w:p>
    <w:p w14:paraId="69F28BD5" w14:textId="77777777" w:rsidR="00106B79" w:rsidRPr="0023595B" w:rsidRDefault="00106B79" w:rsidP="00106B79">
      <w:pPr>
        <w:tabs>
          <w:tab w:val="center" w:pos="4536"/>
          <w:tab w:val="right" w:pos="9072"/>
        </w:tabs>
        <w:jc w:val="both"/>
        <w:rPr>
          <w:sz w:val="22"/>
          <w:szCs w:val="22"/>
          <w:lang w:val="sr-Latn-ME"/>
        </w:rPr>
      </w:pPr>
    </w:p>
    <w:p w14:paraId="18EB6676"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Jednu bočicu treba koristiti samo za terapiju jednog oka. Ekstrahovanje više doza iz jedne bočice može dovesti do povećanog rizika od kontaminacije i posljedično do infekcije.</w:t>
      </w:r>
    </w:p>
    <w:p w14:paraId="19C68EEB" w14:textId="77777777" w:rsidR="00106B79" w:rsidRPr="0023595B" w:rsidRDefault="00106B79" w:rsidP="00106B79">
      <w:pPr>
        <w:tabs>
          <w:tab w:val="center" w:pos="4536"/>
          <w:tab w:val="right" w:pos="9072"/>
        </w:tabs>
        <w:jc w:val="both"/>
        <w:rPr>
          <w:sz w:val="22"/>
          <w:szCs w:val="22"/>
          <w:lang w:val="sr-Latn-ME"/>
        </w:rPr>
      </w:pPr>
    </w:p>
    <w:p w14:paraId="71657CDF" w14:textId="65BE531C"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Bočica sadrži više od preporučene doze od 2 mg aflibercepta</w:t>
      </w:r>
      <w:r w:rsidR="00093ACA" w:rsidRPr="0023595B">
        <w:rPr>
          <w:sz w:val="22"/>
          <w:szCs w:val="22"/>
          <w:lang w:val="sr-Latn-ME"/>
        </w:rPr>
        <w:t xml:space="preserve"> (što odgovara 0,05 m</w:t>
      </w:r>
      <w:r w:rsidR="004D7C5D" w:rsidRPr="0023595B">
        <w:rPr>
          <w:sz w:val="22"/>
          <w:szCs w:val="22"/>
          <w:lang w:val="sr-Latn-ME"/>
        </w:rPr>
        <w:t>l</w:t>
      </w:r>
      <w:r w:rsidR="00093ACA" w:rsidRPr="0023595B">
        <w:rPr>
          <w:sz w:val="22"/>
          <w:szCs w:val="22"/>
          <w:lang w:val="sr-Latn-ME"/>
        </w:rPr>
        <w:t xml:space="preserve"> rastvora za injekciju)</w:t>
      </w:r>
      <w:r w:rsidRPr="0023595B">
        <w:rPr>
          <w:sz w:val="22"/>
          <w:szCs w:val="22"/>
          <w:lang w:val="sr-Latn-ME"/>
        </w:rPr>
        <w:t xml:space="preserve">. </w:t>
      </w:r>
      <w:r w:rsidR="00093ACA" w:rsidRPr="0023595B">
        <w:rPr>
          <w:sz w:val="22"/>
          <w:szCs w:val="22"/>
          <w:lang w:val="sr-Latn-ME"/>
        </w:rPr>
        <w:t>Iskoristiva</w:t>
      </w:r>
      <w:r w:rsidRPr="0023595B">
        <w:rPr>
          <w:sz w:val="22"/>
          <w:szCs w:val="22"/>
          <w:lang w:val="sr-Latn-ME"/>
        </w:rPr>
        <w:t xml:space="preserve"> zapremina bočice </w:t>
      </w:r>
      <w:r w:rsidR="00093ACA" w:rsidRPr="0023595B">
        <w:rPr>
          <w:sz w:val="22"/>
          <w:szCs w:val="22"/>
          <w:lang w:val="sr-Latn-ME"/>
        </w:rPr>
        <w:t>je zapremina koja se može izvući iz bočice i koja</w:t>
      </w:r>
      <w:r w:rsidRPr="0023595B">
        <w:rPr>
          <w:sz w:val="22"/>
          <w:szCs w:val="22"/>
          <w:lang w:val="sr-Latn-ME"/>
        </w:rPr>
        <w:t xml:space="preserve"> ne treba da se iskoristi u cijelosti. </w:t>
      </w:r>
      <w:r w:rsidR="00093ACA" w:rsidRPr="0023595B">
        <w:rPr>
          <w:sz w:val="22"/>
          <w:szCs w:val="22"/>
          <w:lang w:val="sr-Latn-ME"/>
        </w:rPr>
        <w:t>Za bočicu lijeka Eylea iskoristiva zapremina je najmanje 0,1 m</w:t>
      </w:r>
      <w:r w:rsidR="005D7702" w:rsidRPr="0023595B">
        <w:rPr>
          <w:sz w:val="22"/>
          <w:szCs w:val="22"/>
          <w:lang w:val="sr-Latn-ME"/>
        </w:rPr>
        <w:t>l</w:t>
      </w:r>
      <w:r w:rsidR="00093ACA" w:rsidRPr="0023595B">
        <w:rPr>
          <w:sz w:val="22"/>
          <w:szCs w:val="22"/>
          <w:lang w:val="sr-Latn-ME"/>
        </w:rPr>
        <w:t xml:space="preserve">. </w:t>
      </w:r>
      <w:r w:rsidRPr="0023595B">
        <w:rPr>
          <w:b/>
          <w:bCs/>
          <w:sz w:val="22"/>
          <w:szCs w:val="22"/>
          <w:lang w:val="sr-Latn-ME"/>
        </w:rPr>
        <w:t xml:space="preserve">Višak </w:t>
      </w:r>
      <w:r w:rsidR="00093ACA" w:rsidRPr="0023595B">
        <w:rPr>
          <w:b/>
          <w:bCs/>
          <w:sz w:val="22"/>
          <w:szCs w:val="22"/>
          <w:lang w:val="sr-Latn-ME"/>
        </w:rPr>
        <w:t xml:space="preserve">zapremine </w:t>
      </w:r>
      <w:r w:rsidRPr="0023595B">
        <w:rPr>
          <w:b/>
          <w:bCs/>
          <w:sz w:val="22"/>
          <w:szCs w:val="22"/>
          <w:lang w:val="sr-Latn-ME"/>
        </w:rPr>
        <w:t xml:space="preserve">tečnosti </w:t>
      </w:r>
      <w:r w:rsidR="00093ACA" w:rsidRPr="0023595B">
        <w:rPr>
          <w:b/>
          <w:bCs/>
          <w:sz w:val="22"/>
          <w:szCs w:val="22"/>
          <w:lang w:val="sr-Latn-ME"/>
        </w:rPr>
        <w:t>mora se</w:t>
      </w:r>
      <w:r w:rsidRPr="0023595B">
        <w:rPr>
          <w:b/>
          <w:bCs/>
          <w:sz w:val="22"/>
          <w:szCs w:val="22"/>
          <w:lang w:val="sr-Latn-ME"/>
        </w:rPr>
        <w:t xml:space="preserve"> </w:t>
      </w:r>
      <w:r w:rsidR="00093ACA" w:rsidRPr="0023595B">
        <w:rPr>
          <w:b/>
          <w:bCs/>
          <w:sz w:val="22"/>
          <w:szCs w:val="22"/>
          <w:lang w:val="sr-Latn-ME"/>
        </w:rPr>
        <w:t>istisnuti</w:t>
      </w:r>
      <w:r w:rsidRPr="0023595B">
        <w:rPr>
          <w:b/>
          <w:bCs/>
          <w:sz w:val="22"/>
          <w:szCs w:val="22"/>
          <w:lang w:val="sr-Latn-ME"/>
        </w:rPr>
        <w:t xml:space="preserve"> prije </w:t>
      </w:r>
      <w:r w:rsidR="00093ACA" w:rsidRPr="0023595B">
        <w:rPr>
          <w:b/>
          <w:bCs/>
          <w:sz w:val="22"/>
          <w:szCs w:val="22"/>
          <w:lang w:val="sr-Latn-ME"/>
        </w:rPr>
        <w:t>injektovanja preporučene doze</w:t>
      </w:r>
      <w:r w:rsidR="00093ACA" w:rsidRPr="0023595B">
        <w:rPr>
          <w:sz w:val="22"/>
          <w:szCs w:val="22"/>
          <w:lang w:val="sr-Latn-ME"/>
        </w:rPr>
        <w:t xml:space="preserve"> (vidjeti </w:t>
      </w:r>
      <w:r w:rsidR="004D7C5D" w:rsidRPr="0023595B">
        <w:rPr>
          <w:sz w:val="22"/>
          <w:szCs w:val="22"/>
          <w:lang w:val="sr-Latn-ME"/>
        </w:rPr>
        <w:t xml:space="preserve">dio </w:t>
      </w:r>
      <w:r w:rsidR="00093ACA" w:rsidRPr="0023595B">
        <w:rPr>
          <w:sz w:val="22"/>
          <w:szCs w:val="22"/>
          <w:lang w:val="sr-Latn-ME"/>
        </w:rPr>
        <w:t>6.6)</w:t>
      </w:r>
      <w:r w:rsidRPr="0023595B">
        <w:rPr>
          <w:sz w:val="22"/>
          <w:szCs w:val="22"/>
          <w:lang w:val="sr-Latn-ME"/>
        </w:rPr>
        <w:t xml:space="preserve">. </w:t>
      </w:r>
    </w:p>
    <w:p w14:paraId="5D747D5B" w14:textId="77777777" w:rsidR="00106B79" w:rsidRPr="0023595B" w:rsidRDefault="00106B79" w:rsidP="00106B79">
      <w:pPr>
        <w:tabs>
          <w:tab w:val="center" w:pos="4536"/>
          <w:tab w:val="right" w:pos="9072"/>
        </w:tabs>
        <w:jc w:val="both"/>
        <w:rPr>
          <w:sz w:val="22"/>
          <w:szCs w:val="22"/>
          <w:lang w:val="sr-Latn-ME"/>
        </w:rPr>
      </w:pPr>
    </w:p>
    <w:p w14:paraId="58FA001F" w14:textId="71636A64"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Injektovanje cjelokupne zapremine bočice moglo bi da dovede do predoziranja. Da bi se vazdušni mjehur</w:t>
      </w:r>
      <w:r w:rsidR="00093ACA" w:rsidRPr="0023595B">
        <w:rPr>
          <w:sz w:val="22"/>
          <w:szCs w:val="22"/>
          <w:lang w:val="sr-Latn-ME"/>
        </w:rPr>
        <w:t>ići</w:t>
      </w:r>
      <w:r w:rsidRPr="0023595B">
        <w:rPr>
          <w:sz w:val="22"/>
          <w:szCs w:val="22"/>
          <w:lang w:val="sr-Latn-ME"/>
        </w:rPr>
        <w:t xml:space="preserve"> izbaci</w:t>
      </w:r>
      <w:r w:rsidR="00093ACA" w:rsidRPr="0023595B">
        <w:rPr>
          <w:sz w:val="22"/>
          <w:szCs w:val="22"/>
          <w:lang w:val="sr-Latn-ME"/>
        </w:rPr>
        <w:t>li</w:t>
      </w:r>
      <w:r w:rsidRPr="0023595B">
        <w:rPr>
          <w:sz w:val="22"/>
          <w:szCs w:val="22"/>
          <w:lang w:val="sr-Latn-ME"/>
        </w:rPr>
        <w:t xml:space="preserve"> zajedno sa viškom lijeka, polako pritiskati klip dok se </w:t>
      </w:r>
      <w:r w:rsidR="00093ACA" w:rsidRPr="0023595B">
        <w:rPr>
          <w:sz w:val="22"/>
          <w:szCs w:val="22"/>
          <w:lang w:val="sr-Latn-ME"/>
        </w:rPr>
        <w:t>ravna ivica klipa ne izravna sa linijom koja ob</w:t>
      </w:r>
      <w:r w:rsidR="005D7702" w:rsidRPr="0023595B">
        <w:rPr>
          <w:sz w:val="22"/>
          <w:szCs w:val="22"/>
          <w:lang w:val="sr-Latn-ME"/>
        </w:rPr>
        <w:t>i</w:t>
      </w:r>
      <w:r w:rsidR="00093ACA" w:rsidRPr="0023595B">
        <w:rPr>
          <w:sz w:val="22"/>
          <w:szCs w:val="22"/>
          <w:lang w:val="sr-Latn-ME"/>
        </w:rPr>
        <w:t>l</w:t>
      </w:r>
      <w:r w:rsidR="005D7702" w:rsidRPr="0023595B">
        <w:rPr>
          <w:sz w:val="22"/>
          <w:szCs w:val="22"/>
          <w:lang w:val="sr-Latn-ME"/>
        </w:rPr>
        <w:t>j</w:t>
      </w:r>
      <w:r w:rsidR="00093ACA" w:rsidRPr="0023595B">
        <w:rPr>
          <w:sz w:val="22"/>
          <w:szCs w:val="22"/>
          <w:lang w:val="sr-Latn-ME"/>
        </w:rPr>
        <w:t>ežava 0,05 m</w:t>
      </w:r>
      <w:r w:rsidR="004D7C5D" w:rsidRPr="0023595B">
        <w:rPr>
          <w:sz w:val="22"/>
          <w:szCs w:val="22"/>
          <w:lang w:val="sr-Latn-ME"/>
        </w:rPr>
        <w:t>l</w:t>
      </w:r>
      <w:r w:rsidR="00093ACA" w:rsidRPr="0023595B">
        <w:rPr>
          <w:sz w:val="22"/>
          <w:szCs w:val="22"/>
          <w:lang w:val="sr-Latn-ME"/>
        </w:rPr>
        <w:t xml:space="preserve"> na špricu</w:t>
      </w:r>
      <w:r w:rsidRPr="0023595B">
        <w:rPr>
          <w:sz w:val="22"/>
          <w:szCs w:val="22"/>
          <w:lang w:val="sr-Latn-ME"/>
        </w:rPr>
        <w:t xml:space="preserve"> (što odgovara </w:t>
      </w:r>
      <w:r w:rsidR="00093ACA" w:rsidRPr="0023595B">
        <w:rPr>
          <w:sz w:val="22"/>
          <w:szCs w:val="22"/>
          <w:lang w:val="sr-Latn-ME"/>
        </w:rPr>
        <w:t>0,05 m</w:t>
      </w:r>
      <w:r w:rsidR="005D7702" w:rsidRPr="0023595B">
        <w:rPr>
          <w:sz w:val="22"/>
          <w:szCs w:val="22"/>
          <w:lang w:val="sr-Latn-ME"/>
        </w:rPr>
        <w:t>l</w:t>
      </w:r>
      <w:r w:rsidRPr="0023595B">
        <w:rPr>
          <w:sz w:val="22"/>
          <w:szCs w:val="22"/>
          <w:lang w:val="sr-Latn-ME"/>
        </w:rPr>
        <w:t>, odnosno 2 mg aflibercepta)</w:t>
      </w:r>
      <w:r w:rsidR="00093ACA" w:rsidRPr="0023595B">
        <w:rPr>
          <w:sz w:val="22"/>
          <w:szCs w:val="22"/>
          <w:lang w:val="sr-Latn-ME"/>
        </w:rPr>
        <w:t xml:space="preserve"> (vidjeti </w:t>
      </w:r>
      <w:r w:rsidR="004D7C5D" w:rsidRPr="0023595B">
        <w:rPr>
          <w:sz w:val="22"/>
          <w:szCs w:val="22"/>
          <w:lang w:val="sr-Latn-ME"/>
        </w:rPr>
        <w:t xml:space="preserve">djelove </w:t>
      </w:r>
      <w:r w:rsidR="00093ACA" w:rsidRPr="0023595B">
        <w:rPr>
          <w:sz w:val="22"/>
          <w:szCs w:val="22"/>
          <w:lang w:val="sr-Latn-ME"/>
        </w:rPr>
        <w:t>4.9 i 6.6)</w:t>
      </w:r>
      <w:r w:rsidRPr="0023595B">
        <w:rPr>
          <w:sz w:val="22"/>
          <w:szCs w:val="22"/>
          <w:lang w:val="sr-Latn-ME"/>
        </w:rPr>
        <w:t>.</w:t>
      </w:r>
    </w:p>
    <w:p w14:paraId="09E38CF7" w14:textId="77777777" w:rsidR="00106B79" w:rsidRPr="0023595B" w:rsidRDefault="00106B79" w:rsidP="00106B79">
      <w:pPr>
        <w:tabs>
          <w:tab w:val="center" w:pos="4536"/>
          <w:tab w:val="right" w:pos="9072"/>
        </w:tabs>
        <w:jc w:val="both"/>
        <w:rPr>
          <w:sz w:val="22"/>
          <w:szCs w:val="22"/>
          <w:lang w:val="sr-Latn-ME"/>
        </w:rPr>
      </w:pPr>
    </w:p>
    <w:p w14:paraId="79A3A230"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Nakon injekcije, neiskorišćeni ostatak lijeka treba baciti.</w:t>
      </w:r>
    </w:p>
    <w:p w14:paraId="15921010" w14:textId="77777777" w:rsidR="00106B79" w:rsidRPr="0023595B" w:rsidRDefault="00106B79" w:rsidP="00106B79">
      <w:pPr>
        <w:tabs>
          <w:tab w:val="center" w:pos="4536"/>
          <w:tab w:val="right" w:pos="9072"/>
        </w:tabs>
        <w:jc w:val="both"/>
        <w:rPr>
          <w:sz w:val="22"/>
          <w:szCs w:val="22"/>
          <w:lang w:val="sr-Latn-ME"/>
        </w:rPr>
      </w:pPr>
    </w:p>
    <w:p w14:paraId="1F7EFCC6" w14:textId="008FE946"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Za rukovanje lijekom prije primjene vidjeti </w:t>
      </w:r>
      <w:r w:rsidR="004D7C5D" w:rsidRPr="0023595B">
        <w:rPr>
          <w:sz w:val="22"/>
          <w:szCs w:val="22"/>
          <w:lang w:val="sr-Latn-ME"/>
        </w:rPr>
        <w:t xml:space="preserve">dio </w:t>
      </w:r>
      <w:r w:rsidRPr="0023595B">
        <w:rPr>
          <w:sz w:val="22"/>
          <w:szCs w:val="22"/>
          <w:lang w:val="sr-Latn-ME"/>
        </w:rPr>
        <w:t>6.6.</w:t>
      </w:r>
    </w:p>
    <w:p w14:paraId="65B3EBEE" w14:textId="77777777" w:rsidR="00452E9D" w:rsidRPr="0023595B" w:rsidRDefault="00452E9D" w:rsidP="00480FB1">
      <w:pPr>
        <w:tabs>
          <w:tab w:val="left" w:pos="540"/>
          <w:tab w:val="left" w:pos="569"/>
        </w:tabs>
        <w:rPr>
          <w:bCs/>
          <w:sz w:val="22"/>
          <w:szCs w:val="22"/>
          <w:lang w:val="sr-Latn-ME"/>
        </w:rPr>
      </w:pPr>
    </w:p>
    <w:p w14:paraId="426EE58C" w14:textId="77777777" w:rsidR="00411B4B" w:rsidRPr="0023595B" w:rsidRDefault="00411B4B" w:rsidP="00480FB1">
      <w:pPr>
        <w:tabs>
          <w:tab w:val="left" w:pos="540"/>
          <w:tab w:val="left" w:pos="569"/>
        </w:tabs>
        <w:rPr>
          <w:b/>
          <w:bCs/>
          <w:sz w:val="22"/>
          <w:szCs w:val="22"/>
          <w:lang w:val="sr-Latn-ME"/>
        </w:rPr>
      </w:pPr>
      <w:r w:rsidRPr="0023595B">
        <w:rPr>
          <w:b/>
          <w:bCs/>
          <w:sz w:val="22"/>
          <w:szCs w:val="22"/>
          <w:lang w:val="sr-Latn-ME"/>
        </w:rPr>
        <w:t xml:space="preserve">4.3. </w:t>
      </w:r>
      <w:r w:rsidR="00480FB1" w:rsidRPr="0023595B">
        <w:rPr>
          <w:b/>
          <w:bCs/>
          <w:sz w:val="22"/>
          <w:szCs w:val="22"/>
          <w:lang w:val="sr-Latn-ME"/>
        </w:rPr>
        <w:tab/>
      </w:r>
      <w:r w:rsidRPr="0023595B">
        <w:rPr>
          <w:b/>
          <w:bCs/>
          <w:sz w:val="22"/>
          <w:szCs w:val="22"/>
          <w:lang w:val="sr-Latn-ME"/>
        </w:rPr>
        <w:t>Kontraindikacije</w:t>
      </w:r>
    </w:p>
    <w:p w14:paraId="33690EC4" w14:textId="77777777" w:rsidR="0072020E" w:rsidRPr="0023595B" w:rsidRDefault="0072020E" w:rsidP="00480FB1">
      <w:pPr>
        <w:tabs>
          <w:tab w:val="left" w:pos="540"/>
          <w:tab w:val="left" w:pos="569"/>
        </w:tabs>
        <w:rPr>
          <w:bCs/>
          <w:sz w:val="22"/>
          <w:szCs w:val="22"/>
          <w:lang w:val="sr-Latn-ME"/>
        </w:rPr>
      </w:pPr>
    </w:p>
    <w:p w14:paraId="6068460D" w14:textId="56393F04"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Preosjetljivost na aktivnu supstancu aflibercept ili na bilo koju od pomoćnih supstanci navedenih u </w:t>
      </w:r>
      <w:r w:rsidR="005D7702" w:rsidRPr="0023595B">
        <w:rPr>
          <w:sz w:val="22"/>
          <w:szCs w:val="22"/>
          <w:lang w:val="sr-Latn-ME"/>
        </w:rPr>
        <w:t>d</w:t>
      </w:r>
      <w:r w:rsidR="00FF5ABD" w:rsidRPr="0023595B">
        <w:rPr>
          <w:sz w:val="22"/>
          <w:szCs w:val="22"/>
          <w:lang w:val="sr-Latn-ME"/>
        </w:rPr>
        <w:t>i</w:t>
      </w:r>
      <w:r w:rsidR="005D7702" w:rsidRPr="0023595B">
        <w:rPr>
          <w:sz w:val="22"/>
          <w:szCs w:val="22"/>
          <w:lang w:val="sr-Latn-ME"/>
        </w:rPr>
        <w:t xml:space="preserve">jelu </w:t>
      </w:r>
      <w:r w:rsidRPr="0023595B">
        <w:rPr>
          <w:sz w:val="22"/>
          <w:szCs w:val="22"/>
          <w:lang w:val="sr-Latn-ME"/>
        </w:rPr>
        <w:t xml:space="preserve">6.1. </w:t>
      </w:r>
    </w:p>
    <w:p w14:paraId="1B543A31"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Postojanje akutne ili suspektne infekcije oka ili periokularne regije.</w:t>
      </w:r>
    </w:p>
    <w:p w14:paraId="094918A2" w14:textId="77777777" w:rsidR="00106B79" w:rsidRPr="0023595B" w:rsidRDefault="00106B79" w:rsidP="00106B79">
      <w:pPr>
        <w:jc w:val="both"/>
        <w:rPr>
          <w:sz w:val="22"/>
          <w:szCs w:val="22"/>
          <w:lang w:val="sr-Latn-ME"/>
        </w:rPr>
      </w:pPr>
      <w:r w:rsidRPr="0023595B">
        <w:rPr>
          <w:sz w:val="22"/>
          <w:szCs w:val="22"/>
          <w:lang w:val="sr-Latn-ME"/>
        </w:rPr>
        <w:t>Akutna teška intraokularna inflamacija.</w:t>
      </w:r>
    </w:p>
    <w:p w14:paraId="5442C67B" w14:textId="77777777" w:rsidR="00106B79" w:rsidRPr="0023595B" w:rsidRDefault="00106B79" w:rsidP="00480FB1">
      <w:pPr>
        <w:tabs>
          <w:tab w:val="left" w:pos="540"/>
          <w:tab w:val="left" w:pos="569"/>
        </w:tabs>
        <w:rPr>
          <w:bCs/>
          <w:sz w:val="22"/>
          <w:szCs w:val="22"/>
          <w:lang w:val="sr-Latn-ME"/>
        </w:rPr>
      </w:pPr>
    </w:p>
    <w:p w14:paraId="20C54F67" w14:textId="77777777" w:rsidR="00411B4B" w:rsidRPr="0023595B" w:rsidRDefault="00411B4B" w:rsidP="00480FB1">
      <w:pPr>
        <w:tabs>
          <w:tab w:val="left" w:pos="540"/>
          <w:tab w:val="left" w:pos="569"/>
        </w:tabs>
        <w:rPr>
          <w:b/>
          <w:bCs/>
          <w:sz w:val="22"/>
          <w:szCs w:val="22"/>
          <w:lang w:val="sr-Latn-ME"/>
        </w:rPr>
      </w:pPr>
      <w:r w:rsidRPr="0023595B">
        <w:rPr>
          <w:b/>
          <w:bCs/>
          <w:sz w:val="22"/>
          <w:szCs w:val="22"/>
          <w:lang w:val="sr-Latn-ME"/>
        </w:rPr>
        <w:t xml:space="preserve">4.4. </w:t>
      </w:r>
      <w:r w:rsidR="00480FB1" w:rsidRPr="0023595B">
        <w:rPr>
          <w:b/>
          <w:bCs/>
          <w:sz w:val="22"/>
          <w:szCs w:val="22"/>
          <w:lang w:val="sr-Latn-ME"/>
        </w:rPr>
        <w:tab/>
      </w:r>
      <w:r w:rsidRPr="0023595B">
        <w:rPr>
          <w:b/>
          <w:bCs/>
          <w:sz w:val="22"/>
          <w:szCs w:val="22"/>
          <w:lang w:val="sr-Latn-ME"/>
        </w:rPr>
        <w:t>Posebna upozorenja i mjere opreza pri upotrebi lijeka</w:t>
      </w:r>
    </w:p>
    <w:p w14:paraId="4C83D96A" w14:textId="078DE832" w:rsidR="0072020E" w:rsidRPr="0023595B" w:rsidRDefault="0072020E" w:rsidP="00480FB1">
      <w:pPr>
        <w:tabs>
          <w:tab w:val="left" w:pos="540"/>
          <w:tab w:val="left" w:pos="569"/>
        </w:tabs>
        <w:rPr>
          <w:bCs/>
          <w:sz w:val="22"/>
          <w:szCs w:val="22"/>
          <w:lang w:val="sr-Latn-ME"/>
        </w:rPr>
      </w:pPr>
    </w:p>
    <w:p w14:paraId="3E097C81" w14:textId="2FC85F0E" w:rsidR="00D55718" w:rsidRPr="0023595B" w:rsidRDefault="00D55718" w:rsidP="00D55718">
      <w:pPr>
        <w:rPr>
          <w:sz w:val="22"/>
          <w:szCs w:val="22"/>
          <w:u w:val="single"/>
          <w:lang w:val="sr-Latn-ME"/>
        </w:rPr>
      </w:pPr>
      <w:r w:rsidRPr="0023595B">
        <w:rPr>
          <w:sz w:val="22"/>
          <w:szCs w:val="22"/>
          <w:u w:val="single"/>
          <w:lang w:val="sr-Latn-ME"/>
        </w:rPr>
        <w:t>Slijedivost</w:t>
      </w:r>
    </w:p>
    <w:p w14:paraId="0CFA457F" w14:textId="1F92956B" w:rsidR="00D55718" w:rsidRPr="0023595B" w:rsidRDefault="00D55718" w:rsidP="00952294">
      <w:pPr>
        <w:jc w:val="both"/>
        <w:rPr>
          <w:sz w:val="22"/>
          <w:szCs w:val="22"/>
          <w:lang w:val="sr-Latn-ME"/>
        </w:rPr>
      </w:pPr>
      <w:r w:rsidRPr="0023595B">
        <w:rPr>
          <w:sz w:val="22"/>
          <w:szCs w:val="22"/>
          <w:lang w:val="sr-Latn-ME"/>
        </w:rPr>
        <w:t>Kako bi se poboljšala slijedivost bioloških ljekova, potrebno je jasno evidentirati naziv i broj serije prim</w:t>
      </w:r>
      <w:r w:rsidR="0023595B">
        <w:rPr>
          <w:sz w:val="22"/>
          <w:szCs w:val="22"/>
          <w:lang w:val="sr-Latn-ME"/>
        </w:rPr>
        <w:t>i</w:t>
      </w:r>
      <w:r w:rsidRPr="0023595B">
        <w:rPr>
          <w:sz w:val="22"/>
          <w:szCs w:val="22"/>
          <w:lang w:val="sr-Latn-ME"/>
        </w:rPr>
        <w:t>jenjenog lijeka.</w:t>
      </w:r>
    </w:p>
    <w:p w14:paraId="6A118ADF" w14:textId="77777777" w:rsidR="00D55718" w:rsidRPr="0023595B" w:rsidRDefault="00D55718" w:rsidP="00480FB1">
      <w:pPr>
        <w:tabs>
          <w:tab w:val="left" w:pos="540"/>
          <w:tab w:val="left" w:pos="569"/>
        </w:tabs>
        <w:rPr>
          <w:bCs/>
          <w:sz w:val="22"/>
          <w:szCs w:val="22"/>
          <w:lang w:val="sr-Latn-ME"/>
        </w:rPr>
      </w:pPr>
    </w:p>
    <w:p w14:paraId="79389DC8" w14:textId="77777777" w:rsidR="00106B79" w:rsidRPr="0023595B" w:rsidRDefault="00106B79" w:rsidP="00106B79">
      <w:pPr>
        <w:jc w:val="both"/>
        <w:rPr>
          <w:sz w:val="22"/>
          <w:szCs w:val="22"/>
          <w:u w:val="single"/>
          <w:lang w:val="sr-Latn-ME"/>
        </w:rPr>
      </w:pPr>
      <w:r w:rsidRPr="0023595B">
        <w:rPr>
          <w:sz w:val="22"/>
          <w:szCs w:val="22"/>
          <w:u w:val="single"/>
          <w:lang w:val="sr-Latn-ME"/>
        </w:rPr>
        <w:t>Reakcije povezane sa primjenom intravitrealne injekcije</w:t>
      </w:r>
    </w:p>
    <w:p w14:paraId="0C09FF8A" w14:textId="43EA72B6" w:rsidR="00106B79" w:rsidRPr="0023595B" w:rsidRDefault="00106B79" w:rsidP="00106B79">
      <w:pPr>
        <w:jc w:val="both"/>
        <w:rPr>
          <w:sz w:val="22"/>
          <w:szCs w:val="22"/>
          <w:lang w:val="sr-Latn-ME"/>
        </w:rPr>
      </w:pPr>
      <w:r w:rsidRPr="0023595B">
        <w:rPr>
          <w:sz w:val="22"/>
          <w:szCs w:val="22"/>
          <w:lang w:val="sr-Latn-ME"/>
        </w:rPr>
        <w:t>Intravitrealne injekcije, uključujući i injekcije lijeka Eylea, su povezane sa nastankom endoftalmitisa, intraokularne inflamacije, regmatogenom ablacijom retine, rasc</w:t>
      </w:r>
      <w:r w:rsidR="005C1EE0" w:rsidRPr="0023595B">
        <w:rPr>
          <w:sz w:val="22"/>
          <w:szCs w:val="22"/>
          <w:lang w:val="sr-Latn-ME"/>
        </w:rPr>
        <w:t>i</w:t>
      </w:r>
      <w:r w:rsidRPr="0023595B">
        <w:rPr>
          <w:sz w:val="22"/>
          <w:szCs w:val="22"/>
          <w:lang w:val="sr-Latn-ME"/>
        </w:rPr>
        <w:t xml:space="preserve">jepom retine i jatrogenom traumatskom kataraktom (vidjeti </w:t>
      </w:r>
      <w:r w:rsidR="004D7C5D" w:rsidRPr="0023595B">
        <w:rPr>
          <w:sz w:val="22"/>
          <w:szCs w:val="22"/>
          <w:lang w:val="sr-Latn-ME"/>
        </w:rPr>
        <w:t xml:space="preserve">dio </w:t>
      </w:r>
      <w:r w:rsidRPr="0023595B">
        <w:rPr>
          <w:sz w:val="22"/>
          <w:szCs w:val="22"/>
          <w:lang w:val="sr-Latn-ME"/>
        </w:rPr>
        <w:t>4.8). Prilikom primjene lijeka Eylea, uvijek se moraju koristiti odgovarajuće aseptične tehnike primjene injekcije. Dodatno, pacijente treba pratiti nedjelju dana nakon primanja injekcije da bi se moglo brzo reagovati u slučaju nastanka infekcije. Pacijente treba savjetovati da bez odlaganja, prijave svaki simptom koji ukazuje na endoftalmitis ili bilo koju od gore navedenih pojava.</w:t>
      </w:r>
    </w:p>
    <w:p w14:paraId="769D0A9A" w14:textId="77777777" w:rsidR="00106B79" w:rsidRPr="0023595B" w:rsidRDefault="00106B79" w:rsidP="00106B79">
      <w:pPr>
        <w:tabs>
          <w:tab w:val="center" w:pos="4536"/>
          <w:tab w:val="right" w:pos="9072"/>
        </w:tabs>
        <w:jc w:val="both"/>
        <w:rPr>
          <w:sz w:val="22"/>
          <w:szCs w:val="22"/>
          <w:u w:val="single"/>
          <w:lang w:val="sr-Latn-ME"/>
        </w:rPr>
      </w:pPr>
    </w:p>
    <w:p w14:paraId="1ACB0D81" w14:textId="69B084FA" w:rsidR="00470456" w:rsidRPr="0023595B" w:rsidRDefault="00470456" w:rsidP="00106B79">
      <w:pPr>
        <w:tabs>
          <w:tab w:val="center" w:pos="4536"/>
          <w:tab w:val="right" w:pos="9072"/>
        </w:tabs>
        <w:jc w:val="both"/>
        <w:rPr>
          <w:sz w:val="22"/>
          <w:szCs w:val="22"/>
          <w:lang w:val="sr-Latn-ME"/>
        </w:rPr>
      </w:pPr>
      <w:r w:rsidRPr="0023595B">
        <w:rPr>
          <w:sz w:val="22"/>
          <w:szCs w:val="22"/>
          <w:lang w:val="sr-Latn-ME"/>
        </w:rPr>
        <w:t>Bočica sadrži više od preporučene doze od 2 mg aflibercepta (što odgovara 0,05 m</w:t>
      </w:r>
      <w:r w:rsidR="005D7702" w:rsidRPr="0023595B">
        <w:rPr>
          <w:sz w:val="22"/>
          <w:szCs w:val="22"/>
          <w:lang w:val="sr-Latn-ME"/>
        </w:rPr>
        <w:t>l</w:t>
      </w:r>
      <w:r w:rsidRPr="0023595B">
        <w:rPr>
          <w:sz w:val="22"/>
          <w:szCs w:val="22"/>
          <w:lang w:val="sr-Latn-ME"/>
        </w:rPr>
        <w:t>). Višak zapremine tečnosti mora se istisnuti prije primjene l</w:t>
      </w:r>
      <w:r w:rsidR="005D7702" w:rsidRPr="0023595B">
        <w:rPr>
          <w:sz w:val="22"/>
          <w:szCs w:val="22"/>
          <w:lang w:val="sr-Latn-ME"/>
        </w:rPr>
        <w:t>ij</w:t>
      </w:r>
      <w:r w:rsidRPr="0023595B">
        <w:rPr>
          <w:sz w:val="22"/>
          <w:szCs w:val="22"/>
          <w:lang w:val="sr-Latn-ME"/>
        </w:rPr>
        <w:t>eka (vid</w:t>
      </w:r>
      <w:r w:rsidR="00BD17B4" w:rsidRPr="0023595B">
        <w:rPr>
          <w:sz w:val="22"/>
          <w:szCs w:val="22"/>
          <w:lang w:val="sr-Latn-ME"/>
        </w:rPr>
        <w:t>j</w:t>
      </w:r>
      <w:r w:rsidRPr="0023595B">
        <w:rPr>
          <w:sz w:val="22"/>
          <w:szCs w:val="22"/>
          <w:lang w:val="sr-Latn-ME"/>
        </w:rPr>
        <w:t xml:space="preserve">eti </w:t>
      </w:r>
      <w:r w:rsidR="004D7C5D" w:rsidRPr="0023595B">
        <w:rPr>
          <w:sz w:val="22"/>
          <w:szCs w:val="22"/>
          <w:lang w:val="sr-Latn-ME"/>
        </w:rPr>
        <w:t xml:space="preserve">djelove </w:t>
      </w:r>
      <w:r w:rsidRPr="0023595B">
        <w:rPr>
          <w:sz w:val="22"/>
          <w:szCs w:val="22"/>
          <w:lang w:val="sr-Latn-ME"/>
        </w:rPr>
        <w:t>4.2 i 6.6).</w:t>
      </w:r>
    </w:p>
    <w:p w14:paraId="01AC9C00" w14:textId="0180B738"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Povećanje intraokularnog pritiska zapaženo je u periodu od 60 minuta nakon davanja intravitrealne injekcije, uključujući i one sa lijekom Eylea (vidjeti </w:t>
      </w:r>
      <w:r w:rsidR="004D7C5D" w:rsidRPr="0023595B">
        <w:rPr>
          <w:sz w:val="22"/>
          <w:szCs w:val="22"/>
          <w:lang w:val="sr-Latn-ME"/>
        </w:rPr>
        <w:t xml:space="preserve">dio </w:t>
      </w:r>
      <w:r w:rsidRPr="0023595B">
        <w:rPr>
          <w:sz w:val="22"/>
          <w:szCs w:val="22"/>
          <w:lang w:val="sr-Latn-ME"/>
        </w:rPr>
        <w:t>4.8). Poseban oprez je potreban kod pacijenata sa slabo kontrolisanim glaukomom (ne ubrizgavati lijek Eylea ako je intraokularni pritisak ≥ 30 mmHg). U svim slučajevima moraju se kontrolisati intraokularni pritisak, kao i perfuzija papile optičkog nerva, i liječiti na odgovarajući način.</w:t>
      </w:r>
    </w:p>
    <w:p w14:paraId="55E96EC3" w14:textId="77777777" w:rsidR="00106B79" w:rsidRPr="0023595B" w:rsidRDefault="00106B79" w:rsidP="00106B79">
      <w:pPr>
        <w:tabs>
          <w:tab w:val="center" w:pos="4536"/>
          <w:tab w:val="right" w:pos="9072"/>
        </w:tabs>
        <w:jc w:val="both"/>
        <w:rPr>
          <w:sz w:val="22"/>
          <w:szCs w:val="22"/>
          <w:lang w:val="sr-Latn-ME"/>
        </w:rPr>
      </w:pPr>
    </w:p>
    <w:p w14:paraId="774B029C" w14:textId="77777777" w:rsidR="00106B79" w:rsidRPr="0023595B" w:rsidRDefault="00106B79" w:rsidP="00106B79">
      <w:pPr>
        <w:tabs>
          <w:tab w:val="center" w:pos="4536"/>
          <w:tab w:val="right" w:pos="9072"/>
        </w:tabs>
        <w:jc w:val="both"/>
        <w:rPr>
          <w:sz w:val="22"/>
          <w:szCs w:val="22"/>
          <w:u w:val="single"/>
          <w:lang w:val="sr-Latn-ME"/>
        </w:rPr>
      </w:pPr>
      <w:r w:rsidRPr="0023595B">
        <w:rPr>
          <w:sz w:val="22"/>
          <w:szCs w:val="22"/>
          <w:u w:val="single"/>
          <w:lang w:val="sr-Latn-ME"/>
        </w:rPr>
        <w:t>Imunogenost</w:t>
      </w:r>
    </w:p>
    <w:p w14:paraId="13B00E5D" w14:textId="03E825D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Kako je ovo protein koji se terapijski primjenjuje, postoji mogućnost za razvoj imunogenosti pri primjeni lijeka Eylea (vidjeti </w:t>
      </w:r>
      <w:r w:rsidR="004D7C5D" w:rsidRPr="0023595B">
        <w:rPr>
          <w:sz w:val="22"/>
          <w:szCs w:val="22"/>
          <w:lang w:val="sr-Latn-ME"/>
        </w:rPr>
        <w:t xml:space="preserve">dio </w:t>
      </w:r>
      <w:r w:rsidRPr="0023595B">
        <w:rPr>
          <w:sz w:val="22"/>
          <w:szCs w:val="22"/>
          <w:lang w:val="sr-Latn-ME"/>
        </w:rPr>
        <w:t xml:space="preserve">4.8). Pacijente treba uputiti da prijave znake ili simptome intraokularne inflamacije, npr. bol, fotofobiju, ili crvenilo, što mogu biti klinički znaci koji se mogu pripisati hipersenzitivnosti. </w:t>
      </w:r>
    </w:p>
    <w:p w14:paraId="6423CAA4" w14:textId="77777777" w:rsidR="00106B79" w:rsidRPr="0023595B" w:rsidRDefault="00106B79" w:rsidP="00106B79">
      <w:pPr>
        <w:tabs>
          <w:tab w:val="center" w:pos="4536"/>
          <w:tab w:val="right" w:pos="9072"/>
        </w:tabs>
        <w:jc w:val="both"/>
        <w:rPr>
          <w:sz w:val="22"/>
          <w:szCs w:val="22"/>
          <w:lang w:val="sr-Latn-ME"/>
        </w:rPr>
      </w:pPr>
    </w:p>
    <w:p w14:paraId="4C21F302" w14:textId="77777777" w:rsidR="00106B79" w:rsidRPr="0023595B" w:rsidRDefault="00106B79" w:rsidP="00106B79">
      <w:pPr>
        <w:tabs>
          <w:tab w:val="center" w:pos="4536"/>
          <w:tab w:val="right" w:pos="9072"/>
        </w:tabs>
        <w:jc w:val="both"/>
        <w:rPr>
          <w:sz w:val="22"/>
          <w:szCs w:val="22"/>
          <w:u w:val="single"/>
          <w:lang w:val="sr-Latn-ME"/>
        </w:rPr>
      </w:pPr>
      <w:r w:rsidRPr="0023595B">
        <w:rPr>
          <w:sz w:val="22"/>
          <w:szCs w:val="22"/>
          <w:u w:val="single"/>
          <w:lang w:val="sr-Latn-ME"/>
        </w:rPr>
        <w:t>Sistemska dejstva</w:t>
      </w:r>
    </w:p>
    <w:p w14:paraId="4D74701D"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Nakon intravitrealne injekcije VEGF inhibitora prijavljeni su sistemski neželjeni događaji, uključujući i krvarenja izvan oka i arterijsku tromboemboliju, i teorijski postoji rizik da se to može odnositi na VEGF </w:t>
      </w:r>
      <w:r w:rsidRPr="0023595B">
        <w:rPr>
          <w:sz w:val="22"/>
          <w:szCs w:val="22"/>
          <w:lang w:val="sr-Latn-ME"/>
        </w:rPr>
        <w:lastRenderedPageBreak/>
        <w:t>inhibiciju. Postoje ograničeni podaci o bezbjednosti primjene kod pacijenata sa CRVO, BRVO, DME ili CNV uzrokovanom miopijom koji u anamnezi imaju moždani udar ili tranzitorni ishemijski atak ili infarkt miokarda tokom posljednjih 6 mjeseci. Ove pacijente treba liječiti sa oprezom.</w:t>
      </w:r>
    </w:p>
    <w:p w14:paraId="06FDE0F4" w14:textId="77777777" w:rsidR="00106B79" w:rsidRPr="0023595B" w:rsidRDefault="00106B79" w:rsidP="00106B79">
      <w:pPr>
        <w:tabs>
          <w:tab w:val="center" w:pos="4536"/>
          <w:tab w:val="right" w:pos="9072"/>
        </w:tabs>
        <w:jc w:val="both"/>
        <w:rPr>
          <w:sz w:val="22"/>
          <w:szCs w:val="22"/>
          <w:lang w:val="sr-Latn-ME"/>
        </w:rPr>
      </w:pPr>
    </w:p>
    <w:p w14:paraId="54ABB101" w14:textId="77777777" w:rsidR="00106B79" w:rsidRPr="0023595B" w:rsidRDefault="00106B79" w:rsidP="00106B79">
      <w:pPr>
        <w:tabs>
          <w:tab w:val="center" w:pos="4536"/>
          <w:tab w:val="right" w:pos="9072"/>
        </w:tabs>
        <w:jc w:val="both"/>
        <w:rPr>
          <w:sz w:val="22"/>
          <w:szCs w:val="22"/>
          <w:u w:val="single"/>
          <w:lang w:val="sr-Latn-ME"/>
        </w:rPr>
      </w:pPr>
      <w:r w:rsidRPr="0023595B">
        <w:rPr>
          <w:sz w:val="22"/>
          <w:szCs w:val="22"/>
          <w:u w:val="single"/>
          <w:lang w:val="sr-Latn-ME"/>
        </w:rPr>
        <w:t>Ostalo</w:t>
      </w:r>
    </w:p>
    <w:p w14:paraId="59B24E53"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Kao i za druge intravitrealne anti-VEGF ljekove namijenjene za primjenu kod AMD, CRVO, BRVO, DME i CNV uzrokovane miopijom, važi sljedeće:</w:t>
      </w:r>
    </w:p>
    <w:p w14:paraId="2873B3A0" w14:textId="77777777" w:rsidR="00106B79" w:rsidRPr="0023595B" w:rsidRDefault="00106B79" w:rsidP="00106B79">
      <w:pPr>
        <w:tabs>
          <w:tab w:val="center" w:pos="4536"/>
          <w:tab w:val="right" w:pos="9072"/>
        </w:tabs>
        <w:jc w:val="both"/>
        <w:rPr>
          <w:sz w:val="22"/>
          <w:szCs w:val="22"/>
          <w:lang w:val="sr-Latn-ME"/>
        </w:rPr>
      </w:pPr>
    </w:p>
    <w:p w14:paraId="79BEC30F" w14:textId="27B0EC1A" w:rsidR="00106B79" w:rsidRPr="0023595B" w:rsidRDefault="00106B79" w:rsidP="00106B79">
      <w:pPr>
        <w:pStyle w:val="ListParagraph"/>
        <w:numPr>
          <w:ilvl w:val="0"/>
          <w:numId w:val="12"/>
        </w:numPr>
        <w:tabs>
          <w:tab w:val="clear" w:pos="284"/>
          <w:tab w:val="clear" w:pos="1080"/>
          <w:tab w:val="num" w:pos="286"/>
          <w:tab w:val="center" w:pos="4536"/>
          <w:tab w:val="right" w:pos="9072"/>
        </w:tabs>
        <w:ind w:left="286" w:hanging="270"/>
        <w:contextualSpacing w:val="0"/>
        <w:rPr>
          <w:szCs w:val="22"/>
          <w:lang w:val="sr-Latn-ME"/>
        </w:rPr>
      </w:pPr>
      <w:r w:rsidRPr="0023595B">
        <w:rPr>
          <w:szCs w:val="22"/>
          <w:lang w:val="sr-Latn-ME"/>
        </w:rPr>
        <w:t xml:space="preserve">Bezbjednost i efikasnost terapije lijekom Eylea pri istovremenoj primjeni u oba oka nije sistematski proučavana (vidjeti </w:t>
      </w:r>
      <w:r w:rsidR="004D7C5D" w:rsidRPr="0023595B">
        <w:rPr>
          <w:szCs w:val="22"/>
          <w:lang w:val="sr-Latn-ME"/>
        </w:rPr>
        <w:t xml:space="preserve">dio </w:t>
      </w:r>
      <w:r w:rsidRPr="0023595B">
        <w:rPr>
          <w:szCs w:val="22"/>
          <w:lang w:val="sr-Latn-ME"/>
        </w:rPr>
        <w:t>5.1). Ukoliko se terapija primjenjuje istovremeno u oba oka, može dovesti do veće sistemske izloženosti, koja može da poveća rizik od pojave sistemskih neželjenih događaja.</w:t>
      </w:r>
    </w:p>
    <w:p w14:paraId="264E10A9" w14:textId="619495DD" w:rsidR="00106B79" w:rsidRPr="0023595B" w:rsidRDefault="00106B79" w:rsidP="00106B79">
      <w:pPr>
        <w:pStyle w:val="ListParagraph"/>
        <w:numPr>
          <w:ilvl w:val="0"/>
          <w:numId w:val="12"/>
        </w:numPr>
        <w:tabs>
          <w:tab w:val="clear" w:pos="284"/>
          <w:tab w:val="clear" w:pos="1080"/>
          <w:tab w:val="num" w:pos="286"/>
          <w:tab w:val="center" w:pos="720"/>
          <w:tab w:val="right" w:pos="9072"/>
        </w:tabs>
        <w:ind w:left="286" w:hanging="270"/>
        <w:contextualSpacing w:val="0"/>
        <w:rPr>
          <w:szCs w:val="22"/>
          <w:lang w:val="sr-Latn-ME"/>
        </w:rPr>
      </w:pPr>
      <w:r w:rsidRPr="0023595B">
        <w:rPr>
          <w:szCs w:val="22"/>
          <w:lang w:val="sr-Latn-ME"/>
        </w:rPr>
        <w:t>Istovremena u</w:t>
      </w:r>
      <w:r w:rsidR="00A86301" w:rsidRPr="0023595B">
        <w:rPr>
          <w:szCs w:val="22"/>
          <w:lang w:val="sr-Latn-ME"/>
        </w:rPr>
        <w:t>p</w:t>
      </w:r>
      <w:r w:rsidRPr="0023595B">
        <w:rPr>
          <w:szCs w:val="22"/>
          <w:lang w:val="sr-Latn-ME"/>
        </w:rPr>
        <w:t xml:space="preserve">otreba druge anti-VEGF terapije (faktor rasta vaskularnog endotela). </w:t>
      </w:r>
    </w:p>
    <w:p w14:paraId="1BE1E0C3" w14:textId="77777777" w:rsidR="00106B79" w:rsidRPr="0023595B" w:rsidRDefault="00106B79" w:rsidP="00106B79">
      <w:pPr>
        <w:pStyle w:val="ListParagraph"/>
        <w:tabs>
          <w:tab w:val="clear" w:pos="284"/>
          <w:tab w:val="center" w:pos="720"/>
          <w:tab w:val="right" w:pos="9072"/>
        </w:tabs>
        <w:ind w:left="286"/>
        <w:contextualSpacing w:val="0"/>
        <w:rPr>
          <w:szCs w:val="22"/>
          <w:lang w:val="sr-Latn-ME"/>
        </w:rPr>
      </w:pPr>
      <w:r w:rsidRPr="0023595B">
        <w:rPr>
          <w:szCs w:val="22"/>
          <w:lang w:val="sr-Latn-ME"/>
        </w:rPr>
        <w:t>Nema raspoloživih podataka o istovremenoj upotrebi lijeka Eylea sa drugim anti-VEGF ljekovima (sistemskim ili okularnim).</w:t>
      </w:r>
    </w:p>
    <w:p w14:paraId="4378699D" w14:textId="6926B7BD" w:rsidR="00106B79" w:rsidRPr="0023595B" w:rsidRDefault="00106B79" w:rsidP="00106B79">
      <w:pPr>
        <w:pStyle w:val="ListParagraph"/>
        <w:numPr>
          <w:ilvl w:val="0"/>
          <w:numId w:val="12"/>
        </w:numPr>
        <w:tabs>
          <w:tab w:val="clear" w:pos="284"/>
          <w:tab w:val="clear" w:pos="1080"/>
          <w:tab w:val="num" w:pos="286"/>
          <w:tab w:val="center" w:pos="4536"/>
          <w:tab w:val="right" w:pos="9072"/>
        </w:tabs>
        <w:ind w:left="286" w:hanging="270"/>
        <w:contextualSpacing w:val="0"/>
        <w:rPr>
          <w:szCs w:val="22"/>
          <w:lang w:val="sr-Latn-ME"/>
        </w:rPr>
      </w:pPr>
      <w:r w:rsidRPr="0023595B">
        <w:rPr>
          <w:szCs w:val="22"/>
          <w:lang w:val="sr-Latn-ME"/>
        </w:rPr>
        <w:t>Faktori rizika povezani sa razvojem rasc</w:t>
      </w:r>
      <w:r w:rsidR="005C1EE0" w:rsidRPr="0023595B">
        <w:rPr>
          <w:szCs w:val="22"/>
          <w:lang w:val="sr-Latn-ME"/>
        </w:rPr>
        <w:t>i</w:t>
      </w:r>
      <w:r w:rsidRPr="0023595B">
        <w:rPr>
          <w:szCs w:val="22"/>
          <w:lang w:val="sr-Latn-ME"/>
        </w:rPr>
        <w:t>jepa pigmentnog epitela retine poslije primjene anti-VEGF terapije kod vlažne AMD, uključuju veliku i/ili visoku ablaciju pigmentnog epitela retine. Kada se započinje terapija lijekom Eylea, treba preduzeti mjere opreza kod pacijenata sa faktorima rizika za razvoj rasc</w:t>
      </w:r>
      <w:r w:rsidR="005C1EE0" w:rsidRPr="0023595B">
        <w:rPr>
          <w:szCs w:val="22"/>
          <w:lang w:val="sr-Latn-ME"/>
        </w:rPr>
        <w:t>i</w:t>
      </w:r>
      <w:r w:rsidRPr="0023595B">
        <w:rPr>
          <w:szCs w:val="22"/>
          <w:lang w:val="sr-Latn-ME"/>
        </w:rPr>
        <w:t>jepa pigmentnog epitela retine.</w:t>
      </w:r>
    </w:p>
    <w:p w14:paraId="7D787E87" w14:textId="77777777" w:rsidR="00106B79" w:rsidRPr="0023595B" w:rsidRDefault="00106B79" w:rsidP="00106B79">
      <w:pPr>
        <w:pStyle w:val="ListParagraph"/>
        <w:numPr>
          <w:ilvl w:val="0"/>
          <w:numId w:val="12"/>
        </w:numPr>
        <w:tabs>
          <w:tab w:val="clear" w:pos="284"/>
          <w:tab w:val="clear" w:pos="1080"/>
          <w:tab w:val="num" w:pos="286"/>
          <w:tab w:val="center" w:pos="4536"/>
          <w:tab w:val="right" w:pos="9072"/>
        </w:tabs>
        <w:ind w:left="286" w:hanging="270"/>
        <w:contextualSpacing w:val="0"/>
        <w:rPr>
          <w:szCs w:val="22"/>
          <w:lang w:val="sr-Latn-ME"/>
        </w:rPr>
      </w:pPr>
      <w:r w:rsidRPr="0023595B">
        <w:rPr>
          <w:szCs w:val="22"/>
          <w:lang w:val="sr-Latn-ME"/>
        </w:rPr>
        <w:t>Terapiju treba odložiti kod pacijenata sa regmatogenom ablacijom retine ili makularnim rupama 3. ili 4. stepena.</w:t>
      </w:r>
    </w:p>
    <w:p w14:paraId="129B00B9" w14:textId="77777777" w:rsidR="00106B79" w:rsidRPr="0023595B" w:rsidRDefault="00106B79" w:rsidP="00106B79">
      <w:pPr>
        <w:pStyle w:val="ListParagraph"/>
        <w:numPr>
          <w:ilvl w:val="0"/>
          <w:numId w:val="12"/>
        </w:numPr>
        <w:tabs>
          <w:tab w:val="clear" w:pos="284"/>
          <w:tab w:val="clear" w:pos="1080"/>
          <w:tab w:val="num" w:pos="286"/>
          <w:tab w:val="center" w:pos="4536"/>
          <w:tab w:val="right" w:pos="9072"/>
        </w:tabs>
        <w:ind w:left="286" w:hanging="270"/>
        <w:contextualSpacing w:val="0"/>
        <w:rPr>
          <w:szCs w:val="22"/>
          <w:lang w:val="sr-Latn-ME"/>
        </w:rPr>
      </w:pPr>
      <w:r w:rsidRPr="0023595B">
        <w:rPr>
          <w:szCs w:val="22"/>
          <w:lang w:val="sr-Latn-ME"/>
        </w:rPr>
        <w:t>U slučaju retinalnog rascijepa dozu treba odložiti, a terapiju ne treba nastavljati dok se rascijep adekvatno ne sanira.</w:t>
      </w:r>
    </w:p>
    <w:p w14:paraId="5F778076" w14:textId="77777777" w:rsidR="00106B79" w:rsidRPr="0023595B" w:rsidRDefault="00106B79" w:rsidP="00106B79">
      <w:pPr>
        <w:pStyle w:val="ListParagraph"/>
        <w:numPr>
          <w:ilvl w:val="0"/>
          <w:numId w:val="12"/>
        </w:numPr>
        <w:tabs>
          <w:tab w:val="clear" w:pos="284"/>
          <w:tab w:val="clear" w:pos="1080"/>
          <w:tab w:val="num" w:pos="286"/>
          <w:tab w:val="center" w:pos="4536"/>
          <w:tab w:val="right" w:pos="9072"/>
        </w:tabs>
        <w:ind w:left="286" w:hanging="270"/>
        <w:contextualSpacing w:val="0"/>
        <w:rPr>
          <w:szCs w:val="22"/>
          <w:lang w:val="sr-Latn-ME"/>
        </w:rPr>
      </w:pPr>
      <w:r w:rsidRPr="0023595B">
        <w:rPr>
          <w:szCs w:val="22"/>
          <w:lang w:val="sr-Latn-ME"/>
        </w:rPr>
        <w:t>Dozu treba odložiti, a terapiju ne treba nastavljati prije sljedećeg zakazanog termina terapije u slučaju:</w:t>
      </w:r>
    </w:p>
    <w:p w14:paraId="0688251C" w14:textId="0FAA6826" w:rsidR="00106B79" w:rsidRPr="0023595B" w:rsidRDefault="00106B79" w:rsidP="00106B79">
      <w:pPr>
        <w:pStyle w:val="ListParagraph"/>
        <w:numPr>
          <w:ilvl w:val="4"/>
          <w:numId w:val="12"/>
        </w:numPr>
        <w:tabs>
          <w:tab w:val="clear" w:pos="284"/>
          <w:tab w:val="clear" w:pos="3960"/>
          <w:tab w:val="num" w:pos="556"/>
          <w:tab w:val="right" w:pos="9072"/>
        </w:tabs>
        <w:ind w:left="556" w:hanging="270"/>
        <w:contextualSpacing w:val="0"/>
        <w:rPr>
          <w:szCs w:val="22"/>
          <w:lang w:val="sr-Latn-ME"/>
        </w:rPr>
      </w:pPr>
      <w:r w:rsidRPr="0023595B">
        <w:rPr>
          <w:szCs w:val="22"/>
          <w:lang w:val="sr-Latn-ME"/>
        </w:rPr>
        <w:t>smanjene najbolje korigovane oštrine vida (eng</w:t>
      </w:r>
      <w:r w:rsidR="00A86301" w:rsidRPr="0023595B">
        <w:rPr>
          <w:szCs w:val="22"/>
          <w:lang w:val="sr-Latn-ME"/>
        </w:rPr>
        <w:t>l</w:t>
      </w:r>
      <w:r w:rsidRPr="0023595B">
        <w:rPr>
          <w:szCs w:val="22"/>
          <w:lang w:val="sr-Latn-ME"/>
        </w:rPr>
        <w:t xml:space="preserve">. </w:t>
      </w:r>
      <w:r w:rsidRPr="0023595B">
        <w:rPr>
          <w:i/>
          <w:szCs w:val="22"/>
          <w:lang w:val="sr-Latn-ME"/>
        </w:rPr>
        <w:t>best corrected visual acuity</w:t>
      </w:r>
      <w:r w:rsidRPr="0023595B">
        <w:rPr>
          <w:szCs w:val="22"/>
          <w:lang w:val="sr-Latn-ME"/>
        </w:rPr>
        <w:t xml:space="preserve"> (BCVA)) od ≥ 30 slova, u poređenju sa posljednjom procjenom oštrine vida;</w:t>
      </w:r>
    </w:p>
    <w:p w14:paraId="3004486A" w14:textId="77777777" w:rsidR="00106B79" w:rsidRPr="0023595B" w:rsidRDefault="00106B79" w:rsidP="00106B79">
      <w:pPr>
        <w:pStyle w:val="ListParagraph"/>
        <w:numPr>
          <w:ilvl w:val="4"/>
          <w:numId w:val="12"/>
        </w:numPr>
        <w:tabs>
          <w:tab w:val="clear" w:pos="284"/>
          <w:tab w:val="clear" w:pos="3960"/>
          <w:tab w:val="num" w:pos="556"/>
          <w:tab w:val="right" w:pos="9072"/>
        </w:tabs>
        <w:ind w:left="556" w:hanging="270"/>
        <w:contextualSpacing w:val="0"/>
        <w:rPr>
          <w:szCs w:val="22"/>
          <w:lang w:val="sr-Latn-ME"/>
        </w:rPr>
      </w:pPr>
      <w:r w:rsidRPr="0023595B">
        <w:rPr>
          <w:szCs w:val="22"/>
          <w:lang w:val="sr-Latn-ME"/>
        </w:rPr>
        <w:t>subretinalne hemoragije koja zahvata centar fovee, ili ako je veličina hemoragije ≥ 50% ukupne površine lezije.</w:t>
      </w:r>
    </w:p>
    <w:p w14:paraId="2F5AC88D" w14:textId="77777777" w:rsidR="00106B79" w:rsidRPr="0023595B" w:rsidRDefault="00106B79" w:rsidP="00106B79">
      <w:pPr>
        <w:pStyle w:val="ListParagraph"/>
        <w:numPr>
          <w:ilvl w:val="0"/>
          <w:numId w:val="12"/>
        </w:numPr>
        <w:tabs>
          <w:tab w:val="clear" w:pos="284"/>
          <w:tab w:val="clear" w:pos="1080"/>
          <w:tab w:val="num" w:pos="286"/>
          <w:tab w:val="center" w:pos="4536"/>
          <w:tab w:val="right" w:pos="9072"/>
        </w:tabs>
        <w:ind w:left="286" w:hanging="270"/>
        <w:contextualSpacing w:val="0"/>
        <w:rPr>
          <w:szCs w:val="22"/>
          <w:lang w:val="sr-Latn-ME"/>
        </w:rPr>
      </w:pPr>
      <w:r w:rsidRPr="0023595B">
        <w:rPr>
          <w:szCs w:val="22"/>
          <w:lang w:val="sr-Latn-ME"/>
        </w:rPr>
        <w:t>Dozu ne treba primjenjivati u periodu od 28 dana prije planirane ili nakon izvršene intraokularne hirurške intervencije.</w:t>
      </w:r>
    </w:p>
    <w:p w14:paraId="48CC8BFC" w14:textId="1C461AA0" w:rsidR="00106B79" w:rsidRPr="0023595B" w:rsidRDefault="00106B79" w:rsidP="00106B79">
      <w:pPr>
        <w:pStyle w:val="ListParagraph"/>
        <w:numPr>
          <w:ilvl w:val="0"/>
          <w:numId w:val="12"/>
        </w:numPr>
        <w:tabs>
          <w:tab w:val="clear" w:pos="284"/>
          <w:tab w:val="clear" w:pos="1080"/>
          <w:tab w:val="num" w:pos="286"/>
          <w:tab w:val="center" w:pos="4536"/>
          <w:tab w:val="right" w:pos="9072"/>
        </w:tabs>
        <w:ind w:left="286" w:hanging="270"/>
        <w:rPr>
          <w:szCs w:val="22"/>
          <w:lang w:val="sr-Latn-ME" w:eastAsia="sr-Latn-RS"/>
        </w:rPr>
      </w:pPr>
      <w:r w:rsidRPr="0023595B">
        <w:rPr>
          <w:szCs w:val="22"/>
          <w:lang w:val="sr-Latn-ME" w:eastAsia="sr-Latn-RS"/>
        </w:rPr>
        <w:t xml:space="preserve">Lijek Eylea ne treba primjenjivati tokom trudnoće osim ako potencijalna korist od terapije nadmašuje potencijalni rizik za fetus (vidjeti </w:t>
      </w:r>
      <w:r w:rsidR="004D7C5D" w:rsidRPr="0023595B">
        <w:rPr>
          <w:szCs w:val="22"/>
          <w:lang w:val="sr-Latn-ME" w:eastAsia="sr-Latn-RS"/>
        </w:rPr>
        <w:t xml:space="preserve">dio </w:t>
      </w:r>
      <w:r w:rsidRPr="0023595B">
        <w:rPr>
          <w:szCs w:val="22"/>
          <w:lang w:val="sr-Latn-ME" w:eastAsia="sr-Latn-RS"/>
        </w:rPr>
        <w:t xml:space="preserve">4.6). </w:t>
      </w:r>
    </w:p>
    <w:p w14:paraId="6A231651" w14:textId="5AAA9F7E" w:rsidR="00106B79" w:rsidRPr="0023595B" w:rsidRDefault="00106B79" w:rsidP="00106B79">
      <w:pPr>
        <w:pStyle w:val="ListParagraph"/>
        <w:numPr>
          <w:ilvl w:val="0"/>
          <w:numId w:val="12"/>
        </w:numPr>
        <w:tabs>
          <w:tab w:val="clear" w:pos="284"/>
          <w:tab w:val="clear" w:pos="1080"/>
          <w:tab w:val="num" w:pos="286"/>
          <w:tab w:val="center" w:pos="4536"/>
          <w:tab w:val="right" w:pos="9072"/>
        </w:tabs>
        <w:ind w:left="286" w:hanging="270"/>
        <w:rPr>
          <w:szCs w:val="22"/>
          <w:lang w:val="sr-Latn-ME" w:eastAsia="sr-Latn-RS"/>
        </w:rPr>
      </w:pPr>
      <w:r w:rsidRPr="0023595B">
        <w:rPr>
          <w:szCs w:val="22"/>
          <w:lang w:val="sr-Latn-ME" w:eastAsia="sr-Latn-RS"/>
        </w:rPr>
        <w:t xml:space="preserve">Žene u reproduktivnom periodu moraju koristiti efektivnu metodu kontracepcije tokom terapije i još najmanje 3 mjeseca nakon posljednje intravitrealne injekcije aflibercepta (vidjeti </w:t>
      </w:r>
      <w:r w:rsidR="004D7C5D" w:rsidRPr="0023595B">
        <w:rPr>
          <w:szCs w:val="22"/>
          <w:lang w:val="sr-Latn-ME" w:eastAsia="sr-Latn-RS"/>
        </w:rPr>
        <w:t xml:space="preserve">dio </w:t>
      </w:r>
      <w:r w:rsidRPr="0023595B">
        <w:rPr>
          <w:szCs w:val="22"/>
          <w:lang w:val="sr-Latn-ME" w:eastAsia="sr-Latn-RS"/>
        </w:rPr>
        <w:t>4.6).</w:t>
      </w:r>
    </w:p>
    <w:p w14:paraId="5F1BFE1C" w14:textId="77777777" w:rsidR="00106B79" w:rsidRPr="0023595B" w:rsidRDefault="00106B79" w:rsidP="00106B79">
      <w:pPr>
        <w:pStyle w:val="ListParagraph"/>
        <w:numPr>
          <w:ilvl w:val="0"/>
          <w:numId w:val="12"/>
        </w:numPr>
        <w:tabs>
          <w:tab w:val="clear" w:pos="284"/>
          <w:tab w:val="clear" w:pos="1080"/>
          <w:tab w:val="num" w:pos="286"/>
          <w:tab w:val="center" w:pos="4536"/>
          <w:tab w:val="right" w:pos="9072"/>
        </w:tabs>
        <w:ind w:left="286" w:hanging="270"/>
        <w:rPr>
          <w:szCs w:val="22"/>
          <w:lang w:val="sr-Latn-ME" w:eastAsia="sr-Latn-RS"/>
        </w:rPr>
      </w:pPr>
      <w:r w:rsidRPr="0023595B">
        <w:rPr>
          <w:szCs w:val="22"/>
          <w:lang w:val="sr-Latn-ME" w:eastAsia="sr-Latn-RS"/>
        </w:rPr>
        <w:t>Iskustva u terapiji pacijenata sa ishemijskim CRVO i BRVO su ograničena. Kod pacijenata koji pokazuju kliničke znake ireverzibilnog ishemijskog gubitka funkcije vida liječenje se ne preporučuje.</w:t>
      </w:r>
    </w:p>
    <w:p w14:paraId="4FF06C76" w14:textId="77777777" w:rsidR="00106B79" w:rsidRPr="0023595B" w:rsidRDefault="00106B79" w:rsidP="00106B79">
      <w:pPr>
        <w:tabs>
          <w:tab w:val="center" w:pos="4536"/>
          <w:tab w:val="right" w:pos="9072"/>
        </w:tabs>
        <w:contextualSpacing/>
        <w:jc w:val="both"/>
        <w:rPr>
          <w:sz w:val="22"/>
          <w:szCs w:val="22"/>
          <w:lang w:val="sr-Latn-ME" w:eastAsia="sr-Latn-RS"/>
        </w:rPr>
      </w:pPr>
    </w:p>
    <w:p w14:paraId="557DC11C" w14:textId="77777777" w:rsidR="00106B79" w:rsidRPr="0023595B" w:rsidRDefault="00106B79" w:rsidP="00106B79">
      <w:pPr>
        <w:tabs>
          <w:tab w:val="center" w:pos="4536"/>
          <w:tab w:val="right" w:pos="9072"/>
        </w:tabs>
        <w:contextualSpacing/>
        <w:jc w:val="both"/>
        <w:rPr>
          <w:sz w:val="22"/>
          <w:szCs w:val="22"/>
          <w:u w:val="single"/>
          <w:lang w:val="sr-Latn-ME" w:eastAsia="sr-Latn-RS"/>
        </w:rPr>
      </w:pPr>
      <w:r w:rsidRPr="0023595B">
        <w:rPr>
          <w:sz w:val="22"/>
          <w:szCs w:val="22"/>
          <w:u w:val="single"/>
          <w:lang w:val="sr-Latn-ME" w:eastAsia="sr-Latn-RS"/>
        </w:rPr>
        <w:t>Populacije sa ograničenim podacima</w:t>
      </w:r>
    </w:p>
    <w:p w14:paraId="54662BA2" w14:textId="77777777" w:rsidR="00106B79" w:rsidRPr="0023595B" w:rsidRDefault="00106B79" w:rsidP="00106B79">
      <w:pPr>
        <w:tabs>
          <w:tab w:val="center" w:pos="4536"/>
          <w:tab w:val="right" w:pos="9072"/>
        </w:tabs>
        <w:contextualSpacing/>
        <w:jc w:val="both"/>
        <w:rPr>
          <w:sz w:val="22"/>
          <w:szCs w:val="22"/>
          <w:lang w:val="sr-Latn-ME" w:eastAsia="sr-Latn-RS"/>
        </w:rPr>
      </w:pPr>
      <w:r w:rsidRPr="0023595B">
        <w:rPr>
          <w:sz w:val="22"/>
          <w:szCs w:val="22"/>
          <w:lang w:val="sr-Latn-ME" w:eastAsia="sr-Latn-RS"/>
        </w:rPr>
        <w:t>Postoje samo ograničeni podaci o terapiji DME kod osoba sa dijabetesom tipa I ili kod pacijenata sa dijabetesom i HbA1c preko 12% ili sa proliferativnom dijabetičkom retinopatijom.</w:t>
      </w:r>
    </w:p>
    <w:p w14:paraId="6EA4C53C" w14:textId="77777777" w:rsidR="00106B79" w:rsidRPr="0023595B" w:rsidRDefault="00106B79" w:rsidP="00106B79">
      <w:pPr>
        <w:tabs>
          <w:tab w:val="center" w:pos="4536"/>
          <w:tab w:val="right" w:pos="9072"/>
        </w:tabs>
        <w:contextualSpacing/>
        <w:jc w:val="both"/>
        <w:rPr>
          <w:sz w:val="22"/>
          <w:szCs w:val="22"/>
          <w:lang w:val="sr-Latn-ME" w:eastAsia="sr-Latn-RS"/>
        </w:rPr>
      </w:pPr>
      <w:r w:rsidRPr="0023595B">
        <w:rPr>
          <w:sz w:val="22"/>
          <w:szCs w:val="22"/>
          <w:lang w:val="sr-Latn-ME" w:eastAsia="sr-Latn-RS"/>
        </w:rPr>
        <w:t>Ne postoje ispitivanja o primjeni lijeka Eylea kod pacijenata sa akutnim sistemskim infekcijama ili kod pacijenta sa već postojećim drugim oboljenjima oka, kao što je ablacija retine ili ruptura makule. Takođe, ne postoje podaci o primjeni lijeka Eylea kod pacijenata sa dijabetesom koji imaju nekontrolisanu hipertenziju. Ljekar treba da uzme u obzir nedostatak podataka, pri liječenju ovih pacijenata.</w:t>
      </w:r>
    </w:p>
    <w:p w14:paraId="422F7167" w14:textId="77777777" w:rsidR="00106B79" w:rsidRPr="0023595B" w:rsidRDefault="00106B79" w:rsidP="00106B79">
      <w:pPr>
        <w:tabs>
          <w:tab w:val="center" w:pos="4536"/>
          <w:tab w:val="right" w:pos="9072"/>
        </w:tabs>
        <w:contextualSpacing/>
        <w:jc w:val="both"/>
        <w:rPr>
          <w:sz w:val="22"/>
          <w:szCs w:val="22"/>
          <w:lang w:val="sr-Latn-ME" w:eastAsia="sr-Latn-RS"/>
        </w:rPr>
      </w:pPr>
    </w:p>
    <w:p w14:paraId="311E57C2" w14:textId="6D4FBACB" w:rsidR="00106B79" w:rsidRPr="0023595B" w:rsidRDefault="00106B79" w:rsidP="00106B79">
      <w:pPr>
        <w:pStyle w:val="ListParagraph"/>
        <w:tabs>
          <w:tab w:val="center" w:pos="720"/>
          <w:tab w:val="right" w:pos="9072"/>
        </w:tabs>
        <w:ind w:left="0"/>
        <w:rPr>
          <w:szCs w:val="22"/>
          <w:lang w:val="sr-Latn-ME"/>
        </w:rPr>
      </w:pPr>
      <w:r w:rsidRPr="0023595B">
        <w:rPr>
          <w:szCs w:val="22"/>
          <w:lang w:val="sr-Latn-ME"/>
        </w:rPr>
        <w:t>Nema iskustva o primjeni lijeka Eylea u terapiji CNV uzrokovane miopijom kod pacijenata koji nijesu azijskog porijekla, kod pacijenata koji su prethodno već bili podvrgnuti terapiji CNV uzrokovane miopijom, kao ni kod pacijenata sa lezijama izvan fovee.</w:t>
      </w:r>
    </w:p>
    <w:p w14:paraId="26BDEA2B" w14:textId="5ECD472A" w:rsidR="00D55718" w:rsidRPr="0023595B" w:rsidRDefault="00D55718" w:rsidP="00106B79">
      <w:pPr>
        <w:pStyle w:val="ListParagraph"/>
        <w:tabs>
          <w:tab w:val="center" w:pos="720"/>
          <w:tab w:val="right" w:pos="9072"/>
        </w:tabs>
        <w:ind w:left="0"/>
        <w:rPr>
          <w:szCs w:val="22"/>
          <w:lang w:val="sr-Latn-ME"/>
        </w:rPr>
      </w:pPr>
    </w:p>
    <w:p w14:paraId="5BBA724C" w14:textId="3072B87A" w:rsidR="00D55718" w:rsidRPr="003801CF" w:rsidRDefault="00D55718" w:rsidP="00D55718">
      <w:pPr>
        <w:tabs>
          <w:tab w:val="center" w:pos="720"/>
          <w:tab w:val="right" w:pos="9072"/>
        </w:tabs>
        <w:rPr>
          <w:sz w:val="22"/>
          <w:szCs w:val="22"/>
          <w:u w:val="single"/>
          <w:lang w:val="sr-Latn-ME"/>
        </w:rPr>
      </w:pPr>
      <w:r w:rsidRPr="003801CF">
        <w:rPr>
          <w:sz w:val="22"/>
          <w:szCs w:val="22"/>
          <w:u w:val="single"/>
          <w:lang w:val="sr-Latn-ME"/>
        </w:rPr>
        <w:t>Informacije o ekscipijensima</w:t>
      </w:r>
    </w:p>
    <w:p w14:paraId="124820AF" w14:textId="77777777" w:rsidR="0025214D" w:rsidRDefault="00D55718" w:rsidP="00480FB1">
      <w:pPr>
        <w:tabs>
          <w:tab w:val="left" w:pos="540"/>
          <w:tab w:val="left" w:pos="569"/>
        </w:tabs>
        <w:rPr>
          <w:sz w:val="22"/>
          <w:szCs w:val="22"/>
          <w:lang w:val="sr-Latn-ME"/>
        </w:rPr>
      </w:pPr>
      <w:r w:rsidRPr="00587D79">
        <w:rPr>
          <w:sz w:val="22"/>
          <w:szCs w:val="22"/>
          <w:lang w:val="sr-Latn-ME"/>
        </w:rPr>
        <w:t xml:space="preserve">Ovaj lijek sadrži </w:t>
      </w:r>
    </w:p>
    <w:p w14:paraId="702FC7FF" w14:textId="77777777" w:rsidR="009133FC" w:rsidRDefault="00D55718" w:rsidP="003801CF">
      <w:pPr>
        <w:pStyle w:val="ListParagraph"/>
        <w:numPr>
          <w:ilvl w:val="0"/>
          <w:numId w:val="26"/>
        </w:numPr>
        <w:tabs>
          <w:tab w:val="left" w:pos="426"/>
          <w:tab w:val="left" w:pos="540"/>
        </w:tabs>
        <w:ind w:hanging="720"/>
        <w:rPr>
          <w:szCs w:val="22"/>
          <w:lang w:val="sr-Latn-ME"/>
        </w:rPr>
      </w:pPr>
      <w:r w:rsidRPr="003801CF">
        <w:rPr>
          <w:szCs w:val="22"/>
          <w:lang w:val="sr-Latn-ME"/>
        </w:rPr>
        <w:t>manje od 1 mmol natrijuma (23 mg) po dozi, tj. suštinski je „bez natrijuma“</w:t>
      </w:r>
    </w:p>
    <w:p w14:paraId="7419710F" w14:textId="2F9C2A3C" w:rsidR="00057E35" w:rsidRPr="003801CF" w:rsidRDefault="009133FC" w:rsidP="003801CF">
      <w:pPr>
        <w:pStyle w:val="ListParagraph"/>
        <w:numPr>
          <w:ilvl w:val="0"/>
          <w:numId w:val="26"/>
        </w:numPr>
        <w:tabs>
          <w:tab w:val="left" w:pos="426"/>
          <w:tab w:val="left" w:pos="540"/>
        </w:tabs>
        <w:ind w:left="284" w:hanging="284"/>
        <w:rPr>
          <w:szCs w:val="22"/>
          <w:lang w:val="sr-Latn-ME"/>
        </w:rPr>
      </w:pPr>
      <w:r>
        <w:rPr>
          <w:szCs w:val="22"/>
          <w:lang w:val="sr-Latn-ME"/>
        </w:rPr>
        <w:t xml:space="preserve">0,015 mg polisorbata 20 </w:t>
      </w:r>
      <w:r w:rsidR="00F32717">
        <w:rPr>
          <w:szCs w:val="22"/>
          <w:lang w:val="sr-Latn-ME"/>
        </w:rPr>
        <w:t>u jednoj dozi od 0,05 ml, što odgovara 0,3 mg/ml. Polisorbati mogu prouzrokovati alergijske reakcije</w:t>
      </w:r>
      <w:r w:rsidR="00D55718" w:rsidRPr="003801CF">
        <w:rPr>
          <w:szCs w:val="22"/>
          <w:lang w:val="sr-Latn-ME"/>
        </w:rPr>
        <w:t>.</w:t>
      </w:r>
    </w:p>
    <w:p w14:paraId="733ECA62" w14:textId="02C1E682" w:rsidR="00EC7C5B" w:rsidRDefault="00EC7C5B" w:rsidP="00EE3B6D">
      <w:pPr>
        <w:tabs>
          <w:tab w:val="left" w:pos="540"/>
          <w:tab w:val="left" w:pos="569"/>
        </w:tabs>
        <w:jc w:val="both"/>
        <w:rPr>
          <w:bCs/>
          <w:sz w:val="22"/>
          <w:szCs w:val="22"/>
          <w:lang w:val="sr-Latn-ME"/>
        </w:rPr>
      </w:pPr>
    </w:p>
    <w:p w14:paraId="63B4A83F" w14:textId="77777777" w:rsidR="00BE4DA2" w:rsidRPr="0023595B" w:rsidRDefault="00BE4DA2" w:rsidP="00EE3B6D">
      <w:pPr>
        <w:tabs>
          <w:tab w:val="left" w:pos="540"/>
          <w:tab w:val="left" w:pos="569"/>
        </w:tabs>
        <w:jc w:val="both"/>
        <w:rPr>
          <w:bCs/>
          <w:sz w:val="22"/>
          <w:szCs w:val="22"/>
          <w:lang w:val="sr-Latn-ME"/>
        </w:rPr>
      </w:pPr>
    </w:p>
    <w:p w14:paraId="0F134683" w14:textId="77777777" w:rsidR="00411B4B" w:rsidRPr="0023595B" w:rsidRDefault="00411B4B" w:rsidP="00480FB1">
      <w:pPr>
        <w:tabs>
          <w:tab w:val="left" w:pos="540"/>
          <w:tab w:val="left" w:pos="569"/>
        </w:tabs>
        <w:rPr>
          <w:b/>
          <w:bCs/>
          <w:sz w:val="22"/>
          <w:szCs w:val="22"/>
          <w:lang w:val="sr-Latn-ME"/>
        </w:rPr>
      </w:pPr>
      <w:r w:rsidRPr="0023595B">
        <w:rPr>
          <w:b/>
          <w:bCs/>
          <w:sz w:val="22"/>
          <w:szCs w:val="22"/>
          <w:lang w:val="sr-Latn-ME"/>
        </w:rPr>
        <w:lastRenderedPageBreak/>
        <w:t>4.5.</w:t>
      </w:r>
      <w:r w:rsidR="000D60CC" w:rsidRPr="0023595B">
        <w:rPr>
          <w:b/>
          <w:bCs/>
          <w:sz w:val="22"/>
          <w:szCs w:val="22"/>
          <w:lang w:val="sr-Latn-ME"/>
        </w:rPr>
        <w:tab/>
      </w:r>
      <w:r w:rsidRPr="0023595B">
        <w:rPr>
          <w:b/>
          <w:bCs/>
          <w:sz w:val="22"/>
          <w:szCs w:val="22"/>
          <w:lang w:val="sr-Latn-ME"/>
        </w:rPr>
        <w:t>Interakcije sa drugim ljekovima i druge vrste interakcija</w:t>
      </w:r>
    </w:p>
    <w:p w14:paraId="7184BF04" w14:textId="77777777" w:rsidR="0072020E" w:rsidRPr="0023595B" w:rsidRDefault="0072020E" w:rsidP="00480FB1">
      <w:pPr>
        <w:tabs>
          <w:tab w:val="left" w:pos="540"/>
          <w:tab w:val="left" w:pos="569"/>
        </w:tabs>
        <w:rPr>
          <w:bCs/>
          <w:sz w:val="22"/>
          <w:szCs w:val="22"/>
          <w:lang w:val="sr-Latn-ME"/>
        </w:rPr>
      </w:pPr>
    </w:p>
    <w:p w14:paraId="0CA0FBD6" w14:textId="77777777" w:rsidR="00106B79" w:rsidRPr="0023595B" w:rsidRDefault="00106B79" w:rsidP="00106B79">
      <w:pPr>
        <w:jc w:val="both"/>
        <w:rPr>
          <w:sz w:val="22"/>
          <w:szCs w:val="22"/>
          <w:lang w:val="sr-Latn-ME"/>
        </w:rPr>
      </w:pPr>
      <w:r w:rsidRPr="0023595B">
        <w:rPr>
          <w:sz w:val="22"/>
          <w:szCs w:val="22"/>
          <w:lang w:val="sr-Latn-ME"/>
        </w:rPr>
        <w:t>Nijesu sprovedena ispitivanja interakcija sa drugim ljekovima.</w:t>
      </w:r>
    </w:p>
    <w:p w14:paraId="16E9EC21" w14:textId="77777777" w:rsidR="00106B79" w:rsidRPr="0023595B" w:rsidRDefault="00106B79" w:rsidP="00106B79">
      <w:pPr>
        <w:jc w:val="both"/>
        <w:rPr>
          <w:sz w:val="22"/>
          <w:szCs w:val="22"/>
          <w:lang w:val="sr-Latn-ME"/>
        </w:rPr>
      </w:pPr>
    </w:p>
    <w:p w14:paraId="271467FC" w14:textId="77777777" w:rsidR="00106B79" w:rsidRPr="0023595B" w:rsidRDefault="00106B79" w:rsidP="00106B79">
      <w:pPr>
        <w:jc w:val="both"/>
        <w:rPr>
          <w:sz w:val="22"/>
          <w:szCs w:val="22"/>
          <w:lang w:val="sr-Latn-ME"/>
        </w:rPr>
      </w:pPr>
      <w:r w:rsidRPr="0023595B">
        <w:rPr>
          <w:sz w:val="22"/>
          <w:szCs w:val="22"/>
          <w:lang w:val="sr-Latn-ME"/>
        </w:rPr>
        <w:t>Dopunska primjena fotodinamske terapije (PDT) verteporfinom uz lijek Eylea nije ispitana, zbog toga bezbjednosni profil nije ustanovljen.</w:t>
      </w:r>
    </w:p>
    <w:p w14:paraId="54E5F8A6" w14:textId="77777777" w:rsidR="00106B79" w:rsidRPr="0023595B" w:rsidRDefault="00106B79" w:rsidP="00480FB1">
      <w:pPr>
        <w:tabs>
          <w:tab w:val="left" w:pos="540"/>
          <w:tab w:val="left" w:pos="569"/>
        </w:tabs>
        <w:rPr>
          <w:bCs/>
          <w:sz w:val="22"/>
          <w:szCs w:val="22"/>
          <w:lang w:val="sr-Latn-ME"/>
        </w:rPr>
      </w:pPr>
    </w:p>
    <w:p w14:paraId="1580EACC" w14:textId="77777777" w:rsidR="0072020E" w:rsidRPr="0023595B" w:rsidRDefault="0072020E" w:rsidP="00480FB1">
      <w:pPr>
        <w:tabs>
          <w:tab w:val="left" w:pos="540"/>
          <w:tab w:val="left" w:pos="569"/>
        </w:tabs>
        <w:rPr>
          <w:b/>
          <w:sz w:val="22"/>
          <w:szCs w:val="22"/>
          <w:lang w:val="sr-Latn-ME"/>
        </w:rPr>
      </w:pPr>
      <w:r w:rsidRPr="0023595B">
        <w:rPr>
          <w:b/>
          <w:bCs/>
          <w:sz w:val="22"/>
          <w:szCs w:val="22"/>
          <w:lang w:val="sr-Latn-ME"/>
        </w:rPr>
        <w:t xml:space="preserve">4.6. </w:t>
      </w:r>
      <w:r w:rsidR="00480FB1" w:rsidRPr="0023595B">
        <w:rPr>
          <w:b/>
          <w:bCs/>
          <w:sz w:val="22"/>
          <w:szCs w:val="22"/>
          <w:lang w:val="sr-Latn-ME"/>
        </w:rPr>
        <w:tab/>
      </w:r>
      <w:r w:rsidR="006D20A5" w:rsidRPr="0023595B">
        <w:rPr>
          <w:b/>
          <w:sz w:val="22"/>
          <w:szCs w:val="22"/>
          <w:lang w:val="sr-Latn-ME"/>
        </w:rPr>
        <w:t>Plodnost, trudnoća i dojenje</w:t>
      </w:r>
    </w:p>
    <w:p w14:paraId="0DBC5C92" w14:textId="77777777" w:rsidR="002031B3" w:rsidRPr="0023595B" w:rsidRDefault="002031B3" w:rsidP="00106B79">
      <w:pPr>
        <w:tabs>
          <w:tab w:val="left" w:pos="540"/>
          <w:tab w:val="left" w:pos="569"/>
        </w:tabs>
        <w:jc w:val="both"/>
        <w:rPr>
          <w:sz w:val="22"/>
          <w:szCs w:val="22"/>
          <w:u w:val="single"/>
          <w:lang w:val="sr-Latn-ME"/>
        </w:rPr>
      </w:pPr>
    </w:p>
    <w:p w14:paraId="0E37F2F5" w14:textId="77777777" w:rsidR="00106B79" w:rsidRPr="0023595B" w:rsidRDefault="00106B79" w:rsidP="00106B79">
      <w:pPr>
        <w:tabs>
          <w:tab w:val="center" w:pos="4536"/>
          <w:tab w:val="right" w:pos="9072"/>
        </w:tabs>
        <w:jc w:val="both"/>
        <w:rPr>
          <w:sz w:val="22"/>
          <w:szCs w:val="22"/>
          <w:u w:val="single"/>
          <w:lang w:val="sr-Latn-ME" w:eastAsia="sr-Latn-RS"/>
        </w:rPr>
      </w:pPr>
      <w:r w:rsidRPr="0023595B">
        <w:rPr>
          <w:sz w:val="22"/>
          <w:szCs w:val="22"/>
          <w:u w:val="single"/>
          <w:lang w:val="sr-Latn-ME" w:eastAsia="sr-Latn-RS"/>
        </w:rPr>
        <w:t>Žene u reproduktivnom periodu</w:t>
      </w:r>
    </w:p>
    <w:p w14:paraId="13705109" w14:textId="04BE53FF" w:rsidR="00106B79" w:rsidRPr="0023595B" w:rsidRDefault="00106B79" w:rsidP="00106B79">
      <w:pPr>
        <w:tabs>
          <w:tab w:val="center" w:pos="4536"/>
          <w:tab w:val="right" w:pos="9072"/>
        </w:tabs>
        <w:jc w:val="both"/>
        <w:rPr>
          <w:sz w:val="22"/>
          <w:szCs w:val="22"/>
          <w:lang w:val="sr-Latn-ME" w:eastAsia="sr-Latn-RS"/>
        </w:rPr>
      </w:pPr>
      <w:r w:rsidRPr="0023595B">
        <w:rPr>
          <w:sz w:val="22"/>
          <w:szCs w:val="22"/>
          <w:lang w:val="sr-Latn-ME" w:eastAsia="sr-Latn-RS"/>
        </w:rPr>
        <w:t xml:space="preserve">Žene u reproduktivnom periodu treba da koriste efektivnu metodu kontracepcije tokom terapije i još najmanje 3 mjeseca nakon posljednje intravitrealne injekcije aflibercepta (vidjeti </w:t>
      </w:r>
      <w:r w:rsidR="004D7C5D" w:rsidRPr="0023595B">
        <w:rPr>
          <w:sz w:val="22"/>
          <w:szCs w:val="22"/>
          <w:lang w:val="sr-Latn-ME" w:eastAsia="sr-Latn-RS"/>
        </w:rPr>
        <w:t xml:space="preserve">dio </w:t>
      </w:r>
      <w:r w:rsidRPr="0023595B">
        <w:rPr>
          <w:sz w:val="22"/>
          <w:szCs w:val="22"/>
          <w:lang w:val="sr-Latn-ME" w:eastAsia="sr-Latn-RS"/>
        </w:rPr>
        <w:t>4.4)</w:t>
      </w:r>
    </w:p>
    <w:p w14:paraId="56E18A4E" w14:textId="77777777" w:rsidR="00106B79" w:rsidRPr="0023595B" w:rsidRDefault="00106B79" w:rsidP="00106B79">
      <w:pPr>
        <w:tabs>
          <w:tab w:val="center" w:pos="4536"/>
          <w:tab w:val="right" w:pos="9072"/>
        </w:tabs>
        <w:jc w:val="both"/>
        <w:rPr>
          <w:sz w:val="22"/>
          <w:szCs w:val="22"/>
          <w:u w:val="single"/>
          <w:lang w:val="sr-Latn-ME"/>
        </w:rPr>
      </w:pPr>
    </w:p>
    <w:p w14:paraId="2583A97B" w14:textId="77777777" w:rsidR="00106B79" w:rsidRPr="0023595B" w:rsidRDefault="00106B79" w:rsidP="00106B79">
      <w:pPr>
        <w:tabs>
          <w:tab w:val="center" w:pos="4536"/>
          <w:tab w:val="right" w:pos="9072"/>
        </w:tabs>
        <w:jc w:val="both"/>
        <w:rPr>
          <w:sz w:val="22"/>
          <w:szCs w:val="22"/>
          <w:u w:val="single"/>
          <w:lang w:val="sr-Latn-ME"/>
        </w:rPr>
      </w:pPr>
      <w:r w:rsidRPr="0023595B">
        <w:rPr>
          <w:sz w:val="22"/>
          <w:szCs w:val="22"/>
          <w:u w:val="single"/>
          <w:lang w:val="sr-Latn-ME"/>
        </w:rPr>
        <w:t>Trudnoća</w:t>
      </w:r>
    </w:p>
    <w:p w14:paraId="470990AD"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Nema podataka o primjeni aflibercepta kod trudnica.</w:t>
      </w:r>
    </w:p>
    <w:p w14:paraId="55001124" w14:textId="0D569FF0"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Ispitivanja na životinjama su pokazala embrio-fetalnu toksičnost (vidjeti </w:t>
      </w:r>
      <w:r w:rsidR="004D7C5D" w:rsidRPr="0023595B">
        <w:rPr>
          <w:sz w:val="22"/>
          <w:szCs w:val="22"/>
          <w:lang w:val="sr-Latn-ME"/>
        </w:rPr>
        <w:t xml:space="preserve">dio </w:t>
      </w:r>
      <w:r w:rsidRPr="0023595B">
        <w:rPr>
          <w:sz w:val="22"/>
          <w:szCs w:val="22"/>
          <w:lang w:val="sr-Latn-ME"/>
        </w:rPr>
        <w:t>5.3).</w:t>
      </w:r>
    </w:p>
    <w:p w14:paraId="7E9E792D" w14:textId="77777777" w:rsidR="00106B79" w:rsidRPr="0023595B" w:rsidRDefault="00106B79" w:rsidP="00106B79">
      <w:pPr>
        <w:tabs>
          <w:tab w:val="center" w:pos="4536"/>
          <w:tab w:val="right" w:pos="9072"/>
        </w:tabs>
        <w:jc w:val="both"/>
        <w:rPr>
          <w:sz w:val="22"/>
          <w:szCs w:val="22"/>
          <w:lang w:val="sr-Latn-ME"/>
        </w:rPr>
      </w:pPr>
    </w:p>
    <w:p w14:paraId="209BB128"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Iako je sistemska izloženost nakon okularne primjene vrlo niska, lijek Eylea ne treba primjenjivati tokom trudnoće, osim ako potencijalna korist od terapije prevazilazi potencijalni rizik za fetus.</w:t>
      </w:r>
    </w:p>
    <w:p w14:paraId="0FE7FE1C" w14:textId="77777777" w:rsidR="00106B79" w:rsidRPr="0023595B" w:rsidRDefault="00106B79" w:rsidP="00106B79">
      <w:pPr>
        <w:tabs>
          <w:tab w:val="center" w:pos="4536"/>
          <w:tab w:val="right" w:pos="9072"/>
        </w:tabs>
        <w:jc w:val="both"/>
        <w:rPr>
          <w:sz w:val="22"/>
          <w:szCs w:val="22"/>
          <w:lang w:val="sr-Latn-ME"/>
        </w:rPr>
      </w:pPr>
    </w:p>
    <w:p w14:paraId="520C42F3" w14:textId="77777777" w:rsidR="00106B79" w:rsidRPr="0023595B" w:rsidRDefault="00106B79" w:rsidP="00106B79">
      <w:pPr>
        <w:tabs>
          <w:tab w:val="center" w:pos="4536"/>
          <w:tab w:val="right" w:pos="9072"/>
        </w:tabs>
        <w:jc w:val="both"/>
        <w:rPr>
          <w:sz w:val="22"/>
          <w:szCs w:val="22"/>
          <w:u w:val="single"/>
          <w:lang w:val="sr-Latn-ME"/>
        </w:rPr>
      </w:pPr>
      <w:r w:rsidRPr="0023595B">
        <w:rPr>
          <w:sz w:val="22"/>
          <w:szCs w:val="22"/>
          <w:u w:val="single"/>
          <w:lang w:val="sr-Latn-ME"/>
        </w:rPr>
        <w:t>Dojenje</w:t>
      </w:r>
    </w:p>
    <w:p w14:paraId="738C38E3" w14:textId="6D7BE987" w:rsidR="00565EFB" w:rsidRPr="0023595B" w:rsidRDefault="00565EFB" w:rsidP="00565EFB">
      <w:pPr>
        <w:tabs>
          <w:tab w:val="center" w:pos="4536"/>
          <w:tab w:val="right" w:pos="9072"/>
        </w:tabs>
        <w:jc w:val="both"/>
        <w:rPr>
          <w:sz w:val="22"/>
          <w:szCs w:val="22"/>
          <w:lang w:val="sr-Latn-ME"/>
        </w:rPr>
      </w:pPr>
      <w:r w:rsidRPr="0023595B">
        <w:rPr>
          <w:sz w:val="22"/>
          <w:szCs w:val="22"/>
          <w:lang w:val="sr-Latn-ME"/>
        </w:rPr>
        <w:t>Na osnovu vrlo ograničenih podataka kod ljudi, aflibercept se može izlučiti u majčino mlijeko u niskim nivoima. Aflibercept je veliki proteinski molekul, pa se očekuje da će količina lijeka koju odojče apsorbuje biti minimalna. Efekti aflibercepta na novorođenčad/odojčad koja doje nijesu poznati.</w:t>
      </w:r>
    </w:p>
    <w:p w14:paraId="656F5433" w14:textId="77777777" w:rsidR="00565EFB" w:rsidRPr="0023595B" w:rsidRDefault="00565EFB" w:rsidP="00565EFB">
      <w:pPr>
        <w:tabs>
          <w:tab w:val="center" w:pos="4536"/>
          <w:tab w:val="right" w:pos="9072"/>
        </w:tabs>
        <w:rPr>
          <w:sz w:val="22"/>
          <w:szCs w:val="22"/>
          <w:lang w:val="sr-Latn-ME"/>
        </w:rPr>
      </w:pPr>
    </w:p>
    <w:p w14:paraId="360B34E7" w14:textId="5EDCA4E3" w:rsidR="00106B79" w:rsidRPr="0023595B" w:rsidRDefault="00565EFB" w:rsidP="00106B79">
      <w:pPr>
        <w:tabs>
          <w:tab w:val="center" w:pos="4536"/>
          <w:tab w:val="right" w:pos="9072"/>
        </w:tabs>
        <w:jc w:val="both"/>
        <w:rPr>
          <w:sz w:val="22"/>
          <w:szCs w:val="22"/>
          <w:lang w:val="sr-Latn-ME"/>
        </w:rPr>
      </w:pPr>
      <w:r w:rsidRPr="0023595B">
        <w:rPr>
          <w:sz w:val="22"/>
          <w:szCs w:val="22"/>
          <w:lang w:val="sr-Latn-ME"/>
        </w:rPr>
        <w:t>Kao mjera opreza, dojenje se ne preporučuje tokom primjene lijeka Eylea.</w:t>
      </w:r>
    </w:p>
    <w:p w14:paraId="66F95EFA" w14:textId="77777777" w:rsidR="00106B79" w:rsidRPr="0023595B" w:rsidRDefault="00106B79" w:rsidP="00106B79">
      <w:pPr>
        <w:tabs>
          <w:tab w:val="center" w:pos="4536"/>
          <w:tab w:val="right" w:pos="9072"/>
        </w:tabs>
        <w:jc w:val="both"/>
        <w:rPr>
          <w:sz w:val="22"/>
          <w:szCs w:val="22"/>
          <w:lang w:val="sr-Latn-ME"/>
        </w:rPr>
      </w:pPr>
    </w:p>
    <w:p w14:paraId="07BD8D97" w14:textId="77777777" w:rsidR="00106B79" w:rsidRPr="0023595B" w:rsidRDefault="00106B79" w:rsidP="00106B79">
      <w:pPr>
        <w:tabs>
          <w:tab w:val="center" w:pos="4536"/>
          <w:tab w:val="right" w:pos="9072"/>
        </w:tabs>
        <w:jc w:val="both"/>
        <w:rPr>
          <w:sz w:val="22"/>
          <w:szCs w:val="22"/>
          <w:u w:val="single"/>
          <w:lang w:val="sr-Latn-ME"/>
        </w:rPr>
      </w:pPr>
      <w:r w:rsidRPr="0023595B">
        <w:rPr>
          <w:sz w:val="22"/>
          <w:szCs w:val="22"/>
          <w:u w:val="single"/>
          <w:lang w:val="sr-Latn-ME"/>
        </w:rPr>
        <w:t>Plodnost</w:t>
      </w:r>
    </w:p>
    <w:p w14:paraId="0DED9B7F" w14:textId="36C1F2DB"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Rezultati ispitivanja sprovedenih na životinjama uz visoku sistemsku izloženost ukazuju da aflibercept može da ošteti plodnost mužjaka i ženki (vidjeti </w:t>
      </w:r>
      <w:r w:rsidR="004D7C5D" w:rsidRPr="0023595B">
        <w:rPr>
          <w:sz w:val="22"/>
          <w:szCs w:val="22"/>
          <w:lang w:val="sr-Latn-ME"/>
        </w:rPr>
        <w:t xml:space="preserve">dio </w:t>
      </w:r>
      <w:r w:rsidRPr="0023595B">
        <w:rPr>
          <w:sz w:val="22"/>
          <w:szCs w:val="22"/>
          <w:lang w:val="sr-Latn-ME"/>
        </w:rPr>
        <w:t>5.3). Ovakva dejstva se ne očekuju nakon okularne primjene uz vrlo nisku sistemsku izloženost.</w:t>
      </w:r>
    </w:p>
    <w:p w14:paraId="6F730F1B" w14:textId="77777777" w:rsidR="00227BDB" w:rsidRPr="0023595B" w:rsidRDefault="00227BDB" w:rsidP="00106B79">
      <w:pPr>
        <w:tabs>
          <w:tab w:val="left" w:pos="540"/>
          <w:tab w:val="left" w:pos="569"/>
        </w:tabs>
        <w:ind w:left="540" w:hanging="540"/>
        <w:jc w:val="both"/>
        <w:rPr>
          <w:b/>
          <w:bCs/>
          <w:sz w:val="22"/>
          <w:szCs w:val="22"/>
          <w:lang w:val="sr-Latn-ME"/>
        </w:rPr>
      </w:pPr>
    </w:p>
    <w:p w14:paraId="2C1772F3" w14:textId="77777777" w:rsidR="0072020E" w:rsidRPr="0023595B" w:rsidRDefault="0072020E" w:rsidP="00396DFD">
      <w:pPr>
        <w:tabs>
          <w:tab w:val="left" w:pos="540"/>
          <w:tab w:val="left" w:pos="569"/>
        </w:tabs>
        <w:ind w:left="540" w:hanging="540"/>
        <w:rPr>
          <w:b/>
          <w:bCs/>
          <w:sz w:val="22"/>
          <w:szCs w:val="22"/>
          <w:lang w:val="sr-Latn-ME"/>
        </w:rPr>
      </w:pPr>
      <w:r w:rsidRPr="0023595B">
        <w:rPr>
          <w:b/>
          <w:bCs/>
          <w:sz w:val="22"/>
          <w:szCs w:val="22"/>
          <w:lang w:val="sr-Latn-ME"/>
        </w:rPr>
        <w:t xml:space="preserve">4.7. </w:t>
      </w:r>
      <w:r w:rsidR="00480FB1" w:rsidRPr="0023595B">
        <w:rPr>
          <w:b/>
          <w:bCs/>
          <w:sz w:val="22"/>
          <w:szCs w:val="22"/>
          <w:lang w:val="sr-Latn-ME"/>
        </w:rPr>
        <w:tab/>
      </w:r>
      <w:r w:rsidRPr="0023595B">
        <w:rPr>
          <w:b/>
          <w:bCs/>
          <w:sz w:val="22"/>
          <w:szCs w:val="22"/>
          <w:lang w:val="sr-Latn-ME"/>
        </w:rPr>
        <w:t xml:space="preserve">Uticaj na </w:t>
      </w:r>
      <w:r w:rsidR="002031B3" w:rsidRPr="0023595B">
        <w:rPr>
          <w:b/>
          <w:bCs/>
          <w:sz w:val="22"/>
          <w:szCs w:val="22"/>
          <w:lang w:val="sr-Latn-ME"/>
        </w:rPr>
        <w:t xml:space="preserve">sposobnost </w:t>
      </w:r>
      <w:r w:rsidR="00F34554" w:rsidRPr="0023595B">
        <w:rPr>
          <w:b/>
          <w:bCs/>
          <w:sz w:val="22"/>
          <w:szCs w:val="22"/>
          <w:lang w:val="sr-Latn-ME"/>
        </w:rPr>
        <w:t>upravljanja vozili</w:t>
      </w:r>
      <w:r w:rsidRPr="0023595B">
        <w:rPr>
          <w:b/>
          <w:bCs/>
          <w:sz w:val="22"/>
          <w:szCs w:val="22"/>
          <w:lang w:val="sr-Latn-ME"/>
        </w:rPr>
        <w:t>m</w:t>
      </w:r>
      <w:r w:rsidR="00F34554" w:rsidRPr="0023595B">
        <w:rPr>
          <w:b/>
          <w:bCs/>
          <w:sz w:val="22"/>
          <w:szCs w:val="22"/>
          <w:lang w:val="sr-Latn-ME"/>
        </w:rPr>
        <w:t>a</w:t>
      </w:r>
      <w:r w:rsidRPr="0023595B">
        <w:rPr>
          <w:b/>
          <w:bCs/>
          <w:sz w:val="22"/>
          <w:szCs w:val="22"/>
          <w:lang w:val="sr-Latn-ME"/>
        </w:rPr>
        <w:t xml:space="preserve"> i </w:t>
      </w:r>
      <w:r w:rsidR="000D3449" w:rsidRPr="0023595B">
        <w:rPr>
          <w:b/>
          <w:bCs/>
          <w:sz w:val="22"/>
          <w:szCs w:val="22"/>
          <w:lang w:val="sr-Latn-ME"/>
        </w:rPr>
        <w:t xml:space="preserve">rukovanje </w:t>
      </w:r>
      <w:r w:rsidRPr="0023595B">
        <w:rPr>
          <w:b/>
          <w:bCs/>
          <w:sz w:val="22"/>
          <w:szCs w:val="22"/>
          <w:lang w:val="sr-Latn-ME"/>
        </w:rPr>
        <w:t>mašinama</w:t>
      </w:r>
    </w:p>
    <w:p w14:paraId="1AA19CBC" w14:textId="77777777" w:rsidR="0072020E" w:rsidRPr="0023595B" w:rsidRDefault="0072020E" w:rsidP="00106B79">
      <w:pPr>
        <w:tabs>
          <w:tab w:val="left" w:pos="540"/>
          <w:tab w:val="left" w:pos="569"/>
        </w:tabs>
        <w:jc w:val="both"/>
        <w:rPr>
          <w:b/>
          <w:bCs/>
          <w:sz w:val="22"/>
          <w:szCs w:val="22"/>
          <w:lang w:val="sr-Latn-ME"/>
        </w:rPr>
      </w:pPr>
    </w:p>
    <w:p w14:paraId="4506A493" w14:textId="77777777" w:rsidR="00106B79" w:rsidRPr="0023595B" w:rsidRDefault="00106B79" w:rsidP="00106B79">
      <w:pPr>
        <w:jc w:val="both"/>
        <w:rPr>
          <w:sz w:val="22"/>
          <w:szCs w:val="22"/>
          <w:lang w:val="sr-Latn-ME"/>
        </w:rPr>
      </w:pPr>
      <w:r w:rsidRPr="0023595B">
        <w:rPr>
          <w:sz w:val="22"/>
          <w:szCs w:val="22"/>
          <w:lang w:val="sr-Latn-ME"/>
        </w:rPr>
        <w:t>Injekcija lijeka Eylea ima manji uticaj na sposobnost upravljanja vozilima ili rukovanje mašinama zbog mogućih privremenih poremećaja vida udruženih bilo sa davanjem injekcije ili sa pregledom oka. Pacijenti ne treba da voze ili da rukuju mašinama dok se funkcija njihovog vida ne oporavi dovoljno.</w:t>
      </w:r>
    </w:p>
    <w:p w14:paraId="2AE471CC" w14:textId="77777777" w:rsidR="00106B79" w:rsidRPr="0023595B" w:rsidRDefault="00106B79" w:rsidP="00106B79">
      <w:pPr>
        <w:tabs>
          <w:tab w:val="left" w:pos="540"/>
          <w:tab w:val="left" w:pos="569"/>
        </w:tabs>
        <w:jc w:val="both"/>
        <w:rPr>
          <w:b/>
          <w:bCs/>
          <w:sz w:val="22"/>
          <w:szCs w:val="22"/>
          <w:lang w:val="sr-Latn-ME"/>
        </w:rPr>
      </w:pPr>
    </w:p>
    <w:p w14:paraId="18EE6326" w14:textId="77777777" w:rsidR="0072020E" w:rsidRPr="0023595B" w:rsidRDefault="0072020E" w:rsidP="00106B79">
      <w:pPr>
        <w:tabs>
          <w:tab w:val="left" w:pos="540"/>
          <w:tab w:val="left" w:pos="569"/>
        </w:tabs>
        <w:jc w:val="both"/>
        <w:rPr>
          <w:b/>
          <w:bCs/>
          <w:sz w:val="22"/>
          <w:szCs w:val="22"/>
          <w:lang w:val="sr-Latn-ME"/>
        </w:rPr>
      </w:pPr>
      <w:r w:rsidRPr="0023595B">
        <w:rPr>
          <w:b/>
          <w:bCs/>
          <w:sz w:val="22"/>
          <w:szCs w:val="22"/>
          <w:lang w:val="sr-Latn-ME"/>
        </w:rPr>
        <w:t xml:space="preserve">4.8. </w:t>
      </w:r>
      <w:r w:rsidR="00480FB1" w:rsidRPr="0023595B">
        <w:rPr>
          <w:b/>
          <w:bCs/>
          <w:sz w:val="22"/>
          <w:szCs w:val="22"/>
          <w:lang w:val="sr-Latn-ME"/>
        </w:rPr>
        <w:tab/>
      </w:r>
      <w:r w:rsidRPr="0023595B">
        <w:rPr>
          <w:b/>
          <w:bCs/>
          <w:sz w:val="22"/>
          <w:szCs w:val="22"/>
          <w:lang w:val="sr-Latn-ME"/>
        </w:rPr>
        <w:t>Neželjena dejstva</w:t>
      </w:r>
    </w:p>
    <w:p w14:paraId="0C5E5996" w14:textId="77777777" w:rsidR="00106B79" w:rsidRPr="0023595B" w:rsidRDefault="00106B79" w:rsidP="00106B79">
      <w:pPr>
        <w:tabs>
          <w:tab w:val="center" w:pos="4536"/>
          <w:tab w:val="right" w:pos="9072"/>
        </w:tabs>
        <w:jc w:val="both"/>
        <w:rPr>
          <w:sz w:val="22"/>
          <w:szCs w:val="22"/>
          <w:u w:val="single"/>
          <w:lang w:val="sr-Latn-ME"/>
        </w:rPr>
      </w:pPr>
    </w:p>
    <w:p w14:paraId="1A9F8C7D" w14:textId="77777777" w:rsidR="00106B79" w:rsidRPr="0023595B" w:rsidRDefault="00106B79" w:rsidP="00106B79">
      <w:pPr>
        <w:tabs>
          <w:tab w:val="center" w:pos="4536"/>
          <w:tab w:val="right" w:pos="9072"/>
        </w:tabs>
        <w:jc w:val="both"/>
        <w:rPr>
          <w:sz w:val="22"/>
          <w:szCs w:val="22"/>
          <w:u w:val="single"/>
          <w:lang w:val="sr-Latn-ME"/>
        </w:rPr>
      </w:pPr>
      <w:r w:rsidRPr="0023595B">
        <w:rPr>
          <w:sz w:val="22"/>
          <w:szCs w:val="22"/>
          <w:u w:val="single"/>
          <w:lang w:val="sr-Latn-ME"/>
        </w:rPr>
        <w:t>Sažetak bezbjednosnog profila</w:t>
      </w:r>
    </w:p>
    <w:p w14:paraId="75DD4557" w14:textId="77777777" w:rsidR="00106B79" w:rsidRPr="0023595B" w:rsidRDefault="00106B79" w:rsidP="00106B79">
      <w:pPr>
        <w:tabs>
          <w:tab w:val="center" w:pos="4536"/>
          <w:tab w:val="right" w:pos="9072"/>
        </w:tabs>
        <w:jc w:val="both"/>
        <w:rPr>
          <w:sz w:val="22"/>
          <w:szCs w:val="22"/>
          <w:lang w:val="sr-Latn-ME"/>
        </w:rPr>
      </w:pPr>
    </w:p>
    <w:p w14:paraId="44BA01B5"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Ukupno 3102 pacijenta je činilo populaciju za ispitivanje bezbjednosti, koja je praćena u 8 ispitivanja faze III. Od ukupnog broja pacijenata, 2501 pacijent je liječen preporučenom dozom od 2 mg.</w:t>
      </w:r>
    </w:p>
    <w:p w14:paraId="2EE05432" w14:textId="77777777" w:rsidR="00106B79" w:rsidRPr="0023595B" w:rsidRDefault="00106B79" w:rsidP="00106B79">
      <w:pPr>
        <w:tabs>
          <w:tab w:val="center" w:pos="4536"/>
          <w:tab w:val="right" w:pos="9072"/>
        </w:tabs>
        <w:jc w:val="both"/>
        <w:rPr>
          <w:sz w:val="22"/>
          <w:szCs w:val="22"/>
          <w:lang w:val="sr-Latn-ME"/>
        </w:rPr>
      </w:pPr>
    </w:p>
    <w:p w14:paraId="6F0ADB07" w14:textId="526BBA94"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Ozbiljne neželjene reakcije na ispitivanom oku vezane za proceduru primjene injekcije bile su uočene u manje od 1 na 1900 intravitrealnih injekcija lijeka Eylea, a uključivale su sljepilo, endoftalmitis, ablaciju retine, traumatsku kataraktu, kataraktu, vitrealno krvarenje, ablaciju staklastog tijela i povećanje intraokularnog pritiska (vidjeti </w:t>
      </w:r>
      <w:r w:rsidR="004D7C5D" w:rsidRPr="0023595B">
        <w:rPr>
          <w:sz w:val="22"/>
          <w:szCs w:val="22"/>
          <w:lang w:val="sr-Latn-ME"/>
        </w:rPr>
        <w:t xml:space="preserve">dio </w:t>
      </w:r>
      <w:r w:rsidRPr="0023595B">
        <w:rPr>
          <w:sz w:val="22"/>
          <w:szCs w:val="22"/>
          <w:lang w:val="sr-Latn-ME"/>
        </w:rPr>
        <w:t>4.4).</w:t>
      </w:r>
    </w:p>
    <w:p w14:paraId="0E8185B8" w14:textId="77777777" w:rsidR="00106B79" w:rsidRPr="0023595B" w:rsidRDefault="00106B79" w:rsidP="00106B79">
      <w:pPr>
        <w:tabs>
          <w:tab w:val="center" w:pos="4536"/>
          <w:tab w:val="right" w:pos="9072"/>
        </w:tabs>
        <w:jc w:val="both"/>
        <w:rPr>
          <w:sz w:val="22"/>
          <w:szCs w:val="22"/>
          <w:lang w:val="sr-Latn-ME"/>
        </w:rPr>
      </w:pPr>
    </w:p>
    <w:p w14:paraId="19F3A628" w14:textId="151FEF5F"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Najčešće neželjene reakcije (kod najmanje 5% pacijenata kojima je prim</w:t>
      </w:r>
      <w:r w:rsidR="0023595B">
        <w:rPr>
          <w:sz w:val="22"/>
          <w:szCs w:val="22"/>
          <w:lang w:val="sr-Latn-ME"/>
        </w:rPr>
        <w:t>i</w:t>
      </w:r>
      <w:r w:rsidRPr="0023595B">
        <w:rPr>
          <w:sz w:val="22"/>
          <w:szCs w:val="22"/>
          <w:lang w:val="sr-Latn-ME"/>
        </w:rPr>
        <w:t>jenjen lijek Eylea) bile su konjunktivalna hemoragija (25%),</w:t>
      </w:r>
      <w:r w:rsidR="00102129" w:rsidRPr="0023595B">
        <w:rPr>
          <w:sz w:val="22"/>
          <w:szCs w:val="22"/>
          <w:lang w:val="sr-Latn-ME"/>
        </w:rPr>
        <w:t xml:space="preserve"> retinalna hemoragija (11%),</w:t>
      </w:r>
      <w:r w:rsidRPr="0023595B">
        <w:rPr>
          <w:sz w:val="22"/>
          <w:szCs w:val="22"/>
          <w:lang w:val="sr-Latn-ME"/>
        </w:rPr>
        <w:t xml:space="preserve"> smanjenje oštrine vida (11%), bol u oku (10%), katarakta (8%), povećanje intraokularnog pritiska (8%), ablacija staklastog tijela (7%) i pokretne tačke u staklastom tijelu (7%).</w:t>
      </w:r>
    </w:p>
    <w:p w14:paraId="333A1CDB" w14:textId="1D6D51C6" w:rsidR="00106B79" w:rsidRDefault="00106B79" w:rsidP="00106B79">
      <w:pPr>
        <w:tabs>
          <w:tab w:val="center" w:pos="4536"/>
          <w:tab w:val="right" w:pos="9072"/>
        </w:tabs>
        <w:jc w:val="both"/>
        <w:rPr>
          <w:sz w:val="22"/>
          <w:szCs w:val="22"/>
          <w:lang w:val="sr-Latn-ME" w:eastAsia="sr-Latn-RS"/>
        </w:rPr>
      </w:pPr>
    </w:p>
    <w:p w14:paraId="05E6DF97" w14:textId="77777777" w:rsidR="00BE4DA2" w:rsidRPr="0023595B" w:rsidRDefault="00BE4DA2" w:rsidP="00106B79">
      <w:pPr>
        <w:tabs>
          <w:tab w:val="center" w:pos="4536"/>
          <w:tab w:val="right" w:pos="9072"/>
        </w:tabs>
        <w:jc w:val="both"/>
        <w:rPr>
          <w:sz w:val="22"/>
          <w:szCs w:val="22"/>
          <w:lang w:val="sr-Latn-ME" w:eastAsia="sr-Latn-RS"/>
        </w:rPr>
      </w:pPr>
    </w:p>
    <w:p w14:paraId="5771CC9B" w14:textId="77777777" w:rsidR="00106B79" w:rsidRPr="0023595B" w:rsidRDefault="00106B79" w:rsidP="00106B79">
      <w:pPr>
        <w:tabs>
          <w:tab w:val="center" w:pos="4536"/>
          <w:tab w:val="right" w:pos="9072"/>
        </w:tabs>
        <w:jc w:val="both"/>
        <w:rPr>
          <w:sz w:val="22"/>
          <w:szCs w:val="22"/>
          <w:u w:val="single"/>
          <w:lang w:val="sr-Latn-ME"/>
        </w:rPr>
      </w:pPr>
      <w:r w:rsidRPr="0023595B">
        <w:rPr>
          <w:sz w:val="22"/>
          <w:szCs w:val="22"/>
          <w:u w:val="single"/>
          <w:lang w:val="sr-Latn-ME"/>
        </w:rPr>
        <w:lastRenderedPageBreak/>
        <w:t>Tabelarni prikaz neželjenih reakcija</w:t>
      </w:r>
    </w:p>
    <w:p w14:paraId="43C34859" w14:textId="77777777" w:rsidR="00106B79" w:rsidRPr="0023595B" w:rsidRDefault="00106B79" w:rsidP="00106B79">
      <w:pPr>
        <w:tabs>
          <w:tab w:val="center" w:pos="4536"/>
          <w:tab w:val="right" w:pos="9072"/>
        </w:tabs>
        <w:jc w:val="both"/>
        <w:rPr>
          <w:sz w:val="22"/>
          <w:szCs w:val="22"/>
          <w:lang w:val="sr-Latn-ME"/>
        </w:rPr>
      </w:pPr>
    </w:p>
    <w:p w14:paraId="35BB69B5"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 xml:space="preserve">Bezbjednosni podaci, čiji opis slijedi, uključuju sve neželjene reakcije iz 8 ispitivanja faze III za vlažnu AMD, CRVO, BRVO, DME i CNV uzrokovanu miopijom, uz logičnu mogućnost uzročne povezanosti sa procedurom primjene injekcije ili sa samim lijekom. </w:t>
      </w:r>
    </w:p>
    <w:p w14:paraId="71D30364" w14:textId="77777777" w:rsidR="00106B79" w:rsidRPr="0023595B" w:rsidRDefault="00106B79" w:rsidP="00106B79">
      <w:pPr>
        <w:tabs>
          <w:tab w:val="center" w:pos="4536"/>
          <w:tab w:val="right" w:pos="9072"/>
        </w:tabs>
        <w:jc w:val="both"/>
        <w:rPr>
          <w:sz w:val="22"/>
          <w:szCs w:val="22"/>
          <w:lang w:val="sr-Latn-ME"/>
        </w:rPr>
      </w:pPr>
    </w:p>
    <w:p w14:paraId="47360DD6"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Neželjene reakcije su navedene po klasama sistema organa i u</w:t>
      </w:r>
      <w:r w:rsidRPr="0023595B">
        <w:rPr>
          <w:rFonts w:eastAsia="TimesNewRoman"/>
          <w:sz w:val="22"/>
          <w:szCs w:val="22"/>
          <w:lang w:val="sr-Latn-ME"/>
        </w:rPr>
        <w:t>č</w:t>
      </w:r>
      <w:r w:rsidRPr="0023595B">
        <w:rPr>
          <w:sz w:val="22"/>
          <w:szCs w:val="22"/>
          <w:lang w:val="sr-Latn-ME"/>
        </w:rPr>
        <w:t>estalosti koriš</w:t>
      </w:r>
      <w:r w:rsidRPr="0023595B">
        <w:rPr>
          <w:rFonts w:eastAsia="TimesNewRoman"/>
          <w:sz w:val="22"/>
          <w:szCs w:val="22"/>
          <w:lang w:val="sr-Latn-ME"/>
        </w:rPr>
        <w:t>ć</w:t>
      </w:r>
      <w:r w:rsidRPr="0023595B">
        <w:rPr>
          <w:sz w:val="22"/>
          <w:szCs w:val="22"/>
          <w:lang w:val="sr-Latn-ME"/>
        </w:rPr>
        <w:t>enjem sljede</w:t>
      </w:r>
      <w:r w:rsidRPr="0023595B">
        <w:rPr>
          <w:rFonts w:eastAsia="TimesNewRoman"/>
          <w:sz w:val="22"/>
          <w:szCs w:val="22"/>
          <w:lang w:val="sr-Latn-ME"/>
        </w:rPr>
        <w:t>ć</w:t>
      </w:r>
      <w:r w:rsidRPr="0023595B">
        <w:rPr>
          <w:sz w:val="22"/>
          <w:szCs w:val="22"/>
          <w:lang w:val="sr-Latn-ME"/>
        </w:rPr>
        <w:t xml:space="preserve">e klasifikacije: </w:t>
      </w:r>
    </w:p>
    <w:p w14:paraId="7FBDA3FA" w14:textId="61F548B8"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veoma često (≥1/10), često (≥1/100 do &lt;1/10), povremeno (≥1/1000 do &lt;1/100), rijetko (≥1/10000 do &lt; 1/1000 pacijenata)</w:t>
      </w:r>
      <w:r w:rsidR="003E5BA3">
        <w:rPr>
          <w:sz w:val="22"/>
          <w:szCs w:val="22"/>
          <w:lang w:val="sr-Latn-ME"/>
        </w:rPr>
        <w:t xml:space="preserve">, </w:t>
      </w:r>
      <w:r w:rsidR="008528E9">
        <w:rPr>
          <w:sz w:val="22"/>
          <w:szCs w:val="22"/>
          <w:lang w:val="sr-Latn-ME"/>
        </w:rPr>
        <w:t>nepoznato (ne može se procijeni</w:t>
      </w:r>
      <w:r w:rsidR="00786889">
        <w:rPr>
          <w:sz w:val="22"/>
          <w:szCs w:val="22"/>
          <w:lang w:val="sr-Latn-ME"/>
        </w:rPr>
        <w:t>ti iz dostupnih podataka)</w:t>
      </w:r>
      <w:r w:rsidRPr="0023595B">
        <w:rPr>
          <w:sz w:val="22"/>
          <w:szCs w:val="22"/>
          <w:lang w:val="sr-Latn-ME"/>
        </w:rPr>
        <w:t>.</w:t>
      </w:r>
    </w:p>
    <w:p w14:paraId="2948BAD6" w14:textId="77777777" w:rsidR="00106B79" w:rsidRPr="0023595B" w:rsidRDefault="00106B79" w:rsidP="00106B79">
      <w:pPr>
        <w:tabs>
          <w:tab w:val="center" w:pos="4536"/>
          <w:tab w:val="right" w:pos="9072"/>
        </w:tabs>
        <w:jc w:val="both"/>
        <w:rPr>
          <w:sz w:val="22"/>
          <w:szCs w:val="22"/>
          <w:lang w:val="sr-Latn-ME"/>
        </w:rPr>
      </w:pPr>
    </w:p>
    <w:p w14:paraId="663477E2" w14:textId="77777777" w:rsidR="00106B79" w:rsidRPr="0023595B" w:rsidRDefault="00106B79" w:rsidP="00106B79">
      <w:pPr>
        <w:tabs>
          <w:tab w:val="center" w:pos="4536"/>
          <w:tab w:val="right" w:pos="9072"/>
        </w:tabs>
        <w:jc w:val="both"/>
        <w:rPr>
          <w:sz w:val="22"/>
          <w:szCs w:val="22"/>
          <w:lang w:val="sr-Latn-ME"/>
        </w:rPr>
      </w:pPr>
      <w:r w:rsidRPr="0023595B">
        <w:rPr>
          <w:sz w:val="22"/>
          <w:szCs w:val="22"/>
          <w:lang w:val="sr-Latn-ME"/>
        </w:rPr>
        <w:t>U okviru svake grupe učestalosti, neželjene reakcije su prikazane redoslijedom prema opadajućoj ozbiljnosti.</w:t>
      </w:r>
    </w:p>
    <w:p w14:paraId="05E818A2" w14:textId="77777777" w:rsidR="00106B79" w:rsidRPr="0023595B" w:rsidRDefault="00106B79" w:rsidP="00106B79">
      <w:pPr>
        <w:tabs>
          <w:tab w:val="center" w:pos="4536"/>
          <w:tab w:val="right" w:pos="9072"/>
        </w:tabs>
        <w:jc w:val="both"/>
        <w:rPr>
          <w:sz w:val="22"/>
          <w:szCs w:val="22"/>
          <w:lang w:val="sr-Latn-ME"/>
        </w:rPr>
      </w:pPr>
    </w:p>
    <w:p w14:paraId="3405B82C" w14:textId="2F8DE55D" w:rsidR="00106B79" w:rsidRPr="0023595B" w:rsidRDefault="00106B79" w:rsidP="00106B79">
      <w:pPr>
        <w:tabs>
          <w:tab w:val="center" w:pos="4536"/>
          <w:tab w:val="right" w:pos="9072"/>
        </w:tabs>
        <w:jc w:val="both"/>
        <w:rPr>
          <w:sz w:val="22"/>
          <w:szCs w:val="22"/>
          <w:lang w:val="sr-Latn-ME"/>
        </w:rPr>
      </w:pPr>
      <w:r w:rsidRPr="0023595B">
        <w:rPr>
          <w:b/>
          <w:sz w:val="22"/>
          <w:szCs w:val="22"/>
          <w:lang w:val="sr-Latn-ME"/>
        </w:rPr>
        <w:t>Tabela 1</w:t>
      </w:r>
      <w:r w:rsidRPr="0023595B">
        <w:rPr>
          <w:sz w:val="22"/>
          <w:szCs w:val="22"/>
          <w:lang w:val="sr-Latn-ME"/>
        </w:rPr>
        <w:t>: Sve neželjene reakcije povezane sa terapijom</w:t>
      </w:r>
      <w:r w:rsidR="00A86301" w:rsidRPr="0023595B">
        <w:rPr>
          <w:sz w:val="22"/>
          <w:szCs w:val="22"/>
          <w:lang w:val="sr-Latn-ME"/>
        </w:rPr>
        <w:t>,</w:t>
      </w:r>
      <w:r w:rsidRPr="0023595B">
        <w:rPr>
          <w:sz w:val="22"/>
          <w:szCs w:val="22"/>
          <w:lang w:val="sr-Latn-ME"/>
        </w:rPr>
        <w:t xml:space="preserve"> prijavljene kod pacijenata u ispitivanjima faze III (podaci dobijeni iz ispitivanja faze III za indikacije vlažna AMD, CRVO, BRVO, DME i CNV uzrokovana miopijom), ili tokom praćenja nakon stavljanja lijeka u promet</w:t>
      </w:r>
    </w:p>
    <w:tbl>
      <w:tblPr>
        <w:tblStyle w:val="TableGrid"/>
        <w:tblW w:w="9634" w:type="dxa"/>
        <w:tblLook w:val="04A0" w:firstRow="1" w:lastRow="0" w:firstColumn="1" w:lastColumn="0" w:noHBand="0" w:noVBand="1"/>
      </w:tblPr>
      <w:tblGrid>
        <w:gridCol w:w="1583"/>
        <w:gridCol w:w="1814"/>
        <w:gridCol w:w="6237"/>
      </w:tblGrid>
      <w:tr w:rsidR="00CE01FA" w:rsidRPr="0023595B" w14:paraId="773C3E7E" w14:textId="77777777" w:rsidTr="003801CF">
        <w:tc>
          <w:tcPr>
            <w:tcW w:w="1583" w:type="dxa"/>
            <w:tcBorders>
              <w:top w:val="single" w:sz="4" w:space="0" w:color="auto"/>
              <w:left w:val="single" w:sz="4" w:space="0" w:color="auto"/>
              <w:bottom w:val="single" w:sz="4" w:space="0" w:color="auto"/>
              <w:right w:val="single" w:sz="4" w:space="0" w:color="auto"/>
            </w:tcBorders>
            <w:hideMark/>
          </w:tcPr>
          <w:p w14:paraId="5A774819" w14:textId="77777777" w:rsidR="00CE01FA" w:rsidRPr="0023595B" w:rsidRDefault="00CE01FA" w:rsidP="00D55718">
            <w:pPr>
              <w:rPr>
                <w:b/>
                <w:noProof/>
                <w:sz w:val="20"/>
                <w:szCs w:val="20"/>
                <w:lang w:val="sr-Latn-ME"/>
              </w:rPr>
            </w:pPr>
            <w:r w:rsidRPr="0023595B">
              <w:rPr>
                <w:b/>
                <w:noProof/>
                <w:sz w:val="20"/>
                <w:szCs w:val="20"/>
                <w:lang w:val="sr-Latn-ME"/>
              </w:rPr>
              <w:t>Klasa sistema organa</w:t>
            </w:r>
          </w:p>
        </w:tc>
        <w:tc>
          <w:tcPr>
            <w:tcW w:w="1814" w:type="dxa"/>
            <w:tcBorders>
              <w:top w:val="single" w:sz="4" w:space="0" w:color="auto"/>
              <w:left w:val="single" w:sz="4" w:space="0" w:color="auto"/>
              <w:bottom w:val="single" w:sz="4" w:space="0" w:color="auto"/>
              <w:right w:val="single" w:sz="4" w:space="0" w:color="auto"/>
            </w:tcBorders>
            <w:hideMark/>
          </w:tcPr>
          <w:p w14:paraId="2D15D84D" w14:textId="77EF6D67" w:rsidR="00CE01FA" w:rsidRPr="0023595B" w:rsidRDefault="00CE01FA" w:rsidP="00D55718">
            <w:pPr>
              <w:rPr>
                <w:b/>
                <w:noProof/>
                <w:sz w:val="20"/>
                <w:szCs w:val="20"/>
                <w:lang w:val="sr-Latn-ME"/>
              </w:rPr>
            </w:pPr>
            <w:r>
              <w:rPr>
                <w:b/>
                <w:noProof/>
                <w:sz w:val="20"/>
                <w:szCs w:val="20"/>
                <w:lang w:val="sr-Latn-ME"/>
              </w:rPr>
              <w:t>Učestalost</w:t>
            </w:r>
          </w:p>
        </w:tc>
        <w:tc>
          <w:tcPr>
            <w:tcW w:w="6237" w:type="dxa"/>
            <w:tcBorders>
              <w:top w:val="single" w:sz="4" w:space="0" w:color="auto"/>
              <w:left w:val="single" w:sz="4" w:space="0" w:color="auto"/>
              <w:bottom w:val="single" w:sz="4" w:space="0" w:color="auto"/>
              <w:right w:val="single" w:sz="4" w:space="0" w:color="auto"/>
            </w:tcBorders>
            <w:hideMark/>
          </w:tcPr>
          <w:p w14:paraId="3A17C70F" w14:textId="63674506" w:rsidR="00CE01FA" w:rsidRPr="0023595B" w:rsidRDefault="00CE01FA" w:rsidP="00D55718">
            <w:pPr>
              <w:rPr>
                <w:b/>
                <w:noProof/>
                <w:sz w:val="20"/>
                <w:szCs w:val="20"/>
                <w:lang w:val="sr-Latn-ME"/>
              </w:rPr>
            </w:pPr>
            <w:r>
              <w:rPr>
                <w:b/>
                <w:noProof/>
                <w:sz w:val="20"/>
                <w:szCs w:val="20"/>
                <w:lang w:val="sr-Latn-ME"/>
              </w:rPr>
              <w:t>Neželjena reakcija</w:t>
            </w:r>
          </w:p>
        </w:tc>
      </w:tr>
      <w:tr w:rsidR="00CE01FA" w:rsidRPr="0023595B" w14:paraId="14A5A6AD" w14:textId="77777777" w:rsidTr="003801CF">
        <w:tc>
          <w:tcPr>
            <w:tcW w:w="1583" w:type="dxa"/>
            <w:tcBorders>
              <w:top w:val="single" w:sz="4" w:space="0" w:color="auto"/>
              <w:left w:val="single" w:sz="4" w:space="0" w:color="auto"/>
              <w:bottom w:val="single" w:sz="4" w:space="0" w:color="auto"/>
              <w:right w:val="single" w:sz="4" w:space="0" w:color="auto"/>
            </w:tcBorders>
            <w:hideMark/>
          </w:tcPr>
          <w:p w14:paraId="5D366A4C" w14:textId="77777777" w:rsidR="00CE01FA" w:rsidRPr="0023595B" w:rsidRDefault="00CE01FA" w:rsidP="00D55718">
            <w:pPr>
              <w:rPr>
                <w:b/>
                <w:noProof/>
                <w:sz w:val="20"/>
                <w:szCs w:val="20"/>
                <w:lang w:val="sr-Latn-ME"/>
              </w:rPr>
            </w:pPr>
            <w:r w:rsidRPr="0023595B">
              <w:rPr>
                <w:b/>
                <w:noProof/>
                <w:sz w:val="20"/>
                <w:szCs w:val="20"/>
                <w:lang w:val="sr-Latn-ME"/>
              </w:rPr>
              <w:t>Poremećaji imunog sistema</w:t>
            </w:r>
          </w:p>
        </w:tc>
        <w:tc>
          <w:tcPr>
            <w:tcW w:w="1814" w:type="dxa"/>
            <w:tcBorders>
              <w:top w:val="single" w:sz="4" w:space="0" w:color="auto"/>
              <w:left w:val="single" w:sz="4" w:space="0" w:color="auto"/>
              <w:bottom w:val="single" w:sz="4" w:space="0" w:color="auto"/>
              <w:right w:val="single" w:sz="4" w:space="0" w:color="auto"/>
            </w:tcBorders>
          </w:tcPr>
          <w:p w14:paraId="0B98CFA3" w14:textId="2A7DD246" w:rsidR="00CE01FA" w:rsidRPr="0023595B" w:rsidRDefault="00CE01FA" w:rsidP="00D55718">
            <w:pPr>
              <w:rPr>
                <w:noProof/>
                <w:sz w:val="20"/>
                <w:szCs w:val="20"/>
                <w:lang w:val="sr-Latn-ME"/>
              </w:rPr>
            </w:pPr>
            <w:r>
              <w:rPr>
                <w:noProof/>
                <w:sz w:val="20"/>
                <w:szCs w:val="20"/>
                <w:lang w:val="sr-Latn-ME"/>
              </w:rPr>
              <w:t>povremeno</w:t>
            </w:r>
          </w:p>
        </w:tc>
        <w:tc>
          <w:tcPr>
            <w:tcW w:w="6237" w:type="dxa"/>
            <w:tcBorders>
              <w:top w:val="single" w:sz="4" w:space="0" w:color="auto"/>
              <w:left w:val="single" w:sz="4" w:space="0" w:color="auto"/>
              <w:bottom w:val="single" w:sz="4" w:space="0" w:color="auto"/>
              <w:right w:val="single" w:sz="4" w:space="0" w:color="auto"/>
            </w:tcBorders>
          </w:tcPr>
          <w:p w14:paraId="00625485" w14:textId="262FCC01" w:rsidR="00CE01FA" w:rsidRPr="0023595B" w:rsidRDefault="00CE01FA" w:rsidP="00D55718">
            <w:pPr>
              <w:rPr>
                <w:noProof/>
                <w:sz w:val="20"/>
                <w:szCs w:val="20"/>
                <w:lang w:val="sr-Latn-ME"/>
              </w:rPr>
            </w:pPr>
            <w:r>
              <w:rPr>
                <w:noProof/>
                <w:sz w:val="20"/>
                <w:szCs w:val="20"/>
                <w:lang w:val="sr-Latn-ME"/>
              </w:rPr>
              <w:t>p</w:t>
            </w:r>
            <w:r w:rsidRPr="0023595B">
              <w:rPr>
                <w:noProof/>
                <w:sz w:val="20"/>
                <w:szCs w:val="20"/>
                <w:lang w:val="sr-Latn-ME"/>
              </w:rPr>
              <w:t>reosjetljivost***</w:t>
            </w:r>
          </w:p>
        </w:tc>
      </w:tr>
      <w:tr w:rsidR="00CE01FA" w:rsidRPr="0023595B" w14:paraId="0A96E332" w14:textId="77777777" w:rsidTr="003801CF">
        <w:tc>
          <w:tcPr>
            <w:tcW w:w="1583" w:type="dxa"/>
            <w:vMerge w:val="restart"/>
            <w:tcBorders>
              <w:top w:val="single" w:sz="4" w:space="0" w:color="auto"/>
              <w:left w:val="single" w:sz="4" w:space="0" w:color="auto"/>
              <w:right w:val="single" w:sz="4" w:space="0" w:color="auto"/>
            </w:tcBorders>
            <w:hideMark/>
          </w:tcPr>
          <w:p w14:paraId="31F8016E" w14:textId="77777777" w:rsidR="00CE01FA" w:rsidRPr="0023595B" w:rsidRDefault="00CE01FA" w:rsidP="00D55718">
            <w:pPr>
              <w:rPr>
                <w:b/>
                <w:noProof/>
                <w:sz w:val="20"/>
                <w:szCs w:val="20"/>
                <w:lang w:val="sr-Latn-ME"/>
              </w:rPr>
            </w:pPr>
            <w:r w:rsidRPr="0023595B">
              <w:rPr>
                <w:b/>
                <w:noProof/>
                <w:sz w:val="20"/>
                <w:szCs w:val="20"/>
                <w:lang w:val="sr-Latn-ME"/>
              </w:rPr>
              <w:t>Poremećaji oka</w:t>
            </w:r>
          </w:p>
        </w:tc>
        <w:tc>
          <w:tcPr>
            <w:tcW w:w="1814" w:type="dxa"/>
            <w:tcBorders>
              <w:top w:val="single" w:sz="4" w:space="0" w:color="auto"/>
              <w:left w:val="single" w:sz="4" w:space="0" w:color="auto"/>
              <w:bottom w:val="single" w:sz="4" w:space="0" w:color="auto"/>
              <w:right w:val="single" w:sz="4" w:space="0" w:color="auto"/>
            </w:tcBorders>
            <w:hideMark/>
          </w:tcPr>
          <w:p w14:paraId="1DA29EEE" w14:textId="6F0C6980" w:rsidR="00CE01FA" w:rsidRPr="0023595B" w:rsidRDefault="00CE01FA" w:rsidP="00D55718">
            <w:pPr>
              <w:rPr>
                <w:noProof/>
                <w:sz w:val="20"/>
                <w:szCs w:val="20"/>
                <w:lang w:val="sr-Latn-ME"/>
              </w:rPr>
            </w:pPr>
            <w:r>
              <w:rPr>
                <w:noProof/>
                <w:sz w:val="20"/>
                <w:szCs w:val="20"/>
                <w:lang w:val="sr-Latn-ME"/>
              </w:rPr>
              <w:t>veoma često</w:t>
            </w:r>
          </w:p>
        </w:tc>
        <w:tc>
          <w:tcPr>
            <w:tcW w:w="6237" w:type="dxa"/>
            <w:tcBorders>
              <w:top w:val="single" w:sz="4" w:space="0" w:color="auto"/>
              <w:left w:val="single" w:sz="4" w:space="0" w:color="auto"/>
              <w:bottom w:val="single" w:sz="4" w:space="0" w:color="auto"/>
              <w:right w:val="single" w:sz="4" w:space="0" w:color="auto"/>
            </w:tcBorders>
            <w:hideMark/>
          </w:tcPr>
          <w:p w14:paraId="48A2A754" w14:textId="523D8D62" w:rsidR="00CE01FA" w:rsidRPr="0023595B" w:rsidRDefault="00925F30" w:rsidP="00D55718">
            <w:pPr>
              <w:rPr>
                <w:noProof/>
                <w:sz w:val="20"/>
                <w:szCs w:val="20"/>
                <w:lang w:val="sr-Latn-ME"/>
              </w:rPr>
            </w:pPr>
            <w:r>
              <w:rPr>
                <w:noProof/>
                <w:sz w:val="20"/>
                <w:szCs w:val="20"/>
                <w:lang w:val="sr-Latn-ME"/>
              </w:rPr>
              <w:t>s</w:t>
            </w:r>
            <w:r w:rsidR="00CE01FA" w:rsidRPr="0023595B">
              <w:rPr>
                <w:noProof/>
                <w:sz w:val="20"/>
                <w:szCs w:val="20"/>
                <w:lang w:val="sr-Latn-ME"/>
              </w:rPr>
              <w:t>manjena oštrina vida,</w:t>
            </w:r>
            <w:r>
              <w:rPr>
                <w:noProof/>
                <w:sz w:val="20"/>
                <w:szCs w:val="20"/>
                <w:lang w:val="sr-Latn-ME"/>
              </w:rPr>
              <w:t xml:space="preserve"> r</w:t>
            </w:r>
            <w:r w:rsidR="00CE01FA" w:rsidRPr="0023595B">
              <w:rPr>
                <w:noProof/>
                <w:sz w:val="20"/>
                <w:szCs w:val="20"/>
                <w:lang w:val="sr-Latn-ME"/>
              </w:rPr>
              <w:t>etinalna hemoragija,</w:t>
            </w:r>
            <w:r>
              <w:rPr>
                <w:noProof/>
                <w:sz w:val="20"/>
                <w:szCs w:val="20"/>
                <w:lang w:val="sr-Latn-ME"/>
              </w:rPr>
              <w:t xml:space="preserve"> k</w:t>
            </w:r>
            <w:r w:rsidR="00CE01FA" w:rsidRPr="0023595B">
              <w:rPr>
                <w:noProof/>
                <w:sz w:val="20"/>
                <w:szCs w:val="20"/>
                <w:lang w:val="sr-Latn-ME"/>
              </w:rPr>
              <w:t>onjunktivalna hemoragija,</w:t>
            </w:r>
            <w:r>
              <w:rPr>
                <w:noProof/>
                <w:sz w:val="20"/>
                <w:szCs w:val="20"/>
                <w:lang w:val="sr-Latn-ME"/>
              </w:rPr>
              <w:t xml:space="preserve"> b</w:t>
            </w:r>
            <w:r w:rsidR="00CE01FA" w:rsidRPr="0023595B">
              <w:rPr>
                <w:noProof/>
                <w:sz w:val="20"/>
                <w:szCs w:val="20"/>
                <w:lang w:val="sr-Latn-ME"/>
              </w:rPr>
              <w:t>ol u oku</w:t>
            </w:r>
            <w:r w:rsidR="00CE01FA" w:rsidRPr="0023595B" w:rsidDel="00CE01FA">
              <w:rPr>
                <w:noProof/>
                <w:sz w:val="20"/>
                <w:szCs w:val="20"/>
                <w:lang w:val="sr-Latn-ME"/>
              </w:rPr>
              <w:t xml:space="preserve"> </w:t>
            </w:r>
          </w:p>
        </w:tc>
      </w:tr>
      <w:tr w:rsidR="00CE01FA" w:rsidRPr="0023595B" w14:paraId="2001C4BD" w14:textId="77777777" w:rsidTr="003801CF">
        <w:tc>
          <w:tcPr>
            <w:tcW w:w="1583" w:type="dxa"/>
            <w:vMerge/>
            <w:tcBorders>
              <w:left w:val="single" w:sz="4" w:space="0" w:color="auto"/>
              <w:right w:val="single" w:sz="4" w:space="0" w:color="auto"/>
            </w:tcBorders>
          </w:tcPr>
          <w:p w14:paraId="71A49F23" w14:textId="77777777" w:rsidR="00CE01FA" w:rsidRPr="0023595B" w:rsidRDefault="00CE01FA" w:rsidP="00D55718">
            <w:pPr>
              <w:rPr>
                <w:b/>
                <w:noProof/>
                <w:sz w:val="20"/>
                <w:szCs w:val="20"/>
                <w:lang w:val="sr-Latn-ME"/>
              </w:rPr>
            </w:pPr>
          </w:p>
        </w:tc>
        <w:tc>
          <w:tcPr>
            <w:tcW w:w="1814" w:type="dxa"/>
            <w:tcBorders>
              <w:top w:val="single" w:sz="4" w:space="0" w:color="auto"/>
              <w:left w:val="single" w:sz="4" w:space="0" w:color="auto"/>
              <w:bottom w:val="single" w:sz="4" w:space="0" w:color="auto"/>
              <w:right w:val="single" w:sz="4" w:space="0" w:color="auto"/>
            </w:tcBorders>
          </w:tcPr>
          <w:p w14:paraId="5379FF12" w14:textId="39D29437" w:rsidR="00CE01FA" w:rsidRDefault="00CE01FA" w:rsidP="00D55718">
            <w:pPr>
              <w:rPr>
                <w:noProof/>
                <w:sz w:val="20"/>
                <w:szCs w:val="20"/>
                <w:lang w:val="sr-Latn-ME"/>
              </w:rPr>
            </w:pPr>
            <w:r>
              <w:rPr>
                <w:noProof/>
                <w:sz w:val="20"/>
                <w:szCs w:val="20"/>
                <w:lang w:val="sr-Latn-ME"/>
              </w:rPr>
              <w:t>često</w:t>
            </w:r>
          </w:p>
        </w:tc>
        <w:tc>
          <w:tcPr>
            <w:tcW w:w="6237" w:type="dxa"/>
            <w:tcBorders>
              <w:top w:val="single" w:sz="4" w:space="0" w:color="auto"/>
              <w:left w:val="single" w:sz="4" w:space="0" w:color="auto"/>
              <w:bottom w:val="single" w:sz="4" w:space="0" w:color="auto"/>
              <w:right w:val="single" w:sz="4" w:space="0" w:color="auto"/>
            </w:tcBorders>
          </w:tcPr>
          <w:p w14:paraId="0A3B2B09" w14:textId="11338E1A" w:rsidR="00CE01FA" w:rsidRPr="0023595B" w:rsidRDefault="00925F30" w:rsidP="00925F30">
            <w:pPr>
              <w:rPr>
                <w:noProof/>
                <w:sz w:val="20"/>
                <w:szCs w:val="20"/>
                <w:lang w:val="sr-Latn-ME"/>
              </w:rPr>
            </w:pPr>
            <w:r>
              <w:rPr>
                <w:noProof/>
                <w:sz w:val="20"/>
                <w:szCs w:val="20"/>
                <w:lang w:val="sr-Latn-ME"/>
              </w:rPr>
              <w:t>r</w:t>
            </w:r>
            <w:r w:rsidR="00CE01FA" w:rsidRPr="0023595B">
              <w:rPr>
                <w:noProof/>
                <w:sz w:val="20"/>
                <w:szCs w:val="20"/>
                <w:lang w:val="sr-Latn-ME"/>
              </w:rPr>
              <w:t xml:space="preserve">ascijep pigmentnog epitela retine*, </w:t>
            </w:r>
            <w:r>
              <w:rPr>
                <w:noProof/>
                <w:sz w:val="20"/>
                <w:szCs w:val="20"/>
                <w:lang w:val="sr-Latn-ME"/>
              </w:rPr>
              <w:t>a</w:t>
            </w:r>
            <w:r w:rsidR="00CE01FA" w:rsidRPr="0023595B">
              <w:rPr>
                <w:noProof/>
                <w:sz w:val="20"/>
                <w:szCs w:val="20"/>
                <w:lang w:val="sr-Latn-ME"/>
              </w:rPr>
              <w:t xml:space="preserve">blacija pigmentnog epitela retine, </w:t>
            </w:r>
            <w:r>
              <w:rPr>
                <w:noProof/>
                <w:sz w:val="20"/>
                <w:szCs w:val="20"/>
                <w:lang w:val="sr-Latn-ME"/>
              </w:rPr>
              <w:t>d</w:t>
            </w:r>
            <w:r w:rsidR="00CE01FA" w:rsidRPr="0023595B">
              <w:rPr>
                <w:noProof/>
                <w:sz w:val="20"/>
                <w:szCs w:val="20"/>
                <w:lang w:val="sr-Latn-ME"/>
              </w:rPr>
              <w:t xml:space="preserve">egeneracija retine, </w:t>
            </w:r>
            <w:r>
              <w:rPr>
                <w:noProof/>
                <w:sz w:val="20"/>
                <w:szCs w:val="20"/>
                <w:lang w:val="sr-Latn-ME"/>
              </w:rPr>
              <w:t>k</w:t>
            </w:r>
            <w:r w:rsidR="00CE01FA" w:rsidRPr="0023595B">
              <w:rPr>
                <w:noProof/>
                <w:sz w:val="20"/>
                <w:szCs w:val="20"/>
                <w:lang w:val="sr-Latn-ME"/>
              </w:rPr>
              <w:t xml:space="preserve">rvarenje u staklastom tijelu, </w:t>
            </w:r>
            <w:r>
              <w:rPr>
                <w:noProof/>
                <w:sz w:val="20"/>
                <w:szCs w:val="20"/>
                <w:lang w:val="sr-Latn-ME"/>
              </w:rPr>
              <w:t>k</w:t>
            </w:r>
            <w:r w:rsidR="00CE01FA" w:rsidRPr="0023595B">
              <w:rPr>
                <w:noProof/>
                <w:sz w:val="20"/>
                <w:szCs w:val="20"/>
                <w:lang w:val="sr-Latn-ME"/>
              </w:rPr>
              <w:t xml:space="preserve">atarakta, </w:t>
            </w:r>
            <w:r>
              <w:rPr>
                <w:noProof/>
                <w:sz w:val="20"/>
                <w:szCs w:val="20"/>
                <w:lang w:val="sr-Latn-ME"/>
              </w:rPr>
              <w:t>k</w:t>
            </w:r>
            <w:r w:rsidR="00CE01FA" w:rsidRPr="0023595B">
              <w:rPr>
                <w:noProof/>
                <w:sz w:val="20"/>
                <w:szCs w:val="20"/>
                <w:lang w:val="sr-Latn-ME"/>
              </w:rPr>
              <w:t>ortikalna katarakta,</w:t>
            </w:r>
            <w:r>
              <w:rPr>
                <w:noProof/>
                <w:sz w:val="20"/>
                <w:szCs w:val="20"/>
                <w:lang w:val="sr-Latn-ME"/>
              </w:rPr>
              <w:t xml:space="preserve"> n</w:t>
            </w:r>
            <w:r w:rsidR="00CE01FA" w:rsidRPr="0023595B">
              <w:rPr>
                <w:noProof/>
                <w:sz w:val="20"/>
                <w:szCs w:val="20"/>
                <w:lang w:val="sr-Latn-ME"/>
              </w:rPr>
              <w:t xml:space="preserve">uklearna katarakta, </w:t>
            </w:r>
            <w:r>
              <w:rPr>
                <w:noProof/>
                <w:sz w:val="20"/>
                <w:szCs w:val="20"/>
                <w:lang w:val="sr-Latn-ME"/>
              </w:rPr>
              <w:t>s</w:t>
            </w:r>
            <w:r w:rsidR="00CE01FA" w:rsidRPr="0023595B">
              <w:rPr>
                <w:noProof/>
                <w:sz w:val="20"/>
                <w:szCs w:val="20"/>
                <w:lang w:val="sr-Latn-ME"/>
              </w:rPr>
              <w:t xml:space="preserve">upkapsularna katarakta, </w:t>
            </w:r>
            <w:r>
              <w:rPr>
                <w:noProof/>
                <w:sz w:val="20"/>
                <w:szCs w:val="20"/>
                <w:lang w:val="sr-Latn-ME"/>
              </w:rPr>
              <w:t>e</w:t>
            </w:r>
            <w:r w:rsidR="00CE01FA" w:rsidRPr="0023595B">
              <w:rPr>
                <w:noProof/>
                <w:sz w:val="20"/>
                <w:szCs w:val="20"/>
                <w:lang w:val="sr-Latn-ME"/>
              </w:rPr>
              <w:t xml:space="preserve">rozija rožnjače, </w:t>
            </w:r>
            <w:r>
              <w:rPr>
                <w:noProof/>
                <w:sz w:val="20"/>
                <w:szCs w:val="20"/>
                <w:lang w:val="sr-Latn-ME"/>
              </w:rPr>
              <w:t>a</w:t>
            </w:r>
            <w:r w:rsidR="00CE01FA" w:rsidRPr="0023595B">
              <w:rPr>
                <w:noProof/>
                <w:sz w:val="20"/>
                <w:szCs w:val="20"/>
                <w:lang w:val="sr-Latn-ME"/>
              </w:rPr>
              <w:t xml:space="preserve">brazija rožnjače, </w:t>
            </w:r>
            <w:r>
              <w:rPr>
                <w:noProof/>
                <w:sz w:val="20"/>
                <w:szCs w:val="20"/>
                <w:lang w:val="sr-Latn-ME"/>
              </w:rPr>
              <w:t>p</w:t>
            </w:r>
            <w:r w:rsidR="00CE01FA" w:rsidRPr="0023595B">
              <w:rPr>
                <w:noProof/>
                <w:sz w:val="20"/>
                <w:szCs w:val="20"/>
                <w:lang w:val="sr-Latn-ME"/>
              </w:rPr>
              <w:t xml:space="preserve">ovećanje intraokularnog pritiska, </w:t>
            </w:r>
            <w:r>
              <w:rPr>
                <w:noProof/>
                <w:sz w:val="20"/>
                <w:szCs w:val="20"/>
                <w:lang w:val="sr-Latn-ME"/>
              </w:rPr>
              <w:t>za</w:t>
            </w:r>
            <w:r w:rsidR="00CE01FA" w:rsidRPr="0023595B">
              <w:rPr>
                <w:noProof/>
                <w:sz w:val="20"/>
                <w:szCs w:val="20"/>
                <w:lang w:val="sr-Latn-ME"/>
              </w:rPr>
              <w:t xml:space="preserve">mućenje vida, </w:t>
            </w:r>
            <w:r>
              <w:rPr>
                <w:noProof/>
                <w:sz w:val="20"/>
                <w:szCs w:val="20"/>
                <w:lang w:val="sr-Latn-ME"/>
              </w:rPr>
              <w:t>p</w:t>
            </w:r>
            <w:r w:rsidR="00CE01FA" w:rsidRPr="0023595B">
              <w:rPr>
                <w:noProof/>
                <w:sz w:val="20"/>
                <w:szCs w:val="20"/>
                <w:lang w:val="sr-Latn-ME"/>
              </w:rPr>
              <w:t xml:space="preserve">lutajuće tačke u staklastom tijelu, </w:t>
            </w:r>
            <w:r>
              <w:rPr>
                <w:noProof/>
                <w:sz w:val="20"/>
                <w:szCs w:val="20"/>
                <w:lang w:val="sr-Latn-ME"/>
              </w:rPr>
              <w:t>a</w:t>
            </w:r>
            <w:r w:rsidR="00CE01FA" w:rsidRPr="0023595B">
              <w:rPr>
                <w:noProof/>
                <w:sz w:val="20"/>
                <w:szCs w:val="20"/>
                <w:lang w:val="sr-Latn-ME"/>
              </w:rPr>
              <w:t xml:space="preserve">blacija staklastog tijela, </w:t>
            </w:r>
            <w:r>
              <w:rPr>
                <w:noProof/>
                <w:sz w:val="20"/>
                <w:szCs w:val="20"/>
                <w:lang w:val="sr-Latn-ME"/>
              </w:rPr>
              <w:t>b</w:t>
            </w:r>
            <w:r w:rsidR="00CE01FA" w:rsidRPr="0023595B">
              <w:rPr>
                <w:noProof/>
                <w:sz w:val="20"/>
                <w:szCs w:val="20"/>
                <w:lang w:val="sr-Latn-ME"/>
              </w:rPr>
              <w:t xml:space="preserve">ol na mjestu injekcije, </w:t>
            </w:r>
            <w:r>
              <w:rPr>
                <w:noProof/>
                <w:sz w:val="20"/>
                <w:szCs w:val="20"/>
                <w:lang w:val="sr-Latn-ME"/>
              </w:rPr>
              <w:t>o</w:t>
            </w:r>
            <w:r w:rsidR="00CE01FA" w:rsidRPr="0023595B">
              <w:rPr>
                <w:noProof/>
                <w:sz w:val="20"/>
                <w:szCs w:val="20"/>
                <w:lang w:val="sr-Latn-ME"/>
              </w:rPr>
              <w:t xml:space="preserve">sjećaj prisustva stranog tijela u oku, </w:t>
            </w:r>
            <w:r>
              <w:rPr>
                <w:noProof/>
                <w:sz w:val="20"/>
                <w:szCs w:val="20"/>
                <w:lang w:val="sr-Latn-ME"/>
              </w:rPr>
              <w:t>p</w:t>
            </w:r>
            <w:r w:rsidR="00CE01FA" w:rsidRPr="0023595B">
              <w:rPr>
                <w:noProof/>
                <w:sz w:val="20"/>
                <w:szCs w:val="20"/>
                <w:lang w:val="sr-Latn-ME"/>
              </w:rPr>
              <w:t xml:space="preserve">ojačana lakrimacija, </w:t>
            </w:r>
            <w:r>
              <w:rPr>
                <w:noProof/>
                <w:sz w:val="20"/>
                <w:szCs w:val="20"/>
                <w:lang w:val="sr-Latn-ME"/>
              </w:rPr>
              <w:t>e</w:t>
            </w:r>
            <w:r w:rsidR="00CE01FA" w:rsidRPr="0023595B">
              <w:rPr>
                <w:noProof/>
                <w:sz w:val="20"/>
                <w:szCs w:val="20"/>
                <w:lang w:val="sr-Latn-ME"/>
              </w:rPr>
              <w:t xml:space="preserve">dem očnih kapaka, </w:t>
            </w:r>
            <w:r>
              <w:rPr>
                <w:noProof/>
                <w:sz w:val="20"/>
                <w:szCs w:val="20"/>
                <w:lang w:val="sr-Latn-ME"/>
              </w:rPr>
              <w:t>k</w:t>
            </w:r>
            <w:r w:rsidR="00CE01FA" w:rsidRPr="0023595B">
              <w:rPr>
                <w:noProof/>
                <w:sz w:val="20"/>
                <w:szCs w:val="20"/>
                <w:lang w:val="sr-Latn-ME"/>
              </w:rPr>
              <w:t xml:space="preserve">rvarenje na mjestu injekcije, </w:t>
            </w:r>
            <w:r>
              <w:rPr>
                <w:noProof/>
                <w:sz w:val="20"/>
                <w:szCs w:val="20"/>
                <w:lang w:val="sr-Latn-ME"/>
              </w:rPr>
              <w:t>p</w:t>
            </w:r>
            <w:r w:rsidR="00CE01FA" w:rsidRPr="0023595B">
              <w:rPr>
                <w:noProof/>
                <w:sz w:val="20"/>
                <w:szCs w:val="20"/>
                <w:lang w:val="sr-Latn-ME"/>
              </w:rPr>
              <w:t xml:space="preserve">unkcijski keratitis, </w:t>
            </w:r>
            <w:r>
              <w:rPr>
                <w:noProof/>
                <w:sz w:val="20"/>
                <w:szCs w:val="20"/>
                <w:lang w:val="sr-Latn-ME"/>
              </w:rPr>
              <w:t>k</w:t>
            </w:r>
            <w:r w:rsidR="00CE01FA" w:rsidRPr="0023595B">
              <w:rPr>
                <w:noProof/>
                <w:sz w:val="20"/>
                <w:szCs w:val="20"/>
                <w:lang w:val="sr-Latn-ME"/>
              </w:rPr>
              <w:t xml:space="preserve">onjunktivalna hiperemija, </w:t>
            </w:r>
            <w:r>
              <w:rPr>
                <w:noProof/>
                <w:sz w:val="20"/>
                <w:szCs w:val="20"/>
                <w:lang w:val="sr-Latn-ME"/>
              </w:rPr>
              <w:t>o</w:t>
            </w:r>
            <w:r w:rsidR="00CE01FA" w:rsidRPr="0023595B">
              <w:rPr>
                <w:noProof/>
                <w:sz w:val="20"/>
                <w:szCs w:val="20"/>
                <w:lang w:val="sr-Latn-ME"/>
              </w:rPr>
              <w:t>kularna hiperemija</w:t>
            </w:r>
          </w:p>
        </w:tc>
      </w:tr>
      <w:tr w:rsidR="00CE01FA" w:rsidRPr="0023595B" w14:paraId="3E132FA7" w14:textId="77777777" w:rsidTr="003801CF">
        <w:tc>
          <w:tcPr>
            <w:tcW w:w="1583" w:type="dxa"/>
            <w:vMerge/>
            <w:tcBorders>
              <w:left w:val="single" w:sz="4" w:space="0" w:color="auto"/>
              <w:right w:val="single" w:sz="4" w:space="0" w:color="auto"/>
            </w:tcBorders>
          </w:tcPr>
          <w:p w14:paraId="2A00F92F" w14:textId="77777777" w:rsidR="00CE01FA" w:rsidRPr="0023595B" w:rsidRDefault="00CE01FA" w:rsidP="00D55718">
            <w:pPr>
              <w:rPr>
                <w:b/>
                <w:noProof/>
                <w:sz w:val="20"/>
                <w:szCs w:val="20"/>
                <w:lang w:val="sr-Latn-ME"/>
              </w:rPr>
            </w:pPr>
          </w:p>
        </w:tc>
        <w:tc>
          <w:tcPr>
            <w:tcW w:w="1814" w:type="dxa"/>
            <w:tcBorders>
              <w:top w:val="single" w:sz="4" w:space="0" w:color="auto"/>
              <w:left w:val="single" w:sz="4" w:space="0" w:color="auto"/>
              <w:bottom w:val="single" w:sz="4" w:space="0" w:color="auto"/>
              <w:right w:val="single" w:sz="4" w:space="0" w:color="auto"/>
            </w:tcBorders>
          </w:tcPr>
          <w:p w14:paraId="02644A68" w14:textId="4EE3FDEA" w:rsidR="00CE01FA" w:rsidRDefault="00CE01FA" w:rsidP="00D55718">
            <w:pPr>
              <w:rPr>
                <w:noProof/>
                <w:sz w:val="20"/>
                <w:szCs w:val="20"/>
                <w:lang w:val="sr-Latn-ME"/>
              </w:rPr>
            </w:pPr>
            <w:r>
              <w:rPr>
                <w:noProof/>
                <w:sz w:val="20"/>
                <w:szCs w:val="20"/>
                <w:lang w:val="sr-Latn-ME"/>
              </w:rPr>
              <w:t>povremeno</w:t>
            </w:r>
          </w:p>
        </w:tc>
        <w:tc>
          <w:tcPr>
            <w:tcW w:w="6237" w:type="dxa"/>
            <w:tcBorders>
              <w:top w:val="single" w:sz="4" w:space="0" w:color="auto"/>
              <w:left w:val="single" w:sz="4" w:space="0" w:color="auto"/>
              <w:bottom w:val="single" w:sz="4" w:space="0" w:color="auto"/>
              <w:right w:val="single" w:sz="4" w:space="0" w:color="auto"/>
            </w:tcBorders>
          </w:tcPr>
          <w:p w14:paraId="1B97BD03" w14:textId="5AAE15EC" w:rsidR="00CE01FA" w:rsidRPr="0023595B" w:rsidRDefault="00925F30" w:rsidP="00925F30">
            <w:pPr>
              <w:rPr>
                <w:noProof/>
                <w:sz w:val="20"/>
                <w:szCs w:val="20"/>
                <w:lang w:val="sr-Latn-ME"/>
              </w:rPr>
            </w:pPr>
            <w:r>
              <w:rPr>
                <w:noProof/>
                <w:sz w:val="20"/>
                <w:szCs w:val="20"/>
                <w:lang w:val="sr-Latn-ME"/>
              </w:rPr>
              <w:t>e</w:t>
            </w:r>
            <w:r w:rsidR="00CE01FA" w:rsidRPr="0023595B">
              <w:rPr>
                <w:noProof/>
                <w:sz w:val="20"/>
                <w:szCs w:val="20"/>
                <w:lang w:val="sr-Latn-ME"/>
              </w:rPr>
              <w:t xml:space="preserve">ndoftalmitis**, </w:t>
            </w:r>
            <w:r>
              <w:rPr>
                <w:noProof/>
                <w:sz w:val="20"/>
                <w:szCs w:val="20"/>
                <w:lang w:val="sr-Latn-ME"/>
              </w:rPr>
              <w:t>a</w:t>
            </w:r>
            <w:r w:rsidR="00CE01FA" w:rsidRPr="0023595B">
              <w:rPr>
                <w:noProof/>
                <w:sz w:val="20"/>
                <w:szCs w:val="20"/>
                <w:lang w:val="sr-Latn-ME"/>
              </w:rPr>
              <w:t xml:space="preserve">blacija retine, </w:t>
            </w:r>
            <w:r>
              <w:rPr>
                <w:noProof/>
                <w:sz w:val="20"/>
                <w:szCs w:val="20"/>
                <w:lang w:val="sr-Latn-ME"/>
              </w:rPr>
              <w:t>r</w:t>
            </w:r>
            <w:r w:rsidR="00CE01FA" w:rsidRPr="0023595B">
              <w:rPr>
                <w:noProof/>
                <w:sz w:val="20"/>
                <w:szCs w:val="20"/>
                <w:lang w:val="sr-Latn-ME"/>
              </w:rPr>
              <w:t>as</w:t>
            </w:r>
            <w:r w:rsidR="005C35B7">
              <w:rPr>
                <w:noProof/>
                <w:sz w:val="20"/>
                <w:szCs w:val="20"/>
                <w:lang w:val="sr-Latn-ME"/>
              </w:rPr>
              <w:t>c</w:t>
            </w:r>
            <w:r w:rsidR="00CE01FA" w:rsidRPr="0023595B">
              <w:rPr>
                <w:noProof/>
                <w:sz w:val="20"/>
                <w:szCs w:val="20"/>
                <w:lang w:val="sr-Latn-ME"/>
              </w:rPr>
              <w:t xml:space="preserve">ijep retine, </w:t>
            </w:r>
            <w:r>
              <w:rPr>
                <w:noProof/>
                <w:sz w:val="20"/>
                <w:szCs w:val="20"/>
                <w:lang w:val="sr-Latn-ME"/>
              </w:rPr>
              <w:t>i</w:t>
            </w:r>
            <w:r w:rsidR="00CE01FA" w:rsidRPr="0023595B">
              <w:rPr>
                <w:noProof/>
                <w:sz w:val="20"/>
                <w:szCs w:val="20"/>
                <w:lang w:val="sr-Latn-ME"/>
              </w:rPr>
              <w:t xml:space="preserve">ritis, </w:t>
            </w:r>
            <w:r>
              <w:rPr>
                <w:noProof/>
                <w:sz w:val="20"/>
                <w:szCs w:val="20"/>
                <w:lang w:val="sr-Latn-ME"/>
              </w:rPr>
              <w:t>u</w:t>
            </w:r>
            <w:r w:rsidR="00CE01FA" w:rsidRPr="0023595B">
              <w:rPr>
                <w:noProof/>
                <w:sz w:val="20"/>
                <w:szCs w:val="20"/>
                <w:lang w:val="sr-Latn-ME"/>
              </w:rPr>
              <w:t xml:space="preserve">veitis, </w:t>
            </w:r>
          </w:p>
          <w:p w14:paraId="5C873273" w14:textId="02A65982" w:rsidR="00CE01FA" w:rsidRPr="0023595B" w:rsidRDefault="00925F30" w:rsidP="00925F30">
            <w:pPr>
              <w:rPr>
                <w:noProof/>
                <w:sz w:val="20"/>
                <w:szCs w:val="20"/>
                <w:lang w:val="sr-Latn-ME"/>
              </w:rPr>
            </w:pPr>
            <w:r>
              <w:rPr>
                <w:noProof/>
                <w:sz w:val="20"/>
                <w:szCs w:val="20"/>
                <w:lang w:val="sr-Latn-ME"/>
              </w:rPr>
              <w:t>i</w:t>
            </w:r>
            <w:r w:rsidR="00CE01FA" w:rsidRPr="0023595B">
              <w:rPr>
                <w:noProof/>
                <w:sz w:val="20"/>
                <w:szCs w:val="20"/>
                <w:lang w:val="sr-Latn-ME"/>
              </w:rPr>
              <w:t xml:space="preserve">ridociklitis, </w:t>
            </w:r>
            <w:r>
              <w:rPr>
                <w:noProof/>
                <w:sz w:val="20"/>
                <w:szCs w:val="20"/>
                <w:lang w:val="sr-Latn-ME"/>
              </w:rPr>
              <w:t>z</w:t>
            </w:r>
            <w:r w:rsidR="00CE01FA" w:rsidRPr="0023595B">
              <w:rPr>
                <w:noProof/>
                <w:sz w:val="20"/>
                <w:szCs w:val="20"/>
                <w:lang w:val="sr-Latn-ME"/>
              </w:rPr>
              <w:t xml:space="preserve">amućenje očnog sočiva, </w:t>
            </w:r>
            <w:r>
              <w:rPr>
                <w:noProof/>
                <w:sz w:val="20"/>
                <w:szCs w:val="20"/>
                <w:lang w:val="sr-Latn-ME"/>
              </w:rPr>
              <w:t>d</w:t>
            </w:r>
            <w:r w:rsidR="00CE01FA" w:rsidRPr="0023595B">
              <w:rPr>
                <w:noProof/>
                <w:sz w:val="20"/>
                <w:szCs w:val="20"/>
                <w:lang w:val="sr-Latn-ME"/>
              </w:rPr>
              <w:t xml:space="preserve">efekt epitela rožnjače, </w:t>
            </w:r>
            <w:r>
              <w:rPr>
                <w:noProof/>
                <w:sz w:val="20"/>
                <w:szCs w:val="20"/>
                <w:lang w:val="sr-Latn-ME"/>
              </w:rPr>
              <w:t>i</w:t>
            </w:r>
            <w:r w:rsidR="00CE01FA" w:rsidRPr="0023595B">
              <w:rPr>
                <w:noProof/>
                <w:sz w:val="20"/>
                <w:szCs w:val="20"/>
                <w:lang w:val="sr-Latn-ME"/>
              </w:rPr>
              <w:t xml:space="preserve">ritacija na mjestu injekcije, </w:t>
            </w:r>
            <w:r>
              <w:rPr>
                <w:noProof/>
                <w:sz w:val="20"/>
                <w:szCs w:val="20"/>
                <w:lang w:val="sr-Latn-ME"/>
              </w:rPr>
              <w:t>a</w:t>
            </w:r>
            <w:r w:rsidR="00CE01FA" w:rsidRPr="0023595B">
              <w:rPr>
                <w:noProof/>
                <w:sz w:val="20"/>
                <w:szCs w:val="20"/>
                <w:lang w:val="sr-Latn-ME"/>
              </w:rPr>
              <w:t xml:space="preserve">bnormalan osjećaj u oku, </w:t>
            </w:r>
            <w:r>
              <w:rPr>
                <w:noProof/>
                <w:sz w:val="20"/>
                <w:szCs w:val="20"/>
                <w:lang w:val="sr-Latn-ME"/>
              </w:rPr>
              <w:t>i</w:t>
            </w:r>
            <w:r w:rsidR="00CE01FA" w:rsidRPr="0023595B">
              <w:rPr>
                <w:noProof/>
                <w:sz w:val="20"/>
                <w:szCs w:val="20"/>
                <w:lang w:val="sr-Latn-ME"/>
              </w:rPr>
              <w:t xml:space="preserve">ritacija očnih kapaka, </w:t>
            </w:r>
            <w:r>
              <w:rPr>
                <w:noProof/>
                <w:sz w:val="20"/>
                <w:szCs w:val="20"/>
                <w:lang w:val="sr-Latn-ME"/>
              </w:rPr>
              <w:t>z</w:t>
            </w:r>
            <w:r w:rsidR="00CE01FA" w:rsidRPr="0023595B">
              <w:rPr>
                <w:noProof/>
                <w:sz w:val="20"/>
                <w:szCs w:val="20"/>
                <w:lang w:val="sr-Latn-ME"/>
              </w:rPr>
              <w:t xml:space="preserve">apaljenje prednje komore, </w:t>
            </w:r>
            <w:r>
              <w:rPr>
                <w:noProof/>
                <w:sz w:val="20"/>
                <w:szCs w:val="20"/>
                <w:lang w:val="sr-Latn-ME"/>
              </w:rPr>
              <w:t>e</w:t>
            </w:r>
            <w:r w:rsidR="00CE01FA" w:rsidRPr="0023595B">
              <w:rPr>
                <w:noProof/>
                <w:sz w:val="20"/>
                <w:szCs w:val="20"/>
                <w:lang w:val="sr-Latn-ME"/>
              </w:rPr>
              <w:t>dem rožnjače</w:t>
            </w:r>
          </w:p>
        </w:tc>
      </w:tr>
      <w:tr w:rsidR="00CE01FA" w:rsidRPr="0023595B" w14:paraId="1E33203A" w14:textId="77777777" w:rsidTr="003801CF">
        <w:tc>
          <w:tcPr>
            <w:tcW w:w="1583" w:type="dxa"/>
            <w:vMerge/>
            <w:tcBorders>
              <w:left w:val="single" w:sz="4" w:space="0" w:color="auto"/>
              <w:right w:val="single" w:sz="4" w:space="0" w:color="auto"/>
            </w:tcBorders>
          </w:tcPr>
          <w:p w14:paraId="421A6FC0" w14:textId="77777777" w:rsidR="00CE01FA" w:rsidRPr="0023595B" w:rsidRDefault="00CE01FA" w:rsidP="00D700E9">
            <w:pPr>
              <w:rPr>
                <w:b/>
                <w:noProof/>
                <w:sz w:val="20"/>
                <w:szCs w:val="20"/>
                <w:lang w:val="sr-Latn-ME"/>
              </w:rPr>
            </w:pPr>
          </w:p>
        </w:tc>
        <w:tc>
          <w:tcPr>
            <w:tcW w:w="1814" w:type="dxa"/>
            <w:tcBorders>
              <w:top w:val="single" w:sz="4" w:space="0" w:color="auto"/>
              <w:left w:val="single" w:sz="4" w:space="0" w:color="auto"/>
              <w:bottom w:val="single" w:sz="4" w:space="0" w:color="auto"/>
              <w:right w:val="single" w:sz="4" w:space="0" w:color="auto"/>
            </w:tcBorders>
          </w:tcPr>
          <w:p w14:paraId="0B3DE302" w14:textId="6D033C26" w:rsidR="00CE01FA" w:rsidRDefault="00CE01FA" w:rsidP="00D700E9">
            <w:pPr>
              <w:rPr>
                <w:noProof/>
                <w:sz w:val="20"/>
                <w:szCs w:val="20"/>
                <w:lang w:val="sr-Latn-ME"/>
              </w:rPr>
            </w:pPr>
            <w:r>
              <w:rPr>
                <w:noProof/>
                <w:sz w:val="20"/>
                <w:szCs w:val="20"/>
                <w:lang w:val="sr-Latn-ME"/>
              </w:rPr>
              <w:t>rijetko</w:t>
            </w:r>
          </w:p>
        </w:tc>
        <w:tc>
          <w:tcPr>
            <w:tcW w:w="6237" w:type="dxa"/>
            <w:tcBorders>
              <w:top w:val="single" w:sz="4" w:space="0" w:color="auto"/>
              <w:left w:val="single" w:sz="4" w:space="0" w:color="auto"/>
              <w:bottom w:val="single" w:sz="4" w:space="0" w:color="auto"/>
              <w:right w:val="single" w:sz="4" w:space="0" w:color="auto"/>
            </w:tcBorders>
          </w:tcPr>
          <w:p w14:paraId="603A776D" w14:textId="795C511D" w:rsidR="00CE01FA" w:rsidRPr="0023595B" w:rsidRDefault="00CE01FA" w:rsidP="00447598">
            <w:pPr>
              <w:rPr>
                <w:noProof/>
                <w:sz w:val="20"/>
                <w:szCs w:val="20"/>
                <w:lang w:val="sr-Latn-ME"/>
              </w:rPr>
            </w:pPr>
            <w:r>
              <w:rPr>
                <w:noProof/>
                <w:sz w:val="20"/>
                <w:szCs w:val="20"/>
                <w:lang w:val="sr-Latn-ME"/>
              </w:rPr>
              <w:t>s</w:t>
            </w:r>
            <w:r w:rsidRPr="0023595B">
              <w:rPr>
                <w:noProof/>
                <w:sz w:val="20"/>
                <w:szCs w:val="20"/>
                <w:lang w:val="sr-Latn-ME"/>
              </w:rPr>
              <w:t xml:space="preserve">ljepilo, </w:t>
            </w:r>
            <w:r>
              <w:rPr>
                <w:noProof/>
                <w:sz w:val="20"/>
                <w:szCs w:val="20"/>
                <w:lang w:val="sr-Latn-ME"/>
              </w:rPr>
              <w:t>t</w:t>
            </w:r>
            <w:r w:rsidRPr="0023595B">
              <w:rPr>
                <w:noProof/>
                <w:sz w:val="20"/>
                <w:szCs w:val="20"/>
                <w:lang w:val="sr-Latn-ME"/>
              </w:rPr>
              <w:t xml:space="preserve">raumatska katarakta, </w:t>
            </w:r>
            <w:r>
              <w:rPr>
                <w:noProof/>
                <w:sz w:val="20"/>
                <w:szCs w:val="20"/>
                <w:lang w:val="sr-Latn-ME"/>
              </w:rPr>
              <w:t>v</w:t>
            </w:r>
            <w:r w:rsidRPr="0023595B">
              <w:rPr>
                <w:noProof/>
                <w:sz w:val="20"/>
                <w:szCs w:val="20"/>
                <w:lang w:val="sr-Latn-ME"/>
              </w:rPr>
              <w:t xml:space="preserve">itritis, </w:t>
            </w:r>
            <w:r>
              <w:rPr>
                <w:noProof/>
                <w:sz w:val="20"/>
                <w:szCs w:val="20"/>
                <w:lang w:val="sr-Latn-ME"/>
              </w:rPr>
              <w:t>h</w:t>
            </w:r>
            <w:r w:rsidRPr="0023595B">
              <w:rPr>
                <w:noProof/>
                <w:sz w:val="20"/>
                <w:szCs w:val="20"/>
                <w:lang w:val="sr-Latn-ME"/>
              </w:rPr>
              <w:t>ipopion</w:t>
            </w:r>
          </w:p>
        </w:tc>
      </w:tr>
      <w:tr w:rsidR="00CE01FA" w:rsidRPr="0023595B" w14:paraId="72A681CA" w14:textId="77777777" w:rsidTr="003801CF">
        <w:tc>
          <w:tcPr>
            <w:tcW w:w="1583" w:type="dxa"/>
            <w:vMerge/>
            <w:tcBorders>
              <w:left w:val="single" w:sz="4" w:space="0" w:color="auto"/>
              <w:bottom w:val="single" w:sz="4" w:space="0" w:color="auto"/>
              <w:right w:val="single" w:sz="4" w:space="0" w:color="auto"/>
            </w:tcBorders>
          </w:tcPr>
          <w:p w14:paraId="069FC14C" w14:textId="77777777" w:rsidR="00CE01FA" w:rsidRPr="0023595B" w:rsidRDefault="00CE01FA" w:rsidP="00D700E9">
            <w:pPr>
              <w:rPr>
                <w:b/>
                <w:noProof/>
                <w:sz w:val="20"/>
                <w:szCs w:val="20"/>
                <w:lang w:val="sr-Latn-ME"/>
              </w:rPr>
            </w:pPr>
          </w:p>
        </w:tc>
        <w:tc>
          <w:tcPr>
            <w:tcW w:w="1814" w:type="dxa"/>
            <w:tcBorders>
              <w:top w:val="single" w:sz="4" w:space="0" w:color="auto"/>
              <w:left w:val="single" w:sz="4" w:space="0" w:color="auto"/>
              <w:bottom w:val="single" w:sz="4" w:space="0" w:color="auto"/>
              <w:right w:val="single" w:sz="4" w:space="0" w:color="auto"/>
            </w:tcBorders>
          </w:tcPr>
          <w:p w14:paraId="39C730DD" w14:textId="2B6F04E3" w:rsidR="00CE01FA" w:rsidRDefault="00CE01FA" w:rsidP="00D700E9">
            <w:pPr>
              <w:rPr>
                <w:noProof/>
                <w:sz w:val="20"/>
                <w:szCs w:val="20"/>
                <w:lang w:val="sr-Latn-ME"/>
              </w:rPr>
            </w:pPr>
            <w:r>
              <w:rPr>
                <w:noProof/>
                <w:sz w:val="20"/>
                <w:szCs w:val="20"/>
                <w:lang w:val="sr-Latn-ME"/>
              </w:rPr>
              <w:t>nepoznato</w:t>
            </w:r>
          </w:p>
        </w:tc>
        <w:tc>
          <w:tcPr>
            <w:tcW w:w="6237" w:type="dxa"/>
            <w:tcBorders>
              <w:top w:val="single" w:sz="4" w:space="0" w:color="auto"/>
              <w:left w:val="single" w:sz="4" w:space="0" w:color="auto"/>
              <w:bottom w:val="single" w:sz="4" w:space="0" w:color="auto"/>
              <w:right w:val="single" w:sz="4" w:space="0" w:color="auto"/>
            </w:tcBorders>
          </w:tcPr>
          <w:p w14:paraId="29AA673A" w14:textId="6E294A97" w:rsidR="00CE01FA" w:rsidRPr="0023595B" w:rsidRDefault="00CE01FA" w:rsidP="00D700E9">
            <w:pPr>
              <w:rPr>
                <w:noProof/>
                <w:sz w:val="20"/>
                <w:szCs w:val="20"/>
                <w:lang w:val="sr-Latn-ME"/>
              </w:rPr>
            </w:pPr>
            <w:r>
              <w:rPr>
                <w:noProof/>
                <w:sz w:val="20"/>
                <w:szCs w:val="20"/>
                <w:lang w:val="sr-Latn-ME"/>
              </w:rPr>
              <w:t>skleritis****</w:t>
            </w:r>
          </w:p>
        </w:tc>
      </w:tr>
    </w:tbl>
    <w:p w14:paraId="5996B514" w14:textId="5ED98353" w:rsidR="00106B79" w:rsidRPr="0023595B" w:rsidRDefault="00106B79" w:rsidP="00E64153">
      <w:pPr>
        <w:ind w:left="567" w:hanging="567"/>
        <w:rPr>
          <w:noProof/>
          <w:sz w:val="20"/>
          <w:szCs w:val="20"/>
          <w:lang w:val="sr-Latn-ME"/>
        </w:rPr>
      </w:pPr>
      <w:r w:rsidRPr="0023595B">
        <w:rPr>
          <w:noProof/>
          <w:sz w:val="20"/>
          <w:szCs w:val="20"/>
          <w:lang w:val="sr-Latn-ME"/>
        </w:rPr>
        <w:t xml:space="preserve">* </w:t>
      </w:r>
      <w:r w:rsidR="00E64153">
        <w:rPr>
          <w:noProof/>
          <w:sz w:val="20"/>
          <w:szCs w:val="20"/>
          <w:lang w:val="sr-Latn-ME"/>
        </w:rPr>
        <w:tab/>
      </w:r>
      <w:r w:rsidRPr="0023595B">
        <w:rPr>
          <w:noProof/>
          <w:sz w:val="20"/>
          <w:szCs w:val="20"/>
          <w:lang w:val="sr-Latn-ME"/>
        </w:rPr>
        <w:t xml:space="preserve">Stanja za koja se zna da su povezana sa vlažnom AMD. Primijećeno samo u ispitivanjima vlažne AMD. </w:t>
      </w:r>
    </w:p>
    <w:p w14:paraId="05AD97C9" w14:textId="58C44082" w:rsidR="00106B79" w:rsidRPr="0023595B" w:rsidRDefault="00106B79" w:rsidP="00E64153">
      <w:pPr>
        <w:ind w:left="567" w:hanging="567"/>
        <w:rPr>
          <w:noProof/>
          <w:sz w:val="20"/>
          <w:szCs w:val="20"/>
          <w:lang w:val="sr-Latn-ME"/>
        </w:rPr>
      </w:pPr>
      <w:r w:rsidRPr="0023595B">
        <w:rPr>
          <w:noProof/>
          <w:sz w:val="20"/>
          <w:szCs w:val="20"/>
          <w:lang w:val="sr-Latn-ME"/>
        </w:rPr>
        <w:t xml:space="preserve">** </w:t>
      </w:r>
      <w:r w:rsidR="00E64153">
        <w:rPr>
          <w:noProof/>
          <w:sz w:val="20"/>
          <w:szCs w:val="20"/>
          <w:lang w:val="sr-Latn-ME"/>
        </w:rPr>
        <w:tab/>
      </w:r>
      <w:r w:rsidRPr="0023595B">
        <w:rPr>
          <w:noProof/>
          <w:sz w:val="20"/>
          <w:szCs w:val="20"/>
          <w:lang w:val="sr-Latn-ME"/>
        </w:rPr>
        <w:t>Endoftalmitis sa pozitivnom kulturom kao i sa negativnom kulturom mikroorganizama</w:t>
      </w:r>
    </w:p>
    <w:p w14:paraId="6FA4B37D" w14:textId="348D6DB4" w:rsidR="00106B79" w:rsidRDefault="00106B79" w:rsidP="00E64153">
      <w:pPr>
        <w:ind w:left="567" w:hanging="567"/>
        <w:rPr>
          <w:noProof/>
          <w:sz w:val="20"/>
          <w:szCs w:val="20"/>
          <w:lang w:val="sr-Latn-ME"/>
        </w:rPr>
      </w:pPr>
      <w:r w:rsidRPr="0023595B">
        <w:rPr>
          <w:noProof/>
          <w:sz w:val="20"/>
          <w:szCs w:val="20"/>
          <w:lang w:val="sr-Latn-ME"/>
        </w:rPr>
        <w:t xml:space="preserve">*** </w:t>
      </w:r>
      <w:r w:rsidR="00E64153">
        <w:rPr>
          <w:noProof/>
          <w:sz w:val="20"/>
          <w:szCs w:val="20"/>
          <w:lang w:val="sr-Latn-ME"/>
        </w:rPr>
        <w:tab/>
      </w:r>
      <w:r w:rsidRPr="0023595B">
        <w:rPr>
          <w:noProof/>
          <w:sz w:val="20"/>
          <w:szCs w:val="20"/>
          <w:lang w:val="sr-Latn-ME"/>
        </w:rPr>
        <w:t>Tokom perioda nakon stavljanja lijeka u promet, izvještaji o preosjetljivosti uključivali su ospu, pruritus, urtikariju kao i izolovane slučajeve teških anafilaktičkih/anafilaktoidnih reakcija.</w:t>
      </w:r>
    </w:p>
    <w:p w14:paraId="0F11B346" w14:textId="3917A6FD" w:rsidR="00E64153" w:rsidRPr="0023595B" w:rsidRDefault="00E64153" w:rsidP="003801CF">
      <w:pPr>
        <w:ind w:left="567" w:hanging="567"/>
        <w:rPr>
          <w:noProof/>
          <w:sz w:val="20"/>
          <w:szCs w:val="20"/>
          <w:lang w:val="sr-Latn-ME"/>
        </w:rPr>
      </w:pPr>
      <w:r>
        <w:rPr>
          <w:noProof/>
          <w:sz w:val="20"/>
          <w:szCs w:val="20"/>
          <w:lang w:val="sr-Latn-ME"/>
        </w:rPr>
        <w:t xml:space="preserve">**** </w:t>
      </w:r>
      <w:r>
        <w:rPr>
          <w:noProof/>
          <w:sz w:val="20"/>
          <w:szCs w:val="20"/>
          <w:lang w:val="sr-Latn-ME"/>
        </w:rPr>
        <w:tab/>
        <w:t>Iz prijavljivanja nakon stavljanja lijeka u promet.</w:t>
      </w:r>
    </w:p>
    <w:p w14:paraId="1C86A877" w14:textId="77777777" w:rsidR="00106B79" w:rsidRPr="0023595B" w:rsidRDefault="00106B79" w:rsidP="0075781B">
      <w:pPr>
        <w:jc w:val="both"/>
        <w:rPr>
          <w:noProof/>
          <w:sz w:val="22"/>
          <w:szCs w:val="22"/>
          <w:lang w:val="sr-Latn-ME"/>
        </w:rPr>
      </w:pPr>
    </w:p>
    <w:p w14:paraId="74F99FFD" w14:textId="77777777" w:rsidR="00106B79" w:rsidRPr="0023595B" w:rsidRDefault="00106B79" w:rsidP="0075781B">
      <w:pPr>
        <w:tabs>
          <w:tab w:val="center" w:pos="4536"/>
          <w:tab w:val="right" w:pos="9072"/>
        </w:tabs>
        <w:jc w:val="both"/>
        <w:rPr>
          <w:i/>
          <w:iCs/>
          <w:sz w:val="22"/>
          <w:szCs w:val="22"/>
          <w:lang w:val="sr-Latn-ME"/>
        </w:rPr>
      </w:pPr>
      <w:r w:rsidRPr="0023595B">
        <w:rPr>
          <w:i/>
          <w:iCs/>
          <w:sz w:val="22"/>
          <w:szCs w:val="22"/>
          <w:lang w:val="sr-Latn-ME"/>
        </w:rPr>
        <w:t>Opis izabranih neželjenih reakcija</w:t>
      </w:r>
    </w:p>
    <w:p w14:paraId="277BA70C" w14:textId="77777777" w:rsidR="00106B79" w:rsidRPr="0023595B" w:rsidRDefault="00106B79" w:rsidP="0075781B">
      <w:pPr>
        <w:tabs>
          <w:tab w:val="center" w:pos="4536"/>
          <w:tab w:val="right" w:pos="9072"/>
        </w:tabs>
        <w:jc w:val="both"/>
        <w:rPr>
          <w:i/>
          <w:iCs/>
          <w:sz w:val="22"/>
          <w:szCs w:val="22"/>
          <w:lang w:val="sr-Latn-ME"/>
        </w:rPr>
      </w:pPr>
    </w:p>
    <w:p w14:paraId="4DC42DD5" w14:textId="77777777" w:rsidR="00106B79" w:rsidRPr="0023595B" w:rsidRDefault="00106B79" w:rsidP="0075781B">
      <w:pPr>
        <w:tabs>
          <w:tab w:val="center" w:pos="4536"/>
          <w:tab w:val="right" w:pos="9072"/>
        </w:tabs>
        <w:jc w:val="both"/>
        <w:rPr>
          <w:sz w:val="22"/>
          <w:szCs w:val="22"/>
          <w:lang w:val="sr-Latn-ME"/>
        </w:rPr>
      </w:pPr>
      <w:r w:rsidRPr="0023595B">
        <w:rPr>
          <w:sz w:val="22"/>
          <w:szCs w:val="22"/>
          <w:lang w:val="sr-Latn-ME"/>
        </w:rPr>
        <w:t>U ispitivanjima faze III za vlažnu AMD, postojala je povećana incidenca konjunktivalne hemoragije kod pacijenata koji su primali antitrombotičnu terapiju. Ova povećana incidenca bila je slična između pacijenata liječenih ranibizumabom i lijekom Eylea.</w:t>
      </w:r>
    </w:p>
    <w:p w14:paraId="7A1F203D" w14:textId="77777777" w:rsidR="00106B79" w:rsidRPr="0023595B" w:rsidRDefault="00106B79" w:rsidP="0075781B">
      <w:pPr>
        <w:tabs>
          <w:tab w:val="center" w:pos="4536"/>
          <w:tab w:val="right" w:pos="9072"/>
        </w:tabs>
        <w:jc w:val="both"/>
        <w:rPr>
          <w:sz w:val="22"/>
          <w:szCs w:val="22"/>
          <w:lang w:val="sr-Latn-ME"/>
        </w:rPr>
      </w:pPr>
    </w:p>
    <w:p w14:paraId="1724B887" w14:textId="77777777" w:rsidR="00106B79" w:rsidRPr="0023595B" w:rsidRDefault="00106B79" w:rsidP="0075781B">
      <w:pPr>
        <w:tabs>
          <w:tab w:val="center" w:pos="4536"/>
          <w:tab w:val="right" w:pos="9072"/>
        </w:tabs>
        <w:jc w:val="both"/>
        <w:rPr>
          <w:sz w:val="22"/>
          <w:szCs w:val="22"/>
          <w:lang w:val="sr-Latn-ME"/>
        </w:rPr>
      </w:pPr>
      <w:r w:rsidRPr="0023595B">
        <w:rPr>
          <w:sz w:val="22"/>
          <w:szCs w:val="22"/>
          <w:lang w:val="sr-Latn-ME"/>
        </w:rPr>
        <w:t>Arterijski tromboembolijski događaji (ATE) su neželjeni događaji koji potencijalno mogu biti povezani sa sistemskom VEGF inhibicijom. Postoji teorijski rizik za razvoj arterijskih tromboembolijskih događaja</w:t>
      </w:r>
      <w:r w:rsidRPr="0023595B">
        <w:rPr>
          <w:noProof/>
          <w:sz w:val="22"/>
          <w:szCs w:val="22"/>
          <w:lang w:val="sr-Latn-ME"/>
        </w:rPr>
        <w:t>, uključujući moždani udar i infarkt miokarda,</w:t>
      </w:r>
      <w:r w:rsidRPr="0023595B">
        <w:rPr>
          <w:sz w:val="22"/>
          <w:szCs w:val="22"/>
          <w:lang w:val="sr-Latn-ME"/>
        </w:rPr>
        <w:t xml:space="preserve"> nakon intravitrealne primjene VEGF inhibitora.</w:t>
      </w:r>
    </w:p>
    <w:p w14:paraId="76C7C9F6" w14:textId="77777777" w:rsidR="00106B79" w:rsidRPr="0023595B" w:rsidRDefault="00106B79" w:rsidP="0075781B">
      <w:pPr>
        <w:tabs>
          <w:tab w:val="center" w:pos="4536"/>
          <w:tab w:val="right" w:pos="9072"/>
        </w:tabs>
        <w:jc w:val="both"/>
        <w:rPr>
          <w:sz w:val="22"/>
          <w:szCs w:val="22"/>
          <w:lang w:val="sr-Latn-ME"/>
        </w:rPr>
      </w:pPr>
    </w:p>
    <w:p w14:paraId="699BE809" w14:textId="77777777" w:rsidR="00106B79" w:rsidRPr="0023595B" w:rsidRDefault="00106B79" w:rsidP="0075781B">
      <w:pPr>
        <w:jc w:val="both"/>
        <w:rPr>
          <w:sz w:val="22"/>
          <w:szCs w:val="22"/>
          <w:lang w:val="sr-Latn-ME"/>
        </w:rPr>
      </w:pPr>
      <w:r w:rsidRPr="0023595B">
        <w:rPr>
          <w:noProof/>
          <w:sz w:val="22"/>
          <w:szCs w:val="22"/>
          <w:lang w:val="sr-Latn-ME"/>
        </w:rPr>
        <w:t>Zapažena je niska incidenca arterijskih tromboembolijskih događaja u kliničkim ispitivanjima kod pacijenata sa vlažnom AMD, DME, RVO i CNV uzrokovanom miopijom. U okviru svih indikacija nije zapažena značajna razlika između grupa liječenih afliberceptom i odgovarajućih grupa liječenih komparatorom.</w:t>
      </w:r>
    </w:p>
    <w:p w14:paraId="1D21A346" w14:textId="77777777" w:rsidR="00106B79" w:rsidRPr="0023595B" w:rsidRDefault="00106B79" w:rsidP="0075781B">
      <w:pPr>
        <w:tabs>
          <w:tab w:val="center" w:pos="4536"/>
          <w:tab w:val="right" w:pos="9072"/>
        </w:tabs>
        <w:jc w:val="both"/>
        <w:rPr>
          <w:sz w:val="22"/>
          <w:szCs w:val="22"/>
          <w:lang w:val="sr-Latn-ME"/>
        </w:rPr>
      </w:pPr>
    </w:p>
    <w:p w14:paraId="2E816D87" w14:textId="77777777" w:rsidR="00106B79" w:rsidRPr="0023595B" w:rsidRDefault="00106B79" w:rsidP="0075781B">
      <w:pPr>
        <w:tabs>
          <w:tab w:val="center" w:pos="4536"/>
          <w:tab w:val="right" w:pos="9072"/>
        </w:tabs>
        <w:jc w:val="both"/>
        <w:rPr>
          <w:sz w:val="22"/>
          <w:szCs w:val="22"/>
          <w:lang w:val="sr-Latn-ME"/>
        </w:rPr>
      </w:pPr>
      <w:r w:rsidRPr="0023595B">
        <w:rPr>
          <w:sz w:val="22"/>
          <w:szCs w:val="22"/>
          <w:lang w:val="sr-Latn-ME"/>
        </w:rPr>
        <w:t>Kao i svi drugi proteini koji se koriste u terapijske svrhe i lijek Eylea ima imunogeni potencijal.</w:t>
      </w:r>
    </w:p>
    <w:p w14:paraId="36539741" w14:textId="542B99FA" w:rsidR="00106B79" w:rsidRDefault="00106B79" w:rsidP="0075781B">
      <w:pPr>
        <w:jc w:val="both"/>
        <w:rPr>
          <w:rFonts w:eastAsia="Calibri"/>
          <w:sz w:val="22"/>
          <w:szCs w:val="22"/>
          <w:u w:val="single"/>
          <w:lang w:val="sr-Latn-ME"/>
        </w:rPr>
      </w:pPr>
    </w:p>
    <w:p w14:paraId="27BF0189" w14:textId="77777777" w:rsidR="00BE4DA2" w:rsidRPr="0023595B" w:rsidRDefault="00BE4DA2" w:rsidP="0075781B">
      <w:pPr>
        <w:jc w:val="both"/>
        <w:rPr>
          <w:rFonts w:eastAsia="Calibri"/>
          <w:sz w:val="22"/>
          <w:szCs w:val="22"/>
          <w:u w:val="single"/>
          <w:lang w:val="sr-Latn-ME"/>
        </w:rPr>
      </w:pPr>
    </w:p>
    <w:p w14:paraId="3FDE6FD5" w14:textId="77777777" w:rsidR="005A23D2" w:rsidRPr="0023595B" w:rsidRDefault="005A23D2" w:rsidP="00A46C9A">
      <w:pPr>
        <w:spacing w:after="200" w:line="276" w:lineRule="auto"/>
        <w:rPr>
          <w:rFonts w:eastAsia="Calibri"/>
          <w:sz w:val="22"/>
          <w:szCs w:val="22"/>
          <w:u w:val="single"/>
          <w:lang w:val="sr-Latn-ME"/>
        </w:rPr>
      </w:pPr>
      <w:r w:rsidRPr="0023595B">
        <w:rPr>
          <w:rFonts w:eastAsia="Calibri"/>
          <w:sz w:val="22"/>
          <w:szCs w:val="22"/>
          <w:u w:val="single"/>
          <w:lang w:val="sr-Latn-ME"/>
        </w:rPr>
        <w:lastRenderedPageBreak/>
        <w:t>Prijavljivanje sumnji na neželjena dejstva</w:t>
      </w:r>
    </w:p>
    <w:p w14:paraId="5AE627BE" w14:textId="77777777" w:rsidR="00A86301" w:rsidRPr="0023595B" w:rsidRDefault="00A86301" w:rsidP="00A86301">
      <w:pPr>
        <w:spacing w:after="200"/>
        <w:jc w:val="both"/>
        <w:rPr>
          <w:rFonts w:eastAsia="Calibri"/>
          <w:sz w:val="22"/>
          <w:szCs w:val="22"/>
          <w:lang w:val="sr-Latn-ME"/>
        </w:rPr>
      </w:pPr>
      <w:r w:rsidRPr="0023595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A8F9A56" w14:textId="77777777" w:rsidR="00A86301" w:rsidRPr="0023595B" w:rsidRDefault="00A86301" w:rsidP="00A86301">
      <w:pPr>
        <w:pStyle w:val="NoSpacing"/>
        <w:jc w:val="both"/>
        <w:rPr>
          <w:rFonts w:eastAsia="Calibri"/>
          <w:sz w:val="22"/>
          <w:szCs w:val="22"/>
          <w:lang w:val="sr-Latn-ME"/>
        </w:rPr>
      </w:pPr>
      <w:r w:rsidRPr="0023595B">
        <w:rPr>
          <w:rFonts w:eastAsia="Calibri"/>
          <w:sz w:val="22"/>
          <w:szCs w:val="22"/>
          <w:lang w:val="sr-Latn-ME"/>
        </w:rPr>
        <w:t xml:space="preserve">Institut za ljekove i medicinska sredstva </w:t>
      </w:r>
    </w:p>
    <w:p w14:paraId="0220A7D1" w14:textId="77777777" w:rsidR="00A86301" w:rsidRPr="0023595B" w:rsidRDefault="00A86301" w:rsidP="00A86301">
      <w:pPr>
        <w:pStyle w:val="NoSpacing"/>
        <w:jc w:val="both"/>
        <w:rPr>
          <w:rFonts w:eastAsia="Calibri"/>
          <w:sz w:val="22"/>
          <w:szCs w:val="22"/>
          <w:lang w:val="sr-Latn-ME"/>
        </w:rPr>
      </w:pPr>
      <w:r w:rsidRPr="0023595B">
        <w:rPr>
          <w:rFonts w:eastAsia="Calibri"/>
          <w:sz w:val="22"/>
          <w:szCs w:val="22"/>
          <w:lang w:val="sr-Latn-ME"/>
        </w:rPr>
        <w:t>Odjeljenje za farmakovigilancu</w:t>
      </w:r>
    </w:p>
    <w:p w14:paraId="39D2B6D9" w14:textId="77777777" w:rsidR="00A86301" w:rsidRPr="0023595B" w:rsidRDefault="00A86301" w:rsidP="00A86301">
      <w:pPr>
        <w:pStyle w:val="NoSpacing"/>
        <w:jc w:val="both"/>
        <w:rPr>
          <w:rFonts w:eastAsia="Calibri"/>
          <w:sz w:val="22"/>
          <w:szCs w:val="22"/>
          <w:lang w:val="sr-Latn-ME"/>
        </w:rPr>
      </w:pPr>
      <w:r w:rsidRPr="0023595B">
        <w:rPr>
          <w:rFonts w:eastAsia="Calibri"/>
          <w:sz w:val="22"/>
          <w:szCs w:val="22"/>
          <w:lang w:val="sr-Latn-ME"/>
        </w:rPr>
        <w:t>Bulevar Ivana Crnojevića 64a, 81000 Podgorica</w:t>
      </w:r>
    </w:p>
    <w:p w14:paraId="63BD65F8" w14:textId="77777777" w:rsidR="00A86301" w:rsidRPr="0023595B" w:rsidRDefault="00A86301" w:rsidP="00A86301">
      <w:pPr>
        <w:pStyle w:val="NoSpacing"/>
        <w:rPr>
          <w:rFonts w:eastAsia="Calibri"/>
          <w:sz w:val="22"/>
          <w:szCs w:val="22"/>
          <w:lang w:val="sr-Latn-ME"/>
        </w:rPr>
      </w:pPr>
    </w:p>
    <w:p w14:paraId="73FDC258" w14:textId="77777777" w:rsidR="00A86301" w:rsidRPr="0023595B" w:rsidRDefault="00A86301" w:rsidP="00A86301">
      <w:pPr>
        <w:pStyle w:val="NoSpacing"/>
        <w:jc w:val="both"/>
        <w:rPr>
          <w:rFonts w:eastAsia="Calibri"/>
          <w:sz w:val="22"/>
          <w:szCs w:val="22"/>
          <w:lang w:val="sr-Latn-ME"/>
        </w:rPr>
      </w:pPr>
      <w:r w:rsidRPr="0023595B">
        <w:rPr>
          <w:rFonts w:eastAsia="Calibri"/>
          <w:sz w:val="22"/>
          <w:szCs w:val="22"/>
          <w:lang w:val="sr-Latn-ME"/>
        </w:rPr>
        <w:t>tel: +382 (0) 20 310 280</w:t>
      </w:r>
    </w:p>
    <w:p w14:paraId="69158F58" w14:textId="77777777" w:rsidR="00A86301" w:rsidRPr="0023595B" w:rsidRDefault="00A86301" w:rsidP="00A86301">
      <w:pPr>
        <w:pStyle w:val="NoSpacing"/>
        <w:tabs>
          <w:tab w:val="left" w:pos="6720"/>
        </w:tabs>
        <w:jc w:val="both"/>
        <w:rPr>
          <w:rFonts w:eastAsia="Calibri"/>
          <w:sz w:val="22"/>
          <w:szCs w:val="22"/>
          <w:lang w:val="sr-Latn-ME"/>
        </w:rPr>
      </w:pPr>
      <w:r w:rsidRPr="0023595B">
        <w:rPr>
          <w:rFonts w:eastAsia="Calibri"/>
          <w:sz w:val="22"/>
          <w:szCs w:val="22"/>
          <w:lang w:val="sr-Latn-ME"/>
        </w:rPr>
        <w:t>fax: +382 (0) 20 310 581</w:t>
      </w:r>
      <w:r w:rsidRPr="0023595B">
        <w:rPr>
          <w:rFonts w:eastAsia="Calibri"/>
          <w:sz w:val="22"/>
          <w:szCs w:val="22"/>
          <w:lang w:val="sr-Latn-ME"/>
        </w:rPr>
        <w:tab/>
      </w:r>
    </w:p>
    <w:p w14:paraId="7B291A07" w14:textId="77777777" w:rsidR="00A86301" w:rsidRPr="0023595B" w:rsidRDefault="00E93975" w:rsidP="00A86301">
      <w:pPr>
        <w:pStyle w:val="NoSpacing"/>
        <w:jc w:val="both"/>
        <w:rPr>
          <w:rFonts w:eastAsia="Calibri"/>
          <w:sz w:val="22"/>
          <w:szCs w:val="22"/>
          <w:lang w:val="sr-Latn-ME"/>
        </w:rPr>
      </w:pPr>
      <w:hyperlink r:id="rId12" w:history="1">
        <w:r w:rsidR="00A86301" w:rsidRPr="0023595B">
          <w:rPr>
            <w:rStyle w:val="Hyperlink"/>
            <w:rFonts w:eastAsia="Calibri"/>
            <w:sz w:val="22"/>
            <w:szCs w:val="22"/>
            <w:lang w:val="sr-Latn-ME"/>
          </w:rPr>
          <w:t>www.cinmed.me</w:t>
        </w:r>
      </w:hyperlink>
    </w:p>
    <w:p w14:paraId="72D8706E" w14:textId="77777777" w:rsidR="00A86301" w:rsidRPr="0023595B" w:rsidRDefault="00E93975" w:rsidP="00A86301">
      <w:pPr>
        <w:pStyle w:val="NoSpacing"/>
        <w:jc w:val="both"/>
        <w:rPr>
          <w:rFonts w:eastAsia="Calibri"/>
          <w:color w:val="0000FF"/>
          <w:sz w:val="22"/>
          <w:szCs w:val="22"/>
          <w:u w:val="single"/>
          <w:lang w:val="sr-Latn-ME"/>
        </w:rPr>
      </w:pPr>
      <w:hyperlink r:id="rId13" w:history="1">
        <w:r w:rsidR="00A86301" w:rsidRPr="0023595B">
          <w:rPr>
            <w:rStyle w:val="Hyperlink"/>
            <w:rFonts w:eastAsia="Calibri"/>
            <w:sz w:val="22"/>
            <w:szCs w:val="22"/>
            <w:lang w:val="sr-Latn-ME"/>
          </w:rPr>
          <w:t>nezeljenadejstva@cinmed.me</w:t>
        </w:r>
      </w:hyperlink>
    </w:p>
    <w:p w14:paraId="745E2FC2" w14:textId="77777777" w:rsidR="00A86301" w:rsidRPr="0023595B" w:rsidRDefault="00A86301" w:rsidP="00A86301">
      <w:pPr>
        <w:pStyle w:val="NoSpacing"/>
        <w:jc w:val="both"/>
        <w:rPr>
          <w:rFonts w:eastAsia="Calibri"/>
          <w:sz w:val="22"/>
          <w:szCs w:val="22"/>
          <w:lang w:val="sr-Latn-ME"/>
        </w:rPr>
      </w:pPr>
      <w:r w:rsidRPr="0023595B">
        <w:rPr>
          <w:rFonts w:eastAsia="Calibri"/>
          <w:sz w:val="22"/>
          <w:szCs w:val="22"/>
          <w:lang w:val="sr-Latn-ME"/>
        </w:rPr>
        <w:t>putem IS zdravstvene zaštite</w:t>
      </w:r>
    </w:p>
    <w:p w14:paraId="5C5B12CC" w14:textId="77777777" w:rsidR="00A86301" w:rsidRPr="0023595B" w:rsidRDefault="00A86301" w:rsidP="00A86301">
      <w:pPr>
        <w:pStyle w:val="NoSpacing"/>
        <w:jc w:val="both"/>
        <w:rPr>
          <w:rFonts w:eastAsia="Calibri"/>
          <w:sz w:val="22"/>
          <w:szCs w:val="22"/>
          <w:lang w:val="sr-Latn-ME"/>
        </w:rPr>
      </w:pPr>
      <w:r w:rsidRPr="0023595B">
        <w:rPr>
          <w:rFonts w:eastAsia="Calibri"/>
          <w:sz w:val="22"/>
          <w:szCs w:val="22"/>
          <w:lang w:val="sr-Latn-ME"/>
        </w:rPr>
        <w:t>QR kod za online prijavu sumnje na neželjeno dejstvo lijeka:</w:t>
      </w:r>
    </w:p>
    <w:p w14:paraId="2CECF68D" w14:textId="77777777" w:rsidR="00A86301" w:rsidRPr="0023595B" w:rsidRDefault="00A86301" w:rsidP="00A86301">
      <w:pPr>
        <w:pStyle w:val="NoSpacing"/>
        <w:jc w:val="both"/>
        <w:rPr>
          <w:rFonts w:eastAsia="Calibri"/>
          <w:sz w:val="22"/>
          <w:szCs w:val="22"/>
          <w:lang w:val="sr-Latn-ME"/>
        </w:rPr>
      </w:pPr>
    </w:p>
    <w:p w14:paraId="19BB3BEB" w14:textId="3802595F" w:rsidR="00A86301" w:rsidRPr="0023595B" w:rsidRDefault="00C05E49" w:rsidP="00A86301">
      <w:pPr>
        <w:pStyle w:val="NoSpacing"/>
        <w:rPr>
          <w:rFonts w:eastAsia="Calibri"/>
          <w:sz w:val="22"/>
          <w:szCs w:val="22"/>
          <w:lang w:val="sr-Latn-ME"/>
        </w:rPr>
      </w:pPr>
      <w:r w:rsidRPr="007F661E">
        <w:rPr>
          <w:b/>
          <w:bCs/>
          <w:noProof/>
          <w:sz w:val="22"/>
          <w:szCs w:val="22"/>
        </w:rPr>
        <w:drawing>
          <wp:inline distT="0" distB="0" distL="0" distR="0" wp14:anchorId="004A1D7E" wp14:editId="772E874C">
            <wp:extent cx="980796" cy="972000"/>
            <wp:effectExtent l="0" t="0" r="0" b="0"/>
            <wp:docPr id="15"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055DC02" w14:textId="77777777" w:rsidR="00836B35" w:rsidRPr="0023595B" w:rsidRDefault="00836B35" w:rsidP="00480FB1">
      <w:pPr>
        <w:tabs>
          <w:tab w:val="left" w:pos="540"/>
          <w:tab w:val="left" w:pos="569"/>
        </w:tabs>
        <w:rPr>
          <w:b/>
          <w:bCs/>
          <w:sz w:val="22"/>
          <w:szCs w:val="22"/>
          <w:lang w:val="sr-Latn-ME"/>
        </w:rPr>
      </w:pPr>
    </w:p>
    <w:p w14:paraId="28E63ACE" w14:textId="77777777" w:rsidR="00CD6F02"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4.9. </w:t>
      </w:r>
      <w:r w:rsidR="00480FB1" w:rsidRPr="0023595B">
        <w:rPr>
          <w:b/>
          <w:bCs/>
          <w:sz w:val="22"/>
          <w:szCs w:val="22"/>
          <w:lang w:val="sr-Latn-ME"/>
        </w:rPr>
        <w:tab/>
      </w:r>
      <w:r w:rsidRPr="0023595B">
        <w:rPr>
          <w:b/>
          <w:bCs/>
          <w:sz w:val="22"/>
          <w:szCs w:val="22"/>
          <w:lang w:val="sr-Latn-ME"/>
        </w:rPr>
        <w:t>Predoziranje</w:t>
      </w:r>
      <w:r w:rsidR="002846DB" w:rsidRPr="0023595B">
        <w:rPr>
          <w:b/>
          <w:bCs/>
          <w:sz w:val="22"/>
          <w:szCs w:val="22"/>
          <w:lang w:val="sr-Latn-ME"/>
        </w:rPr>
        <w:t xml:space="preserve"> </w:t>
      </w:r>
    </w:p>
    <w:p w14:paraId="236AB0E7" w14:textId="77777777" w:rsidR="00CD6F02" w:rsidRPr="0023595B" w:rsidRDefault="00CD6F02" w:rsidP="00480FB1">
      <w:pPr>
        <w:tabs>
          <w:tab w:val="left" w:pos="540"/>
          <w:tab w:val="left" w:pos="569"/>
        </w:tabs>
        <w:rPr>
          <w:b/>
          <w:bCs/>
          <w:sz w:val="22"/>
          <w:szCs w:val="22"/>
          <w:lang w:val="sr-Latn-ME"/>
        </w:rPr>
      </w:pPr>
    </w:p>
    <w:p w14:paraId="4F114D02" w14:textId="1B9B7064"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kliničkim ispitivanjima bile su prim</w:t>
      </w:r>
      <w:r w:rsidR="0023595B">
        <w:rPr>
          <w:sz w:val="22"/>
          <w:szCs w:val="22"/>
          <w:lang w:val="sr-Latn-ME"/>
        </w:rPr>
        <w:t>i</w:t>
      </w:r>
      <w:r w:rsidRPr="0023595B">
        <w:rPr>
          <w:sz w:val="22"/>
          <w:szCs w:val="22"/>
          <w:lang w:val="sr-Latn-ME"/>
        </w:rPr>
        <w:t>jenjene doze do 4 mg u mjesečnim intervalima, a izolovani slučajevi predoziranja pojavili su se sa dozom 8 mg.</w:t>
      </w:r>
    </w:p>
    <w:p w14:paraId="65C41D51" w14:textId="77777777" w:rsidR="0075781B" w:rsidRPr="0023595B" w:rsidRDefault="0075781B" w:rsidP="0075781B">
      <w:pPr>
        <w:tabs>
          <w:tab w:val="center" w:pos="4536"/>
          <w:tab w:val="right" w:pos="9072"/>
        </w:tabs>
        <w:jc w:val="both"/>
        <w:rPr>
          <w:sz w:val="22"/>
          <w:szCs w:val="22"/>
          <w:lang w:val="sr-Latn-ME"/>
        </w:rPr>
      </w:pPr>
    </w:p>
    <w:p w14:paraId="2FA5933B" w14:textId="789CC7E6" w:rsidR="0075781B" w:rsidRPr="0023595B" w:rsidRDefault="0075781B" w:rsidP="0075781B">
      <w:pPr>
        <w:jc w:val="both"/>
        <w:rPr>
          <w:sz w:val="22"/>
          <w:szCs w:val="22"/>
          <w:lang w:val="sr-Latn-ME"/>
        </w:rPr>
      </w:pPr>
      <w:r w:rsidRPr="0023595B">
        <w:rPr>
          <w:sz w:val="22"/>
          <w:szCs w:val="22"/>
          <w:lang w:val="sr-Latn-ME"/>
        </w:rPr>
        <w:t>Predoziranje sa povećanom zapreminom injekcije može povećati intraokularni pritisak. Zbog toga, u slučajevima predoziranja treba pratiti intraokularni pritisak, i ukoliko ordinirajući ljekar smatra neophodnim, treba započeti odgovarajuće liječenje</w:t>
      </w:r>
      <w:r w:rsidR="00470456" w:rsidRPr="0023595B">
        <w:rPr>
          <w:sz w:val="22"/>
          <w:szCs w:val="22"/>
          <w:lang w:val="sr-Latn-ME"/>
        </w:rPr>
        <w:t xml:space="preserve"> (vidjeti </w:t>
      </w:r>
      <w:r w:rsidR="004D7C5D" w:rsidRPr="0023595B">
        <w:rPr>
          <w:sz w:val="22"/>
          <w:szCs w:val="22"/>
          <w:lang w:val="sr-Latn-ME"/>
        </w:rPr>
        <w:t xml:space="preserve">dio </w:t>
      </w:r>
      <w:r w:rsidR="00470456" w:rsidRPr="0023595B">
        <w:rPr>
          <w:sz w:val="22"/>
          <w:szCs w:val="22"/>
          <w:lang w:val="sr-Latn-ME"/>
        </w:rPr>
        <w:t>6.6)</w:t>
      </w:r>
      <w:r w:rsidRPr="0023595B">
        <w:rPr>
          <w:sz w:val="22"/>
          <w:szCs w:val="22"/>
          <w:lang w:val="sr-Latn-ME"/>
        </w:rPr>
        <w:t>.</w:t>
      </w:r>
    </w:p>
    <w:p w14:paraId="7E0DFA00" w14:textId="04A47FA2" w:rsidR="00227BDB" w:rsidRDefault="00227BDB" w:rsidP="00480FB1">
      <w:pPr>
        <w:tabs>
          <w:tab w:val="left" w:pos="540"/>
          <w:tab w:val="left" w:pos="569"/>
        </w:tabs>
        <w:rPr>
          <w:b/>
          <w:bCs/>
          <w:sz w:val="22"/>
          <w:szCs w:val="22"/>
          <w:lang w:val="sr-Latn-ME"/>
        </w:rPr>
      </w:pPr>
    </w:p>
    <w:p w14:paraId="35C12B0A" w14:textId="77777777" w:rsidR="0023595B" w:rsidRPr="0023595B" w:rsidRDefault="0023595B" w:rsidP="00480FB1">
      <w:pPr>
        <w:tabs>
          <w:tab w:val="left" w:pos="540"/>
          <w:tab w:val="left" w:pos="569"/>
        </w:tabs>
        <w:rPr>
          <w:b/>
          <w:bCs/>
          <w:sz w:val="22"/>
          <w:szCs w:val="22"/>
          <w:lang w:val="sr-Latn-ME"/>
        </w:rPr>
      </w:pPr>
    </w:p>
    <w:p w14:paraId="793CBB59"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5. </w:t>
      </w:r>
      <w:r w:rsidR="00480FB1" w:rsidRPr="0023595B">
        <w:rPr>
          <w:b/>
          <w:bCs/>
          <w:sz w:val="22"/>
          <w:szCs w:val="22"/>
          <w:lang w:val="sr-Latn-ME"/>
        </w:rPr>
        <w:tab/>
      </w:r>
      <w:r w:rsidRPr="0023595B">
        <w:rPr>
          <w:b/>
          <w:bCs/>
          <w:sz w:val="22"/>
          <w:szCs w:val="22"/>
          <w:lang w:val="sr-Latn-ME"/>
        </w:rPr>
        <w:t>FARMAKOLOŠK</w:t>
      </w:r>
      <w:r w:rsidR="000D425A" w:rsidRPr="0023595B">
        <w:rPr>
          <w:b/>
          <w:bCs/>
          <w:sz w:val="22"/>
          <w:szCs w:val="22"/>
          <w:lang w:val="sr-Latn-ME"/>
        </w:rPr>
        <w:t>I</w:t>
      </w:r>
      <w:r w:rsidRPr="0023595B">
        <w:rPr>
          <w:b/>
          <w:bCs/>
          <w:sz w:val="22"/>
          <w:szCs w:val="22"/>
          <w:lang w:val="sr-Latn-ME"/>
        </w:rPr>
        <w:t xml:space="preserve"> PODACI</w:t>
      </w:r>
    </w:p>
    <w:p w14:paraId="29EC2E29" w14:textId="77777777" w:rsidR="0072020E" w:rsidRPr="0023595B" w:rsidRDefault="0072020E" w:rsidP="00480FB1">
      <w:pPr>
        <w:tabs>
          <w:tab w:val="left" w:pos="540"/>
          <w:tab w:val="left" w:pos="569"/>
        </w:tabs>
        <w:rPr>
          <w:b/>
          <w:bCs/>
          <w:sz w:val="22"/>
          <w:szCs w:val="22"/>
          <w:lang w:val="sr-Latn-ME"/>
        </w:rPr>
      </w:pPr>
    </w:p>
    <w:p w14:paraId="64B392DD"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5.1. </w:t>
      </w:r>
      <w:r w:rsidR="00480FB1" w:rsidRPr="0023595B">
        <w:rPr>
          <w:b/>
          <w:bCs/>
          <w:sz w:val="22"/>
          <w:szCs w:val="22"/>
          <w:lang w:val="sr-Latn-ME"/>
        </w:rPr>
        <w:tab/>
      </w:r>
      <w:r w:rsidRPr="0023595B">
        <w:rPr>
          <w:b/>
          <w:bCs/>
          <w:sz w:val="22"/>
          <w:szCs w:val="22"/>
          <w:lang w:val="sr-Latn-ME"/>
        </w:rPr>
        <w:t>Farmakodinamski podaci</w:t>
      </w:r>
      <w:r w:rsidR="003A7059" w:rsidRPr="0023595B">
        <w:rPr>
          <w:b/>
          <w:bCs/>
          <w:sz w:val="22"/>
          <w:szCs w:val="22"/>
          <w:lang w:val="sr-Latn-ME"/>
        </w:rPr>
        <w:t xml:space="preserve"> </w:t>
      </w:r>
    </w:p>
    <w:p w14:paraId="58161C6C" w14:textId="77777777" w:rsidR="00F45F77" w:rsidRPr="0023595B" w:rsidRDefault="00F45F77" w:rsidP="00480FB1">
      <w:pPr>
        <w:tabs>
          <w:tab w:val="left" w:pos="540"/>
          <w:tab w:val="left" w:pos="569"/>
        </w:tabs>
        <w:rPr>
          <w:b/>
          <w:bCs/>
          <w:sz w:val="22"/>
          <w:szCs w:val="22"/>
          <w:lang w:val="sr-Latn-ME"/>
        </w:rPr>
      </w:pPr>
    </w:p>
    <w:p w14:paraId="634D49E7" w14:textId="77777777" w:rsidR="0072020E" w:rsidRPr="0023595B" w:rsidRDefault="0072020E" w:rsidP="00480FB1">
      <w:pPr>
        <w:tabs>
          <w:tab w:val="left" w:pos="540"/>
          <w:tab w:val="left" w:pos="569"/>
        </w:tabs>
        <w:rPr>
          <w:bCs/>
          <w:sz w:val="22"/>
          <w:szCs w:val="22"/>
          <w:lang w:val="sr-Latn-ME"/>
        </w:rPr>
      </w:pPr>
      <w:r w:rsidRPr="0023595B">
        <w:rPr>
          <w:bCs/>
          <w:sz w:val="22"/>
          <w:szCs w:val="22"/>
          <w:lang w:val="sr-Latn-ME"/>
        </w:rPr>
        <w:t>Farmakoterapijska grupa:</w:t>
      </w:r>
      <w:r w:rsidR="0075781B" w:rsidRPr="0023595B">
        <w:rPr>
          <w:bCs/>
          <w:sz w:val="22"/>
          <w:szCs w:val="22"/>
          <w:lang w:val="sr-Latn-ME"/>
        </w:rPr>
        <w:t xml:space="preserve"> Ljekovi koji djeluju na oko; antineovaskularni agensi</w:t>
      </w:r>
    </w:p>
    <w:p w14:paraId="271907A0" w14:textId="77777777" w:rsidR="0072020E" w:rsidRPr="0023595B" w:rsidRDefault="0072020E" w:rsidP="00480FB1">
      <w:pPr>
        <w:tabs>
          <w:tab w:val="left" w:pos="540"/>
          <w:tab w:val="left" w:pos="569"/>
        </w:tabs>
        <w:rPr>
          <w:bCs/>
          <w:sz w:val="22"/>
          <w:szCs w:val="22"/>
          <w:lang w:val="sr-Latn-ME"/>
        </w:rPr>
      </w:pPr>
    </w:p>
    <w:p w14:paraId="06463D66" w14:textId="77777777" w:rsidR="0072020E" w:rsidRPr="0023595B" w:rsidRDefault="0072020E" w:rsidP="00480FB1">
      <w:pPr>
        <w:tabs>
          <w:tab w:val="left" w:pos="540"/>
          <w:tab w:val="left" w:pos="569"/>
        </w:tabs>
        <w:rPr>
          <w:bCs/>
          <w:sz w:val="22"/>
          <w:szCs w:val="22"/>
          <w:lang w:val="sr-Latn-ME"/>
        </w:rPr>
      </w:pPr>
      <w:r w:rsidRPr="0023595B">
        <w:rPr>
          <w:bCs/>
          <w:sz w:val="22"/>
          <w:szCs w:val="22"/>
          <w:lang w:val="sr-Latn-ME"/>
        </w:rPr>
        <w:t>ATC kod:</w:t>
      </w:r>
      <w:r w:rsidR="0075781B" w:rsidRPr="0023595B">
        <w:rPr>
          <w:bCs/>
          <w:sz w:val="22"/>
          <w:szCs w:val="22"/>
          <w:lang w:val="sr-Latn-ME"/>
        </w:rPr>
        <w:t xml:space="preserve"> S01LA05</w:t>
      </w:r>
    </w:p>
    <w:p w14:paraId="4FAE3557" w14:textId="77777777" w:rsidR="0075781B" w:rsidRPr="0023595B" w:rsidRDefault="0075781B" w:rsidP="0075781B">
      <w:pPr>
        <w:tabs>
          <w:tab w:val="left" w:pos="540"/>
          <w:tab w:val="left" w:pos="569"/>
        </w:tabs>
        <w:jc w:val="both"/>
        <w:rPr>
          <w:bCs/>
          <w:sz w:val="22"/>
          <w:szCs w:val="22"/>
          <w:lang w:val="sr-Latn-ME"/>
        </w:rPr>
      </w:pPr>
    </w:p>
    <w:p w14:paraId="694128CA"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Aflibercept je rekombinantni fuzioni protein, koji se sastoji od djelova ekstracelularnih domena 1 i 2 humanog VEGF (faktor rasta vaskularnog endotela) receptora, koji su spojeni na Fc segment humanog IgG1.</w:t>
      </w:r>
    </w:p>
    <w:p w14:paraId="03C6B397" w14:textId="77777777" w:rsidR="0075781B" w:rsidRPr="0023595B" w:rsidRDefault="0075781B" w:rsidP="0075781B">
      <w:pPr>
        <w:tabs>
          <w:tab w:val="center" w:pos="4536"/>
          <w:tab w:val="right" w:pos="9072"/>
        </w:tabs>
        <w:jc w:val="both"/>
        <w:rPr>
          <w:sz w:val="22"/>
          <w:szCs w:val="22"/>
          <w:lang w:val="sr-Latn-ME"/>
        </w:rPr>
      </w:pPr>
    </w:p>
    <w:p w14:paraId="78E45209"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 xml:space="preserve">Aflibercept se proizvodi u K1 ćelijama ovarijuma kineskog hrčka (CHO - </w:t>
      </w:r>
      <w:r w:rsidRPr="0023595B">
        <w:rPr>
          <w:i/>
          <w:sz w:val="22"/>
          <w:szCs w:val="22"/>
          <w:lang w:val="sr-Latn-ME"/>
        </w:rPr>
        <w:t>Chinese hamster ovary</w:t>
      </w:r>
      <w:r w:rsidRPr="0023595B">
        <w:rPr>
          <w:sz w:val="22"/>
          <w:szCs w:val="22"/>
          <w:lang w:val="sr-Latn-ME"/>
        </w:rPr>
        <w:t>) tehnologijom rekombinantne DNK.</w:t>
      </w:r>
    </w:p>
    <w:p w14:paraId="6A2C2D96" w14:textId="77777777" w:rsidR="0075781B" w:rsidRPr="0023595B" w:rsidRDefault="0075781B" w:rsidP="0075781B">
      <w:pPr>
        <w:tabs>
          <w:tab w:val="center" w:pos="4536"/>
          <w:tab w:val="right" w:pos="9072"/>
        </w:tabs>
        <w:jc w:val="both"/>
        <w:rPr>
          <w:sz w:val="22"/>
          <w:szCs w:val="22"/>
          <w:lang w:val="sr-Latn-ME"/>
        </w:rPr>
      </w:pPr>
    </w:p>
    <w:p w14:paraId="3BDDB952"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Aflibercept se kao rastvorljivi lažni receptor vezuje za VEGF-A i PlGF sa većim afinitetom nego prirodni receptori i zbog toga može da spriječi vezivanje i aktivaciju tih srodnih VEGF receptora.</w:t>
      </w:r>
    </w:p>
    <w:p w14:paraId="441B52DC" w14:textId="77777777" w:rsidR="0075781B" w:rsidRPr="0023595B" w:rsidRDefault="0075781B" w:rsidP="0075781B">
      <w:pPr>
        <w:tabs>
          <w:tab w:val="center" w:pos="4536"/>
          <w:tab w:val="right" w:pos="9072"/>
        </w:tabs>
        <w:jc w:val="both"/>
        <w:rPr>
          <w:sz w:val="22"/>
          <w:szCs w:val="22"/>
          <w:lang w:val="sr-Latn-ME"/>
        </w:rPr>
      </w:pPr>
    </w:p>
    <w:p w14:paraId="6746941E" w14:textId="77777777" w:rsidR="0075781B" w:rsidRPr="0023595B" w:rsidRDefault="0075781B" w:rsidP="0075781B">
      <w:pPr>
        <w:tabs>
          <w:tab w:val="center" w:pos="4536"/>
          <w:tab w:val="right" w:pos="9072"/>
        </w:tabs>
        <w:jc w:val="both"/>
        <w:rPr>
          <w:sz w:val="22"/>
          <w:szCs w:val="22"/>
          <w:u w:val="single"/>
          <w:lang w:val="sr-Latn-ME"/>
        </w:rPr>
      </w:pPr>
      <w:r w:rsidRPr="0023595B">
        <w:rPr>
          <w:sz w:val="22"/>
          <w:szCs w:val="22"/>
          <w:u w:val="single"/>
          <w:lang w:val="sr-Latn-ME"/>
        </w:rPr>
        <w:t>Mehanizam dejstva</w:t>
      </w:r>
    </w:p>
    <w:p w14:paraId="19AD26B5" w14:textId="696442AF"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 xml:space="preserve">Faktor rasta vaskularnog endotela-A (VEGF-A) i faktor rasta placente (PlGF) su članovi VEGF porodice angiogenih faktora koji mogu djelovati kao potentni mitogeni, hemotaksijski faktori i faktori vaskularne propustljivosti za ćelije endotela. VEGF djeluje preko dva tirozin kinaza receptora: VEGFR-1 i VEGFR-2 koji su prisutni na površini endotelnih ćelija. PlGF se vezuje samo za VEGFR-1 koji je prisutan i na površini </w:t>
      </w:r>
      <w:r w:rsidRPr="0023595B">
        <w:rPr>
          <w:sz w:val="22"/>
          <w:szCs w:val="22"/>
          <w:lang w:val="sr-Latn-ME"/>
        </w:rPr>
        <w:lastRenderedPageBreak/>
        <w:t>leukocita. Pret</w:t>
      </w:r>
      <w:r w:rsidR="00A86301" w:rsidRPr="0023595B">
        <w:rPr>
          <w:sz w:val="22"/>
          <w:szCs w:val="22"/>
          <w:lang w:val="sr-Latn-ME"/>
        </w:rPr>
        <w:t>j</w:t>
      </w:r>
      <w:r w:rsidRPr="0023595B">
        <w:rPr>
          <w:sz w:val="22"/>
          <w:szCs w:val="22"/>
          <w:lang w:val="sr-Latn-ME"/>
        </w:rPr>
        <w:t>erana aktivacija ovih receptora preko VEGF-A može rezultovati patološkom neovaskularizacijom i pretjeranom propustljivosti krvnih sudova. PlGF i VEGF-A mogu djelovati sinergistički u ovim procesima, a takođe je poznato da pospješuju infiltraciju leukocita i vaskularnu inflamaciju.</w:t>
      </w:r>
    </w:p>
    <w:p w14:paraId="22B29F22" w14:textId="77777777" w:rsidR="0075781B" w:rsidRPr="0023595B" w:rsidRDefault="0075781B" w:rsidP="0075781B">
      <w:pPr>
        <w:tabs>
          <w:tab w:val="center" w:pos="4536"/>
          <w:tab w:val="right" w:pos="9072"/>
        </w:tabs>
        <w:jc w:val="both"/>
        <w:rPr>
          <w:sz w:val="22"/>
          <w:szCs w:val="22"/>
          <w:lang w:val="sr-Latn-ME"/>
        </w:rPr>
      </w:pPr>
    </w:p>
    <w:p w14:paraId="398FA9BA" w14:textId="77777777" w:rsidR="0075781B" w:rsidRPr="0023595B" w:rsidRDefault="0075781B" w:rsidP="0075781B">
      <w:pPr>
        <w:tabs>
          <w:tab w:val="center" w:pos="4536"/>
          <w:tab w:val="right" w:pos="9072"/>
        </w:tabs>
        <w:jc w:val="both"/>
        <w:rPr>
          <w:sz w:val="22"/>
          <w:szCs w:val="22"/>
          <w:u w:val="single"/>
          <w:lang w:val="sr-Latn-ME"/>
        </w:rPr>
      </w:pPr>
      <w:r w:rsidRPr="0023595B">
        <w:rPr>
          <w:sz w:val="22"/>
          <w:szCs w:val="22"/>
          <w:u w:val="single"/>
          <w:lang w:val="sr-Latn-ME"/>
        </w:rPr>
        <w:t>Farmakodinamska dejstva</w:t>
      </w:r>
    </w:p>
    <w:p w14:paraId="576F1E42" w14:textId="77777777" w:rsidR="0075781B" w:rsidRPr="0023595B" w:rsidRDefault="0075781B" w:rsidP="0075781B">
      <w:pPr>
        <w:tabs>
          <w:tab w:val="center" w:pos="4536"/>
          <w:tab w:val="right" w:pos="9072"/>
        </w:tabs>
        <w:jc w:val="both"/>
        <w:rPr>
          <w:sz w:val="22"/>
          <w:szCs w:val="22"/>
          <w:u w:val="single"/>
          <w:lang w:val="sr-Latn-ME"/>
        </w:rPr>
      </w:pPr>
    </w:p>
    <w:p w14:paraId="5CE8B413" w14:textId="77777777" w:rsidR="0075781B" w:rsidRPr="0023595B" w:rsidRDefault="0075781B" w:rsidP="0075781B">
      <w:pPr>
        <w:tabs>
          <w:tab w:val="center" w:pos="4536"/>
          <w:tab w:val="right" w:pos="9072"/>
        </w:tabs>
        <w:jc w:val="both"/>
        <w:rPr>
          <w:i/>
          <w:sz w:val="22"/>
          <w:szCs w:val="22"/>
          <w:lang w:val="sr-Latn-ME" w:eastAsia="sr-Latn-RS"/>
        </w:rPr>
      </w:pPr>
      <w:r w:rsidRPr="0023595B">
        <w:rPr>
          <w:i/>
          <w:sz w:val="22"/>
          <w:szCs w:val="22"/>
          <w:lang w:val="sr-Latn-ME" w:eastAsia="sr-Latn-RS"/>
        </w:rPr>
        <w:t>Vlažna AMD</w:t>
      </w:r>
    </w:p>
    <w:p w14:paraId="66511E88" w14:textId="77777777" w:rsidR="0075781B" w:rsidRPr="0023595B" w:rsidRDefault="0075781B" w:rsidP="0075781B">
      <w:pPr>
        <w:tabs>
          <w:tab w:val="center" w:pos="4536"/>
          <w:tab w:val="right" w:pos="9072"/>
        </w:tabs>
        <w:jc w:val="both"/>
        <w:rPr>
          <w:sz w:val="22"/>
          <w:szCs w:val="22"/>
          <w:u w:val="single"/>
          <w:lang w:val="sr-Latn-ME"/>
        </w:rPr>
      </w:pPr>
    </w:p>
    <w:p w14:paraId="510D3B3F"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Vlažnu AMD karakteriše patološka neovaskularizacija horioideje (CNV). Isticanje krvi i tečnosti iz CNV može izazvati zadebljanje retine ili edem i/ili subretinalnu, odnosno intraretinalnu hemoragiju, što rezultuje gubitkom oštrine vida.</w:t>
      </w:r>
    </w:p>
    <w:p w14:paraId="03A6B2B0" w14:textId="77777777" w:rsidR="0075781B" w:rsidRPr="0023595B" w:rsidRDefault="0075781B" w:rsidP="0075781B">
      <w:pPr>
        <w:tabs>
          <w:tab w:val="center" w:pos="4536"/>
          <w:tab w:val="right" w:pos="9072"/>
        </w:tabs>
        <w:jc w:val="both"/>
        <w:rPr>
          <w:sz w:val="22"/>
          <w:szCs w:val="22"/>
          <w:lang w:val="sr-Latn-ME"/>
        </w:rPr>
      </w:pPr>
    </w:p>
    <w:p w14:paraId="2D21B266" w14:textId="6D9A9AF3"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Kod pacijenata koji su liječeni lijekom Eylea (jednom injekcijom mjesečno tokom prva tri mjeseca, nakon čega slijedi primjena jedne injekcije na svaka dva mjeseca), centralna debljina retine (CRT - eng</w:t>
      </w:r>
      <w:r w:rsidR="00A86301" w:rsidRPr="0023595B">
        <w:rPr>
          <w:sz w:val="22"/>
          <w:szCs w:val="22"/>
          <w:lang w:val="sr-Latn-ME"/>
        </w:rPr>
        <w:t>l</w:t>
      </w:r>
      <w:r w:rsidRPr="0023595B">
        <w:rPr>
          <w:sz w:val="22"/>
          <w:szCs w:val="22"/>
          <w:lang w:val="sr-Latn-ME"/>
        </w:rPr>
        <w:t xml:space="preserve">. </w:t>
      </w:r>
      <w:r w:rsidRPr="0023595B">
        <w:rPr>
          <w:i/>
          <w:sz w:val="22"/>
          <w:szCs w:val="22"/>
          <w:lang w:val="sr-Latn-ME"/>
        </w:rPr>
        <w:t xml:space="preserve">Central Retinal Thickness) </w:t>
      </w:r>
      <w:r w:rsidRPr="0023595B">
        <w:rPr>
          <w:sz w:val="22"/>
          <w:szCs w:val="22"/>
          <w:lang w:val="sr-Latn-ME"/>
        </w:rPr>
        <w:t xml:space="preserve">je smanjena ubrzo nakon započinjanja terapije, i srednja veličina lezije CNV je smanjena, u skladu sa rezultatima viđenim kod primjene ranibizumaba 0,5 mg svakog mjeseca. </w:t>
      </w:r>
    </w:p>
    <w:p w14:paraId="00C5D032" w14:textId="77777777" w:rsidR="0075781B" w:rsidRPr="0023595B" w:rsidRDefault="0075781B" w:rsidP="0075781B">
      <w:pPr>
        <w:tabs>
          <w:tab w:val="center" w:pos="4536"/>
          <w:tab w:val="right" w:pos="9072"/>
        </w:tabs>
        <w:jc w:val="both"/>
        <w:rPr>
          <w:sz w:val="22"/>
          <w:szCs w:val="22"/>
          <w:lang w:val="sr-Latn-ME"/>
        </w:rPr>
      </w:pPr>
    </w:p>
    <w:p w14:paraId="3FD0B92C"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ispitivanju VIEW1 primjenom optičke koherentne tomografije (OCT) nađena su srednja smanjenja CRT (-130 mikrona u 52. nedjelji za grupu ispitanika koja je primala lijek Eylea u dozi 2 mg svakog drugog mjeseca i -129 mikrona u 52. nedjelji za grupu ispitanika koja je primala ranimizumab u dozi 0,5 mg svakog mjeseca). Takođe, u 52. nedjelji ispitivanja VIEW2 nađene su srednje vrijednosti smanjenja CRT primjenom OCT (-149 mikrona za grupu koja je primala lijek Eylea 2 mg svakog drugog mjeseca i -139 mikrona za grupu koja je primala lijek ranimizumab 0,5 mg svakog mjeseca). Smanjenje veličina CNV i smanjenje CRT se uglavnom održavaju u drugoj godini ispitivanja.</w:t>
      </w:r>
    </w:p>
    <w:p w14:paraId="455CB0DD" w14:textId="77777777" w:rsidR="0075781B" w:rsidRPr="0023595B" w:rsidRDefault="0075781B" w:rsidP="0075781B">
      <w:pPr>
        <w:tabs>
          <w:tab w:val="center" w:pos="4536"/>
          <w:tab w:val="right" w:pos="9072"/>
        </w:tabs>
        <w:jc w:val="both"/>
        <w:rPr>
          <w:sz w:val="22"/>
          <w:szCs w:val="22"/>
          <w:lang w:val="sr-Latn-ME"/>
        </w:rPr>
      </w:pPr>
    </w:p>
    <w:p w14:paraId="0FF9F876" w14:textId="5A875F3C"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ALTAIR ispitivanje, koje je vršeno na pacijentima iz Japana sa prethodno neliječenom vlažnom AMD, pokazalo je slične ishode onima iz VIEW ispitivanja pri primjeni tri inicijalne mjesečne injekcije lijeka Eylea u dozi od 2 mg, nakon čega je sljedeća injekcija prim</w:t>
      </w:r>
      <w:r w:rsidR="0023595B">
        <w:rPr>
          <w:sz w:val="22"/>
          <w:szCs w:val="22"/>
          <w:lang w:val="sr-Latn-ME"/>
        </w:rPr>
        <w:t>i</w:t>
      </w:r>
      <w:r w:rsidRPr="0023595B">
        <w:rPr>
          <w:sz w:val="22"/>
          <w:szCs w:val="22"/>
          <w:lang w:val="sr-Latn-ME"/>
        </w:rPr>
        <w:t>jenjena nakon dva mjeseca, a dalje liječenje je nastavljeno režimom „liječi i produži” sa promjenljivim terapijskim intervalima (produžavanje u koracima za po 2 ili 4 nedjelje), sve do maksimalnog intervala od 16 nedjelja, u skladu sa prethodno određenim kriterijumima. U 52. nedjelji ispitivanja nađene su srednje vrijednosti smanjenja CRT primjenom OCT od -134,4 mikrona za grupu kod koje je interval produžavan za po 2 nedjelje, odnosno -126,1 mikrona za grupu kod koje je interval produžavan za po 4 nedjelje. Procenat pacijenata bez tečnosti na OCT u 52. nedjelji bio je 68,3% u grupi kod koje je interval produžavan za po 2 nedjelje, odnosno 69,1% u grupi kod koje je interval produžavan za po 4 nedjelje. Smanjenje CRT generalno se zadržalo u obje terapijske grupe u drugoj godini ALTAIR ispitivanja.</w:t>
      </w:r>
    </w:p>
    <w:p w14:paraId="298D6D78" w14:textId="31AD4AF5" w:rsidR="004E687D" w:rsidRPr="0023595B" w:rsidRDefault="004E687D" w:rsidP="0075781B">
      <w:pPr>
        <w:tabs>
          <w:tab w:val="center" w:pos="4536"/>
          <w:tab w:val="right" w:pos="9072"/>
        </w:tabs>
        <w:jc w:val="both"/>
        <w:rPr>
          <w:sz w:val="22"/>
          <w:szCs w:val="22"/>
          <w:lang w:val="sr-Latn-ME"/>
        </w:rPr>
      </w:pPr>
    </w:p>
    <w:p w14:paraId="6021573B" w14:textId="50CBAA6C" w:rsidR="004E687D" w:rsidRPr="0023595B" w:rsidRDefault="004E687D" w:rsidP="0075781B">
      <w:pPr>
        <w:tabs>
          <w:tab w:val="center" w:pos="4536"/>
          <w:tab w:val="right" w:pos="9072"/>
        </w:tabs>
        <w:jc w:val="both"/>
        <w:rPr>
          <w:sz w:val="22"/>
          <w:szCs w:val="22"/>
          <w:lang w:val="sr-Latn-ME"/>
        </w:rPr>
      </w:pPr>
      <w:r w:rsidRPr="0023595B">
        <w:rPr>
          <w:sz w:val="22"/>
          <w:szCs w:val="22"/>
          <w:lang w:val="sr-Latn-ME"/>
        </w:rPr>
        <w:t>ARIES ispitivanje je dizajnirano da ispita neinferiornost režima doziranja „liječi i produži“ lijeka Eylea od 2 mg, započetog odmah nakon primjene 3 početne injekcije jednom mjesečno i jedne dodatne injekcije nakon 2 mjeseca, a u odnosu na režim doziranja „liječi i produži“ započet nakon godinu dana liječenja. Kod pacijenata kojima je bilo potrebno učestalije doziranje od Q8 (svakih 8 nedjelja) barem jednom tokom ispitivanja, CRT je ostao viši, ali je srednje smanjenje CRT vrijednosti od početka do 104. nedjelje iznosilo -160,4 mikrometra, slično kao kod pacijenata liječenih svakih 8 nedjelja ili u r</w:t>
      </w:r>
      <w:r w:rsidR="0023595B">
        <w:rPr>
          <w:sz w:val="22"/>
          <w:szCs w:val="22"/>
          <w:lang w:val="sr-Latn-ME"/>
        </w:rPr>
        <w:t>j</w:t>
      </w:r>
      <w:r w:rsidRPr="0023595B">
        <w:rPr>
          <w:sz w:val="22"/>
          <w:szCs w:val="22"/>
          <w:lang w:val="sr-Latn-ME"/>
        </w:rPr>
        <w:t>eđim intervalima.</w:t>
      </w:r>
    </w:p>
    <w:p w14:paraId="03BD891C" w14:textId="77777777" w:rsidR="0075781B" w:rsidRPr="0023595B" w:rsidRDefault="0075781B" w:rsidP="0075781B">
      <w:pPr>
        <w:tabs>
          <w:tab w:val="center" w:pos="4536"/>
          <w:tab w:val="right" w:pos="9072"/>
        </w:tabs>
        <w:jc w:val="both"/>
        <w:rPr>
          <w:sz w:val="22"/>
          <w:szCs w:val="22"/>
          <w:lang w:val="sr-Latn-ME"/>
        </w:rPr>
      </w:pPr>
    </w:p>
    <w:p w14:paraId="19419A2B" w14:textId="77777777" w:rsidR="0075781B" w:rsidRPr="0023595B" w:rsidRDefault="0075781B" w:rsidP="0075781B">
      <w:pPr>
        <w:tabs>
          <w:tab w:val="center" w:pos="4536"/>
          <w:tab w:val="right" w:pos="9072"/>
        </w:tabs>
        <w:jc w:val="both"/>
        <w:rPr>
          <w:i/>
          <w:sz w:val="22"/>
          <w:szCs w:val="22"/>
          <w:lang w:val="sr-Latn-ME" w:eastAsia="sr-Latn-RS"/>
        </w:rPr>
      </w:pPr>
      <w:r w:rsidRPr="0023595B">
        <w:rPr>
          <w:i/>
          <w:sz w:val="22"/>
          <w:szCs w:val="22"/>
          <w:lang w:val="sr-Latn-ME" w:eastAsia="sr-Latn-RS"/>
        </w:rPr>
        <w:t>Makularni edem kao posljedica CRVO i BRVO</w:t>
      </w:r>
    </w:p>
    <w:p w14:paraId="04C4106F" w14:textId="77777777" w:rsidR="0075781B" w:rsidRPr="0023595B" w:rsidRDefault="0075781B" w:rsidP="0075781B">
      <w:pPr>
        <w:tabs>
          <w:tab w:val="center" w:pos="4536"/>
          <w:tab w:val="right" w:pos="9072"/>
        </w:tabs>
        <w:jc w:val="both"/>
        <w:rPr>
          <w:i/>
          <w:sz w:val="22"/>
          <w:szCs w:val="22"/>
          <w:lang w:val="sr-Latn-ME" w:eastAsia="sr-Latn-RS"/>
        </w:rPr>
      </w:pPr>
    </w:p>
    <w:p w14:paraId="70B71743" w14:textId="77777777" w:rsidR="0075781B" w:rsidRPr="0023595B" w:rsidRDefault="0075781B" w:rsidP="0075781B">
      <w:pPr>
        <w:tabs>
          <w:tab w:val="center" w:pos="4536"/>
          <w:tab w:val="right" w:pos="9072"/>
        </w:tabs>
        <w:jc w:val="both"/>
        <w:rPr>
          <w:sz w:val="22"/>
          <w:szCs w:val="22"/>
          <w:lang w:val="sr-Latn-ME" w:eastAsia="sr-Latn-RS"/>
        </w:rPr>
      </w:pPr>
      <w:r w:rsidRPr="0023595B">
        <w:rPr>
          <w:sz w:val="22"/>
          <w:szCs w:val="22"/>
          <w:lang w:val="sr-Latn-ME" w:eastAsia="sr-Latn-RS"/>
        </w:rPr>
        <w:t>Kod CRVO i BRVO dolazi do ishemije mrežnjače što signalizira oslobađanje VEGF-a koji onda destabilizuje čvrste spojeve i podstiče proliferaciju ćelija endotela. Ushodna regulacija VEGF-a povezana je sa raspadom barijere između krvi i mrežnjače, povećanom vaskularnom permeabilnošću, edemom mrežnjače i komplikacijama neovaskularizacije.</w:t>
      </w:r>
    </w:p>
    <w:p w14:paraId="3B04543C" w14:textId="77777777" w:rsidR="0075781B" w:rsidRPr="0023595B" w:rsidRDefault="0075781B" w:rsidP="0075781B">
      <w:pPr>
        <w:tabs>
          <w:tab w:val="center" w:pos="4536"/>
          <w:tab w:val="right" w:pos="9072"/>
        </w:tabs>
        <w:jc w:val="both"/>
        <w:rPr>
          <w:sz w:val="22"/>
          <w:szCs w:val="22"/>
          <w:lang w:val="sr-Latn-ME" w:eastAsia="sr-Latn-RS"/>
        </w:rPr>
      </w:pPr>
    </w:p>
    <w:p w14:paraId="3020550B" w14:textId="77777777" w:rsidR="0075781B" w:rsidRPr="0023595B" w:rsidRDefault="0075781B" w:rsidP="0075781B">
      <w:pPr>
        <w:autoSpaceDE w:val="0"/>
        <w:autoSpaceDN w:val="0"/>
        <w:adjustRightInd w:val="0"/>
        <w:spacing w:before="60" w:after="60"/>
        <w:jc w:val="both"/>
        <w:rPr>
          <w:color w:val="000000"/>
          <w:sz w:val="22"/>
          <w:szCs w:val="22"/>
          <w:lang w:val="sr-Latn-ME"/>
        </w:rPr>
      </w:pPr>
      <w:r w:rsidRPr="0023595B">
        <w:rPr>
          <w:sz w:val="22"/>
          <w:szCs w:val="22"/>
          <w:lang w:val="sr-Latn-ME" w:eastAsia="sr-Latn-RS"/>
        </w:rPr>
        <w:t>Kod pacijenata koji su bili na terapiji lijekom Eylea u dozi jedna injekcija 2 mg svakog mjeseca tokom šest mjeseci, postojao je dosljedan, brz i robustan odgovor u pogledu morfologije (mjereno kao poboljšanje srednje vrijednosti CRT). U 24. nedjelji, smanjenje CRT bilo je statistički superiornije u odnosu na kontrolu u sva tri ispitivanja (COPERNICUS u CRVO: -457 u odnosu na -145 mikrona; GALILEO u CRVO: -449 prema -169 mikrona; VIBRANT u BRVO: -280 u odnosu na -128 mikrona).</w:t>
      </w:r>
      <w:r w:rsidRPr="0023595B">
        <w:rPr>
          <w:color w:val="000000"/>
          <w:sz w:val="22"/>
          <w:szCs w:val="22"/>
          <w:lang w:val="sr-Latn-ME"/>
        </w:rPr>
        <w:t xml:space="preserve"> Ovo smanjenje CRT u odnosu na početne </w:t>
      </w:r>
      <w:r w:rsidRPr="0023595B">
        <w:rPr>
          <w:color w:val="000000"/>
          <w:sz w:val="22"/>
          <w:szCs w:val="22"/>
          <w:lang w:val="sr-Latn-ME"/>
        </w:rPr>
        <w:lastRenderedPageBreak/>
        <w:t>vrijednosti održalo se do kraja sva tri ispitivanja, odnosno 100. nedjelje u COPERNICUS, 76. nedjelje u GALILEO i 52. nedjelje u VIBRANT ispitivanju.</w:t>
      </w:r>
    </w:p>
    <w:p w14:paraId="636B5944" w14:textId="77777777" w:rsidR="0075781B" w:rsidRPr="0023595B" w:rsidRDefault="0075781B" w:rsidP="0075781B">
      <w:pPr>
        <w:tabs>
          <w:tab w:val="center" w:pos="4536"/>
          <w:tab w:val="right" w:pos="9072"/>
        </w:tabs>
        <w:jc w:val="both"/>
        <w:rPr>
          <w:sz w:val="22"/>
          <w:szCs w:val="22"/>
          <w:lang w:val="sr-Latn-ME"/>
        </w:rPr>
      </w:pPr>
    </w:p>
    <w:p w14:paraId="284C707A" w14:textId="77777777" w:rsidR="0075781B" w:rsidRPr="0023595B" w:rsidRDefault="0075781B" w:rsidP="0075781B">
      <w:pPr>
        <w:tabs>
          <w:tab w:val="center" w:pos="4536"/>
          <w:tab w:val="right" w:pos="9072"/>
        </w:tabs>
        <w:jc w:val="both"/>
        <w:rPr>
          <w:i/>
          <w:sz w:val="22"/>
          <w:szCs w:val="22"/>
          <w:lang w:val="sr-Latn-ME"/>
        </w:rPr>
      </w:pPr>
      <w:r w:rsidRPr="0023595B">
        <w:rPr>
          <w:i/>
          <w:sz w:val="22"/>
          <w:szCs w:val="22"/>
          <w:lang w:val="sr-Latn-ME"/>
        </w:rPr>
        <w:t>Dijabetički makularni edem</w:t>
      </w:r>
    </w:p>
    <w:p w14:paraId="1783CBF1" w14:textId="77777777" w:rsidR="0075781B" w:rsidRPr="0023595B" w:rsidRDefault="0075781B" w:rsidP="0075781B">
      <w:pPr>
        <w:tabs>
          <w:tab w:val="center" w:pos="4536"/>
          <w:tab w:val="right" w:pos="9072"/>
        </w:tabs>
        <w:jc w:val="both"/>
        <w:rPr>
          <w:i/>
          <w:sz w:val="22"/>
          <w:szCs w:val="22"/>
          <w:lang w:val="sr-Latn-ME"/>
        </w:rPr>
      </w:pPr>
    </w:p>
    <w:p w14:paraId="3633AB4D"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Dijabetički makularni edem je posljedica dijabetičke retinopatije i karakteriše ga povećana vazopermeabilnost i oštećenje kapilara retine koje može dovesti do gubitka oštrine vida.</w:t>
      </w:r>
    </w:p>
    <w:p w14:paraId="773F7F23" w14:textId="77777777" w:rsidR="0075781B" w:rsidRPr="0023595B" w:rsidRDefault="0075781B" w:rsidP="0075781B">
      <w:pPr>
        <w:tabs>
          <w:tab w:val="center" w:pos="4536"/>
          <w:tab w:val="right" w:pos="9072"/>
        </w:tabs>
        <w:jc w:val="both"/>
        <w:rPr>
          <w:sz w:val="22"/>
          <w:szCs w:val="22"/>
          <w:lang w:val="sr-Latn-ME"/>
        </w:rPr>
      </w:pPr>
    </w:p>
    <w:p w14:paraId="59FD5D92" w14:textId="486D46B6" w:rsidR="0075781B" w:rsidRPr="0023595B" w:rsidRDefault="0075781B" w:rsidP="0075781B">
      <w:pPr>
        <w:tabs>
          <w:tab w:val="center" w:pos="4536"/>
          <w:tab w:val="right" w:pos="9072"/>
        </w:tabs>
        <w:jc w:val="both"/>
        <w:rPr>
          <w:sz w:val="22"/>
          <w:szCs w:val="22"/>
          <w:lang w:val="sr-Latn-ME" w:eastAsia="sr-Latn-RS"/>
        </w:rPr>
      </w:pPr>
      <w:r w:rsidRPr="0023595B">
        <w:rPr>
          <w:sz w:val="22"/>
          <w:szCs w:val="22"/>
          <w:lang w:val="sr-Latn-ME"/>
        </w:rPr>
        <w:t>Kod pacijenata liječenih lijekom Eylea, od kojih je većina označena da ima dijabetes tipa II zabilježen je brz i snažan odgovor u pogledu morfologije (vrijednost CRT i DRSS – eng</w:t>
      </w:r>
      <w:r w:rsidR="00A86301" w:rsidRPr="0023595B">
        <w:rPr>
          <w:sz w:val="22"/>
          <w:szCs w:val="22"/>
          <w:lang w:val="sr-Latn-ME"/>
        </w:rPr>
        <w:t>l</w:t>
      </w:r>
      <w:r w:rsidRPr="0023595B">
        <w:rPr>
          <w:sz w:val="22"/>
          <w:szCs w:val="22"/>
          <w:lang w:val="sr-Latn-ME"/>
        </w:rPr>
        <w:t xml:space="preserve">. </w:t>
      </w:r>
      <w:r w:rsidRPr="0023595B">
        <w:rPr>
          <w:i/>
          <w:sz w:val="22"/>
          <w:szCs w:val="22"/>
          <w:lang w:val="sr-Latn-ME"/>
        </w:rPr>
        <w:t>Diabetic Retinopathy Severity Scale</w:t>
      </w:r>
      <w:r w:rsidRPr="0023595B">
        <w:rPr>
          <w:sz w:val="22"/>
          <w:szCs w:val="22"/>
          <w:lang w:val="sr-Latn-ME"/>
        </w:rPr>
        <w:t>)</w:t>
      </w:r>
      <w:r w:rsidRPr="0023595B">
        <w:rPr>
          <w:sz w:val="22"/>
          <w:szCs w:val="22"/>
          <w:lang w:val="sr-Latn-ME" w:eastAsia="sr-Latn-RS"/>
        </w:rPr>
        <w:t>.</w:t>
      </w:r>
    </w:p>
    <w:p w14:paraId="67FB8D9E" w14:textId="77777777" w:rsidR="0075781B" w:rsidRPr="0023595B" w:rsidRDefault="0075781B" w:rsidP="0075781B">
      <w:pPr>
        <w:tabs>
          <w:tab w:val="center" w:pos="4536"/>
          <w:tab w:val="right" w:pos="9072"/>
        </w:tabs>
        <w:jc w:val="both"/>
        <w:rPr>
          <w:sz w:val="22"/>
          <w:szCs w:val="22"/>
          <w:lang w:val="sr-Latn-ME"/>
        </w:rPr>
      </w:pPr>
    </w:p>
    <w:p w14:paraId="3874CF99" w14:textId="5F8C1792"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ispitivanjima VIVID</w:t>
      </w:r>
      <w:r w:rsidRPr="0023595B">
        <w:rPr>
          <w:sz w:val="22"/>
          <w:szCs w:val="22"/>
          <w:vertAlign w:val="superscript"/>
          <w:lang w:val="sr-Latn-ME"/>
        </w:rPr>
        <w:t>DME</w:t>
      </w:r>
      <w:r w:rsidRPr="0023595B">
        <w:rPr>
          <w:sz w:val="22"/>
          <w:szCs w:val="22"/>
          <w:lang w:val="sr-Latn-ME"/>
        </w:rPr>
        <w:t xml:space="preserve"> i VISTA</w:t>
      </w:r>
      <w:r w:rsidRPr="0023595B">
        <w:rPr>
          <w:sz w:val="22"/>
          <w:szCs w:val="22"/>
          <w:vertAlign w:val="superscript"/>
          <w:lang w:val="sr-Latn-ME"/>
        </w:rPr>
        <w:t>DME</w:t>
      </w:r>
      <w:r w:rsidRPr="0023595B">
        <w:rPr>
          <w:sz w:val="22"/>
          <w:szCs w:val="22"/>
          <w:lang w:val="sr-Latn-ME"/>
        </w:rPr>
        <w:t>, zabilježena je statistički značajno veća srednja vrijednost smanjenja CRT u odnosu na početne vrijednosti kod pacijenata liječenih lijekom Eylea u odnosu na kontrolnu grupu na terapiji laserom, -192,4 mikrona i -183,1 mikron u 52. nedjelji u grupama na terapiji lijekom Eylea prim</w:t>
      </w:r>
      <w:r w:rsidR="0023595B">
        <w:rPr>
          <w:sz w:val="22"/>
          <w:szCs w:val="22"/>
          <w:lang w:val="sr-Latn-ME"/>
        </w:rPr>
        <w:t>i</w:t>
      </w:r>
      <w:r w:rsidRPr="0023595B">
        <w:rPr>
          <w:sz w:val="22"/>
          <w:szCs w:val="22"/>
          <w:lang w:val="sr-Latn-ME"/>
        </w:rPr>
        <w:t>jenjenim u dozi od 2 mg svakih 8 nedjelja, odnosno -66,2 mikrona i -73,3 mikrona u kontrolnim grupama. U 100. nedjelji, smanjenje je bilo održano uz vrijednosti od -195,8 mikrona, odnosno -191,1 mikron u grupama na terapiji lijekom Eylea prim</w:t>
      </w:r>
      <w:r w:rsidR="0023595B">
        <w:rPr>
          <w:sz w:val="22"/>
          <w:szCs w:val="22"/>
          <w:lang w:val="sr-Latn-ME"/>
        </w:rPr>
        <w:t>i</w:t>
      </w:r>
      <w:r w:rsidRPr="0023595B">
        <w:rPr>
          <w:sz w:val="22"/>
          <w:szCs w:val="22"/>
          <w:lang w:val="sr-Latn-ME"/>
        </w:rPr>
        <w:t>jenjenim u dozi od 2 mg svakih 8 nedjelja i -85,7 mikrona, odnosno -83,9 mikrona u kontrolnim grupama u ispitivanjima VIVID</w:t>
      </w:r>
      <w:r w:rsidRPr="0023595B">
        <w:rPr>
          <w:sz w:val="22"/>
          <w:szCs w:val="22"/>
          <w:vertAlign w:val="superscript"/>
          <w:lang w:val="sr-Latn-ME"/>
        </w:rPr>
        <w:t>DME</w:t>
      </w:r>
      <w:r w:rsidRPr="0023595B">
        <w:rPr>
          <w:sz w:val="22"/>
          <w:szCs w:val="22"/>
          <w:lang w:val="sr-Latn-ME"/>
        </w:rPr>
        <w:t xml:space="preserve"> odnosno VISTA</w:t>
      </w:r>
      <w:r w:rsidRPr="0023595B">
        <w:rPr>
          <w:sz w:val="22"/>
          <w:szCs w:val="22"/>
          <w:vertAlign w:val="superscript"/>
          <w:lang w:val="sr-Latn-ME"/>
        </w:rPr>
        <w:t>DME</w:t>
      </w:r>
      <w:r w:rsidRPr="0023595B">
        <w:rPr>
          <w:sz w:val="22"/>
          <w:szCs w:val="22"/>
          <w:lang w:val="sr-Latn-ME"/>
        </w:rPr>
        <w:t>.</w:t>
      </w:r>
    </w:p>
    <w:p w14:paraId="744CFB51" w14:textId="77777777" w:rsidR="0075781B" w:rsidRPr="0023595B" w:rsidRDefault="0075781B" w:rsidP="0075781B">
      <w:pPr>
        <w:jc w:val="both"/>
        <w:rPr>
          <w:sz w:val="22"/>
          <w:szCs w:val="22"/>
          <w:lang w:val="sr-Latn-ME"/>
        </w:rPr>
      </w:pPr>
    </w:p>
    <w:p w14:paraId="4852515B" w14:textId="72A8ADC6"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ispitivanjima VIVID</w:t>
      </w:r>
      <w:r w:rsidRPr="0023595B">
        <w:rPr>
          <w:sz w:val="22"/>
          <w:szCs w:val="22"/>
          <w:vertAlign w:val="superscript"/>
          <w:lang w:val="sr-Latn-ME"/>
        </w:rPr>
        <w:t>DME</w:t>
      </w:r>
      <w:r w:rsidRPr="0023595B">
        <w:rPr>
          <w:sz w:val="22"/>
          <w:szCs w:val="22"/>
          <w:lang w:val="sr-Latn-ME"/>
        </w:rPr>
        <w:t xml:space="preserve"> i VISTA</w:t>
      </w:r>
      <w:r w:rsidRPr="0023595B">
        <w:rPr>
          <w:sz w:val="22"/>
          <w:szCs w:val="22"/>
          <w:vertAlign w:val="superscript"/>
          <w:lang w:val="sr-Latn-ME"/>
        </w:rPr>
        <w:t>DME</w:t>
      </w:r>
      <w:r w:rsidRPr="0023595B">
        <w:rPr>
          <w:sz w:val="22"/>
          <w:szCs w:val="22"/>
          <w:lang w:val="sr-Latn-ME"/>
        </w:rPr>
        <w:t>, procijenjeno je poboljšanje od ≥ 2 stepena prema DRSS na unaprijed utvrđen način. Rezultat prema DRSS skali se mogao procijeniti kod 73,7% pacijenata u ispitivanju VIVID</w:t>
      </w:r>
      <w:r w:rsidRPr="0023595B">
        <w:rPr>
          <w:sz w:val="22"/>
          <w:szCs w:val="22"/>
          <w:vertAlign w:val="superscript"/>
          <w:lang w:val="sr-Latn-ME"/>
        </w:rPr>
        <w:t>DME</w:t>
      </w:r>
      <w:r w:rsidRPr="0023595B">
        <w:rPr>
          <w:sz w:val="22"/>
          <w:szCs w:val="22"/>
          <w:lang w:val="sr-Latn-ME"/>
        </w:rPr>
        <w:t>, odnosno kod 98,3% pacijenata u ispitivanju VISTA</w:t>
      </w:r>
      <w:r w:rsidRPr="0023595B">
        <w:rPr>
          <w:sz w:val="22"/>
          <w:szCs w:val="22"/>
          <w:vertAlign w:val="superscript"/>
          <w:lang w:val="sr-Latn-ME"/>
        </w:rPr>
        <w:t>DME</w:t>
      </w:r>
      <w:r w:rsidRPr="0023595B">
        <w:rPr>
          <w:sz w:val="22"/>
          <w:szCs w:val="22"/>
          <w:lang w:val="sr-Latn-ME"/>
        </w:rPr>
        <w:t>. U 52. nedjelji, poboljšanje od ≥ 2 stepena po DRSS skali je zabilježeno kod 27,7% i 29,1% u grupama liječenim lijekom Eylea prim</w:t>
      </w:r>
      <w:r w:rsidR="0023595B">
        <w:rPr>
          <w:sz w:val="22"/>
          <w:szCs w:val="22"/>
          <w:lang w:val="sr-Latn-ME"/>
        </w:rPr>
        <w:t>i</w:t>
      </w:r>
      <w:r w:rsidRPr="0023595B">
        <w:rPr>
          <w:sz w:val="22"/>
          <w:szCs w:val="22"/>
          <w:lang w:val="sr-Latn-ME"/>
        </w:rPr>
        <w:t>jenjenim u dozi od 2 mg svakih 8 nedjelja, odnosno 7,5% i 14,3% u kontrolnim grupama. U 100. nedjelji, odgovarajući procenti su bili 32,6% i 37,1% u grupama liječenim lijekom Eylea prim</w:t>
      </w:r>
      <w:r w:rsidR="0023595B">
        <w:rPr>
          <w:sz w:val="22"/>
          <w:szCs w:val="22"/>
          <w:lang w:val="sr-Latn-ME"/>
        </w:rPr>
        <w:t>i</w:t>
      </w:r>
      <w:r w:rsidRPr="0023595B">
        <w:rPr>
          <w:sz w:val="22"/>
          <w:szCs w:val="22"/>
          <w:lang w:val="sr-Latn-ME"/>
        </w:rPr>
        <w:t>jenjenim u dozi od 2 mg svakih 8 nedjelja, odnosno 8,2% i 15,6% u kontrolnim grupama.</w:t>
      </w:r>
    </w:p>
    <w:p w14:paraId="17606C78" w14:textId="77777777" w:rsidR="00061914" w:rsidRPr="0023595B" w:rsidRDefault="00061914" w:rsidP="0075781B">
      <w:pPr>
        <w:tabs>
          <w:tab w:val="center" w:pos="4536"/>
          <w:tab w:val="right" w:pos="9072"/>
        </w:tabs>
        <w:jc w:val="both"/>
        <w:rPr>
          <w:sz w:val="22"/>
          <w:szCs w:val="22"/>
          <w:lang w:val="sr-Latn-ME"/>
        </w:rPr>
      </w:pPr>
    </w:p>
    <w:p w14:paraId="75376CE5" w14:textId="2DCFB923" w:rsidR="00061914" w:rsidRPr="0023595B" w:rsidRDefault="00061914" w:rsidP="00061914">
      <w:pPr>
        <w:tabs>
          <w:tab w:val="center" w:pos="4536"/>
          <w:tab w:val="right" w:pos="9072"/>
        </w:tabs>
        <w:jc w:val="both"/>
        <w:rPr>
          <w:sz w:val="22"/>
          <w:szCs w:val="22"/>
          <w:lang w:val="sr-Latn-ME"/>
        </w:rPr>
      </w:pPr>
      <w:r w:rsidRPr="0023595B">
        <w:rPr>
          <w:sz w:val="22"/>
          <w:szCs w:val="22"/>
          <w:lang w:val="sr-Latn-ME"/>
        </w:rPr>
        <w:t>U ispitivanju VIOLET upoređivana su tri različita režima doziranja lijeka Eylea od 2 mg za l</w:t>
      </w:r>
      <w:r w:rsidR="003111A4" w:rsidRPr="0023595B">
        <w:rPr>
          <w:sz w:val="22"/>
          <w:szCs w:val="22"/>
          <w:lang w:val="sr-Latn-ME"/>
        </w:rPr>
        <w:t>ij</w:t>
      </w:r>
      <w:r w:rsidRPr="0023595B">
        <w:rPr>
          <w:sz w:val="22"/>
          <w:szCs w:val="22"/>
          <w:lang w:val="sr-Latn-ME"/>
        </w:rPr>
        <w:t>ečenje DME-a posl</w:t>
      </w:r>
      <w:r w:rsidR="003111A4" w:rsidRPr="0023595B">
        <w:rPr>
          <w:sz w:val="22"/>
          <w:szCs w:val="22"/>
          <w:lang w:val="sr-Latn-ME"/>
        </w:rPr>
        <w:t>ij</w:t>
      </w:r>
      <w:r w:rsidRPr="0023595B">
        <w:rPr>
          <w:sz w:val="22"/>
          <w:szCs w:val="22"/>
          <w:lang w:val="sr-Latn-ME"/>
        </w:rPr>
        <w:t>e najmanje godinu dana l</w:t>
      </w:r>
      <w:r w:rsidR="003111A4" w:rsidRPr="0023595B">
        <w:rPr>
          <w:sz w:val="22"/>
          <w:szCs w:val="22"/>
          <w:lang w:val="sr-Latn-ME"/>
        </w:rPr>
        <w:t>ij</w:t>
      </w:r>
      <w:r w:rsidRPr="0023595B">
        <w:rPr>
          <w:sz w:val="22"/>
          <w:szCs w:val="22"/>
          <w:lang w:val="sr-Latn-ME"/>
        </w:rPr>
        <w:t>ečenja u fiksnim intervalima, kada je l</w:t>
      </w:r>
      <w:r w:rsidR="003111A4" w:rsidRPr="0023595B">
        <w:rPr>
          <w:sz w:val="22"/>
          <w:szCs w:val="22"/>
          <w:lang w:val="sr-Latn-ME"/>
        </w:rPr>
        <w:t>ij</w:t>
      </w:r>
      <w:r w:rsidRPr="0023595B">
        <w:rPr>
          <w:sz w:val="22"/>
          <w:szCs w:val="22"/>
          <w:lang w:val="sr-Latn-ME"/>
        </w:rPr>
        <w:t>ečenje započinjano sa 5 uzastopnih m</w:t>
      </w:r>
      <w:r w:rsidR="003111A4" w:rsidRPr="0023595B">
        <w:rPr>
          <w:sz w:val="22"/>
          <w:szCs w:val="22"/>
          <w:lang w:val="sr-Latn-ME"/>
        </w:rPr>
        <w:t>j</w:t>
      </w:r>
      <w:r w:rsidRPr="0023595B">
        <w:rPr>
          <w:sz w:val="22"/>
          <w:szCs w:val="22"/>
          <w:lang w:val="sr-Latn-ME"/>
        </w:rPr>
        <w:t>esečnih doza nakon kojih su sl</w:t>
      </w:r>
      <w:r w:rsidR="003111A4" w:rsidRPr="0023595B">
        <w:rPr>
          <w:sz w:val="22"/>
          <w:szCs w:val="22"/>
          <w:lang w:val="sr-Latn-ME"/>
        </w:rPr>
        <w:t>ij</w:t>
      </w:r>
      <w:r w:rsidRPr="0023595B">
        <w:rPr>
          <w:sz w:val="22"/>
          <w:szCs w:val="22"/>
          <w:lang w:val="sr-Latn-ME"/>
        </w:rPr>
        <w:t>edile doze na svaka 2 m</w:t>
      </w:r>
      <w:r w:rsidR="003111A4" w:rsidRPr="0023595B">
        <w:rPr>
          <w:sz w:val="22"/>
          <w:szCs w:val="22"/>
          <w:lang w:val="sr-Latn-ME"/>
        </w:rPr>
        <w:t>j</w:t>
      </w:r>
      <w:r w:rsidRPr="0023595B">
        <w:rPr>
          <w:sz w:val="22"/>
          <w:szCs w:val="22"/>
          <w:lang w:val="sr-Latn-ME"/>
        </w:rPr>
        <w:t>eseca. U 52. i 100. ned</w:t>
      </w:r>
      <w:r w:rsidR="003111A4" w:rsidRPr="0023595B">
        <w:rPr>
          <w:sz w:val="22"/>
          <w:szCs w:val="22"/>
          <w:lang w:val="sr-Latn-ME"/>
        </w:rPr>
        <w:t>j</w:t>
      </w:r>
      <w:r w:rsidRPr="0023595B">
        <w:rPr>
          <w:sz w:val="22"/>
          <w:szCs w:val="22"/>
          <w:lang w:val="sr-Latn-ME"/>
        </w:rPr>
        <w:t>elji ispitivanja, odnosno u drugoj i trećoj godini l</w:t>
      </w:r>
      <w:r w:rsidR="003111A4" w:rsidRPr="0023595B">
        <w:rPr>
          <w:sz w:val="22"/>
          <w:szCs w:val="22"/>
          <w:lang w:val="sr-Latn-ME"/>
        </w:rPr>
        <w:t>ij</w:t>
      </w:r>
      <w:r w:rsidRPr="0023595B">
        <w:rPr>
          <w:sz w:val="22"/>
          <w:szCs w:val="22"/>
          <w:lang w:val="sr-Latn-ME"/>
        </w:rPr>
        <w:t>ečenja, srednje vr</w:t>
      </w:r>
      <w:r w:rsidR="003111A4" w:rsidRPr="0023595B">
        <w:rPr>
          <w:sz w:val="22"/>
          <w:szCs w:val="22"/>
          <w:lang w:val="sr-Latn-ME"/>
        </w:rPr>
        <w:t>ij</w:t>
      </w:r>
      <w:r w:rsidRPr="0023595B">
        <w:rPr>
          <w:sz w:val="22"/>
          <w:szCs w:val="22"/>
          <w:lang w:val="sr-Latn-ME"/>
        </w:rPr>
        <w:t>ednosti prom</w:t>
      </w:r>
      <w:r w:rsidR="003111A4" w:rsidRPr="0023595B">
        <w:rPr>
          <w:sz w:val="22"/>
          <w:szCs w:val="22"/>
          <w:lang w:val="sr-Latn-ME"/>
        </w:rPr>
        <w:t>j</w:t>
      </w:r>
      <w:r w:rsidRPr="0023595B">
        <w:rPr>
          <w:sz w:val="22"/>
          <w:szCs w:val="22"/>
          <w:lang w:val="sr-Latn-ME"/>
        </w:rPr>
        <w:t>ene CRT-a su bile klinički slične za 2 mg u režimu doziranja “l</w:t>
      </w:r>
      <w:r w:rsidR="003111A4" w:rsidRPr="0023595B">
        <w:rPr>
          <w:sz w:val="22"/>
          <w:szCs w:val="22"/>
          <w:lang w:val="sr-Latn-ME"/>
        </w:rPr>
        <w:t>ij</w:t>
      </w:r>
      <w:r w:rsidRPr="0023595B">
        <w:rPr>
          <w:sz w:val="22"/>
          <w:szCs w:val="22"/>
          <w:lang w:val="sr-Latn-ME"/>
        </w:rPr>
        <w:t xml:space="preserve">eči i produži” (2T&amp;E), 2 mg u režimu </w:t>
      </w:r>
      <w:r w:rsidRPr="0023595B">
        <w:rPr>
          <w:i/>
          <w:iCs/>
          <w:sz w:val="22"/>
          <w:szCs w:val="22"/>
          <w:lang w:val="sr-Latn-ME"/>
        </w:rPr>
        <w:t>pro re nata</w:t>
      </w:r>
      <w:r w:rsidRPr="0023595B">
        <w:rPr>
          <w:sz w:val="22"/>
          <w:szCs w:val="22"/>
          <w:lang w:val="sr-Latn-ME"/>
        </w:rPr>
        <w:t xml:space="preserve"> (2PRN) i 2 mg u režimu 2Q8 (doziranje od 2 mg svakih osam ned</w:t>
      </w:r>
      <w:r w:rsidR="003111A4" w:rsidRPr="0023595B">
        <w:rPr>
          <w:sz w:val="22"/>
          <w:szCs w:val="22"/>
          <w:lang w:val="sr-Latn-ME"/>
        </w:rPr>
        <w:t>j</w:t>
      </w:r>
      <w:r w:rsidRPr="0023595B">
        <w:rPr>
          <w:sz w:val="22"/>
          <w:szCs w:val="22"/>
          <w:lang w:val="sr-Latn-ME"/>
        </w:rPr>
        <w:t>elja, odnosno -2,1, 2,2 i -18,8 mikrona u 52. ned</w:t>
      </w:r>
      <w:r w:rsidR="003111A4" w:rsidRPr="0023595B">
        <w:rPr>
          <w:sz w:val="22"/>
          <w:szCs w:val="22"/>
          <w:lang w:val="sr-Latn-ME"/>
        </w:rPr>
        <w:t>j</w:t>
      </w:r>
      <w:r w:rsidRPr="0023595B">
        <w:rPr>
          <w:sz w:val="22"/>
          <w:szCs w:val="22"/>
          <w:lang w:val="sr-Latn-ME"/>
        </w:rPr>
        <w:t>elji, i 2,3, -13,9 i -15,5 mikrona u 100. ned</w:t>
      </w:r>
      <w:r w:rsidR="003111A4" w:rsidRPr="0023595B">
        <w:rPr>
          <w:sz w:val="22"/>
          <w:szCs w:val="22"/>
          <w:lang w:val="sr-Latn-ME"/>
        </w:rPr>
        <w:t>j</w:t>
      </w:r>
      <w:r w:rsidRPr="0023595B">
        <w:rPr>
          <w:sz w:val="22"/>
          <w:szCs w:val="22"/>
          <w:lang w:val="sr-Latn-ME"/>
        </w:rPr>
        <w:t>elji.</w:t>
      </w:r>
    </w:p>
    <w:p w14:paraId="1907DE83" w14:textId="77777777" w:rsidR="0075781B" w:rsidRPr="0023595B" w:rsidRDefault="0075781B" w:rsidP="0075781B">
      <w:pPr>
        <w:tabs>
          <w:tab w:val="center" w:pos="4536"/>
          <w:tab w:val="right" w:pos="9072"/>
        </w:tabs>
        <w:jc w:val="both"/>
        <w:rPr>
          <w:sz w:val="22"/>
          <w:szCs w:val="22"/>
          <w:lang w:val="sr-Latn-ME"/>
        </w:rPr>
      </w:pPr>
    </w:p>
    <w:p w14:paraId="5DF001E2" w14:textId="77777777" w:rsidR="0075781B" w:rsidRPr="0023595B" w:rsidRDefault="0075781B" w:rsidP="0075781B">
      <w:pPr>
        <w:tabs>
          <w:tab w:val="center" w:pos="4536"/>
          <w:tab w:val="right" w:pos="9072"/>
        </w:tabs>
        <w:jc w:val="both"/>
        <w:rPr>
          <w:i/>
          <w:sz w:val="22"/>
          <w:szCs w:val="22"/>
          <w:lang w:val="sr-Latn-ME"/>
        </w:rPr>
      </w:pPr>
      <w:r w:rsidRPr="0023595B">
        <w:rPr>
          <w:i/>
          <w:sz w:val="22"/>
          <w:szCs w:val="22"/>
          <w:lang w:val="sr-Latn-ME"/>
        </w:rPr>
        <w:t>Horoidalna neovaskularizacija</w:t>
      </w:r>
      <w:r w:rsidRPr="0023595B">
        <w:rPr>
          <w:sz w:val="22"/>
          <w:szCs w:val="22"/>
          <w:lang w:val="sr-Latn-ME"/>
        </w:rPr>
        <w:t xml:space="preserve"> </w:t>
      </w:r>
      <w:r w:rsidRPr="0023595B">
        <w:rPr>
          <w:i/>
          <w:sz w:val="22"/>
          <w:szCs w:val="22"/>
          <w:lang w:val="sr-Latn-ME"/>
        </w:rPr>
        <w:t>uzrokovana miopijom</w:t>
      </w:r>
    </w:p>
    <w:p w14:paraId="5B852114" w14:textId="77777777" w:rsidR="0075781B" w:rsidRPr="0023595B" w:rsidRDefault="0075781B" w:rsidP="0075781B">
      <w:pPr>
        <w:tabs>
          <w:tab w:val="center" w:pos="4536"/>
          <w:tab w:val="right" w:pos="9072"/>
        </w:tabs>
        <w:jc w:val="both"/>
        <w:rPr>
          <w:i/>
          <w:sz w:val="22"/>
          <w:szCs w:val="22"/>
          <w:lang w:val="sr-Latn-ME"/>
        </w:rPr>
      </w:pPr>
    </w:p>
    <w:p w14:paraId="1D52DE46" w14:textId="77777777" w:rsidR="0075781B" w:rsidRPr="0023595B" w:rsidRDefault="0075781B" w:rsidP="0075781B">
      <w:pPr>
        <w:jc w:val="both"/>
        <w:rPr>
          <w:sz w:val="22"/>
          <w:szCs w:val="22"/>
          <w:lang w:val="sr-Latn-ME"/>
        </w:rPr>
      </w:pPr>
      <w:r w:rsidRPr="0023595B">
        <w:rPr>
          <w:sz w:val="22"/>
          <w:szCs w:val="22"/>
          <w:lang w:val="sr-Latn-ME"/>
        </w:rPr>
        <w:t>Horoidalna neovaskularizacija uzrokovana miopijom (miopna CNV) je čest uzročnik gubitka vida kod odraslih sa patološkom miopijom. Do njenog razvoja dolazi po principu mehanizma zarastanja rane nakon rupture Bruhove membrane i predstavlja događaj koji najviše ugrožava vid kod pacijenata sa patološkom miopijom.</w:t>
      </w:r>
    </w:p>
    <w:p w14:paraId="0F25ED63" w14:textId="77777777" w:rsidR="0075781B" w:rsidRPr="0023595B" w:rsidRDefault="0075781B" w:rsidP="0075781B">
      <w:pPr>
        <w:jc w:val="both"/>
        <w:rPr>
          <w:sz w:val="22"/>
          <w:szCs w:val="22"/>
          <w:lang w:val="sr-Latn-ME"/>
        </w:rPr>
      </w:pPr>
    </w:p>
    <w:p w14:paraId="3D10AD28" w14:textId="0CF83FE0" w:rsidR="0075781B" w:rsidRPr="0023595B" w:rsidRDefault="0075781B" w:rsidP="0075781B">
      <w:pPr>
        <w:jc w:val="both"/>
        <w:rPr>
          <w:sz w:val="22"/>
          <w:szCs w:val="22"/>
          <w:lang w:val="sr-Latn-ME"/>
        </w:rPr>
      </w:pPr>
      <w:r w:rsidRPr="0023595B">
        <w:rPr>
          <w:sz w:val="22"/>
          <w:szCs w:val="22"/>
          <w:lang w:val="sr-Latn-ME"/>
        </w:rPr>
        <w:t>Kod pacijenata liječenih lijekom Eylea u MYRROR ispitivanju (jedna injekcija je davana na početku terapije, uz dodatne injekcije u slučaju perzistiranja ili ponovnog javljanja bolesti), CRT se smanjila ubrzo nakon početka terapije, u korist lijeka Eylea u 24. nedjelji (-79 mikrona u grupi na terapiji lijekom Eylea prim</w:t>
      </w:r>
      <w:r w:rsidR="0023595B">
        <w:rPr>
          <w:sz w:val="22"/>
          <w:szCs w:val="22"/>
          <w:lang w:val="sr-Latn-ME"/>
        </w:rPr>
        <w:t>i</w:t>
      </w:r>
      <w:r w:rsidRPr="0023595B">
        <w:rPr>
          <w:sz w:val="22"/>
          <w:szCs w:val="22"/>
          <w:lang w:val="sr-Latn-ME"/>
        </w:rPr>
        <w:t>jenjenim u dozi od 2 mg, odnosno -4 mikrona u kontrolnoj grupi), što je održano do 48. nedjelje. Dodatno, prosječna veličina CNV lezije bila je smanjena.</w:t>
      </w:r>
    </w:p>
    <w:p w14:paraId="43CFA83B" w14:textId="77777777" w:rsidR="0075781B" w:rsidRPr="0023595B" w:rsidRDefault="0075781B" w:rsidP="0075781B">
      <w:pPr>
        <w:tabs>
          <w:tab w:val="center" w:pos="4536"/>
          <w:tab w:val="right" w:pos="9072"/>
        </w:tabs>
        <w:jc w:val="both"/>
        <w:rPr>
          <w:sz w:val="22"/>
          <w:szCs w:val="22"/>
          <w:lang w:val="sr-Latn-ME"/>
        </w:rPr>
      </w:pPr>
    </w:p>
    <w:p w14:paraId="1075AAF7" w14:textId="77777777" w:rsidR="0075781B" w:rsidRPr="0023595B" w:rsidRDefault="0075781B" w:rsidP="0075781B">
      <w:pPr>
        <w:tabs>
          <w:tab w:val="center" w:pos="4536"/>
          <w:tab w:val="right" w:pos="9072"/>
        </w:tabs>
        <w:jc w:val="both"/>
        <w:rPr>
          <w:sz w:val="22"/>
          <w:szCs w:val="22"/>
          <w:u w:val="single"/>
          <w:lang w:val="sr-Latn-ME"/>
        </w:rPr>
      </w:pPr>
      <w:r w:rsidRPr="0023595B">
        <w:rPr>
          <w:sz w:val="22"/>
          <w:szCs w:val="22"/>
          <w:u w:val="single"/>
          <w:lang w:val="sr-Latn-ME"/>
        </w:rPr>
        <w:t>Klinička efikasnost i bezbjednost</w:t>
      </w:r>
    </w:p>
    <w:p w14:paraId="0D2C7CCE" w14:textId="77777777" w:rsidR="0075781B" w:rsidRPr="0023595B" w:rsidRDefault="0075781B" w:rsidP="0075781B">
      <w:pPr>
        <w:tabs>
          <w:tab w:val="center" w:pos="4536"/>
          <w:tab w:val="right" w:pos="9072"/>
        </w:tabs>
        <w:jc w:val="both"/>
        <w:rPr>
          <w:i/>
          <w:sz w:val="22"/>
          <w:szCs w:val="22"/>
          <w:lang w:val="sr-Latn-ME" w:eastAsia="sr-Latn-RS"/>
        </w:rPr>
      </w:pPr>
    </w:p>
    <w:p w14:paraId="7EBCB1B7" w14:textId="77777777" w:rsidR="0075781B" w:rsidRPr="0023595B" w:rsidRDefault="0075781B" w:rsidP="0075781B">
      <w:pPr>
        <w:tabs>
          <w:tab w:val="center" w:pos="4536"/>
          <w:tab w:val="right" w:pos="9072"/>
        </w:tabs>
        <w:jc w:val="both"/>
        <w:rPr>
          <w:i/>
          <w:sz w:val="22"/>
          <w:szCs w:val="22"/>
          <w:lang w:val="sr-Latn-ME" w:eastAsia="sr-Latn-RS"/>
        </w:rPr>
      </w:pPr>
      <w:r w:rsidRPr="0023595B">
        <w:rPr>
          <w:i/>
          <w:sz w:val="22"/>
          <w:szCs w:val="22"/>
          <w:lang w:val="sr-Latn-ME" w:eastAsia="sr-Latn-RS"/>
        </w:rPr>
        <w:t>Vlažna AMD</w:t>
      </w:r>
    </w:p>
    <w:p w14:paraId="27FAB33E" w14:textId="77777777" w:rsidR="0075781B" w:rsidRPr="0023595B" w:rsidRDefault="0075781B" w:rsidP="0075781B">
      <w:pPr>
        <w:tabs>
          <w:tab w:val="center" w:pos="4536"/>
          <w:tab w:val="right" w:pos="9072"/>
        </w:tabs>
        <w:jc w:val="both"/>
        <w:rPr>
          <w:i/>
          <w:sz w:val="22"/>
          <w:szCs w:val="22"/>
          <w:lang w:val="sr-Latn-ME" w:eastAsia="sr-Latn-RS"/>
        </w:rPr>
      </w:pPr>
    </w:p>
    <w:p w14:paraId="57BB0B71"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 xml:space="preserve">Bezbjednost i efikasnost lijeka Eylea bili su procijenjeni u dva randomizovana, multicentrična, duplo maskirana, aktivno kontrolisana ispitivanja kod pacijenata sa vlažnom AMD (VIEW1 i VIEW2), gdje je ukupno liječeno 2412 pacijenta kod kojih se mogla procijeniti efikasnost (1817 je primalo lijek Eylea). Starost pacijenata se kretala u rasponu od 49 do 99 godina, a prosječna starost je bila 76 godina. U ovim ispitivanjima približno 89% (1616/1817) pacijenata randomizovanih da primaju lijek Eylea bili su starosti 65 ili više godina, </w:t>
      </w:r>
      <w:r w:rsidRPr="0023595B">
        <w:rPr>
          <w:sz w:val="22"/>
          <w:szCs w:val="22"/>
          <w:lang w:val="sr-Latn-ME"/>
        </w:rPr>
        <w:lastRenderedPageBreak/>
        <w:t>a priližno 63% (1139/1817) bilo je starosti 75 ili više godina. U svakom ispitivanju pacijentima je nasumično dodijeljen, u odnosu 1:1:1:1, jedan od četiri režima doziranja:</w:t>
      </w:r>
    </w:p>
    <w:p w14:paraId="3DB2D78D" w14:textId="77777777" w:rsidR="0075781B" w:rsidRPr="0023595B" w:rsidRDefault="0075781B" w:rsidP="0075781B">
      <w:pPr>
        <w:tabs>
          <w:tab w:val="center" w:pos="4536"/>
          <w:tab w:val="right" w:pos="9072"/>
        </w:tabs>
        <w:jc w:val="both"/>
        <w:rPr>
          <w:sz w:val="22"/>
          <w:szCs w:val="22"/>
          <w:lang w:val="sr-Latn-ME"/>
        </w:rPr>
      </w:pPr>
    </w:p>
    <w:p w14:paraId="11040C79" w14:textId="0E058916" w:rsidR="0075781B" w:rsidRPr="0023595B" w:rsidRDefault="0075781B" w:rsidP="0075781B">
      <w:pPr>
        <w:pStyle w:val="ListParagraph"/>
        <w:tabs>
          <w:tab w:val="center" w:pos="4536"/>
          <w:tab w:val="right" w:pos="9072"/>
        </w:tabs>
        <w:ind w:left="360"/>
        <w:rPr>
          <w:szCs w:val="22"/>
          <w:lang w:val="sr-Latn-ME"/>
        </w:rPr>
      </w:pPr>
      <w:r w:rsidRPr="0023595B">
        <w:rPr>
          <w:szCs w:val="22"/>
          <w:lang w:val="sr-Latn-ME"/>
        </w:rPr>
        <w:t>1) Lijek Eylea prim</w:t>
      </w:r>
      <w:r w:rsidR="0023595B">
        <w:rPr>
          <w:szCs w:val="22"/>
          <w:lang w:val="sr-Latn-ME"/>
        </w:rPr>
        <w:t>i</w:t>
      </w:r>
      <w:r w:rsidRPr="0023595B">
        <w:rPr>
          <w:szCs w:val="22"/>
          <w:lang w:val="sr-Latn-ME"/>
        </w:rPr>
        <w:t>jenjen u dozi 2 mg svakih 8 nedjelja nakon 3 početne mjesečne doze (Eylea 2Q8)</w:t>
      </w:r>
    </w:p>
    <w:p w14:paraId="635F4609" w14:textId="619BCCFE" w:rsidR="0075781B" w:rsidRPr="0023595B" w:rsidRDefault="0075781B" w:rsidP="0075781B">
      <w:pPr>
        <w:pStyle w:val="ListParagraph"/>
        <w:tabs>
          <w:tab w:val="center" w:pos="4536"/>
          <w:tab w:val="right" w:pos="9072"/>
        </w:tabs>
        <w:ind w:left="360"/>
        <w:rPr>
          <w:szCs w:val="22"/>
          <w:lang w:val="sr-Latn-ME"/>
        </w:rPr>
      </w:pPr>
      <w:r w:rsidRPr="0023595B">
        <w:rPr>
          <w:szCs w:val="22"/>
          <w:lang w:val="sr-Latn-ME"/>
        </w:rPr>
        <w:t>2) Lijek Eylea prim</w:t>
      </w:r>
      <w:r w:rsidR="0023595B">
        <w:rPr>
          <w:szCs w:val="22"/>
          <w:lang w:val="sr-Latn-ME"/>
        </w:rPr>
        <w:t>i</w:t>
      </w:r>
      <w:r w:rsidRPr="0023595B">
        <w:rPr>
          <w:szCs w:val="22"/>
          <w:lang w:val="sr-Latn-ME"/>
        </w:rPr>
        <w:t>jenjen u dozi 2 mg svake 4 nedjelje (Eylea 2Q4)</w:t>
      </w:r>
    </w:p>
    <w:p w14:paraId="590EBD6E" w14:textId="0E2D07E1" w:rsidR="0075781B" w:rsidRPr="0023595B" w:rsidRDefault="0075781B" w:rsidP="0075781B">
      <w:pPr>
        <w:pStyle w:val="ListParagraph"/>
        <w:tabs>
          <w:tab w:val="center" w:pos="4536"/>
          <w:tab w:val="right" w:pos="9072"/>
        </w:tabs>
        <w:ind w:left="360"/>
        <w:rPr>
          <w:szCs w:val="22"/>
          <w:lang w:val="sr-Latn-ME"/>
        </w:rPr>
      </w:pPr>
      <w:r w:rsidRPr="0023595B">
        <w:rPr>
          <w:szCs w:val="22"/>
          <w:lang w:val="sr-Latn-ME"/>
        </w:rPr>
        <w:t>3) Lijek Eylea prim</w:t>
      </w:r>
      <w:r w:rsidR="0023595B">
        <w:rPr>
          <w:szCs w:val="22"/>
          <w:lang w:val="sr-Latn-ME"/>
        </w:rPr>
        <w:t>i</w:t>
      </w:r>
      <w:r w:rsidRPr="0023595B">
        <w:rPr>
          <w:szCs w:val="22"/>
          <w:lang w:val="sr-Latn-ME"/>
        </w:rPr>
        <w:t xml:space="preserve">jenjen u dozi 0,5 mg svake 4 nedjelje (Eylea 0,5Q4) i </w:t>
      </w:r>
    </w:p>
    <w:p w14:paraId="25860FF6" w14:textId="0284EBE9" w:rsidR="0075781B" w:rsidRPr="0023595B" w:rsidRDefault="0075781B" w:rsidP="0075781B">
      <w:pPr>
        <w:pStyle w:val="ListParagraph"/>
        <w:tabs>
          <w:tab w:val="center" w:pos="4536"/>
          <w:tab w:val="right" w:pos="9072"/>
        </w:tabs>
        <w:ind w:left="360"/>
        <w:rPr>
          <w:szCs w:val="22"/>
          <w:lang w:val="sr-Latn-ME"/>
        </w:rPr>
      </w:pPr>
      <w:r w:rsidRPr="0023595B">
        <w:rPr>
          <w:szCs w:val="22"/>
          <w:lang w:val="sr-Latn-ME"/>
        </w:rPr>
        <w:t>4) Ranibizumab prim</w:t>
      </w:r>
      <w:r w:rsidR="0023595B">
        <w:rPr>
          <w:szCs w:val="22"/>
          <w:lang w:val="sr-Latn-ME"/>
        </w:rPr>
        <w:t>i</w:t>
      </w:r>
      <w:r w:rsidRPr="0023595B">
        <w:rPr>
          <w:szCs w:val="22"/>
          <w:lang w:val="sr-Latn-ME"/>
        </w:rPr>
        <w:t>jenjen u dozi 0,5 mg svake 4 nedjelje (ranibizumab 0,5Q4).</w:t>
      </w:r>
    </w:p>
    <w:p w14:paraId="231F1288" w14:textId="77777777" w:rsidR="0075781B" w:rsidRPr="0023595B" w:rsidRDefault="0075781B" w:rsidP="0075781B">
      <w:pPr>
        <w:tabs>
          <w:tab w:val="center" w:pos="4536"/>
          <w:tab w:val="right" w:pos="9072"/>
        </w:tabs>
        <w:jc w:val="both"/>
        <w:rPr>
          <w:sz w:val="22"/>
          <w:szCs w:val="22"/>
          <w:lang w:val="sr-Latn-ME"/>
        </w:rPr>
      </w:pPr>
    </w:p>
    <w:p w14:paraId="7A16ADCA"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drugoj godini ispitivanja, pacijenti su nastavljali da primaju istu dozu koja im je inicijalno dodijeljena, ali je raspored primanja određene doze izmijenjen, rukovodeći se procjenom rezultata pregleda oštrine vida i pregleda očnog dna, pri čemu je protokolom definisani maksimalni interval za primanje doze bio 12 nedjelja.</w:t>
      </w:r>
    </w:p>
    <w:p w14:paraId="53161C09" w14:textId="77777777" w:rsidR="0075781B" w:rsidRPr="0023595B" w:rsidRDefault="0075781B" w:rsidP="0075781B">
      <w:pPr>
        <w:jc w:val="both"/>
        <w:rPr>
          <w:sz w:val="22"/>
          <w:szCs w:val="22"/>
          <w:lang w:val="sr-Latn-ME"/>
        </w:rPr>
      </w:pPr>
    </w:p>
    <w:p w14:paraId="123E76A4"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oba ispitivanja, ključni parametar primarne efikasnosti bila je proporcija pacijenata koja je zadržala vid, što je prema protokolu definisano kao gubitak manji od 15 slova oštrine vida u 52. nedjelji terapije, u odnosu na početne vrijednosti.</w:t>
      </w:r>
    </w:p>
    <w:p w14:paraId="015A1E3D" w14:textId="77777777" w:rsidR="0075781B" w:rsidRPr="0023595B" w:rsidRDefault="0075781B" w:rsidP="0075781B">
      <w:pPr>
        <w:tabs>
          <w:tab w:val="center" w:pos="4536"/>
          <w:tab w:val="right" w:pos="9072"/>
        </w:tabs>
        <w:jc w:val="both"/>
        <w:rPr>
          <w:sz w:val="22"/>
          <w:szCs w:val="22"/>
          <w:lang w:val="sr-Latn-ME"/>
        </w:rPr>
      </w:pPr>
    </w:p>
    <w:p w14:paraId="7946C786"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ispitivanju VIEW1, u 52. nedjelji, 95,1% pacijenata u grupi Eylea 2Q8 zadržalo je vid u poređenju sa 94,4% pacijenata u ranibizumab 0,5Q4 grupi. U ispitivanju VIEW2, u 52. nedjelji, 95,6 % pacijenata u grupi Eylea 2Q8 zadržalo je vid u poređenju sa 94,4% pacijenata u ranibizumab 0,5Q4 grupi. U oba ispitivanja pokazano je da terapija lijekom Eylea nije inferiorna, odnosno da je bila klinički ekvivalentna terapiji u ranibizumab 0,5Q4 grupi.</w:t>
      </w:r>
    </w:p>
    <w:p w14:paraId="2B6156D2" w14:textId="77777777" w:rsidR="0075781B" w:rsidRPr="0023595B" w:rsidRDefault="0075781B" w:rsidP="0075781B">
      <w:pPr>
        <w:tabs>
          <w:tab w:val="center" w:pos="4536"/>
          <w:tab w:val="right" w:pos="9072"/>
        </w:tabs>
        <w:jc w:val="both"/>
        <w:rPr>
          <w:sz w:val="22"/>
          <w:szCs w:val="22"/>
          <w:lang w:val="sr-Latn-ME"/>
        </w:rPr>
      </w:pPr>
    </w:p>
    <w:p w14:paraId="504C6DF6"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 xml:space="preserve">Detaljni rezultati iz kombinovane analize oba ispitivanja prikazani su u nastavku, u tabeli 2 i na slici 1. </w:t>
      </w:r>
    </w:p>
    <w:p w14:paraId="1F234EA3" w14:textId="77777777" w:rsidR="0075781B" w:rsidRPr="0023595B" w:rsidRDefault="0075781B" w:rsidP="0075781B">
      <w:pPr>
        <w:tabs>
          <w:tab w:val="center" w:pos="4536"/>
          <w:tab w:val="right" w:pos="9072"/>
        </w:tabs>
        <w:jc w:val="both"/>
        <w:rPr>
          <w:sz w:val="22"/>
          <w:szCs w:val="22"/>
          <w:lang w:val="sr-Latn-ME"/>
        </w:rPr>
      </w:pPr>
    </w:p>
    <w:p w14:paraId="288C75A5" w14:textId="77777777" w:rsidR="0075781B" w:rsidRPr="0023595B" w:rsidRDefault="0075781B" w:rsidP="0075781B">
      <w:pPr>
        <w:tabs>
          <w:tab w:val="center" w:pos="4536"/>
          <w:tab w:val="right" w:pos="9072"/>
        </w:tabs>
        <w:jc w:val="both"/>
        <w:rPr>
          <w:b/>
          <w:bCs/>
          <w:sz w:val="22"/>
          <w:szCs w:val="22"/>
          <w:vertAlign w:val="superscript"/>
          <w:lang w:val="sr-Latn-ME"/>
        </w:rPr>
      </w:pPr>
      <w:r w:rsidRPr="0023595B">
        <w:rPr>
          <w:b/>
          <w:sz w:val="22"/>
          <w:szCs w:val="22"/>
          <w:lang w:val="sr-Latn-ME"/>
        </w:rPr>
        <w:t>Tabela 2</w:t>
      </w:r>
      <w:r w:rsidRPr="0023595B">
        <w:rPr>
          <w:sz w:val="22"/>
          <w:szCs w:val="22"/>
          <w:lang w:val="sr-Latn-ME"/>
        </w:rPr>
        <w:t>: Rezultati efikasnosti u 52. nedjelji (primarna analiza) i u 96. nedjelji udruženi podaci iz ispitivanja VIEW1 i VIEW2</w:t>
      </w:r>
      <w:r w:rsidRPr="0023595B">
        <w:rPr>
          <w:sz w:val="22"/>
          <w:szCs w:val="22"/>
          <w:vertAlign w:val="superscript"/>
          <w:lang w:val="sr-Latn-ME"/>
        </w:rPr>
        <w:t>B)</w:t>
      </w:r>
    </w:p>
    <w:tbl>
      <w:tblPr>
        <w:tblStyle w:val="TableGrid"/>
        <w:tblW w:w="0" w:type="auto"/>
        <w:tblLook w:val="04A0" w:firstRow="1" w:lastRow="0" w:firstColumn="1" w:lastColumn="0" w:noHBand="0" w:noVBand="1"/>
      </w:tblPr>
      <w:tblGrid>
        <w:gridCol w:w="2972"/>
        <w:gridCol w:w="1610"/>
        <w:gridCol w:w="1934"/>
        <w:gridCol w:w="1559"/>
        <w:gridCol w:w="1554"/>
      </w:tblGrid>
      <w:tr w:rsidR="0075781B" w:rsidRPr="0023595B" w14:paraId="4FFB3092" w14:textId="77777777" w:rsidTr="0075781B">
        <w:tc>
          <w:tcPr>
            <w:tcW w:w="2972" w:type="dxa"/>
          </w:tcPr>
          <w:p w14:paraId="2F89F7C9" w14:textId="77777777" w:rsidR="0075781B" w:rsidRPr="0023595B" w:rsidRDefault="0075781B" w:rsidP="00D55718">
            <w:pPr>
              <w:rPr>
                <w:b/>
                <w:sz w:val="20"/>
                <w:szCs w:val="20"/>
                <w:lang w:val="sr-Latn-ME"/>
              </w:rPr>
            </w:pPr>
            <w:r w:rsidRPr="0023595B">
              <w:rPr>
                <w:b/>
                <w:sz w:val="20"/>
                <w:szCs w:val="20"/>
                <w:lang w:val="sr-Latn-ME"/>
              </w:rPr>
              <w:t>Rezultat efikasnosti</w:t>
            </w:r>
          </w:p>
        </w:tc>
        <w:tc>
          <w:tcPr>
            <w:tcW w:w="3544" w:type="dxa"/>
            <w:gridSpan w:val="2"/>
          </w:tcPr>
          <w:p w14:paraId="5AF3A060" w14:textId="77777777" w:rsidR="0075781B" w:rsidRPr="0023595B" w:rsidRDefault="0075781B" w:rsidP="00D55718">
            <w:pPr>
              <w:jc w:val="center"/>
              <w:rPr>
                <w:b/>
                <w:sz w:val="20"/>
                <w:szCs w:val="20"/>
                <w:lang w:val="sr-Latn-ME"/>
              </w:rPr>
            </w:pPr>
            <w:r w:rsidRPr="0023595B">
              <w:rPr>
                <w:b/>
                <w:sz w:val="20"/>
                <w:szCs w:val="20"/>
                <w:lang w:val="sr-Latn-ME"/>
              </w:rPr>
              <w:t>Eylea 2Q8</w:t>
            </w:r>
            <w:r w:rsidRPr="0023595B">
              <w:rPr>
                <w:b/>
                <w:sz w:val="20"/>
                <w:szCs w:val="20"/>
                <w:vertAlign w:val="superscript"/>
                <w:lang w:val="sr-Latn-ME"/>
              </w:rPr>
              <w:t>E)</w:t>
            </w:r>
          </w:p>
          <w:p w14:paraId="4F5C7238" w14:textId="77777777" w:rsidR="0075781B" w:rsidRPr="0023595B" w:rsidRDefault="0075781B" w:rsidP="00D55718">
            <w:pPr>
              <w:jc w:val="center"/>
              <w:rPr>
                <w:sz w:val="20"/>
                <w:szCs w:val="20"/>
                <w:lang w:val="sr-Latn-ME"/>
              </w:rPr>
            </w:pPr>
            <w:r w:rsidRPr="0023595B">
              <w:rPr>
                <w:sz w:val="20"/>
                <w:szCs w:val="20"/>
                <w:lang w:val="sr-Latn-ME"/>
              </w:rPr>
              <w:t>(Lijek Eylea u dozi 2 mg svakih 8 nedjelja nakon 3 početne mjesečne doze)</w:t>
            </w:r>
          </w:p>
          <w:p w14:paraId="2896A50A" w14:textId="77777777" w:rsidR="0075781B" w:rsidRPr="0023595B" w:rsidRDefault="0075781B" w:rsidP="00D55718">
            <w:pPr>
              <w:jc w:val="center"/>
              <w:rPr>
                <w:b/>
                <w:sz w:val="20"/>
                <w:szCs w:val="20"/>
                <w:lang w:val="sr-Latn-ME"/>
              </w:rPr>
            </w:pPr>
            <w:r w:rsidRPr="0023595B">
              <w:rPr>
                <w:b/>
                <w:sz w:val="20"/>
                <w:szCs w:val="20"/>
                <w:lang w:val="sr-Latn-ME"/>
              </w:rPr>
              <w:t>(N=607)</w:t>
            </w:r>
          </w:p>
        </w:tc>
        <w:tc>
          <w:tcPr>
            <w:tcW w:w="3113" w:type="dxa"/>
            <w:gridSpan w:val="2"/>
          </w:tcPr>
          <w:p w14:paraId="36462A2E" w14:textId="77777777" w:rsidR="0075781B" w:rsidRPr="0023595B" w:rsidRDefault="0075781B" w:rsidP="00D55718">
            <w:pPr>
              <w:jc w:val="center"/>
              <w:rPr>
                <w:b/>
                <w:sz w:val="20"/>
                <w:szCs w:val="20"/>
                <w:lang w:val="sr-Latn-ME"/>
              </w:rPr>
            </w:pPr>
            <w:r w:rsidRPr="0023595B">
              <w:rPr>
                <w:b/>
                <w:sz w:val="20"/>
                <w:szCs w:val="20"/>
                <w:lang w:val="sr-Latn-ME"/>
              </w:rPr>
              <w:t>Ranibizumab 0,5Q4</w:t>
            </w:r>
          </w:p>
          <w:p w14:paraId="3CCCED5E" w14:textId="77777777" w:rsidR="0075781B" w:rsidRPr="0023595B" w:rsidRDefault="0075781B" w:rsidP="00D55718">
            <w:pPr>
              <w:jc w:val="center"/>
              <w:rPr>
                <w:sz w:val="20"/>
                <w:szCs w:val="20"/>
                <w:lang w:val="sr-Latn-ME"/>
              </w:rPr>
            </w:pPr>
            <w:r w:rsidRPr="0023595B">
              <w:rPr>
                <w:sz w:val="20"/>
                <w:szCs w:val="20"/>
                <w:lang w:val="sr-Latn-ME"/>
              </w:rPr>
              <w:t>(ranibizumab u dozi 0,5 mg svake 4 nedjelje)</w:t>
            </w:r>
          </w:p>
          <w:p w14:paraId="1CBB1401" w14:textId="77777777" w:rsidR="0075781B" w:rsidRPr="0023595B" w:rsidRDefault="0075781B" w:rsidP="00D55718">
            <w:pPr>
              <w:jc w:val="center"/>
              <w:rPr>
                <w:b/>
                <w:sz w:val="20"/>
                <w:szCs w:val="20"/>
                <w:lang w:val="sr-Latn-ME"/>
              </w:rPr>
            </w:pPr>
            <w:r w:rsidRPr="0023595B">
              <w:rPr>
                <w:b/>
                <w:sz w:val="20"/>
                <w:szCs w:val="20"/>
                <w:lang w:val="sr-Latn-ME"/>
              </w:rPr>
              <w:t>(N=595)</w:t>
            </w:r>
          </w:p>
        </w:tc>
      </w:tr>
      <w:tr w:rsidR="0075781B" w:rsidRPr="0023595B" w14:paraId="0DE058CE" w14:textId="77777777" w:rsidTr="0075781B">
        <w:tc>
          <w:tcPr>
            <w:tcW w:w="2972" w:type="dxa"/>
          </w:tcPr>
          <w:p w14:paraId="72833271" w14:textId="77777777" w:rsidR="0075781B" w:rsidRPr="0023595B" w:rsidRDefault="0075781B" w:rsidP="00D55718">
            <w:pPr>
              <w:rPr>
                <w:sz w:val="20"/>
                <w:szCs w:val="20"/>
                <w:lang w:val="sr-Latn-ME"/>
              </w:rPr>
            </w:pPr>
          </w:p>
        </w:tc>
        <w:tc>
          <w:tcPr>
            <w:tcW w:w="1610" w:type="dxa"/>
          </w:tcPr>
          <w:p w14:paraId="2E331E5A" w14:textId="77777777" w:rsidR="0075781B" w:rsidRPr="0023595B" w:rsidRDefault="0075781B" w:rsidP="00D55718">
            <w:pPr>
              <w:jc w:val="center"/>
              <w:rPr>
                <w:sz w:val="20"/>
                <w:szCs w:val="20"/>
                <w:lang w:val="sr-Latn-ME"/>
              </w:rPr>
            </w:pPr>
            <w:r w:rsidRPr="0023595B">
              <w:rPr>
                <w:sz w:val="20"/>
                <w:szCs w:val="20"/>
                <w:lang w:val="sr-Latn-ME"/>
              </w:rPr>
              <w:t>52. nedjelja</w:t>
            </w:r>
          </w:p>
        </w:tc>
        <w:tc>
          <w:tcPr>
            <w:tcW w:w="1934" w:type="dxa"/>
          </w:tcPr>
          <w:p w14:paraId="7A201B90" w14:textId="4C77B4CB" w:rsidR="0075781B" w:rsidRPr="0023595B" w:rsidRDefault="0075781B" w:rsidP="00D55718">
            <w:pPr>
              <w:jc w:val="center"/>
              <w:rPr>
                <w:sz w:val="20"/>
                <w:szCs w:val="20"/>
                <w:lang w:val="sr-Latn-ME"/>
              </w:rPr>
            </w:pPr>
            <w:r w:rsidRPr="0023595B">
              <w:rPr>
                <w:sz w:val="20"/>
                <w:szCs w:val="20"/>
                <w:lang w:val="sr-Latn-ME"/>
              </w:rPr>
              <w:t>96.</w:t>
            </w:r>
            <w:r w:rsidR="00A86301" w:rsidRPr="0023595B">
              <w:rPr>
                <w:sz w:val="20"/>
                <w:szCs w:val="20"/>
                <w:lang w:val="sr-Latn-ME"/>
              </w:rPr>
              <w:t xml:space="preserve"> </w:t>
            </w:r>
            <w:r w:rsidRPr="0023595B">
              <w:rPr>
                <w:sz w:val="20"/>
                <w:szCs w:val="20"/>
                <w:lang w:val="sr-Latn-ME"/>
              </w:rPr>
              <w:t>nedjelja</w:t>
            </w:r>
          </w:p>
        </w:tc>
        <w:tc>
          <w:tcPr>
            <w:tcW w:w="1559" w:type="dxa"/>
          </w:tcPr>
          <w:p w14:paraId="3CCE5E58" w14:textId="77777777" w:rsidR="0075781B" w:rsidRPr="0023595B" w:rsidRDefault="0075781B" w:rsidP="00D55718">
            <w:pPr>
              <w:jc w:val="center"/>
              <w:rPr>
                <w:sz w:val="20"/>
                <w:szCs w:val="20"/>
                <w:lang w:val="sr-Latn-ME"/>
              </w:rPr>
            </w:pPr>
            <w:r w:rsidRPr="0023595B">
              <w:rPr>
                <w:sz w:val="20"/>
                <w:szCs w:val="20"/>
                <w:lang w:val="sr-Latn-ME"/>
              </w:rPr>
              <w:t>52. nedjelja</w:t>
            </w:r>
          </w:p>
        </w:tc>
        <w:tc>
          <w:tcPr>
            <w:tcW w:w="1554" w:type="dxa"/>
          </w:tcPr>
          <w:p w14:paraId="540639B3" w14:textId="77777777" w:rsidR="0075781B" w:rsidRPr="0023595B" w:rsidRDefault="0075781B" w:rsidP="00D55718">
            <w:pPr>
              <w:jc w:val="center"/>
              <w:rPr>
                <w:sz w:val="20"/>
                <w:szCs w:val="20"/>
                <w:lang w:val="sr-Latn-ME"/>
              </w:rPr>
            </w:pPr>
            <w:r w:rsidRPr="0023595B">
              <w:rPr>
                <w:sz w:val="20"/>
                <w:szCs w:val="20"/>
                <w:lang w:val="sr-Latn-ME"/>
              </w:rPr>
              <w:t>96. nedjelja</w:t>
            </w:r>
          </w:p>
        </w:tc>
      </w:tr>
      <w:tr w:rsidR="0075781B" w:rsidRPr="0023595B" w14:paraId="69CDE3FA" w14:textId="77777777" w:rsidTr="0075781B">
        <w:tc>
          <w:tcPr>
            <w:tcW w:w="2972" w:type="dxa"/>
          </w:tcPr>
          <w:p w14:paraId="72BB82F7" w14:textId="77777777" w:rsidR="0075781B" w:rsidRPr="0023595B" w:rsidRDefault="0075781B" w:rsidP="00D55718">
            <w:pPr>
              <w:rPr>
                <w:sz w:val="20"/>
                <w:szCs w:val="20"/>
                <w:lang w:val="sr-Latn-ME"/>
              </w:rPr>
            </w:pPr>
            <w:r w:rsidRPr="0023595B">
              <w:rPr>
                <w:sz w:val="20"/>
                <w:szCs w:val="20"/>
                <w:lang w:val="sr-Latn-ME"/>
              </w:rPr>
              <w:t>Prosječan broj injekcija od početka</w:t>
            </w:r>
          </w:p>
        </w:tc>
        <w:tc>
          <w:tcPr>
            <w:tcW w:w="1610" w:type="dxa"/>
            <w:vAlign w:val="center"/>
          </w:tcPr>
          <w:p w14:paraId="1E9C3D69" w14:textId="77777777" w:rsidR="0075781B" w:rsidRPr="0023595B" w:rsidRDefault="0075781B" w:rsidP="00D55718">
            <w:pPr>
              <w:jc w:val="center"/>
              <w:rPr>
                <w:sz w:val="20"/>
                <w:szCs w:val="20"/>
                <w:lang w:val="sr-Latn-ME"/>
              </w:rPr>
            </w:pPr>
            <w:r w:rsidRPr="0023595B">
              <w:rPr>
                <w:sz w:val="20"/>
                <w:szCs w:val="20"/>
                <w:lang w:val="sr-Latn-ME"/>
              </w:rPr>
              <w:t>7,6</w:t>
            </w:r>
          </w:p>
        </w:tc>
        <w:tc>
          <w:tcPr>
            <w:tcW w:w="1934" w:type="dxa"/>
            <w:vAlign w:val="center"/>
          </w:tcPr>
          <w:p w14:paraId="6AECAC66" w14:textId="77777777" w:rsidR="0075781B" w:rsidRPr="0023595B" w:rsidRDefault="0075781B" w:rsidP="00D55718">
            <w:pPr>
              <w:jc w:val="center"/>
              <w:rPr>
                <w:sz w:val="20"/>
                <w:szCs w:val="20"/>
                <w:lang w:val="sr-Latn-ME"/>
              </w:rPr>
            </w:pPr>
            <w:r w:rsidRPr="0023595B">
              <w:rPr>
                <w:sz w:val="20"/>
                <w:szCs w:val="20"/>
                <w:lang w:val="sr-Latn-ME"/>
              </w:rPr>
              <w:t>11,2</w:t>
            </w:r>
          </w:p>
        </w:tc>
        <w:tc>
          <w:tcPr>
            <w:tcW w:w="1559" w:type="dxa"/>
            <w:vAlign w:val="center"/>
          </w:tcPr>
          <w:p w14:paraId="149EBB4B" w14:textId="77777777" w:rsidR="0075781B" w:rsidRPr="0023595B" w:rsidRDefault="0075781B" w:rsidP="00D55718">
            <w:pPr>
              <w:jc w:val="center"/>
              <w:rPr>
                <w:sz w:val="20"/>
                <w:szCs w:val="20"/>
                <w:lang w:val="sr-Latn-ME"/>
              </w:rPr>
            </w:pPr>
            <w:r w:rsidRPr="0023595B">
              <w:rPr>
                <w:sz w:val="20"/>
                <w:szCs w:val="20"/>
                <w:lang w:val="sr-Latn-ME"/>
              </w:rPr>
              <w:t>12,3</w:t>
            </w:r>
          </w:p>
        </w:tc>
        <w:tc>
          <w:tcPr>
            <w:tcW w:w="1554" w:type="dxa"/>
            <w:vAlign w:val="center"/>
          </w:tcPr>
          <w:p w14:paraId="2883F800" w14:textId="77777777" w:rsidR="0075781B" w:rsidRPr="0023595B" w:rsidRDefault="0075781B" w:rsidP="00D55718">
            <w:pPr>
              <w:jc w:val="center"/>
              <w:rPr>
                <w:sz w:val="20"/>
                <w:szCs w:val="20"/>
                <w:lang w:val="sr-Latn-ME"/>
              </w:rPr>
            </w:pPr>
            <w:r w:rsidRPr="0023595B">
              <w:rPr>
                <w:sz w:val="20"/>
                <w:szCs w:val="20"/>
                <w:lang w:val="sr-Latn-ME"/>
              </w:rPr>
              <w:t>16,5</w:t>
            </w:r>
          </w:p>
        </w:tc>
      </w:tr>
      <w:tr w:rsidR="0075781B" w:rsidRPr="0023595B" w14:paraId="5C2279AA" w14:textId="77777777" w:rsidTr="0075781B">
        <w:tc>
          <w:tcPr>
            <w:tcW w:w="2972" w:type="dxa"/>
          </w:tcPr>
          <w:p w14:paraId="1AAFCEB5" w14:textId="77777777" w:rsidR="0075781B" w:rsidRPr="0023595B" w:rsidRDefault="0075781B" w:rsidP="00D55718">
            <w:pPr>
              <w:rPr>
                <w:sz w:val="20"/>
                <w:szCs w:val="20"/>
                <w:lang w:val="sr-Latn-ME"/>
              </w:rPr>
            </w:pPr>
            <w:r w:rsidRPr="0023595B">
              <w:rPr>
                <w:sz w:val="20"/>
                <w:szCs w:val="20"/>
                <w:lang w:val="sr-Latn-ME"/>
              </w:rPr>
              <w:t>Prosječan broj injekcija (od 52 do 96 nedjelje)</w:t>
            </w:r>
          </w:p>
        </w:tc>
        <w:tc>
          <w:tcPr>
            <w:tcW w:w="1610" w:type="dxa"/>
            <w:vAlign w:val="center"/>
          </w:tcPr>
          <w:p w14:paraId="6599A3E8" w14:textId="77777777" w:rsidR="0075781B" w:rsidRPr="0023595B" w:rsidRDefault="0075781B" w:rsidP="00D55718">
            <w:pPr>
              <w:jc w:val="center"/>
              <w:rPr>
                <w:sz w:val="20"/>
                <w:szCs w:val="20"/>
                <w:lang w:val="sr-Latn-ME"/>
              </w:rPr>
            </w:pPr>
          </w:p>
        </w:tc>
        <w:tc>
          <w:tcPr>
            <w:tcW w:w="1934" w:type="dxa"/>
            <w:vAlign w:val="center"/>
          </w:tcPr>
          <w:p w14:paraId="5231F749" w14:textId="77777777" w:rsidR="0075781B" w:rsidRPr="0023595B" w:rsidRDefault="0075781B" w:rsidP="00D55718">
            <w:pPr>
              <w:jc w:val="center"/>
              <w:rPr>
                <w:sz w:val="20"/>
                <w:szCs w:val="20"/>
                <w:lang w:val="sr-Latn-ME"/>
              </w:rPr>
            </w:pPr>
            <w:r w:rsidRPr="0023595B">
              <w:rPr>
                <w:sz w:val="20"/>
                <w:szCs w:val="20"/>
                <w:lang w:val="sr-Latn-ME"/>
              </w:rPr>
              <w:t>4,2</w:t>
            </w:r>
          </w:p>
        </w:tc>
        <w:tc>
          <w:tcPr>
            <w:tcW w:w="1559" w:type="dxa"/>
            <w:vAlign w:val="center"/>
          </w:tcPr>
          <w:p w14:paraId="61E89CF6" w14:textId="77777777" w:rsidR="0075781B" w:rsidRPr="0023595B" w:rsidRDefault="0075781B" w:rsidP="00D55718">
            <w:pPr>
              <w:jc w:val="center"/>
              <w:rPr>
                <w:sz w:val="20"/>
                <w:szCs w:val="20"/>
                <w:lang w:val="sr-Latn-ME"/>
              </w:rPr>
            </w:pPr>
          </w:p>
        </w:tc>
        <w:tc>
          <w:tcPr>
            <w:tcW w:w="1554" w:type="dxa"/>
            <w:vAlign w:val="center"/>
          </w:tcPr>
          <w:p w14:paraId="33DA635B" w14:textId="77777777" w:rsidR="0075781B" w:rsidRPr="0023595B" w:rsidRDefault="0075781B" w:rsidP="00D55718">
            <w:pPr>
              <w:jc w:val="center"/>
              <w:rPr>
                <w:sz w:val="20"/>
                <w:szCs w:val="20"/>
                <w:lang w:val="sr-Latn-ME"/>
              </w:rPr>
            </w:pPr>
            <w:r w:rsidRPr="0023595B">
              <w:rPr>
                <w:sz w:val="20"/>
                <w:szCs w:val="20"/>
                <w:lang w:val="sr-Latn-ME"/>
              </w:rPr>
              <w:t>4,7</w:t>
            </w:r>
          </w:p>
        </w:tc>
      </w:tr>
      <w:tr w:rsidR="0075781B" w:rsidRPr="0023595B" w14:paraId="2D17059A" w14:textId="77777777" w:rsidTr="0075781B">
        <w:tc>
          <w:tcPr>
            <w:tcW w:w="2972" w:type="dxa"/>
          </w:tcPr>
          <w:p w14:paraId="31A26645" w14:textId="77777777" w:rsidR="0075781B" w:rsidRPr="0023595B" w:rsidRDefault="0075781B" w:rsidP="00D55718">
            <w:pPr>
              <w:rPr>
                <w:sz w:val="20"/>
                <w:szCs w:val="20"/>
                <w:lang w:val="sr-Latn-ME"/>
              </w:rPr>
            </w:pPr>
            <w:r w:rsidRPr="0023595B">
              <w:rPr>
                <w:sz w:val="20"/>
                <w:szCs w:val="20"/>
                <w:lang w:val="sr-Latn-ME"/>
              </w:rPr>
              <w:t>Udio pacijenata sa gubitkom od &lt;15 slova od početne vrijednosti (PPS) (PPS</w:t>
            </w:r>
            <w:r w:rsidRPr="0023595B">
              <w:rPr>
                <w:sz w:val="20"/>
                <w:szCs w:val="20"/>
                <w:vertAlign w:val="superscript"/>
                <w:lang w:val="sr-Latn-ME"/>
              </w:rPr>
              <w:t>A</w:t>
            </w:r>
            <w:r w:rsidRPr="0023595B">
              <w:rPr>
                <w:sz w:val="20"/>
                <w:szCs w:val="20"/>
                <w:lang w:val="sr-Latn-ME"/>
              </w:rPr>
              <w:t>)</w:t>
            </w:r>
          </w:p>
        </w:tc>
        <w:tc>
          <w:tcPr>
            <w:tcW w:w="1610" w:type="dxa"/>
            <w:vAlign w:val="center"/>
          </w:tcPr>
          <w:p w14:paraId="3E3A340B" w14:textId="77777777" w:rsidR="0075781B" w:rsidRPr="0023595B" w:rsidRDefault="0075781B" w:rsidP="00D55718">
            <w:pPr>
              <w:jc w:val="center"/>
              <w:rPr>
                <w:sz w:val="20"/>
                <w:szCs w:val="20"/>
                <w:lang w:val="sr-Latn-ME"/>
              </w:rPr>
            </w:pPr>
            <w:r w:rsidRPr="0023595B">
              <w:rPr>
                <w:sz w:val="20"/>
                <w:szCs w:val="20"/>
                <w:lang w:val="sr-Latn-ME"/>
              </w:rPr>
              <w:t>95,33%</w:t>
            </w:r>
            <w:r w:rsidRPr="0023595B">
              <w:rPr>
                <w:sz w:val="20"/>
                <w:szCs w:val="20"/>
                <w:vertAlign w:val="superscript"/>
                <w:lang w:val="sr-Latn-ME"/>
              </w:rPr>
              <w:t>B</w:t>
            </w:r>
          </w:p>
        </w:tc>
        <w:tc>
          <w:tcPr>
            <w:tcW w:w="1934" w:type="dxa"/>
            <w:vAlign w:val="center"/>
          </w:tcPr>
          <w:p w14:paraId="59EB4EB4" w14:textId="77777777" w:rsidR="0075781B" w:rsidRPr="0023595B" w:rsidRDefault="0075781B" w:rsidP="00D55718">
            <w:pPr>
              <w:jc w:val="center"/>
              <w:rPr>
                <w:sz w:val="20"/>
                <w:szCs w:val="20"/>
                <w:lang w:val="sr-Latn-ME"/>
              </w:rPr>
            </w:pPr>
            <w:r w:rsidRPr="0023595B">
              <w:rPr>
                <w:sz w:val="20"/>
                <w:szCs w:val="20"/>
                <w:lang w:val="sr-Latn-ME"/>
              </w:rPr>
              <w:t>92,42%</w:t>
            </w:r>
          </w:p>
        </w:tc>
        <w:tc>
          <w:tcPr>
            <w:tcW w:w="1559" w:type="dxa"/>
            <w:vAlign w:val="center"/>
          </w:tcPr>
          <w:p w14:paraId="33373EE3" w14:textId="77777777" w:rsidR="0075781B" w:rsidRPr="0023595B" w:rsidRDefault="0075781B" w:rsidP="00D55718">
            <w:pPr>
              <w:jc w:val="center"/>
              <w:rPr>
                <w:sz w:val="20"/>
                <w:szCs w:val="20"/>
                <w:lang w:val="sr-Latn-ME"/>
              </w:rPr>
            </w:pPr>
            <w:r w:rsidRPr="0023595B">
              <w:rPr>
                <w:sz w:val="20"/>
                <w:szCs w:val="20"/>
                <w:lang w:val="sr-Latn-ME"/>
              </w:rPr>
              <w:t>94,42%</w:t>
            </w:r>
            <w:r w:rsidRPr="0023595B">
              <w:rPr>
                <w:sz w:val="20"/>
                <w:szCs w:val="20"/>
                <w:vertAlign w:val="superscript"/>
                <w:lang w:val="sr-Latn-ME"/>
              </w:rPr>
              <w:t>B</w:t>
            </w:r>
          </w:p>
        </w:tc>
        <w:tc>
          <w:tcPr>
            <w:tcW w:w="1554" w:type="dxa"/>
            <w:vAlign w:val="center"/>
          </w:tcPr>
          <w:p w14:paraId="697448BA" w14:textId="77777777" w:rsidR="0075781B" w:rsidRPr="0023595B" w:rsidRDefault="0075781B" w:rsidP="00D55718">
            <w:pPr>
              <w:jc w:val="center"/>
              <w:rPr>
                <w:sz w:val="20"/>
                <w:szCs w:val="20"/>
                <w:lang w:val="sr-Latn-ME"/>
              </w:rPr>
            </w:pPr>
            <w:r w:rsidRPr="0023595B">
              <w:rPr>
                <w:sz w:val="20"/>
                <w:szCs w:val="20"/>
                <w:lang w:val="sr-Latn-ME"/>
              </w:rPr>
              <w:t>91,60%</w:t>
            </w:r>
          </w:p>
        </w:tc>
      </w:tr>
      <w:tr w:rsidR="0075781B" w:rsidRPr="0023595B" w14:paraId="0F168692" w14:textId="77777777" w:rsidTr="0075781B">
        <w:tc>
          <w:tcPr>
            <w:tcW w:w="2972" w:type="dxa"/>
          </w:tcPr>
          <w:p w14:paraId="673EAC5A" w14:textId="77777777" w:rsidR="0075781B" w:rsidRPr="0023595B" w:rsidRDefault="0075781B" w:rsidP="00D55718">
            <w:pPr>
              <w:rPr>
                <w:sz w:val="20"/>
                <w:szCs w:val="20"/>
                <w:lang w:val="sr-Latn-ME"/>
              </w:rPr>
            </w:pPr>
            <w:r w:rsidRPr="0023595B">
              <w:rPr>
                <w:sz w:val="20"/>
                <w:szCs w:val="20"/>
                <w:lang w:val="sr-Latn-ME"/>
              </w:rPr>
              <w:t>Razlika</w:t>
            </w:r>
            <w:r w:rsidRPr="0023595B">
              <w:rPr>
                <w:sz w:val="20"/>
                <w:szCs w:val="20"/>
                <w:vertAlign w:val="superscript"/>
                <w:lang w:val="sr-Latn-ME"/>
              </w:rPr>
              <w:t>C)</w:t>
            </w:r>
            <w:r w:rsidRPr="0023595B">
              <w:rPr>
                <w:sz w:val="20"/>
                <w:szCs w:val="20"/>
                <w:lang w:val="sr-Latn-ME"/>
              </w:rPr>
              <w:t xml:space="preserve"> </w:t>
            </w:r>
          </w:p>
          <w:p w14:paraId="6A66D681" w14:textId="77777777" w:rsidR="0075781B" w:rsidRPr="0023595B" w:rsidRDefault="0075781B" w:rsidP="00D55718">
            <w:pPr>
              <w:rPr>
                <w:sz w:val="20"/>
                <w:szCs w:val="20"/>
                <w:lang w:val="sr-Latn-ME"/>
              </w:rPr>
            </w:pPr>
            <w:r w:rsidRPr="0023595B">
              <w:rPr>
                <w:sz w:val="20"/>
                <w:szCs w:val="20"/>
                <w:lang w:val="sr-Latn-ME"/>
              </w:rPr>
              <w:t>(95% CI)</w:t>
            </w:r>
            <w:r w:rsidRPr="0023595B">
              <w:rPr>
                <w:sz w:val="20"/>
                <w:szCs w:val="20"/>
                <w:vertAlign w:val="superscript"/>
                <w:lang w:val="sr-Latn-ME"/>
              </w:rPr>
              <w:t>D)</w:t>
            </w:r>
          </w:p>
        </w:tc>
        <w:tc>
          <w:tcPr>
            <w:tcW w:w="1610" w:type="dxa"/>
            <w:vAlign w:val="center"/>
          </w:tcPr>
          <w:p w14:paraId="063FFC97" w14:textId="77777777" w:rsidR="0075781B" w:rsidRPr="0023595B" w:rsidRDefault="0075781B" w:rsidP="00D55718">
            <w:pPr>
              <w:jc w:val="center"/>
              <w:rPr>
                <w:sz w:val="20"/>
                <w:szCs w:val="20"/>
                <w:lang w:val="sr-Latn-ME"/>
              </w:rPr>
            </w:pPr>
            <w:r w:rsidRPr="0023595B">
              <w:rPr>
                <w:sz w:val="20"/>
                <w:szCs w:val="20"/>
                <w:lang w:val="sr-Latn-ME"/>
              </w:rPr>
              <w:t>0,9%</w:t>
            </w:r>
          </w:p>
          <w:p w14:paraId="5FC9EBA5" w14:textId="77777777" w:rsidR="0075781B" w:rsidRPr="0023595B" w:rsidRDefault="0075781B" w:rsidP="00D55718">
            <w:pPr>
              <w:jc w:val="center"/>
              <w:rPr>
                <w:sz w:val="20"/>
                <w:szCs w:val="20"/>
                <w:lang w:val="sr-Latn-ME"/>
              </w:rPr>
            </w:pPr>
            <w:r w:rsidRPr="0023595B">
              <w:rPr>
                <w:sz w:val="20"/>
                <w:szCs w:val="20"/>
                <w:lang w:val="sr-Latn-ME"/>
              </w:rPr>
              <w:t>(-1,7; 3,5)</w:t>
            </w:r>
            <w:r w:rsidRPr="0023595B">
              <w:rPr>
                <w:sz w:val="20"/>
                <w:szCs w:val="20"/>
                <w:vertAlign w:val="superscript"/>
                <w:lang w:val="sr-Latn-ME"/>
              </w:rPr>
              <w:t>F)</w:t>
            </w:r>
          </w:p>
        </w:tc>
        <w:tc>
          <w:tcPr>
            <w:tcW w:w="1934" w:type="dxa"/>
            <w:vAlign w:val="center"/>
          </w:tcPr>
          <w:p w14:paraId="6061FB05" w14:textId="77777777" w:rsidR="0075781B" w:rsidRPr="0023595B" w:rsidRDefault="0075781B" w:rsidP="00D55718">
            <w:pPr>
              <w:jc w:val="center"/>
              <w:rPr>
                <w:sz w:val="20"/>
                <w:szCs w:val="20"/>
                <w:lang w:val="sr-Latn-ME"/>
              </w:rPr>
            </w:pPr>
            <w:r w:rsidRPr="0023595B">
              <w:rPr>
                <w:sz w:val="20"/>
                <w:szCs w:val="20"/>
                <w:lang w:val="sr-Latn-ME"/>
              </w:rPr>
              <w:t>0,8%</w:t>
            </w:r>
          </w:p>
          <w:p w14:paraId="29E7E61B" w14:textId="77777777" w:rsidR="0075781B" w:rsidRPr="0023595B" w:rsidRDefault="0075781B" w:rsidP="00D55718">
            <w:pPr>
              <w:jc w:val="center"/>
              <w:rPr>
                <w:sz w:val="20"/>
                <w:szCs w:val="20"/>
                <w:lang w:val="sr-Latn-ME"/>
              </w:rPr>
            </w:pPr>
            <w:r w:rsidRPr="0023595B">
              <w:rPr>
                <w:sz w:val="20"/>
                <w:szCs w:val="20"/>
                <w:lang w:val="sr-Latn-ME"/>
              </w:rPr>
              <w:t>(-2,3; 3,8)</w:t>
            </w:r>
            <w:r w:rsidRPr="0023595B">
              <w:rPr>
                <w:sz w:val="20"/>
                <w:szCs w:val="20"/>
                <w:vertAlign w:val="superscript"/>
                <w:lang w:val="sr-Latn-ME"/>
              </w:rPr>
              <w:t>F)</w:t>
            </w:r>
          </w:p>
        </w:tc>
        <w:tc>
          <w:tcPr>
            <w:tcW w:w="1559" w:type="dxa"/>
            <w:vAlign w:val="center"/>
          </w:tcPr>
          <w:p w14:paraId="407353E1" w14:textId="77777777" w:rsidR="0075781B" w:rsidRPr="0023595B" w:rsidRDefault="0075781B" w:rsidP="00D55718">
            <w:pPr>
              <w:jc w:val="center"/>
              <w:rPr>
                <w:sz w:val="20"/>
                <w:szCs w:val="20"/>
                <w:lang w:val="sr-Latn-ME"/>
              </w:rPr>
            </w:pPr>
          </w:p>
        </w:tc>
        <w:tc>
          <w:tcPr>
            <w:tcW w:w="1554" w:type="dxa"/>
            <w:vAlign w:val="center"/>
          </w:tcPr>
          <w:p w14:paraId="2365AFD0" w14:textId="77777777" w:rsidR="0075781B" w:rsidRPr="0023595B" w:rsidRDefault="0075781B" w:rsidP="00D55718">
            <w:pPr>
              <w:jc w:val="center"/>
              <w:rPr>
                <w:sz w:val="20"/>
                <w:szCs w:val="20"/>
                <w:lang w:val="sr-Latn-ME"/>
              </w:rPr>
            </w:pPr>
          </w:p>
        </w:tc>
      </w:tr>
      <w:tr w:rsidR="0075781B" w:rsidRPr="0023595B" w14:paraId="586045BF" w14:textId="77777777" w:rsidTr="0075781B">
        <w:tc>
          <w:tcPr>
            <w:tcW w:w="2972" w:type="dxa"/>
          </w:tcPr>
          <w:p w14:paraId="6E3557DE" w14:textId="77777777" w:rsidR="0075781B" w:rsidRPr="0023595B" w:rsidRDefault="0075781B" w:rsidP="00D55718">
            <w:pPr>
              <w:rPr>
                <w:sz w:val="20"/>
                <w:szCs w:val="20"/>
                <w:lang w:val="sr-Latn-ME"/>
              </w:rPr>
            </w:pPr>
            <w:r w:rsidRPr="0023595B">
              <w:rPr>
                <w:sz w:val="20"/>
                <w:szCs w:val="20"/>
                <w:lang w:val="sr-Latn-ME"/>
              </w:rPr>
              <w:t>Prosječna promjena BCVA mjereno prema ETDRS</w:t>
            </w:r>
            <w:r w:rsidRPr="0023595B">
              <w:rPr>
                <w:sz w:val="20"/>
                <w:szCs w:val="20"/>
                <w:vertAlign w:val="superscript"/>
                <w:lang w:val="sr-Latn-ME"/>
              </w:rPr>
              <w:t>A)</w:t>
            </w:r>
            <w:r w:rsidRPr="0023595B">
              <w:rPr>
                <w:sz w:val="20"/>
                <w:szCs w:val="20"/>
                <w:lang w:val="sr-Latn-ME"/>
              </w:rPr>
              <w:t xml:space="preserve"> rezultatu slova u odnosu na početne vrijednosti</w:t>
            </w:r>
          </w:p>
        </w:tc>
        <w:tc>
          <w:tcPr>
            <w:tcW w:w="1610" w:type="dxa"/>
            <w:vAlign w:val="center"/>
          </w:tcPr>
          <w:p w14:paraId="0F78CEC5" w14:textId="77777777" w:rsidR="0075781B" w:rsidRPr="0023595B" w:rsidRDefault="0075781B" w:rsidP="00D55718">
            <w:pPr>
              <w:jc w:val="center"/>
              <w:rPr>
                <w:sz w:val="20"/>
                <w:szCs w:val="20"/>
                <w:lang w:val="sr-Latn-ME"/>
              </w:rPr>
            </w:pPr>
            <w:r w:rsidRPr="0023595B">
              <w:rPr>
                <w:sz w:val="20"/>
                <w:szCs w:val="20"/>
                <w:lang w:val="sr-Latn-ME"/>
              </w:rPr>
              <w:t>8,40</w:t>
            </w:r>
          </w:p>
        </w:tc>
        <w:tc>
          <w:tcPr>
            <w:tcW w:w="1934" w:type="dxa"/>
            <w:vAlign w:val="center"/>
          </w:tcPr>
          <w:p w14:paraId="28A11D6E" w14:textId="77777777" w:rsidR="0075781B" w:rsidRPr="0023595B" w:rsidRDefault="0075781B" w:rsidP="00D55718">
            <w:pPr>
              <w:jc w:val="center"/>
              <w:rPr>
                <w:sz w:val="20"/>
                <w:szCs w:val="20"/>
                <w:lang w:val="sr-Latn-ME"/>
              </w:rPr>
            </w:pPr>
            <w:r w:rsidRPr="0023595B">
              <w:rPr>
                <w:sz w:val="20"/>
                <w:szCs w:val="20"/>
                <w:lang w:val="sr-Latn-ME"/>
              </w:rPr>
              <w:t>7,62</w:t>
            </w:r>
          </w:p>
        </w:tc>
        <w:tc>
          <w:tcPr>
            <w:tcW w:w="1559" w:type="dxa"/>
            <w:vAlign w:val="center"/>
          </w:tcPr>
          <w:p w14:paraId="47F2D1D6" w14:textId="77777777" w:rsidR="0075781B" w:rsidRPr="0023595B" w:rsidRDefault="0075781B" w:rsidP="00D55718">
            <w:pPr>
              <w:jc w:val="center"/>
              <w:rPr>
                <w:sz w:val="20"/>
                <w:szCs w:val="20"/>
                <w:lang w:val="sr-Latn-ME"/>
              </w:rPr>
            </w:pPr>
            <w:r w:rsidRPr="0023595B">
              <w:rPr>
                <w:sz w:val="20"/>
                <w:szCs w:val="20"/>
                <w:lang w:val="sr-Latn-ME"/>
              </w:rPr>
              <w:t>8,74</w:t>
            </w:r>
          </w:p>
        </w:tc>
        <w:tc>
          <w:tcPr>
            <w:tcW w:w="1554" w:type="dxa"/>
            <w:vAlign w:val="center"/>
          </w:tcPr>
          <w:p w14:paraId="4968E685" w14:textId="77777777" w:rsidR="0075781B" w:rsidRPr="0023595B" w:rsidRDefault="0075781B" w:rsidP="00D55718">
            <w:pPr>
              <w:jc w:val="center"/>
              <w:rPr>
                <w:sz w:val="20"/>
                <w:szCs w:val="20"/>
                <w:lang w:val="sr-Latn-ME"/>
              </w:rPr>
            </w:pPr>
            <w:r w:rsidRPr="0023595B">
              <w:rPr>
                <w:sz w:val="20"/>
                <w:szCs w:val="20"/>
                <w:lang w:val="sr-Latn-ME"/>
              </w:rPr>
              <w:t>7,89</w:t>
            </w:r>
          </w:p>
        </w:tc>
      </w:tr>
      <w:tr w:rsidR="0075781B" w:rsidRPr="0023595B" w14:paraId="47A5F33E" w14:textId="77777777" w:rsidTr="0075781B">
        <w:tc>
          <w:tcPr>
            <w:tcW w:w="2972" w:type="dxa"/>
          </w:tcPr>
          <w:p w14:paraId="00608A88" w14:textId="77777777" w:rsidR="0075781B" w:rsidRPr="0023595B" w:rsidRDefault="0075781B" w:rsidP="00D55718">
            <w:pPr>
              <w:rPr>
                <w:sz w:val="20"/>
                <w:szCs w:val="20"/>
                <w:lang w:val="sr-Latn-ME"/>
              </w:rPr>
            </w:pPr>
            <w:r w:rsidRPr="0023595B">
              <w:rPr>
                <w:sz w:val="20"/>
                <w:szCs w:val="20"/>
                <w:lang w:val="sr-Latn-ME"/>
              </w:rPr>
              <w:t>Razlika LS</w:t>
            </w:r>
            <w:r w:rsidRPr="0023595B">
              <w:rPr>
                <w:sz w:val="20"/>
                <w:szCs w:val="20"/>
                <w:vertAlign w:val="superscript"/>
                <w:lang w:val="sr-Latn-ME"/>
              </w:rPr>
              <w:t>A)</w:t>
            </w:r>
          </w:p>
          <w:p w14:paraId="12AF243A" w14:textId="77777777" w:rsidR="0075781B" w:rsidRPr="0023595B" w:rsidRDefault="0075781B" w:rsidP="00D55718">
            <w:pPr>
              <w:rPr>
                <w:sz w:val="20"/>
                <w:szCs w:val="20"/>
                <w:lang w:val="sr-Latn-ME"/>
              </w:rPr>
            </w:pPr>
            <w:r w:rsidRPr="0023595B">
              <w:rPr>
                <w:sz w:val="20"/>
                <w:szCs w:val="20"/>
                <w:lang w:val="sr-Latn-ME"/>
              </w:rPr>
              <w:t>prosječna promjena (ETDRS slova)</w:t>
            </w:r>
            <w:r w:rsidRPr="0023595B">
              <w:rPr>
                <w:sz w:val="20"/>
                <w:szCs w:val="20"/>
                <w:vertAlign w:val="superscript"/>
                <w:lang w:val="sr-Latn-ME"/>
              </w:rPr>
              <w:t>C)</w:t>
            </w:r>
            <w:r w:rsidRPr="0023595B">
              <w:rPr>
                <w:sz w:val="20"/>
                <w:szCs w:val="20"/>
                <w:lang w:val="sr-Latn-ME"/>
              </w:rPr>
              <w:t xml:space="preserve"> </w:t>
            </w:r>
          </w:p>
          <w:p w14:paraId="640D8DFA" w14:textId="77777777" w:rsidR="0075781B" w:rsidRPr="0023595B" w:rsidRDefault="0075781B" w:rsidP="00D55718">
            <w:pPr>
              <w:rPr>
                <w:sz w:val="20"/>
                <w:szCs w:val="20"/>
                <w:lang w:val="sr-Latn-ME"/>
              </w:rPr>
            </w:pPr>
            <w:r w:rsidRPr="0023595B">
              <w:rPr>
                <w:sz w:val="20"/>
                <w:szCs w:val="20"/>
                <w:lang w:val="sr-Latn-ME"/>
              </w:rPr>
              <w:t>(95% CI)</w:t>
            </w:r>
            <w:r w:rsidRPr="0023595B">
              <w:rPr>
                <w:sz w:val="20"/>
                <w:szCs w:val="20"/>
                <w:vertAlign w:val="superscript"/>
                <w:lang w:val="sr-Latn-ME"/>
              </w:rPr>
              <w:t>D)</w:t>
            </w:r>
          </w:p>
        </w:tc>
        <w:tc>
          <w:tcPr>
            <w:tcW w:w="1610" w:type="dxa"/>
            <w:vAlign w:val="center"/>
          </w:tcPr>
          <w:p w14:paraId="770C8DE9" w14:textId="77777777" w:rsidR="0075781B" w:rsidRPr="0023595B" w:rsidRDefault="0075781B" w:rsidP="00D55718">
            <w:pPr>
              <w:jc w:val="center"/>
              <w:rPr>
                <w:sz w:val="20"/>
                <w:szCs w:val="20"/>
                <w:lang w:val="sr-Latn-ME"/>
              </w:rPr>
            </w:pPr>
            <w:r w:rsidRPr="0023595B">
              <w:rPr>
                <w:sz w:val="20"/>
                <w:szCs w:val="20"/>
                <w:lang w:val="sr-Latn-ME"/>
              </w:rPr>
              <w:t>-0,32</w:t>
            </w:r>
          </w:p>
          <w:p w14:paraId="37AD0ABF" w14:textId="77777777" w:rsidR="0075781B" w:rsidRPr="0023595B" w:rsidRDefault="0075781B" w:rsidP="00D55718">
            <w:pPr>
              <w:jc w:val="center"/>
              <w:rPr>
                <w:sz w:val="20"/>
                <w:szCs w:val="20"/>
                <w:lang w:val="sr-Latn-ME"/>
              </w:rPr>
            </w:pPr>
            <w:r w:rsidRPr="0023595B">
              <w:rPr>
                <w:sz w:val="20"/>
                <w:szCs w:val="20"/>
                <w:lang w:val="sr-Latn-ME"/>
              </w:rPr>
              <w:t>(-1,87; 1,23)</w:t>
            </w:r>
          </w:p>
        </w:tc>
        <w:tc>
          <w:tcPr>
            <w:tcW w:w="1934" w:type="dxa"/>
            <w:vAlign w:val="center"/>
          </w:tcPr>
          <w:p w14:paraId="048218D5" w14:textId="77777777" w:rsidR="0075781B" w:rsidRPr="0023595B" w:rsidRDefault="0075781B" w:rsidP="00D55718">
            <w:pPr>
              <w:jc w:val="center"/>
              <w:rPr>
                <w:sz w:val="20"/>
                <w:szCs w:val="20"/>
                <w:lang w:val="sr-Latn-ME"/>
              </w:rPr>
            </w:pPr>
            <w:r w:rsidRPr="0023595B">
              <w:rPr>
                <w:sz w:val="20"/>
                <w:szCs w:val="20"/>
                <w:lang w:val="sr-Latn-ME"/>
              </w:rPr>
              <w:t>-0,25</w:t>
            </w:r>
          </w:p>
          <w:p w14:paraId="0DFF55E2" w14:textId="77777777" w:rsidR="0075781B" w:rsidRPr="0023595B" w:rsidRDefault="0075781B" w:rsidP="00D55718">
            <w:pPr>
              <w:jc w:val="center"/>
              <w:rPr>
                <w:sz w:val="20"/>
                <w:szCs w:val="20"/>
                <w:lang w:val="sr-Latn-ME"/>
              </w:rPr>
            </w:pPr>
            <w:r w:rsidRPr="0023595B">
              <w:rPr>
                <w:sz w:val="20"/>
                <w:szCs w:val="20"/>
                <w:lang w:val="sr-Latn-ME"/>
              </w:rPr>
              <w:t>(-1,98; 1,49)</w:t>
            </w:r>
          </w:p>
        </w:tc>
        <w:tc>
          <w:tcPr>
            <w:tcW w:w="1559" w:type="dxa"/>
            <w:vAlign w:val="center"/>
          </w:tcPr>
          <w:p w14:paraId="178E82EA" w14:textId="77777777" w:rsidR="0075781B" w:rsidRPr="0023595B" w:rsidRDefault="0075781B" w:rsidP="00D55718">
            <w:pPr>
              <w:jc w:val="center"/>
              <w:rPr>
                <w:sz w:val="20"/>
                <w:szCs w:val="20"/>
                <w:lang w:val="sr-Latn-ME"/>
              </w:rPr>
            </w:pPr>
          </w:p>
        </w:tc>
        <w:tc>
          <w:tcPr>
            <w:tcW w:w="1554" w:type="dxa"/>
            <w:vAlign w:val="center"/>
          </w:tcPr>
          <w:p w14:paraId="51410D3E" w14:textId="77777777" w:rsidR="0075781B" w:rsidRPr="0023595B" w:rsidRDefault="0075781B" w:rsidP="00D55718">
            <w:pPr>
              <w:jc w:val="center"/>
              <w:rPr>
                <w:sz w:val="20"/>
                <w:szCs w:val="20"/>
                <w:lang w:val="sr-Latn-ME"/>
              </w:rPr>
            </w:pPr>
          </w:p>
        </w:tc>
      </w:tr>
      <w:tr w:rsidR="0075781B" w:rsidRPr="0023595B" w14:paraId="6FDD6394" w14:textId="77777777" w:rsidTr="0075781B">
        <w:tc>
          <w:tcPr>
            <w:tcW w:w="2972" w:type="dxa"/>
          </w:tcPr>
          <w:p w14:paraId="447164B2" w14:textId="77777777" w:rsidR="0075781B" w:rsidRPr="0023595B" w:rsidRDefault="0075781B" w:rsidP="00D55718">
            <w:pPr>
              <w:rPr>
                <w:sz w:val="20"/>
                <w:szCs w:val="20"/>
                <w:lang w:val="sr-Latn-ME"/>
              </w:rPr>
            </w:pPr>
            <w:r w:rsidRPr="0023595B">
              <w:rPr>
                <w:sz w:val="20"/>
                <w:szCs w:val="20"/>
                <w:lang w:val="sr-Latn-ME"/>
              </w:rPr>
              <w:t>Udio pacijenata koji su postigli najmanje 15 slova u vidu u odnosu na početne vrijednosti</w:t>
            </w:r>
          </w:p>
        </w:tc>
        <w:tc>
          <w:tcPr>
            <w:tcW w:w="1610" w:type="dxa"/>
            <w:vAlign w:val="center"/>
          </w:tcPr>
          <w:p w14:paraId="4D30CBF7" w14:textId="77777777" w:rsidR="0075781B" w:rsidRPr="0023595B" w:rsidRDefault="0075781B" w:rsidP="00D55718">
            <w:pPr>
              <w:jc w:val="center"/>
              <w:rPr>
                <w:sz w:val="20"/>
                <w:szCs w:val="20"/>
                <w:lang w:val="sr-Latn-ME"/>
              </w:rPr>
            </w:pPr>
            <w:r w:rsidRPr="0023595B">
              <w:rPr>
                <w:sz w:val="20"/>
                <w:szCs w:val="20"/>
                <w:lang w:val="sr-Latn-ME"/>
              </w:rPr>
              <w:t>30,97%</w:t>
            </w:r>
          </w:p>
        </w:tc>
        <w:tc>
          <w:tcPr>
            <w:tcW w:w="1934" w:type="dxa"/>
            <w:vAlign w:val="center"/>
          </w:tcPr>
          <w:p w14:paraId="640DB19F" w14:textId="77777777" w:rsidR="0075781B" w:rsidRPr="0023595B" w:rsidRDefault="0075781B" w:rsidP="00D55718">
            <w:pPr>
              <w:jc w:val="center"/>
              <w:rPr>
                <w:sz w:val="20"/>
                <w:szCs w:val="20"/>
                <w:lang w:val="sr-Latn-ME"/>
              </w:rPr>
            </w:pPr>
            <w:r w:rsidRPr="0023595B">
              <w:rPr>
                <w:sz w:val="20"/>
                <w:szCs w:val="20"/>
                <w:lang w:val="sr-Latn-ME"/>
              </w:rPr>
              <w:t>33,44%</w:t>
            </w:r>
          </w:p>
        </w:tc>
        <w:tc>
          <w:tcPr>
            <w:tcW w:w="1559" w:type="dxa"/>
            <w:vAlign w:val="center"/>
          </w:tcPr>
          <w:p w14:paraId="7C641A5E" w14:textId="77777777" w:rsidR="0075781B" w:rsidRPr="0023595B" w:rsidRDefault="0075781B" w:rsidP="00D55718">
            <w:pPr>
              <w:jc w:val="center"/>
              <w:rPr>
                <w:sz w:val="20"/>
                <w:szCs w:val="20"/>
                <w:lang w:val="sr-Latn-ME"/>
              </w:rPr>
            </w:pPr>
            <w:r w:rsidRPr="0023595B">
              <w:rPr>
                <w:sz w:val="20"/>
                <w:szCs w:val="20"/>
                <w:lang w:val="sr-Latn-ME"/>
              </w:rPr>
              <w:t>32,44%</w:t>
            </w:r>
          </w:p>
        </w:tc>
        <w:tc>
          <w:tcPr>
            <w:tcW w:w="1554" w:type="dxa"/>
            <w:vAlign w:val="center"/>
          </w:tcPr>
          <w:p w14:paraId="275480C9" w14:textId="77777777" w:rsidR="0075781B" w:rsidRPr="0023595B" w:rsidRDefault="0075781B" w:rsidP="00D55718">
            <w:pPr>
              <w:jc w:val="center"/>
              <w:rPr>
                <w:sz w:val="20"/>
                <w:szCs w:val="20"/>
                <w:lang w:val="sr-Latn-ME"/>
              </w:rPr>
            </w:pPr>
            <w:r w:rsidRPr="0023595B">
              <w:rPr>
                <w:sz w:val="20"/>
                <w:szCs w:val="20"/>
                <w:lang w:val="sr-Latn-ME"/>
              </w:rPr>
              <w:t>31,60%</w:t>
            </w:r>
          </w:p>
        </w:tc>
      </w:tr>
      <w:tr w:rsidR="0075781B" w:rsidRPr="0023595B" w14:paraId="6DC17AED" w14:textId="77777777" w:rsidTr="0075781B">
        <w:tc>
          <w:tcPr>
            <w:tcW w:w="2972" w:type="dxa"/>
          </w:tcPr>
          <w:p w14:paraId="1B420653" w14:textId="77777777" w:rsidR="0075781B" w:rsidRPr="0023595B" w:rsidRDefault="0075781B" w:rsidP="00D55718">
            <w:pPr>
              <w:rPr>
                <w:sz w:val="20"/>
                <w:szCs w:val="20"/>
                <w:lang w:val="sr-Latn-ME"/>
              </w:rPr>
            </w:pPr>
            <w:r w:rsidRPr="0023595B">
              <w:rPr>
                <w:sz w:val="20"/>
                <w:szCs w:val="20"/>
                <w:lang w:val="sr-Latn-ME"/>
              </w:rPr>
              <w:t xml:space="preserve">Razlika </w:t>
            </w:r>
            <w:r w:rsidRPr="0023595B">
              <w:rPr>
                <w:sz w:val="20"/>
                <w:szCs w:val="20"/>
                <w:vertAlign w:val="superscript"/>
                <w:lang w:val="sr-Latn-ME"/>
              </w:rPr>
              <w:t>C)</w:t>
            </w:r>
          </w:p>
          <w:p w14:paraId="4EF964CF" w14:textId="77777777" w:rsidR="0075781B" w:rsidRPr="0023595B" w:rsidRDefault="0075781B" w:rsidP="00D55718">
            <w:pPr>
              <w:rPr>
                <w:sz w:val="20"/>
                <w:szCs w:val="20"/>
                <w:lang w:val="sr-Latn-ME"/>
              </w:rPr>
            </w:pPr>
            <w:r w:rsidRPr="0023595B">
              <w:rPr>
                <w:sz w:val="20"/>
                <w:szCs w:val="20"/>
                <w:lang w:val="sr-Latn-ME"/>
              </w:rPr>
              <w:t xml:space="preserve">(95% CI) </w:t>
            </w:r>
            <w:r w:rsidRPr="0023595B">
              <w:rPr>
                <w:sz w:val="20"/>
                <w:szCs w:val="20"/>
                <w:vertAlign w:val="superscript"/>
                <w:lang w:val="sr-Latn-ME"/>
              </w:rPr>
              <w:t>D)</w:t>
            </w:r>
          </w:p>
        </w:tc>
        <w:tc>
          <w:tcPr>
            <w:tcW w:w="1610" w:type="dxa"/>
            <w:vAlign w:val="center"/>
          </w:tcPr>
          <w:p w14:paraId="509D3E0D" w14:textId="77777777" w:rsidR="0075781B" w:rsidRPr="0023595B" w:rsidRDefault="0075781B" w:rsidP="00D55718">
            <w:pPr>
              <w:jc w:val="center"/>
              <w:rPr>
                <w:sz w:val="20"/>
                <w:szCs w:val="20"/>
                <w:lang w:val="sr-Latn-ME"/>
              </w:rPr>
            </w:pPr>
            <w:r w:rsidRPr="0023595B">
              <w:rPr>
                <w:sz w:val="20"/>
                <w:szCs w:val="20"/>
                <w:lang w:val="sr-Latn-ME"/>
              </w:rPr>
              <w:t>-1,5%</w:t>
            </w:r>
          </w:p>
          <w:p w14:paraId="3B62654B" w14:textId="77777777" w:rsidR="0075781B" w:rsidRPr="0023595B" w:rsidRDefault="0075781B" w:rsidP="00D55718">
            <w:pPr>
              <w:jc w:val="center"/>
              <w:rPr>
                <w:sz w:val="20"/>
                <w:szCs w:val="20"/>
                <w:lang w:val="sr-Latn-ME"/>
              </w:rPr>
            </w:pPr>
            <w:r w:rsidRPr="0023595B">
              <w:rPr>
                <w:sz w:val="20"/>
                <w:szCs w:val="20"/>
                <w:lang w:val="sr-Latn-ME"/>
              </w:rPr>
              <w:t>(-6,8; 3,8)</w:t>
            </w:r>
          </w:p>
        </w:tc>
        <w:tc>
          <w:tcPr>
            <w:tcW w:w="1934" w:type="dxa"/>
            <w:vAlign w:val="center"/>
          </w:tcPr>
          <w:p w14:paraId="48D4CFA7" w14:textId="77777777" w:rsidR="0075781B" w:rsidRPr="0023595B" w:rsidRDefault="0075781B" w:rsidP="00D55718">
            <w:pPr>
              <w:jc w:val="center"/>
              <w:rPr>
                <w:sz w:val="20"/>
                <w:szCs w:val="20"/>
                <w:lang w:val="sr-Latn-ME"/>
              </w:rPr>
            </w:pPr>
            <w:r w:rsidRPr="0023595B">
              <w:rPr>
                <w:sz w:val="20"/>
                <w:szCs w:val="20"/>
                <w:lang w:val="sr-Latn-ME"/>
              </w:rPr>
              <w:t>1,8%</w:t>
            </w:r>
          </w:p>
          <w:p w14:paraId="272F189B" w14:textId="77777777" w:rsidR="0075781B" w:rsidRPr="0023595B" w:rsidRDefault="0075781B" w:rsidP="00D55718">
            <w:pPr>
              <w:jc w:val="center"/>
              <w:rPr>
                <w:sz w:val="20"/>
                <w:szCs w:val="20"/>
                <w:lang w:val="sr-Latn-ME"/>
              </w:rPr>
            </w:pPr>
            <w:r w:rsidRPr="0023595B">
              <w:rPr>
                <w:sz w:val="20"/>
                <w:szCs w:val="20"/>
                <w:lang w:val="sr-Latn-ME"/>
              </w:rPr>
              <w:t>(-3,5; 7,1)</w:t>
            </w:r>
          </w:p>
        </w:tc>
        <w:tc>
          <w:tcPr>
            <w:tcW w:w="1559" w:type="dxa"/>
            <w:vAlign w:val="center"/>
          </w:tcPr>
          <w:p w14:paraId="54CFAB1A" w14:textId="77777777" w:rsidR="0075781B" w:rsidRPr="0023595B" w:rsidRDefault="0075781B" w:rsidP="00D55718">
            <w:pPr>
              <w:jc w:val="center"/>
              <w:rPr>
                <w:sz w:val="20"/>
                <w:szCs w:val="20"/>
                <w:lang w:val="sr-Latn-ME"/>
              </w:rPr>
            </w:pPr>
          </w:p>
        </w:tc>
        <w:tc>
          <w:tcPr>
            <w:tcW w:w="1554" w:type="dxa"/>
            <w:vAlign w:val="center"/>
          </w:tcPr>
          <w:p w14:paraId="3DE3F882" w14:textId="77777777" w:rsidR="0075781B" w:rsidRPr="0023595B" w:rsidRDefault="0075781B" w:rsidP="00D55718">
            <w:pPr>
              <w:jc w:val="center"/>
              <w:rPr>
                <w:sz w:val="20"/>
                <w:szCs w:val="20"/>
                <w:lang w:val="sr-Latn-ME"/>
              </w:rPr>
            </w:pPr>
          </w:p>
        </w:tc>
      </w:tr>
    </w:tbl>
    <w:p w14:paraId="3295BEEC" w14:textId="77777777" w:rsidR="0075781B" w:rsidRPr="0023595B" w:rsidRDefault="0075781B" w:rsidP="0075781B">
      <w:pPr>
        <w:ind w:left="270" w:hanging="270"/>
        <w:rPr>
          <w:sz w:val="20"/>
          <w:szCs w:val="20"/>
          <w:lang w:val="sr-Latn-ME"/>
        </w:rPr>
      </w:pPr>
      <w:r w:rsidRPr="0023595B">
        <w:rPr>
          <w:sz w:val="20"/>
          <w:szCs w:val="20"/>
          <w:vertAlign w:val="superscript"/>
          <w:lang w:val="sr-Latn-ME"/>
        </w:rPr>
        <w:t>A)</w:t>
      </w:r>
      <w:r w:rsidRPr="0023595B">
        <w:rPr>
          <w:sz w:val="20"/>
          <w:szCs w:val="20"/>
          <w:lang w:val="sr-Latn-ME"/>
        </w:rPr>
        <w:tab/>
        <w:t>BCVA (</w:t>
      </w:r>
      <w:r w:rsidRPr="0023595B">
        <w:rPr>
          <w:i/>
          <w:sz w:val="20"/>
          <w:szCs w:val="20"/>
          <w:lang w:val="sr-Latn-ME"/>
        </w:rPr>
        <w:t>Best Corrected Visual Acuity</w:t>
      </w:r>
      <w:r w:rsidRPr="0023595B">
        <w:rPr>
          <w:sz w:val="20"/>
          <w:szCs w:val="20"/>
          <w:lang w:val="sr-Latn-ME"/>
        </w:rPr>
        <w:t>) - najbolja korigovana oštrina vida</w:t>
      </w:r>
    </w:p>
    <w:p w14:paraId="35CA4212" w14:textId="77777777" w:rsidR="0075781B" w:rsidRPr="0023595B" w:rsidRDefault="0075781B" w:rsidP="0075781B">
      <w:pPr>
        <w:ind w:left="270"/>
        <w:rPr>
          <w:sz w:val="20"/>
          <w:szCs w:val="20"/>
          <w:lang w:val="sr-Latn-ME"/>
        </w:rPr>
      </w:pPr>
      <w:r w:rsidRPr="0023595B">
        <w:rPr>
          <w:sz w:val="20"/>
          <w:szCs w:val="20"/>
          <w:lang w:val="sr-Latn-ME"/>
        </w:rPr>
        <w:t>ETDRS (</w:t>
      </w:r>
      <w:r w:rsidRPr="0023595B">
        <w:rPr>
          <w:i/>
          <w:sz w:val="20"/>
          <w:szCs w:val="20"/>
          <w:lang w:val="sr-Latn-ME"/>
        </w:rPr>
        <w:t>Early Treatment Diabetic Retinopathy Study</w:t>
      </w:r>
      <w:r w:rsidRPr="0023595B">
        <w:rPr>
          <w:sz w:val="20"/>
          <w:szCs w:val="20"/>
          <w:lang w:val="sr-Latn-ME"/>
        </w:rPr>
        <w:t>) – ispitivanje ranog liječenja dijabetičke retinopatije</w:t>
      </w:r>
    </w:p>
    <w:p w14:paraId="2B557A51" w14:textId="77777777" w:rsidR="0075781B" w:rsidRPr="0023595B" w:rsidRDefault="0075781B" w:rsidP="0075781B">
      <w:pPr>
        <w:ind w:left="270"/>
        <w:rPr>
          <w:sz w:val="20"/>
          <w:szCs w:val="20"/>
          <w:lang w:val="sr-Latn-ME"/>
        </w:rPr>
      </w:pPr>
      <w:r w:rsidRPr="0023595B">
        <w:rPr>
          <w:sz w:val="20"/>
          <w:szCs w:val="20"/>
          <w:lang w:val="sr-Latn-ME"/>
        </w:rPr>
        <w:t>LS (</w:t>
      </w:r>
      <w:r w:rsidRPr="0023595B">
        <w:rPr>
          <w:i/>
          <w:sz w:val="20"/>
          <w:szCs w:val="20"/>
          <w:lang w:val="sr-Latn-ME"/>
        </w:rPr>
        <w:t>Least square</w:t>
      </w:r>
      <w:r w:rsidRPr="0023595B">
        <w:rPr>
          <w:sz w:val="20"/>
          <w:szCs w:val="20"/>
          <w:lang w:val="sr-Latn-ME"/>
        </w:rPr>
        <w:t>) – najmanji kvadrat srednje vrijednosti iz ANCOVA</w:t>
      </w:r>
    </w:p>
    <w:p w14:paraId="09423DBC" w14:textId="77777777" w:rsidR="0075781B" w:rsidRPr="0023595B" w:rsidRDefault="0075781B" w:rsidP="0075781B">
      <w:pPr>
        <w:ind w:left="270"/>
        <w:rPr>
          <w:sz w:val="20"/>
          <w:szCs w:val="20"/>
          <w:lang w:val="sr-Latn-ME"/>
        </w:rPr>
      </w:pPr>
      <w:r w:rsidRPr="0023595B">
        <w:rPr>
          <w:sz w:val="20"/>
          <w:szCs w:val="20"/>
          <w:lang w:val="sr-Latn-ME"/>
        </w:rPr>
        <w:t>PPS (</w:t>
      </w:r>
      <w:r w:rsidRPr="0023595B">
        <w:rPr>
          <w:i/>
          <w:sz w:val="20"/>
          <w:szCs w:val="20"/>
          <w:lang w:val="sr-Latn-ME"/>
        </w:rPr>
        <w:t>Per Protocol Set</w:t>
      </w:r>
      <w:r w:rsidRPr="0023595B">
        <w:rPr>
          <w:sz w:val="20"/>
          <w:szCs w:val="20"/>
          <w:lang w:val="sr-Latn-ME"/>
        </w:rPr>
        <w:t>) – prema protokolu</w:t>
      </w:r>
    </w:p>
    <w:p w14:paraId="4D4713A3" w14:textId="77777777" w:rsidR="0075781B" w:rsidRPr="0023595B" w:rsidRDefault="0075781B" w:rsidP="0075781B">
      <w:pPr>
        <w:ind w:left="270" w:hanging="270"/>
        <w:rPr>
          <w:sz w:val="20"/>
          <w:szCs w:val="20"/>
          <w:lang w:val="sr-Latn-ME"/>
        </w:rPr>
      </w:pPr>
      <w:r w:rsidRPr="0023595B">
        <w:rPr>
          <w:sz w:val="20"/>
          <w:szCs w:val="20"/>
          <w:vertAlign w:val="superscript"/>
          <w:lang w:val="sr-Latn-ME"/>
        </w:rPr>
        <w:lastRenderedPageBreak/>
        <w:t>B)</w:t>
      </w:r>
      <w:r w:rsidRPr="0023595B">
        <w:rPr>
          <w:sz w:val="20"/>
          <w:szCs w:val="20"/>
          <w:lang w:val="sr-Latn-ME"/>
        </w:rPr>
        <w:tab/>
        <w:t>Potpuni set podataka za analizu (</w:t>
      </w:r>
      <w:r w:rsidRPr="0023595B">
        <w:rPr>
          <w:i/>
          <w:sz w:val="20"/>
          <w:szCs w:val="20"/>
          <w:lang w:val="sr-Latn-ME"/>
        </w:rPr>
        <w:t>Full Analysis Set</w:t>
      </w:r>
      <w:r w:rsidRPr="0023595B">
        <w:rPr>
          <w:sz w:val="20"/>
          <w:szCs w:val="20"/>
          <w:lang w:val="sr-Latn-ME"/>
        </w:rPr>
        <w:t xml:space="preserve"> FAS), Zadnje mjerenje preneseno unaprijed (</w:t>
      </w:r>
      <w:r w:rsidRPr="0023595B">
        <w:rPr>
          <w:i/>
          <w:sz w:val="20"/>
          <w:szCs w:val="20"/>
          <w:lang w:val="sr-Latn-ME"/>
        </w:rPr>
        <w:t xml:space="preserve">Last Observation Carried Forward </w:t>
      </w:r>
      <w:r w:rsidRPr="0023595B">
        <w:rPr>
          <w:sz w:val="20"/>
          <w:szCs w:val="20"/>
          <w:lang w:val="sr-Latn-ME"/>
        </w:rPr>
        <w:t>LOCF) za sve analize osim za udio pacijenata sa očuvanom oštrinom vida u 52. nedjelji, što je određeno protokolom (PPS),</w:t>
      </w:r>
    </w:p>
    <w:p w14:paraId="3AC932DA" w14:textId="77777777" w:rsidR="0075781B" w:rsidRPr="0023595B" w:rsidRDefault="0075781B" w:rsidP="0075781B">
      <w:pPr>
        <w:ind w:left="270" w:hanging="270"/>
        <w:rPr>
          <w:sz w:val="20"/>
          <w:szCs w:val="20"/>
          <w:lang w:val="sr-Latn-ME"/>
        </w:rPr>
      </w:pPr>
      <w:r w:rsidRPr="0023595B">
        <w:rPr>
          <w:sz w:val="20"/>
          <w:szCs w:val="20"/>
          <w:vertAlign w:val="superscript"/>
          <w:lang w:val="sr-Latn-ME"/>
        </w:rPr>
        <w:t>C)</w:t>
      </w:r>
      <w:r w:rsidRPr="0023595B">
        <w:rPr>
          <w:sz w:val="20"/>
          <w:szCs w:val="20"/>
          <w:lang w:val="sr-Latn-ME"/>
        </w:rPr>
        <w:tab/>
        <w:t>Razlika je vrijednost grupe Eylea minus vrijednost ranimizumab grupe. Pozitivna vrijednost favorizuje lijek Eylea</w:t>
      </w:r>
    </w:p>
    <w:p w14:paraId="53B0987B" w14:textId="77777777" w:rsidR="0075781B" w:rsidRPr="0023595B" w:rsidRDefault="0075781B" w:rsidP="0075781B">
      <w:pPr>
        <w:ind w:left="270" w:hanging="270"/>
        <w:rPr>
          <w:sz w:val="20"/>
          <w:szCs w:val="20"/>
          <w:lang w:val="sr-Latn-ME"/>
        </w:rPr>
      </w:pPr>
      <w:r w:rsidRPr="0023595B">
        <w:rPr>
          <w:sz w:val="20"/>
          <w:szCs w:val="20"/>
          <w:vertAlign w:val="superscript"/>
          <w:lang w:val="sr-Latn-ME"/>
        </w:rPr>
        <w:t>D)</w:t>
      </w:r>
      <w:r w:rsidRPr="0023595B">
        <w:rPr>
          <w:sz w:val="20"/>
          <w:szCs w:val="20"/>
          <w:lang w:val="sr-Latn-ME"/>
        </w:rPr>
        <w:tab/>
        <w:t>Interval povjerenja (CI) obračunato sa normalnom aproksimacijom</w:t>
      </w:r>
    </w:p>
    <w:p w14:paraId="38D684DF" w14:textId="77777777" w:rsidR="0075781B" w:rsidRPr="0023595B" w:rsidRDefault="0075781B" w:rsidP="0075781B">
      <w:pPr>
        <w:ind w:left="270" w:hanging="270"/>
        <w:rPr>
          <w:sz w:val="20"/>
          <w:szCs w:val="20"/>
          <w:lang w:val="sr-Latn-ME"/>
        </w:rPr>
      </w:pPr>
      <w:r w:rsidRPr="0023595B">
        <w:rPr>
          <w:sz w:val="20"/>
          <w:szCs w:val="20"/>
          <w:vertAlign w:val="superscript"/>
          <w:lang w:val="sr-Latn-ME"/>
        </w:rPr>
        <w:t>E)</w:t>
      </w:r>
      <w:r w:rsidRPr="0023595B">
        <w:rPr>
          <w:sz w:val="20"/>
          <w:szCs w:val="20"/>
          <w:lang w:val="sr-Latn-ME"/>
        </w:rPr>
        <w:tab/>
        <w:t>Nakon početne terapije od tri mjesečne doze</w:t>
      </w:r>
    </w:p>
    <w:p w14:paraId="18B41EDA" w14:textId="77777777" w:rsidR="0075781B" w:rsidRPr="0023595B" w:rsidRDefault="0075781B" w:rsidP="0075781B">
      <w:pPr>
        <w:ind w:left="270" w:hanging="270"/>
        <w:rPr>
          <w:sz w:val="20"/>
          <w:szCs w:val="20"/>
          <w:lang w:val="sr-Latn-ME"/>
        </w:rPr>
      </w:pPr>
      <w:r w:rsidRPr="0023595B">
        <w:rPr>
          <w:sz w:val="20"/>
          <w:szCs w:val="20"/>
          <w:vertAlign w:val="superscript"/>
          <w:lang w:val="sr-Latn-ME"/>
        </w:rPr>
        <w:t>F)</w:t>
      </w:r>
      <w:r w:rsidRPr="0023595B">
        <w:rPr>
          <w:sz w:val="20"/>
          <w:szCs w:val="20"/>
          <w:lang w:val="sr-Latn-ME"/>
        </w:rPr>
        <w:tab/>
        <w:t>Interval povjerenja leži u potpunosti iznad 10%, što ukazuje da Eylea nije inferiorna u odnosu na ranimizumab</w:t>
      </w:r>
    </w:p>
    <w:p w14:paraId="511061BE" w14:textId="77777777" w:rsidR="0075781B" w:rsidRPr="0023595B" w:rsidRDefault="0075781B" w:rsidP="0075781B">
      <w:pPr>
        <w:jc w:val="both"/>
        <w:rPr>
          <w:sz w:val="22"/>
          <w:szCs w:val="22"/>
          <w:lang w:val="sr-Latn-ME"/>
        </w:rPr>
      </w:pPr>
    </w:p>
    <w:p w14:paraId="7C8299F9" w14:textId="77777777" w:rsidR="0075781B" w:rsidRPr="0023595B" w:rsidRDefault="0075781B" w:rsidP="0075781B">
      <w:pPr>
        <w:ind w:left="709" w:hanging="709"/>
        <w:jc w:val="both"/>
        <w:rPr>
          <w:sz w:val="22"/>
          <w:szCs w:val="22"/>
          <w:lang w:val="sr-Latn-ME"/>
        </w:rPr>
      </w:pPr>
      <w:r w:rsidRPr="0023595B">
        <w:rPr>
          <w:b/>
          <w:sz w:val="22"/>
          <w:szCs w:val="22"/>
          <w:lang w:val="sr-Latn-ME"/>
        </w:rPr>
        <w:t>Slika 1</w:t>
      </w:r>
      <w:r w:rsidRPr="0023595B">
        <w:rPr>
          <w:sz w:val="22"/>
          <w:szCs w:val="22"/>
          <w:lang w:val="sr-Latn-ME"/>
        </w:rPr>
        <w:t>: Srednja promjena oštrine vida od početka do 96. nedjelje za kombinovane podatke iz ispitivanja VIEW1 i VIEW2</w:t>
      </w:r>
    </w:p>
    <w:p w14:paraId="3959F180" w14:textId="77777777" w:rsidR="0075781B" w:rsidRPr="0023595B" w:rsidRDefault="0075781B" w:rsidP="0075781B">
      <w:pPr>
        <w:tabs>
          <w:tab w:val="center" w:pos="4536"/>
          <w:tab w:val="right" w:pos="9072"/>
        </w:tabs>
        <w:rPr>
          <w:lang w:val="sr-Latn-ME"/>
        </w:rPr>
      </w:pPr>
      <w:r w:rsidRPr="0023595B">
        <w:rPr>
          <w:i/>
          <w:noProof/>
          <w:sz w:val="22"/>
          <w:szCs w:val="22"/>
        </w:rPr>
        <mc:AlternateContent>
          <mc:Choice Requires="wps">
            <w:drawing>
              <wp:anchor distT="0" distB="0" distL="114300" distR="114300" simplePos="0" relativeHeight="251671552" behindDoc="0" locked="0" layoutInCell="1" allowOverlap="1" wp14:anchorId="44CF5CE0" wp14:editId="622ACF1F">
                <wp:simplePos x="0" y="0"/>
                <wp:positionH relativeFrom="column">
                  <wp:posOffset>3393440</wp:posOffset>
                </wp:positionH>
                <wp:positionV relativeFrom="paragraph">
                  <wp:posOffset>2319960</wp:posOffset>
                </wp:positionV>
                <wp:extent cx="1357630" cy="266065"/>
                <wp:effectExtent l="0" t="0" r="0" b="63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266065"/>
                        </a:xfrm>
                        <a:prstGeom prst="rect">
                          <a:avLst/>
                        </a:prstGeom>
                        <a:solidFill>
                          <a:srgbClr val="FFFFFF"/>
                        </a:solidFill>
                        <a:ln w="9525">
                          <a:noFill/>
                          <a:miter lim="800000"/>
                          <a:headEnd/>
                          <a:tailEnd/>
                        </a:ln>
                      </wps:spPr>
                      <wps:txbx>
                        <w:txbxContent>
                          <w:p w14:paraId="1A510941" w14:textId="77777777" w:rsidR="00DA4990" w:rsidRPr="00780579" w:rsidRDefault="00DA4990" w:rsidP="0075781B">
                            <w:pPr>
                              <w:rPr>
                                <w:sz w:val="16"/>
                                <w:szCs w:val="16"/>
                              </w:rPr>
                            </w:pPr>
                            <w:proofErr w:type="spellStart"/>
                            <w:r>
                              <w:rPr>
                                <w:sz w:val="16"/>
                                <w:szCs w:val="16"/>
                              </w:rPr>
                              <w:t>Ranibizumab</w:t>
                            </w:r>
                            <w:proofErr w:type="spellEnd"/>
                            <w:r>
                              <w:rPr>
                                <w:sz w:val="16"/>
                                <w:szCs w:val="16"/>
                              </w:rPr>
                              <w:t xml:space="preserve"> 0,5 mg </w:t>
                            </w:r>
                            <w:proofErr w:type="spellStart"/>
                            <w:r>
                              <w:rPr>
                                <w:sz w:val="16"/>
                                <w:szCs w:val="16"/>
                              </w:rPr>
                              <w:t>svake</w:t>
                            </w:r>
                            <w:proofErr w:type="spellEnd"/>
                            <w:r>
                              <w:rPr>
                                <w:sz w:val="16"/>
                                <w:szCs w:val="16"/>
                              </w:rPr>
                              <w:t xml:space="preserve"> 4 </w:t>
                            </w:r>
                            <w:proofErr w:type="spellStart"/>
                            <w:r>
                              <w:rPr>
                                <w:sz w:val="16"/>
                                <w:szCs w:val="16"/>
                              </w:rPr>
                              <w:t>nedjelje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F5CE0" id="_x0000_t202" coordsize="21600,21600" o:spt="202" path="m,l,21600r21600,l21600,xe">
                <v:stroke joinstyle="miter"/>
                <v:path gradientshapeok="t" o:connecttype="rect"/>
              </v:shapetype>
              <v:shape id="Text Box 2" o:spid="_x0000_s1026" type="#_x0000_t202" style="position:absolute;margin-left:267.2pt;margin-top:182.65pt;width:106.9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" stroked="f">
                <v:textbox inset="0,0,0,0">
                  <w:txbxContent>
                    <w:p w14:paraId="1A510941" w14:textId="77777777" w:rsidR="00DA4990" w:rsidRPr="00780579" w:rsidRDefault="00DA4990" w:rsidP="0075781B">
                      <w:pPr>
                        <w:rPr>
                          <w:sz w:val="16"/>
                          <w:szCs w:val="16"/>
                        </w:rPr>
                      </w:pPr>
                      <w:proofErr w:type="spellStart"/>
                      <w:r>
                        <w:rPr>
                          <w:sz w:val="16"/>
                          <w:szCs w:val="16"/>
                        </w:rPr>
                        <w:t>Ranibizumab</w:t>
                      </w:r>
                      <w:proofErr w:type="spellEnd"/>
                      <w:r>
                        <w:rPr>
                          <w:sz w:val="16"/>
                          <w:szCs w:val="16"/>
                        </w:rPr>
                        <w:t xml:space="preserve"> 0,5 mg </w:t>
                      </w:r>
                      <w:proofErr w:type="spellStart"/>
                      <w:r>
                        <w:rPr>
                          <w:sz w:val="16"/>
                          <w:szCs w:val="16"/>
                        </w:rPr>
                        <w:t>svake</w:t>
                      </w:r>
                      <w:proofErr w:type="spellEnd"/>
                      <w:r>
                        <w:rPr>
                          <w:sz w:val="16"/>
                          <w:szCs w:val="16"/>
                        </w:rPr>
                        <w:t xml:space="preserve"> 4 </w:t>
                      </w:r>
                      <w:proofErr w:type="spellStart"/>
                      <w:r>
                        <w:rPr>
                          <w:sz w:val="16"/>
                          <w:szCs w:val="16"/>
                        </w:rPr>
                        <w:t>nedjelje</w:t>
                      </w:r>
                      <w:proofErr w:type="spellEnd"/>
                    </w:p>
                  </w:txbxContent>
                </v:textbox>
              </v:shape>
            </w:pict>
          </mc:Fallback>
        </mc:AlternateContent>
      </w:r>
      <w:r w:rsidRPr="0023595B">
        <w:rPr>
          <w:i/>
          <w:noProof/>
          <w:sz w:val="22"/>
          <w:szCs w:val="22"/>
        </w:rPr>
        <mc:AlternateContent>
          <mc:Choice Requires="wps">
            <w:drawing>
              <wp:anchor distT="0" distB="0" distL="114300" distR="114300" simplePos="0" relativeHeight="251670528" behindDoc="0" locked="0" layoutInCell="1" allowOverlap="1" wp14:anchorId="1F58B89F" wp14:editId="29AF75DE">
                <wp:simplePos x="0" y="0"/>
                <wp:positionH relativeFrom="column">
                  <wp:posOffset>1984375</wp:posOffset>
                </wp:positionH>
                <wp:positionV relativeFrom="paragraph">
                  <wp:posOffset>2342210</wp:posOffset>
                </wp:positionV>
                <wp:extent cx="1064260" cy="245110"/>
                <wp:effectExtent l="0" t="0" r="2540" b="254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245110"/>
                        </a:xfrm>
                        <a:prstGeom prst="rect">
                          <a:avLst/>
                        </a:prstGeom>
                        <a:solidFill>
                          <a:srgbClr val="FFFFFF"/>
                        </a:solidFill>
                        <a:ln w="9525">
                          <a:noFill/>
                          <a:miter lim="800000"/>
                          <a:headEnd/>
                          <a:tailEnd/>
                        </a:ln>
                      </wps:spPr>
                      <wps:txbx>
                        <w:txbxContent>
                          <w:p w14:paraId="03BCF57B" w14:textId="77777777" w:rsidR="00DA4990" w:rsidRPr="00780579" w:rsidRDefault="00DA4990" w:rsidP="0075781B">
                            <w:pPr>
                              <w:rPr>
                                <w:sz w:val="16"/>
                                <w:szCs w:val="16"/>
                              </w:rPr>
                            </w:pPr>
                            <w:r>
                              <w:rPr>
                                <w:sz w:val="16"/>
                                <w:szCs w:val="16"/>
                              </w:rPr>
                              <w:t xml:space="preserve">EYLEA 2 mg </w:t>
                            </w:r>
                            <w:proofErr w:type="spellStart"/>
                            <w:r>
                              <w:rPr>
                                <w:sz w:val="16"/>
                                <w:szCs w:val="16"/>
                              </w:rPr>
                              <w:t>svakih</w:t>
                            </w:r>
                            <w:proofErr w:type="spellEnd"/>
                            <w:r>
                              <w:rPr>
                                <w:sz w:val="16"/>
                                <w:szCs w:val="16"/>
                              </w:rPr>
                              <w:t xml:space="preserve"> 8 </w:t>
                            </w:r>
                            <w:proofErr w:type="spellStart"/>
                            <w:r>
                              <w:rPr>
                                <w:sz w:val="16"/>
                                <w:szCs w:val="16"/>
                              </w:rPr>
                              <w:t>nedjelj</w:t>
                            </w:r>
                            <w:r w:rsidRPr="00780579">
                              <w:rPr>
                                <w:sz w:val="16"/>
                                <w:szCs w:val="16"/>
                              </w:rPr>
                              <w:t>a</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8B89F" id="_x0000_s1027" type="#_x0000_t202" style="position:absolute;margin-left:156.25pt;margin-top:184.45pt;width:83.8pt;height:1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" stroked="f">
                <v:textbox inset="0,0,0,0">
                  <w:txbxContent>
                    <w:p w14:paraId="03BCF57B" w14:textId="77777777" w:rsidR="00DA4990" w:rsidRPr="00780579" w:rsidRDefault="00DA4990" w:rsidP="0075781B">
                      <w:pPr>
                        <w:rPr>
                          <w:sz w:val="16"/>
                          <w:szCs w:val="16"/>
                        </w:rPr>
                      </w:pPr>
                      <w:r>
                        <w:rPr>
                          <w:sz w:val="16"/>
                          <w:szCs w:val="16"/>
                        </w:rPr>
                        <w:t xml:space="preserve">EYLEA 2 mg </w:t>
                      </w:r>
                      <w:proofErr w:type="spellStart"/>
                      <w:r>
                        <w:rPr>
                          <w:sz w:val="16"/>
                          <w:szCs w:val="16"/>
                        </w:rPr>
                        <w:t>svakih</w:t>
                      </w:r>
                      <w:proofErr w:type="spellEnd"/>
                      <w:r>
                        <w:rPr>
                          <w:sz w:val="16"/>
                          <w:szCs w:val="16"/>
                        </w:rPr>
                        <w:t xml:space="preserve"> 8 </w:t>
                      </w:r>
                      <w:proofErr w:type="spellStart"/>
                      <w:r>
                        <w:rPr>
                          <w:sz w:val="16"/>
                          <w:szCs w:val="16"/>
                        </w:rPr>
                        <w:t>nedjelj</w:t>
                      </w:r>
                      <w:r w:rsidRPr="00780579">
                        <w:rPr>
                          <w:sz w:val="16"/>
                          <w:szCs w:val="16"/>
                        </w:rPr>
                        <w:t>a</w:t>
                      </w:r>
                      <w:proofErr w:type="spellEnd"/>
                    </w:p>
                  </w:txbxContent>
                </v:textbox>
              </v:shape>
            </w:pict>
          </mc:Fallback>
        </mc:AlternateContent>
      </w:r>
      <w:r w:rsidRPr="0023595B">
        <w:rPr>
          <w:i/>
          <w:noProof/>
          <w:sz w:val="22"/>
          <w:szCs w:val="22"/>
        </w:rPr>
        <mc:AlternateContent>
          <mc:Choice Requires="wps">
            <w:drawing>
              <wp:anchor distT="0" distB="0" distL="114300" distR="114300" simplePos="0" relativeHeight="251659264" behindDoc="0" locked="0" layoutInCell="1" allowOverlap="1" wp14:anchorId="4B4991C6" wp14:editId="606A47BF">
                <wp:simplePos x="0" y="0"/>
                <wp:positionH relativeFrom="column">
                  <wp:posOffset>2762250</wp:posOffset>
                </wp:positionH>
                <wp:positionV relativeFrom="paragraph">
                  <wp:posOffset>2083740</wp:posOffset>
                </wp:positionV>
                <wp:extent cx="809625" cy="258445"/>
                <wp:effectExtent l="0" t="0" r="9525"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8445"/>
                        </a:xfrm>
                        <a:prstGeom prst="rect">
                          <a:avLst/>
                        </a:prstGeom>
                        <a:solidFill>
                          <a:srgbClr val="FFFFFF"/>
                        </a:solidFill>
                        <a:ln w="9525">
                          <a:noFill/>
                          <a:miter lim="800000"/>
                          <a:headEnd/>
                          <a:tailEnd/>
                        </a:ln>
                      </wps:spPr>
                      <wps:txbx>
                        <w:txbxContent>
                          <w:p w14:paraId="337B63C2" w14:textId="77777777" w:rsidR="00DA4990" w:rsidRPr="00C123A1" w:rsidRDefault="00DA4990" w:rsidP="0075781B">
                            <w:pPr>
                              <w:jc w:val="center"/>
                              <w:rPr>
                                <w:sz w:val="20"/>
                                <w:szCs w:val="20"/>
                              </w:rPr>
                            </w:pPr>
                            <w:proofErr w:type="spellStart"/>
                            <w:r>
                              <w:rPr>
                                <w:sz w:val="20"/>
                                <w:szCs w:val="20"/>
                              </w:rPr>
                              <w:t>Nedjelj</w:t>
                            </w:r>
                            <w:r w:rsidRPr="00C123A1">
                              <w:rPr>
                                <w:sz w:val="20"/>
                                <w:szCs w:val="20"/>
                              </w:rPr>
                              <w:t>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991C6" id="_x0000_s1028" type="#_x0000_t202" style="position:absolute;margin-left:217.5pt;margin-top:164.05pt;width:63.7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" stroked="f">
                <v:textbox inset="0,0,0,0">
                  <w:txbxContent>
                    <w:p w14:paraId="337B63C2" w14:textId="77777777" w:rsidR="00DA4990" w:rsidRPr="00C123A1" w:rsidRDefault="00DA4990" w:rsidP="0075781B">
                      <w:pPr>
                        <w:jc w:val="center"/>
                        <w:rPr>
                          <w:sz w:val="20"/>
                          <w:szCs w:val="20"/>
                        </w:rPr>
                      </w:pPr>
                      <w:proofErr w:type="spellStart"/>
                      <w:r>
                        <w:rPr>
                          <w:sz w:val="20"/>
                          <w:szCs w:val="20"/>
                        </w:rPr>
                        <w:t>Nedjelj</w:t>
                      </w:r>
                      <w:r w:rsidRPr="00C123A1">
                        <w:rPr>
                          <w:sz w:val="20"/>
                          <w:szCs w:val="20"/>
                        </w:rPr>
                        <w:t>e</w:t>
                      </w:r>
                      <w:proofErr w:type="spellEnd"/>
                    </w:p>
                  </w:txbxContent>
                </v:textbox>
              </v:shape>
            </w:pict>
          </mc:Fallback>
        </mc:AlternateContent>
      </w:r>
      <w:r w:rsidRPr="0023595B">
        <w:rPr>
          <w:i/>
          <w:noProof/>
          <w:sz w:val="22"/>
          <w:szCs w:val="22"/>
        </w:rPr>
        <mc:AlternateContent>
          <mc:Choice Requires="wps">
            <w:drawing>
              <wp:anchor distT="0" distB="0" distL="114300" distR="114300" simplePos="0" relativeHeight="251672576" behindDoc="0" locked="0" layoutInCell="1" allowOverlap="1" wp14:anchorId="684F5D06" wp14:editId="47B0ABEF">
                <wp:simplePos x="0" y="0"/>
                <wp:positionH relativeFrom="column">
                  <wp:posOffset>48260</wp:posOffset>
                </wp:positionH>
                <wp:positionV relativeFrom="paragraph">
                  <wp:posOffset>92710</wp:posOffset>
                </wp:positionV>
                <wp:extent cx="370840" cy="188912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889125"/>
                        </a:xfrm>
                        <a:prstGeom prst="rect">
                          <a:avLst/>
                        </a:prstGeom>
                        <a:solidFill>
                          <a:srgbClr val="FFFFFF"/>
                        </a:solidFill>
                        <a:ln w="9525">
                          <a:noFill/>
                          <a:miter lim="800000"/>
                          <a:headEnd/>
                          <a:tailEnd/>
                        </a:ln>
                      </wps:spPr>
                      <wps:txbx>
                        <w:txbxContent>
                          <w:p w14:paraId="47E2BD46"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6083F75A"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F5D06" id="_x0000_s1029" type="#_x0000_t202" style="position:absolute;margin-left:3.8pt;margin-top:7.3pt;width:29.2pt;height:1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" stroked="f">
                <v:textbox style="layout-flow:vertical;mso-layout-flow-alt:bottom-to-top" inset="0,0,0,0">
                  <w:txbxContent>
                    <w:p w14:paraId="47E2BD46"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6083F75A"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v:textbox>
              </v:shape>
            </w:pict>
          </mc:Fallback>
        </mc:AlternateContent>
      </w:r>
      <w:r w:rsidRPr="0023595B">
        <w:rPr>
          <w:noProof/>
          <w:szCs w:val="22"/>
        </w:rPr>
        <w:drawing>
          <wp:inline distT="0" distB="0" distL="0" distR="0" wp14:anchorId="5FC0DA39" wp14:editId="048093DA">
            <wp:extent cx="5900185" cy="2585974"/>
            <wp:effectExtent l="0" t="0" r="571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4246"/>
                    <a:stretch/>
                  </pic:blipFill>
                  <pic:spPr bwMode="auto">
                    <a:xfrm>
                      <a:off x="0" y="0"/>
                      <a:ext cx="5916760" cy="2593239"/>
                    </a:xfrm>
                    <a:prstGeom prst="rect">
                      <a:avLst/>
                    </a:prstGeom>
                    <a:noFill/>
                    <a:ln>
                      <a:noFill/>
                    </a:ln>
                    <a:extLst>
                      <a:ext uri="{53640926-AAD7-44D8-BBD7-CCE9431645EC}">
                        <a14:shadowObscured xmlns:a14="http://schemas.microsoft.com/office/drawing/2010/main"/>
                      </a:ext>
                    </a:extLst>
                  </pic:spPr>
                </pic:pic>
              </a:graphicData>
            </a:graphic>
          </wp:inline>
        </w:drawing>
      </w:r>
    </w:p>
    <w:p w14:paraId="41B51821" w14:textId="77777777" w:rsidR="0075781B" w:rsidRPr="0023595B" w:rsidRDefault="0075781B" w:rsidP="0075781B">
      <w:pPr>
        <w:tabs>
          <w:tab w:val="center" w:pos="4536"/>
          <w:tab w:val="right" w:pos="9072"/>
        </w:tabs>
        <w:jc w:val="both"/>
        <w:rPr>
          <w:sz w:val="22"/>
          <w:szCs w:val="22"/>
          <w:lang w:val="sr-Latn-ME"/>
        </w:rPr>
      </w:pPr>
    </w:p>
    <w:p w14:paraId="5B6B7B0F"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udruženoj analizi podataka VIEW1 i VIEW2 ispitivanja, terapija lijekom Eylea pokazala je klinički značajne promjene u odnosu na početne vrijednosti kao unaprijed određenom sekundarnom parametru efikasnosti, prema Upitniku o vidnoj funkciji Nacionalnog očnog instituta (</w:t>
      </w:r>
      <w:r w:rsidRPr="0023595B">
        <w:rPr>
          <w:i/>
          <w:sz w:val="22"/>
          <w:szCs w:val="22"/>
          <w:lang w:val="sr-Latn-ME"/>
        </w:rPr>
        <w:t xml:space="preserve">National Eye Institure Visual Function Questionnaire </w:t>
      </w:r>
      <w:r w:rsidRPr="0023595B">
        <w:rPr>
          <w:sz w:val="22"/>
          <w:szCs w:val="22"/>
          <w:lang w:val="sr-Latn-ME"/>
        </w:rPr>
        <w:t>- NEI VFQ-25), bez klinički značajnih razlika u odnosu na ranibizumab. Raspon ovih promjena bio je sličan onim u prethodno publikovanim ispitivanjima, što je odgovaralo postignuću od 15 slova u najboljoj korigovanoj oštrini vida (BCVA).</w:t>
      </w:r>
    </w:p>
    <w:p w14:paraId="455CDCD2" w14:textId="77777777" w:rsidR="0075781B" w:rsidRPr="0023595B" w:rsidRDefault="0075781B" w:rsidP="0075781B">
      <w:pPr>
        <w:tabs>
          <w:tab w:val="center" w:pos="4536"/>
          <w:tab w:val="right" w:pos="9072"/>
        </w:tabs>
        <w:jc w:val="both"/>
        <w:rPr>
          <w:sz w:val="22"/>
          <w:szCs w:val="22"/>
          <w:lang w:val="sr-Latn-ME"/>
        </w:rPr>
      </w:pPr>
    </w:p>
    <w:p w14:paraId="16902D1F"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drugoj godini ispitivanja, efikasnost je uglavnom održana na osnovu posljednje procjene u 96. nedjelji, 2-4% pacijenata je imalo potrebu da sve injekcije dobija na mjesečnom nivou, a trećina pacijenata je imala potrebu da prima najmanje jednu injekciju u intervalu od samo mjesec dana.</w:t>
      </w:r>
    </w:p>
    <w:p w14:paraId="341FC705" w14:textId="77777777" w:rsidR="0075781B" w:rsidRPr="0023595B" w:rsidRDefault="0075781B" w:rsidP="0075781B">
      <w:pPr>
        <w:tabs>
          <w:tab w:val="center" w:pos="4536"/>
          <w:tab w:val="right" w:pos="9072"/>
        </w:tabs>
        <w:jc w:val="both"/>
        <w:rPr>
          <w:sz w:val="22"/>
          <w:szCs w:val="22"/>
          <w:lang w:val="sr-Latn-ME"/>
        </w:rPr>
      </w:pPr>
    </w:p>
    <w:p w14:paraId="4222CC9B"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Smanjenje srednje CNV oblasti bilo je očigledno u svim doznim grupama i u oba ispitivanja.</w:t>
      </w:r>
    </w:p>
    <w:p w14:paraId="4C101C37" w14:textId="77777777" w:rsidR="0075781B" w:rsidRPr="0023595B" w:rsidRDefault="0075781B" w:rsidP="0075781B">
      <w:pPr>
        <w:tabs>
          <w:tab w:val="center" w:pos="4536"/>
          <w:tab w:val="right" w:pos="9072"/>
        </w:tabs>
        <w:jc w:val="both"/>
        <w:rPr>
          <w:sz w:val="22"/>
          <w:szCs w:val="22"/>
          <w:lang w:val="sr-Latn-ME"/>
        </w:rPr>
      </w:pPr>
    </w:p>
    <w:p w14:paraId="211755E1"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Rezultati efikasnosti u svim dostupnim podgrupama (npr. starost, pol, rasa, početna oštrina vida, tip lezije, veličina lezije) u pojedinačnim ispitivanjima i u analizi zajedničkih podataka bili su konzistentni sa rezultatima cjelokupne populacije.</w:t>
      </w:r>
    </w:p>
    <w:p w14:paraId="174661CC" w14:textId="77777777" w:rsidR="0075781B" w:rsidRPr="0023595B" w:rsidRDefault="0075781B" w:rsidP="0075781B">
      <w:pPr>
        <w:tabs>
          <w:tab w:val="center" w:pos="4536"/>
          <w:tab w:val="right" w:pos="9072"/>
        </w:tabs>
        <w:jc w:val="both"/>
        <w:rPr>
          <w:sz w:val="22"/>
          <w:szCs w:val="22"/>
          <w:lang w:val="sr-Latn-ME"/>
        </w:rPr>
      </w:pPr>
    </w:p>
    <w:p w14:paraId="02228669"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ALTAIR je bilo multicentrično, randomizovano, otvoreno ispitivanje na 247 japanskih pacijenata sa prethodno neliječenom vlažnom AMD koje je trajalo 96 nedjelja, dizajnirano tako da procijeni efikasnost i bezbjednost lijeka Eylea nakon primjene dva različita načina produžavanja terapijskog intervala (produžavanje u koracima za po 2 ili 4 nedjelje) u režimu doziranja „liječi i produži”.</w:t>
      </w:r>
    </w:p>
    <w:p w14:paraId="018B1F93" w14:textId="77777777" w:rsidR="0075781B" w:rsidRPr="0023595B" w:rsidRDefault="0075781B" w:rsidP="0075781B">
      <w:pPr>
        <w:jc w:val="both"/>
        <w:rPr>
          <w:sz w:val="22"/>
          <w:szCs w:val="22"/>
          <w:lang w:val="sr-Latn-ME"/>
        </w:rPr>
      </w:pPr>
    </w:p>
    <w:p w14:paraId="5146EB13" w14:textId="77777777" w:rsidR="0075781B" w:rsidRPr="0023595B" w:rsidRDefault="0075781B" w:rsidP="0075781B">
      <w:pPr>
        <w:jc w:val="both"/>
        <w:rPr>
          <w:sz w:val="22"/>
          <w:szCs w:val="22"/>
          <w:lang w:val="sr-Latn-ME"/>
        </w:rPr>
      </w:pPr>
      <w:r w:rsidRPr="0023595B">
        <w:rPr>
          <w:sz w:val="22"/>
          <w:szCs w:val="22"/>
          <w:lang w:val="sr-Latn-ME"/>
        </w:rPr>
        <w:t>Svi pacijenti su primali dozu lijeka Eylea od 2 mg jednom mjesečno tokom 3 mjeseca, iza čega je slijedila jedna injekcija nakon 2 mjeseca. U 16. nedjelji pacijenti su randomizovani u odnosu 1:1 u dvije terapijske grupe: 1) lijek Eylea „liječi i produži” sa koracima produženja intervala doziranja za po 2 nedjelje i 2) lijek Eylea „liječi i produži” sa koracima produženja intervala doziranja za po 4 nedjelje. Odluka o skraćenju ili produžavanju terapijskog intervala donošena je na osnovu rezultata pregleda oštrine vida i pregleda očnog dna, kako je definisano protokolom, s tim da je maksimalni interval doziranja za obje grupe bio 16 nedjelja.</w:t>
      </w:r>
    </w:p>
    <w:p w14:paraId="28B509DF" w14:textId="77777777" w:rsidR="0075781B" w:rsidRPr="0023595B" w:rsidRDefault="0075781B" w:rsidP="0075781B">
      <w:pPr>
        <w:jc w:val="both"/>
        <w:rPr>
          <w:iCs/>
          <w:sz w:val="22"/>
          <w:szCs w:val="22"/>
          <w:lang w:val="sr-Latn-ME"/>
        </w:rPr>
      </w:pPr>
    </w:p>
    <w:p w14:paraId="44486BCE" w14:textId="77777777" w:rsidR="0075781B" w:rsidRPr="0023595B" w:rsidRDefault="0075781B" w:rsidP="0075781B">
      <w:pPr>
        <w:jc w:val="both"/>
        <w:rPr>
          <w:iCs/>
          <w:sz w:val="22"/>
          <w:szCs w:val="22"/>
          <w:lang w:val="sr-Latn-ME"/>
        </w:rPr>
      </w:pPr>
      <w:r w:rsidRPr="0023595B">
        <w:rPr>
          <w:iCs/>
          <w:sz w:val="22"/>
          <w:szCs w:val="22"/>
          <w:lang w:val="sr-Latn-ME"/>
        </w:rPr>
        <w:lastRenderedPageBreak/>
        <w:t>Ključni parametar primarne efikasnosti bila je srednja vrijednost promjene u BCVA od početne vrijednosti u 52. nedjelji. Sekundarni parametri efikasnosti bili su udio pacijenata koji nijesu izgubili ≥15 slova i udio pacijenata koji su dobili ≥15 slova na BCVA od početne vrijednosti u 52. nedjelji.</w:t>
      </w:r>
    </w:p>
    <w:p w14:paraId="295C95BB" w14:textId="77777777" w:rsidR="0075781B" w:rsidRPr="0023595B" w:rsidRDefault="0075781B" w:rsidP="0075781B">
      <w:pPr>
        <w:jc w:val="both"/>
        <w:rPr>
          <w:iCs/>
          <w:sz w:val="22"/>
          <w:szCs w:val="22"/>
          <w:lang w:val="sr-Latn-ME"/>
        </w:rPr>
      </w:pPr>
    </w:p>
    <w:p w14:paraId="5FE8DCE1" w14:textId="545D4ADA" w:rsidR="0075781B" w:rsidRPr="0023595B" w:rsidRDefault="0075781B" w:rsidP="0075781B">
      <w:pPr>
        <w:jc w:val="both"/>
        <w:rPr>
          <w:sz w:val="22"/>
          <w:szCs w:val="22"/>
          <w:lang w:val="sr-Latn-ME"/>
        </w:rPr>
      </w:pPr>
      <w:r w:rsidRPr="0023595B">
        <w:rPr>
          <w:iCs/>
          <w:sz w:val="22"/>
          <w:szCs w:val="22"/>
          <w:lang w:val="sr-Latn-ME"/>
        </w:rPr>
        <w:t xml:space="preserve">U 52. nedjelji pacijenti u grupi „liječi i produži” sa koracima produženja intervala doziranja za po 2 nedjelje imali su srednju vrijednost povećanja od 9,0 slova u odnosu na početnu vrijednost, dok su pacijenti u grupi „liječi i produži” sa koracima produženja intervala doziranja za po 4 nedjelje imali srednju vrijednost povećanja od 8,4 slova [LS srednja razlika u slovima (95% CI): -0,4 (-3,8, 3,0), ANCOVA]. Udio pacijenata koji nijesu izgubili ≥15 slova u dvije ispitivane grupe bio je sličan (96,7% u grupi sa koracima promjene intervala za po 2 nedjelje i 95,9% u grupi sa koracima promjene intervala doziranja za po 4 nedjelje). Udio pacijenata koji su dobili ≥15 slova u 52. nedjelji bio je 32,5% u grupi sa koracima promjene intervala za po 2 nedjelje i 30,9% u grupi sa koracima promjene intervala doziranja za po 4 nedjelje. Udio pacijenata kod kojih je interval doziranja produžen na 12 ili više nedjelja bio je 42,3% u grupi sa koracima promjene intervala za po 2 nedjelje i 49,6 % u grupi sa koracima promjene intervala doziranja za po 4 nedjelje. </w:t>
      </w:r>
      <w:r w:rsidRPr="0023595B">
        <w:rPr>
          <w:sz w:val="22"/>
          <w:szCs w:val="22"/>
          <w:lang w:val="sr-Latn-ME"/>
        </w:rPr>
        <w:t>Dalje, u grupi kod koje je interval doziranja mijenjan u koracima po 4 nedjelje</w:t>
      </w:r>
      <w:r w:rsidR="00A86301" w:rsidRPr="0023595B">
        <w:rPr>
          <w:sz w:val="22"/>
          <w:szCs w:val="22"/>
          <w:lang w:val="sr-Latn-ME"/>
        </w:rPr>
        <w:t>,</w:t>
      </w:r>
      <w:r w:rsidRPr="0023595B">
        <w:rPr>
          <w:sz w:val="22"/>
          <w:szCs w:val="22"/>
          <w:lang w:val="sr-Latn-ME"/>
        </w:rPr>
        <w:t xml:space="preserve"> kod 40,7% pacijenata interval doziranja je produžen do 16 nedjelja. U posljednjoj posjeti do 52. nedjelje, 56,8% pacijenata kod kojih je interval doziranja mijenjan za po 2 nedjelje i 57,8% pacijenata kod kojih je interval doziranja mijenjan za po 4 nedjelje imali su sljedeći zakazani termin za injekciju u intervalu od 12 ili više nedjelja. </w:t>
      </w:r>
    </w:p>
    <w:p w14:paraId="036E9B8D" w14:textId="77777777" w:rsidR="0075781B" w:rsidRPr="0023595B" w:rsidRDefault="0075781B" w:rsidP="0075781B">
      <w:pPr>
        <w:jc w:val="both"/>
        <w:rPr>
          <w:sz w:val="22"/>
          <w:szCs w:val="22"/>
          <w:lang w:val="sr-Latn-ME"/>
        </w:rPr>
      </w:pPr>
    </w:p>
    <w:p w14:paraId="455234B5" w14:textId="77777777" w:rsidR="0075781B" w:rsidRPr="0023595B" w:rsidRDefault="0075781B" w:rsidP="0075781B">
      <w:pPr>
        <w:jc w:val="both"/>
        <w:rPr>
          <w:sz w:val="22"/>
          <w:szCs w:val="22"/>
          <w:lang w:val="sr-Latn-ME"/>
        </w:rPr>
      </w:pPr>
      <w:r w:rsidRPr="0023595B">
        <w:rPr>
          <w:sz w:val="22"/>
          <w:szCs w:val="22"/>
          <w:lang w:val="sr-Latn-ME"/>
        </w:rPr>
        <w:t>U drugoj godini ispitivanja, efikasnost je generalno održana do 96. nedjelje, uključujući posljednju procjenu u toj nedjelji, sa srednjim poboljšanjem od 7,6 slova u odnosu na početnu vrijednost u grupi sa koracima promjene intervala za po 2 nedjelje i 6,1 slovo u grupi sa koracima promjene intervala doziranja za po 4 nedjelje. Udio pacijenata kod kojih je interval doziranja produžen na 12 nedjelja ili više bio je 56,9% u grupi sa koracima promjene intervala doziranja za po 2 nedjelje i 60,2% u grupi sa koracima promjene intervala doziranja za po 4 nedjelje. U posljednjoj posjeti prije 96. nedjelje 64,9% pacijenata kod kojih je interval doziranja mijenjan za po 2 nedjelje i 61,2% pacijenata kod kojih je interval doziranja mijenjan za po 4 nedjelje imali su sljedeći zakazani termin za injekciju u intervalu od 12 ili više nedjelja. Tokom druge godine liječenja pacijenti kod kojih je interval doziranja mijenjan za po 2 nedjelje primili su u prosjeku 3,6 injekcija, a pacijenti kod kojih je interval doziranja mijenjan za po 4 nedjelje primili su u prosjeku 3,7 injekcija. Tokom 2 godine liječenja pacijenti su u prosjeku primili 10,4 injekcije.</w:t>
      </w:r>
    </w:p>
    <w:p w14:paraId="7DBCDE57" w14:textId="77777777" w:rsidR="0075781B" w:rsidRPr="0023595B" w:rsidRDefault="0075781B" w:rsidP="0075781B">
      <w:pPr>
        <w:jc w:val="both"/>
        <w:rPr>
          <w:sz w:val="22"/>
          <w:szCs w:val="22"/>
          <w:lang w:val="sr-Latn-ME"/>
        </w:rPr>
      </w:pPr>
    </w:p>
    <w:p w14:paraId="51AAA099" w14:textId="6EEC53DC" w:rsidR="0075781B" w:rsidRPr="0023595B" w:rsidRDefault="0075781B" w:rsidP="0075781B">
      <w:pPr>
        <w:jc w:val="both"/>
        <w:rPr>
          <w:sz w:val="22"/>
          <w:szCs w:val="22"/>
          <w:lang w:val="sr-Latn-ME"/>
        </w:rPr>
      </w:pPr>
      <w:r w:rsidRPr="0023595B">
        <w:rPr>
          <w:sz w:val="22"/>
          <w:szCs w:val="22"/>
          <w:lang w:val="sr-Latn-ME"/>
        </w:rPr>
        <w:t>Sistemski i bezbjednosni profil na oku bili su slični onima zab</w:t>
      </w:r>
      <w:r w:rsidR="00A86301" w:rsidRPr="0023595B">
        <w:rPr>
          <w:sz w:val="22"/>
          <w:szCs w:val="22"/>
          <w:lang w:val="sr-Latn-ME"/>
        </w:rPr>
        <w:t>i</w:t>
      </w:r>
      <w:r w:rsidRPr="0023595B">
        <w:rPr>
          <w:sz w:val="22"/>
          <w:szCs w:val="22"/>
          <w:lang w:val="sr-Latn-ME"/>
        </w:rPr>
        <w:t>l</w:t>
      </w:r>
      <w:r w:rsidR="00A86301" w:rsidRPr="0023595B">
        <w:rPr>
          <w:sz w:val="22"/>
          <w:szCs w:val="22"/>
          <w:lang w:val="sr-Latn-ME"/>
        </w:rPr>
        <w:t>j</w:t>
      </w:r>
      <w:r w:rsidRPr="0023595B">
        <w:rPr>
          <w:sz w:val="22"/>
          <w:szCs w:val="22"/>
          <w:lang w:val="sr-Latn-ME"/>
        </w:rPr>
        <w:t>e</w:t>
      </w:r>
      <w:r w:rsidR="00A86301" w:rsidRPr="0023595B">
        <w:rPr>
          <w:sz w:val="22"/>
          <w:szCs w:val="22"/>
          <w:lang w:val="sr-Latn-ME"/>
        </w:rPr>
        <w:t>ž</w:t>
      </w:r>
      <w:r w:rsidRPr="0023595B">
        <w:rPr>
          <w:sz w:val="22"/>
          <w:szCs w:val="22"/>
          <w:lang w:val="sr-Latn-ME"/>
        </w:rPr>
        <w:t>eni</w:t>
      </w:r>
      <w:r w:rsidR="00A86301" w:rsidRPr="0023595B">
        <w:rPr>
          <w:sz w:val="22"/>
          <w:szCs w:val="22"/>
          <w:lang w:val="sr-Latn-ME"/>
        </w:rPr>
        <w:t>m</w:t>
      </w:r>
      <w:r w:rsidRPr="0023595B">
        <w:rPr>
          <w:sz w:val="22"/>
          <w:szCs w:val="22"/>
          <w:lang w:val="sr-Latn-ME"/>
        </w:rPr>
        <w:t xml:space="preserve"> u pivot ispitivanjima</w:t>
      </w:r>
      <w:r w:rsidRPr="0023595B">
        <w:rPr>
          <w:iCs/>
          <w:sz w:val="22"/>
          <w:szCs w:val="22"/>
          <w:lang w:val="sr-Latn-ME"/>
        </w:rPr>
        <w:t xml:space="preserve"> VIEW1 i VIEW2.</w:t>
      </w:r>
    </w:p>
    <w:p w14:paraId="19DFE420" w14:textId="6F33EE16" w:rsidR="0075781B" w:rsidRPr="0023595B" w:rsidRDefault="0075781B" w:rsidP="0075781B">
      <w:pPr>
        <w:jc w:val="both"/>
        <w:rPr>
          <w:sz w:val="22"/>
          <w:szCs w:val="22"/>
          <w:lang w:val="sr-Latn-ME"/>
        </w:rPr>
      </w:pPr>
    </w:p>
    <w:p w14:paraId="644045C9" w14:textId="72DF0484" w:rsidR="00906D28" w:rsidRPr="0023595B" w:rsidRDefault="00906D28" w:rsidP="00906D28">
      <w:pPr>
        <w:jc w:val="both"/>
        <w:rPr>
          <w:sz w:val="22"/>
          <w:szCs w:val="22"/>
          <w:lang w:val="sr-Latn-ME"/>
        </w:rPr>
      </w:pPr>
      <w:r w:rsidRPr="0023595B">
        <w:rPr>
          <w:sz w:val="22"/>
          <w:szCs w:val="22"/>
          <w:lang w:val="sr-Latn-ME"/>
        </w:rPr>
        <w:t>ARIES je bilo multicentrično, randomizovano, otvoreno, aktivno kontrolisano ispitivanje kod 269 prethodno neliječenih pacijenata sa vlažnom AMD, koje je trajalo 104 nedjelje, dizajnirano da procijeni neinferiornost u smislu efikasnosti, kao i bezbjednost primjene režima doziranja „liječi i produži” započetog nakon 3 uzastopne mjesečne doze</w:t>
      </w:r>
      <w:r w:rsidR="00777A7E" w:rsidRPr="0023595B">
        <w:rPr>
          <w:sz w:val="22"/>
          <w:szCs w:val="22"/>
          <w:lang w:val="sr-Latn-ME"/>
        </w:rPr>
        <w:t>,</w:t>
      </w:r>
      <w:r w:rsidRPr="0023595B">
        <w:rPr>
          <w:sz w:val="22"/>
          <w:szCs w:val="22"/>
          <w:lang w:val="sr-Latn-ME"/>
        </w:rPr>
        <w:t xml:space="preserve"> nakon čega slijedi produženje na dvomjesečni interval primjene, u odnosu na režim doziranja „liječi i produži“ koji se započinje nakon prve godine liječenja.</w:t>
      </w:r>
    </w:p>
    <w:p w14:paraId="3641A353" w14:textId="48428ED2" w:rsidR="00906D28" w:rsidRPr="0023595B" w:rsidRDefault="00906D28" w:rsidP="00906D28">
      <w:pPr>
        <w:jc w:val="both"/>
        <w:rPr>
          <w:sz w:val="22"/>
          <w:szCs w:val="22"/>
          <w:lang w:val="sr-Latn-ME"/>
        </w:rPr>
      </w:pPr>
      <w:r w:rsidRPr="0023595B">
        <w:rPr>
          <w:sz w:val="22"/>
          <w:szCs w:val="22"/>
          <w:lang w:val="sr-Latn-ME"/>
        </w:rPr>
        <w:t>ARIES ispitivanje takođe je istraživalo procenat pacijenata kojima je bilo potrebno češće doziranje od svakih 8 nedjelja, na osnovu procjene istraživača. Od 269 pacijenata, 62 pacijenta su primila češće doziranje bar jednom tokom trajanja ispitivanja. Ti pacijenti su ostali u ispitivanju i primali su terapiju prema najboljoj kliničkoj procjeni istraživača, ali ne češće od svake 4 nedjelje, a njihovi intervali doziranja mogli su biti nakon toga ponovo produženi. Prosječni interval doziranja nakon odluke o češćoj primjeni bio je 6,1 nedjelja. Vrijednost BCVA u 104. nedjelji bila je niža kod pacijenata kod kojih je bilo potrebno češće doziranje bar jednom tokom ispitivanja u poređenju sa pacijentima kod kojih to nije bio slučaj, a srednja vrijednost promjene BCVA od početne vrijednosti do kraja ispitivanja bila je +2,3 ± 15,6 slova. Među pacijentima kod kojih je primijenjeno češće doziranje 85,5% je zadržalo vid, odnosno izgubilo je manje od 15 slova, a 19,4% je dobilo 15 ili više slova. Bezbjednosni profil kod pacijenata koji su primali doziranje češće od svakih 8 nedjelja bio je uporediv sa podacima o bezbjednosti iz ispitivanja VIEW1 i VIEW2.</w:t>
      </w:r>
    </w:p>
    <w:p w14:paraId="5FD3650C" w14:textId="77777777" w:rsidR="00906D28" w:rsidRPr="0023595B" w:rsidRDefault="00906D28" w:rsidP="0075781B">
      <w:pPr>
        <w:jc w:val="both"/>
        <w:rPr>
          <w:sz w:val="22"/>
          <w:szCs w:val="22"/>
          <w:lang w:val="sr-Latn-ME"/>
        </w:rPr>
      </w:pPr>
    </w:p>
    <w:p w14:paraId="3D3F7199" w14:textId="23E04DE3" w:rsidR="0075781B" w:rsidRPr="0023595B" w:rsidRDefault="0075781B" w:rsidP="0075781B">
      <w:pPr>
        <w:tabs>
          <w:tab w:val="center" w:pos="4536"/>
          <w:tab w:val="right" w:pos="9072"/>
        </w:tabs>
        <w:jc w:val="both"/>
        <w:rPr>
          <w:bCs/>
          <w:i/>
          <w:sz w:val="22"/>
          <w:szCs w:val="22"/>
          <w:lang w:val="sr-Latn-ME" w:eastAsia="sr-Latn-RS"/>
        </w:rPr>
      </w:pPr>
      <w:r w:rsidRPr="0023595B">
        <w:rPr>
          <w:bCs/>
          <w:i/>
          <w:sz w:val="22"/>
          <w:szCs w:val="22"/>
          <w:lang w:val="sr-Latn-ME" w:eastAsia="sr-Latn-RS"/>
        </w:rPr>
        <w:t>Makularni edem kao posljedica CRVO</w:t>
      </w:r>
    </w:p>
    <w:p w14:paraId="45F5C97B" w14:textId="77777777" w:rsidR="0075781B" w:rsidRPr="0023595B" w:rsidRDefault="0075781B" w:rsidP="0075781B">
      <w:pPr>
        <w:tabs>
          <w:tab w:val="center" w:pos="4536"/>
          <w:tab w:val="right" w:pos="9072"/>
        </w:tabs>
        <w:jc w:val="both"/>
        <w:rPr>
          <w:bCs/>
          <w:sz w:val="22"/>
          <w:szCs w:val="22"/>
          <w:lang w:val="sr-Latn-ME" w:eastAsia="sr-Latn-RS"/>
        </w:rPr>
      </w:pPr>
    </w:p>
    <w:p w14:paraId="013F57CB" w14:textId="77777777" w:rsidR="0075781B" w:rsidRPr="0023595B" w:rsidRDefault="0075781B" w:rsidP="0075781B">
      <w:pPr>
        <w:tabs>
          <w:tab w:val="center" w:pos="4536"/>
          <w:tab w:val="right" w:pos="9072"/>
        </w:tabs>
        <w:jc w:val="both"/>
        <w:rPr>
          <w:bCs/>
          <w:sz w:val="22"/>
          <w:szCs w:val="22"/>
          <w:lang w:val="sr-Latn-ME" w:eastAsia="sr-Latn-RS"/>
        </w:rPr>
      </w:pPr>
      <w:r w:rsidRPr="0023595B">
        <w:rPr>
          <w:bCs/>
          <w:sz w:val="22"/>
          <w:szCs w:val="22"/>
          <w:lang w:val="sr-Latn-ME" w:eastAsia="sr-Latn-RS"/>
        </w:rPr>
        <w:t xml:space="preserve">Bezbjednost i efikasnost lijeka Eylea procijenjivani su u dva randomizovana, multicentrična, dvostruko maskirana, lažnom primjenom injekcije kontrolisana ispitivanja kod pacijenata sa makularnim edemom kao posljedicom CRVO (COPERNICUS i GALILEO) u kojima je ukupno bilo liječeno 358 pacijenata kod kojih se mogla procijeniti efikasnost (217 liječeno lijekom Eylea). Starost pacijenata kretala se u rasponu od 22 do </w:t>
      </w:r>
      <w:r w:rsidRPr="0023595B">
        <w:rPr>
          <w:bCs/>
          <w:sz w:val="22"/>
          <w:szCs w:val="22"/>
          <w:lang w:val="sr-Latn-ME" w:eastAsia="sr-Latn-RS"/>
        </w:rPr>
        <w:lastRenderedPageBreak/>
        <w:t>89 godina, a srednja vrijednost je iznosila 64 godine. U ispitivanjima za CRVO, približno je 52% (112/217) pacijenata randomizovanih u grupe liječene lijekom Eylea bilo starosti od 65 ili više godina, a približno ih je 18% (38/217) bilo starosti od 75 ili više godina. U oba ispitivanja pacijenti su bili randomizacijom podijeljeni u dvije grupe u odnosu 3:2 u grupu koja je primala 2 mg lijeka Eylea svake 4 nedjelje (2Q4) ili kontrolnu grupu koja je prividno primala injekcije svake 4 nedjelje do ukupno 6 injekcija.</w:t>
      </w:r>
    </w:p>
    <w:p w14:paraId="7617ADA2" w14:textId="77777777" w:rsidR="0075781B" w:rsidRPr="0023595B" w:rsidRDefault="0075781B" w:rsidP="0075781B">
      <w:pPr>
        <w:tabs>
          <w:tab w:val="center" w:pos="4536"/>
          <w:tab w:val="right" w:pos="9072"/>
        </w:tabs>
        <w:jc w:val="both"/>
        <w:rPr>
          <w:bCs/>
          <w:sz w:val="22"/>
          <w:szCs w:val="22"/>
          <w:lang w:val="sr-Latn-ME" w:eastAsia="sr-Latn-RS"/>
        </w:rPr>
      </w:pPr>
    </w:p>
    <w:p w14:paraId="056D041C" w14:textId="77777777" w:rsidR="0075781B" w:rsidRPr="0023595B" w:rsidRDefault="0075781B" w:rsidP="0075781B">
      <w:pPr>
        <w:tabs>
          <w:tab w:val="center" w:pos="4536"/>
          <w:tab w:val="right" w:pos="9072"/>
        </w:tabs>
        <w:jc w:val="both"/>
        <w:rPr>
          <w:bCs/>
          <w:sz w:val="22"/>
          <w:szCs w:val="22"/>
          <w:lang w:val="sr-Latn-ME" w:eastAsia="sr-Latn-RS"/>
        </w:rPr>
      </w:pPr>
      <w:r w:rsidRPr="0023595B">
        <w:rPr>
          <w:bCs/>
          <w:sz w:val="22"/>
          <w:szCs w:val="22"/>
          <w:lang w:val="sr-Latn-ME" w:eastAsia="sr-Latn-RS"/>
        </w:rPr>
        <w:t>Nakon 6 uzastopnih mjesečnih injekcija pacijenti su primali terapiju samo ukoliko su zadovoljili unaprijed definisane kriterijume za ponavljanje liječenja, osim pacijenata u kontrolnoj grupi u ispitivanju GALILEO koji su nastavili prividno primati lijek (kontrola kontrole) do 52. nedjelje. Nakon te vremenske tačke pacijentima je bilo ponuđeno liječenje ako su zadovoljavali unaprijed definisane kriterijume.</w:t>
      </w:r>
    </w:p>
    <w:p w14:paraId="42436689" w14:textId="25421CC5" w:rsidR="0075781B" w:rsidRPr="0023595B" w:rsidRDefault="0075781B" w:rsidP="0075781B">
      <w:pPr>
        <w:tabs>
          <w:tab w:val="center" w:pos="4536"/>
          <w:tab w:val="right" w:pos="9072"/>
        </w:tabs>
        <w:jc w:val="both"/>
        <w:rPr>
          <w:bCs/>
          <w:sz w:val="22"/>
          <w:szCs w:val="22"/>
          <w:lang w:val="sr-Latn-ME" w:eastAsia="sr-Latn-RS"/>
        </w:rPr>
      </w:pPr>
    </w:p>
    <w:p w14:paraId="2EC170BC" w14:textId="7E5C3C65" w:rsidR="0075781B" w:rsidRPr="0023595B" w:rsidRDefault="0075781B" w:rsidP="0075781B">
      <w:pPr>
        <w:tabs>
          <w:tab w:val="center" w:pos="4536"/>
          <w:tab w:val="right" w:pos="9072"/>
        </w:tabs>
        <w:jc w:val="both"/>
        <w:rPr>
          <w:bCs/>
          <w:sz w:val="22"/>
          <w:szCs w:val="22"/>
          <w:lang w:val="sr-Latn-ME" w:eastAsia="sr-Latn-RS"/>
        </w:rPr>
      </w:pPr>
      <w:r w:rsidRPr="0023595B">
        <w:rPr>
          <w:bCs/>
          <w:sz w:val="22"/>
          <w:szCs w:val="22"/>
          <w:lang w:val="sr-Latn-ME" w:eastAsia="sr-Latn-RS"/>
        </w:rPr>
        <w:t>U oba ispitivanja primarni ishod efikasnosti bio je udio pacijenata sa povećanjem od najmanje 15 slova kod najbolje korigovane oštrine vida (BCVA) u 24. nedjelji u poređenju sa početnom vrijednošću. Sekundarna varijabla efikasnosti bila je promjena u oštrini vida u 24. nedjelji u poređenju sa početnom vrijednošću.</w:t>
      </w:r>
    </w:p>
    <w:p w14:paraId="4E0EA367" w14:textId="0AD63CA1" w:rsidR="0075781B" w:rsidRPr="0023595B" w:rsidRDefault="0075781B" w:rsidP="0075781B">
      <w:pPr>
        <w:tabs>
          <w:tab w:val="center" w:pos="4536"/>
          <w:tab w:val="right" w:pos="9072"/>
        </w:tabs>
        <w:jc w:val="both"/>
        <w:rPr>
          <w:bCs/>
          <w:sz w:val="22"/>
          <w:szCs w:val="22"/>
          <w:lang w:val="sr-Latn-ME" w:eastAsia="sr-Latn-RS"/>
        </w:rPr>
      </w:pPr>
    </w:p>
    <w:p w14:paraId="229F8EB8" w14:textId="51781E77" w:rsidR="0075781B" w:rsidRPr="0023595B" w:rsidRDefault="0075781B" w:rsidP="0075781B">
      <w:pPr>
        <w:tabs>
          <w:tab w:val="center" w:pos="4536"/>
          <w:tab w:val="right" w:pos="9072"/>
        </w:tabs>
        <w:jc w:val="both"/>
        <w:rPr>
          <w:bCs/>
          <w:sz w:val="22"/>
          <w:szCs w:val="22"/>
          <w:lang w:val="sr-Latn-ME" w:eastAsia="sr-Latn-RS"/>
        </w:rPr>
      </w:pPr>
      <w:r w:rsidRPr="0023595B">
        <w:rPr>
          <w:bCs/>
          <w:sz w:val="22"/>
          <w:szCs w:val="22"/>
          <w:lang w:val="sr-Latn-ME" w:eastAsia="sr-Latn-RS"/>
        </w:rPr>
        <w:t>Razlika između terapijskih grupa bila je statistički značajna u korist lijeka Eylea u oba ispitivanja. U oba ispitivanja maksimalno poboljšanje oštrine vida postignuto je nakon 3 mjeseca sa kasnijom stabilizacijom oštrine vida i CRT do 6. mjeseca. Statistički značajna razlika održala se do 52. nedjelje.</w:t>
      </w:r>
    </w:p>
    <w:p w14:paraId="5E32FCB0" w14:textId="77777777" w:rsidR="0075781B" w:rsidRPr="0023595B" w:rsidRDefault="0075781B" w:rsidP="0075781B">
      <w:pPr>
        <w:tabs>
          <w:tab w:val="center" w:pos="4536"/>
          <w:tab w:val="right" w:pos="9072"/>
        </w:tabs>
        <w:jc w:val="both"/>
        <w:rPr>
          <w:bCs/>
          <w:sz w:val="22"/>
          <w:szCs w:val="22"/>
          <w:lang w:val="sr-Latn-ME" w:eastAsia="sr-Latn-RS"/>
        </w:rPr>
      </w:pPr>
    </w:p>
    <w:p w14:paraId="6514CF97" w14:textId="49F0F106" w:rsidR="0075781B" w:rsidRPr="0023595B" w:rsidRDefault="0075781B" w:rsidP="0075781B">
      <w:pPr>
        <w:tabs>
          <w:tab w:val="center" w:pos="4536"/>
          <w:tab w:val="right" w:pos="9072"/>
        </w:tabs>
        <w:jc w:val="both"/>
        <w:rPr>
          <w:bCs/>
          <w:sz w:val="22"/>
          <w:szCs w:val="22"/>
          <w:lang w:val="sr-Latn-ME" w:eastAsia="sr-Latn-RS"/>
        </w:rPr>
      </w:pPr>
      <w:r w:rsidRPr="0023595B">
        <w:rPr>
          <w:bCs/>
          <w:sz w:val="22"/>
          <w:szCs w:val="22"/>
          <w:lang w:val="sr-Latn-ME" w:eastAsia="sr-Latn-RS"/>
        </w:rPr>
        <w:t>Detaljni rezultati analize u oba ispitivanja prikazani su u nastavku u tabeli 3 i na slici 2 .</w:t>
      </w:r>
    </w:p>
    <w:p w14:paraId="6A6CC405" w14:textId="6BED6A36" w:rsidR="0075781B" w:rsidRPr="0023595B" w:rsidRDefault="0075781B" w:rsidP="0075781B">
      <w:pPr>
        <w:tabs>
          <w:tab w:val="center" w:pos="4536"/>
          <w:tab w:val="right" w:pos="9072"/>
        </w:tabs>
        <w:jc w:val="both"/>
        <w:rPr>
          <w:sz w:val="22"/>
          <w:szCs w:val="22"/>
          <w:lang w:val="sr-Latn-ME" w:eastAsia="sr-Latn-RS"/>
        </w:rPr>
      </w:pPr>
    </w:p>
    <w:p w14:paraId="408F80DD" w14:textId="77777777" w:rsidR="0075781B" w:rsidRPr="0023595B" w:rsidRDefault="0075781B" w:rsidP="0075781B">
      <w:pPr>
        <w:tabs>
          <w:tab w:val="center" w:pos="4536"/>
          <w:tab w:val="right" w:pos="9072"/>
        </w:tabs>
        <w:rPr>
          <w:b/>
          <w:lang w:val="sr-Latn-ME" w:eastAsia="sr-Latn-RS"/>
        </w:rPr>
        <w:sectPr w:rsidR="0075781B" w:rsidRPr="0023595B" w:rsidSect="00B26160">
          <w:footerReference w:type="even" r:id="rId17"/>
          <w:footerReference w:type="default" r:id="rId18"/>
          <w:pgSz w:w="11907" w:h="16840" w:code="9"/>
          <w:pgMar w:top="905" w:right="1134" w:bottom="1701" w:left="1134" w:header="734" w:footer="734" w:gutter="0"/>
          <w:pgNumType w:start="1"/>
          <w:cols w:space="720"/>
          <w:docGrid w:linePitch="360"/>
        </w:sectPr>
      </w:pPr>
    </w:p>
    <w:p w14:paraId="5C4F6564" w14:textId="74CA8402" w:rsidR="0075781B" w:rsidRPr="0023595B" w:rsidRDefault="0075781B" w:rsidP="0075781B">
      <w:pPr>
        <w:tabs>
          <w:tab w:val="center" w:pos="4536"/>
          <w:tab w:val="right" w:pos="9072"/>
        </w:tabs>
        <w:ind w:left="993" w:hanging="993"/>
        <w:rPr>
          <w:sz w:val="22"/>
          <w:szCs w:val="22"/>
          <w:lang w:val="sr-Latn-ME" w:eastAsia="sr-Latn-RS"/>
        </w:rPr>
      </w:pPr>
      <w:r w:rsidRPr="0023595B">
        <w:rPr>
          <w:b/>
          <w:sz w:val="22"/>
          <w:szCs w:val="22"/>
          <w:lang w:val="sr-Latn-ME" w:eastAsia="sr-Latn-RS"/>
        </w:rPr>
        <w:lastRenderedPageBreak/>
        <w:t>Tabela 3:</w:t>
      </w:r>
      <w:r w:rsidRPr="0023595B">
        <w:rPr>
          <w:sz w:val="22"/>
          <w:szCs w:val="22"/>
          <w:lang w:val="sr-Latn-ME" w:eastAsia="sr-Latn-RS"/>
        </w:rPr>
        <w:t xml:space="preserve"> </w:t>
      </w:r>
      <w:r w:rsidRPr="0023595B">
        <w:rPr>
          <w:sz w:val="22"/>
          <w:szCs w:val="22"/>
          <w:lang w:val="sr-Latn-ME"/>
        </w:rPr>
        <w:t>Ishodi efikasnosti u 24. nedjelji, 52. nedjelji i 76/100. nedjelji (analiza svih podataka uz prenošenje posljednje zabilježene vrijednosti [LOCF]</w:t>
      </w:r>
      <w:r w:rsidRPr="0023595B">
        <w:rPr>
          <w:sz w:val="22"/>
          <w:szCs w:val="22"/>
          <w:vertAlign w:val="superscript"/>
          <w:lang w:val="sr-Latn-ME"/>
        </w:rPr>
        <w:t>c</w:t>
      </w:r>
      <w:r w:rsidRPr="0023595B">
        <w:rPr>
          <w:sz w:val="22"/>
          <w:szCs w:val="22"/>
          <w:lang w:val="sr-Latn-ME"/>
        </w:rPr>
        <w:t>) u ispitivanjima COPERNICUS i GALILEO</w:t>
      </w:r>
    </w:p>
    <w:tbl>
      <w:tblPr>
        <w:tblStyle w:val="TableGrid"/>
        <w:tblW w:w="14598" w:type="dxa"/>
        <w:tblLayout w:type="fixed"/>
        <w:tblLook w:val="04A0" w:firstRow="1" w:lastRow="0" w:firstColumn="1" w:lastColumn="0" w:noHBand="0" w:noVBand="1"/>
      </w:tblPr>
      <w:tblGrid>
        <w:gridCol w:w="1728"/>
        <w:gridCol w:w="1080"/>
        <w:gridCol w:w="990"/>
        <w:gridCol w:w="1080"/>
        <w:gridCol w:w="1080"/>
        <w:gridCol w:w="1057"/>
        <w:gridCol w:w="1170"/>
        <w:gridCol w:w="1013"/>
        <w:gridCol w:w="990"/>
        <w:gridCol w:w="1080"/>
        <w:gridCol w:w="1080"/>
        <w:gridCol w:w="1170"/>
        <w:gridCol w:w="1080"/>
      </w:tblGrid>
      <w:tr w:rsidR="0075781B" w:rsidRPr="0023595B" w14:paraId="117ACE73" w14:textId="77777777" w:rsidTr="00D55718">
        <w:tc>
          <w:tcPr>
            <w:tcW w:w="1728" w:type="dxa"/>
            <w:vMerge w:val="restart"/>
          </w:tcPr>
          <w:p w14:paraId="6CF195A0" w14:textId="77777777" w:rsidR="0075781B" w:rsidRPr="0023595B" w:rsidRDefault="0075781B" w:rsidP="00D55718">
            <w:pPr>
              <w:rPr>
                <w:b/>
                <w:sz w:val="16"/>
                <w:szCs w:val="16"/>
                <w:lang w:val="sr-Latn-ME"/>
              </w:rPr>
            </w:pPr>
            <w:r w:rsidRPr="0023595B">
              <w:rPr>
                <w:b/>
                <w:sz w:val="16"/>
                <w:szCs w:val="16"/>
                <w:lang w:val="sr-Latn-ME"/>
              </w:rPr>
              <w:t>Ishod efikasnosti</w:t>
            </w:r>
          </w:p>
        </w:tc>
        <w:tc>
          <w:tcPr>
            <w:tcW w:w="6457" w:type="dxa"/>
            <w:gridSpan w:val="6"/>
          </w:tcPr>
          <w:p w14:paraId="0B061556" w14:textId="6E17F1C2" w:rsidR="0075781B" w:rsidRPr="0023595B" w:rsidRDefault="0075781B" w:rsidP="00D55718">
            <w:pPr>
              <w:jc w:val="center"/>
              <w:rPr>
                <w:b/>
                <w:sz w:val="16"/>
                <w:szCs w:val="16"/>
                <w:lang w:val="sr-Latn-ME"/>
              </w:rPr>
            </w:pPr>
            <w:r w:rsidRPr="0023595B">
              <w:rPr>
                <w:b/>
                <w:sz w:val="16"/>
                <w:szCs w:val="16"/>
                <w:lang w:val="sr-Latn-ME"/>
              </w:rPr>
              <w:t>COPERNICUS</w:t>
            </w:r>
          </w:p>
        </w:tc>
        <w:tc>
          <w:tcPr>
            <w:tcW w:w="6413" w:type="dxa"/>
            <w:gridSpan w:val="6"/>
          </w:tcPr>
          <w:p w14:paraId="036D419D" w14:textId="77777777" w:rsidR="0075781B" w:rsidRPr="0023595B" w:rsidRDefault="0075781B" w:rsidP="00D55718">
            <w:pPr>
              <w:jc w:val="center"/>
              <w:rPr>
                <w:b/>
                <w:sz w:val="16"/>
                <w:szCs w:val="16"/>
                <w:lang w:val="sr-Latn-ME"/>
              </w:rPr>
            </w:pPr>
            <w:r w:rsidRPr="0023595B">
              <w:rPr>
                <w:b/>
                <w:sz w:val="16"/>
                <w:szCs w:val="16"/>
                <w:lang w:val="sr-Latn-ME"/>
              </w:rPr>
              <w:t>GALILEO</w:t>
            </w:r>
          </w:p>
        </w:tc>
      </w:tr>
      <w:tr w:rsidR="0075781B" w:rsidRPr="0023595B" w14:paraId="5E660FA4" w14:textId="77777777" w:rsidTr="00D55718">
        <w:tc>
          <w:tcPr>
            <w:tcW w:w="1728" w:type="dxa"/>
            <w:vMerge/>
          </w:tcPr>
          <w:p w14:paraId="2F4EBDE9" w14:textId="77777777" w:rsidR="0075781B" w:rsidRPr="0023595B" w:rsidRDefault="0075781B" w:rsidP="00D55718">
            <w:pPr>
              <w:rPr>
                <w:b/>
                <w:sz w:val="16"/>
                <w:szCs w:val="16"/>
                <w:lang w:val="sr-Latn-ME"/>
              </w:rPr>
            </w:pPr>
          </w:p>
        </w:tc>
        <w:tc>
          <w:tcPr>
            <w:tcW w:w="2070" w:type="dxa"/>
            <w:gridSpan w:val="2"/>
          </w:tcPr>
          <w:p w14:paraId="7AD86CF5" w14:textId="77777777" w:rsidR="0075781B" w:rsidRPr="0023595B" w:rsidRDefault="0075781B" w:rsidP="00D55718">
            <w:pPr>
              <w:jc w:val="center"/>
              <w:rPr>
                <w:b/>
                <w:sz w:val="16"/>
                <w:szCs w:val="16"/>
                <w:lang w:val="sr-Latn-ME"/>
              </w:rPr>
            </w:pPr>
            <w:r w:rsidRPr="0023595B">
              <w:rPr>
                <w:b/>
                <w:sz w:val="16"/>
                <w:szCs w:val="16"/>
                <w:lang w:val="sr-Latn-ME"/>
              </w:rPr>
              <w:t>24. nedjelja</w:t>
            </w:r>
          </w:p>
        </w:tc>
        <w:tc>
          <w:tcPr>
            <w:tcW w:w="2160" w:type="dxa"/>
            <w:gridSpan w:val="2"/>
          </w:tcPr>
          <w:p w14:paraId="5BD8E09F" w14:textId="77777777" w:rsidR="0075781B" w:rsidRPr="0023595B" w:rsidRDefault="0075781B" w:rsidP="00D55718">
            <w:pPr>
              <w:jc w:val="center"/>
              <w:rPr>
                <w:b/>
                <w:sz w:val="16"/>
                <w:szCs w:val="16"/>
                <w:lang w:val="sr-Latn-ME"/>
              </w:rPr>
            </w:pPr>
            <w:r w:rsidRPr="0023595B">
              <w:rPr>
                <w:b/>
                <w:sz w:val="16"/>
                <w:szCs w:val="16"/>
                <w:lang w:val="sr-Latn-ME"/>
              </w:rPr>
              <w:t>52. nedjelja</w:t>
            </w:r>
          </w:p>
        </w:tc>
        <w:tc>
          <w:tcPr>
            <w:tcW w:w="2227" w:type="dxa"/>
            <w:gridSpan w:val="2"/>
          </w:tcPr>
          <w:p w14:paraId="2A2E2A13" w14:textId="77777777" w:rsidR="0075781B" w:rsidRPr="0023595B" w:rsidRDefault="0075781B" w:rsidP="00D55718">
            <w:pPr>
              <w:jc w:val="center"/>
              <w:rPr>
                <w:b/>
                <w:sz w:val="16"/>
                <w:szCs w:val="16"/>
                <w:lang w:val="sr-Latn-ME"/>
              </w:rPr>
            </w:pPr>
            <w:r w:rsidRPr="0023595B">
              <w:rPr>
                <w:b/>
                <w:sz w:val="16"/>
                <w:szCs w:val="16"/>
                <w:lang w:val="sr-Latn-ME"/>
              </w:rPr>
              <w:t>100. nedjelja</w:t>
            </w:r>
          </w:p>
        </w:tc>
        <w:tc>
          <w:tcPr>
            <w:tcW w:w="2003" w:type="dxa"/>
            <w:gridSpan w:val="2"/>
          </w:tcPr>
          <w:p w14:paraId="4810ED79" w14:textId="77777777" w:rsidR="0075781B" w:rsidRPr="0023595B" w:rsidRDefault="0075781B" w:rsidP="00D55718">
            <w:pPr>
              <w:jc w:val="center"/>
              <w:rPr>
                <w:b/>
                <w:sz w:val="16"/>
                <w:szCs w:val="16"/>
                <w:lang w:val="sr-Latn-ME"/>
              </w:rPr>
            </w:pPr>
            <w:r w:rsidRPr="0023595B">
              <w:rPr>
                <w:b/>
                <w:sz w:val="16"/>
                <w:szCs w:val="16"/>
                <w:lang w:val="sr-Latn-ME"/>
              </w:rPr>
              <w:t>24. nedjelja</w:t>
            </w:r>
          </w:p>
        </w:tc>
        <w:tc>
          <w:tcPr>
            <w:tcW w:w="2160" w:type="dxa"/>
            <w:gridSpan w:val="2"/>
          </w:tcPr>
          <w:p w14:paraId="4C731B3D" w14:textId="77777777" w:rsidR="0075781B" w:rsidRPr="0023595B" w:rsidRDefault="0075781B" w:rsidP="00D55718">
            <w:pPr>
              <w:jc w:val="center"/>
              <w:rPr>
                <w:b/>
                <w:sz w:val="16"/>
                <w:szCs w:val="16"/>
                <w:lang w:val="sr-Latn-ME"/>
              </w:rPr>
            </w:pPr>
            <w:r w:rsidRPr="0023595B">
              <w:rPr>
                <w:b/>
                <w:sz w:val="16"/>
                <w:szCs w:val="16"/>
                <w:lang w:val="sr-Latn-ME"/>
              </w:rPr>
              <w:t>52. nedjelja</w:t>
            </w:r>
          </w:p>
        </w:tc>
        <w:tc>
          <w:tcPr>
            <w:tcW w:w="2250" w:type="dxa"/>
            <w:gridSpan w:val="2"/>
          </w:tcPr>
          <w:p w14:paraId="76E8DCA8" w14:textId="77777777" w:rsidR="0075781B" w:rsidRPr="0023595B" w:rsidRDefault="0075781B" w:rsidP="00D55718">
            <w:pPr>
              <w:jc w:val="center"/>
              <w:rPr>
                <w:b/>
                <w:sz w:val="16"/>
                <w:szCs w:val="16"/>
                <w:lang w:val="sr-Latn-ME"/>
              </w:rPr>
            </w:pPr>
            <w:r w:rsidRPr="0023595B">
              <w:rPr>
                <w:b/>
                <w:sz w:val="16"/>
                <w:szCs w:val="16"/>
                <w:lang w:val="sr-Latn-ME"/>
              </w:rPr>
              <w:t>76. nedjelja</w:t>
            </w:r>
          </w:p>
        </w:tc>
      </w:tr>
      <w:tr w:rsidR="0075781B" w:rsidRPr="0023595B" w14:paraId="4E1AA187" w14:textId="77777777" w:rsidTr="00D55718">
        <w:tc>
          <w:tcPr>
            <w:tcW w:w="1728" w:type="dxa"/>
            <w:vMerge/>
          </w:tcPr>
          <w:p w14:paraId="0C72F51A" w14:textId="77777777" w:rsidR="0075781B" w:rsidRPr="0023595B" w:rsidRDefault="0075781B" w:rsidP="00D55718">
            <w:pPr>
              <w:rPr>
                <w:b/>
                <w:sz w:val="16"/>
                <w:szCs w:val="16"/>
                <w:lang w:val="sr-Latn-ME"/>
              </w:rPr>
            </w:pPr>
          </w:p>
        </w:tc>
        <w:tc>
          <w:tcPr>
            <w:tcW w:w="1080" w:type="dxa"/>
            <w:vAlign w:val="center"/>
          </w:tcPr>
          <w:p w14:paraId="313196DA" w14:textId="77777777" w:rsidR="0075781B" w:rsidRPr="0023595B" w:rsidRDefault="0075781B" w:rsidP="00D55718">
            <w:pPr>
              <w:jc w:val="center"/>
              <w:rPr>
                <w:b/>
                <w:sz w:val="16"/>
                <w:szCs w:val="16"/>
                <w:lang w:val="sr-Latn-ME"/>
              </w:rPr>
            </w:pPr>
            <w:r w:rsidRPr="0023595B">
              <w:rPr>
                <w:b/>
                <w:sz w:val="16"/>
                <w:szCs w:val="16"/>
                <w:lang w:val="sr-Latn-ME"/>
              </w:rPr>
              <w:t>Eylea 2 mg Q4</w:t>
            </w:r>
          </w:p>
          <w:p w14:paraId="5674E9B5" w14:textId="77777777" w:rsidR="0075781B" w:rsidRPr="0023595B" w:rsidRDefault="0075781B" w:rsidP="00D55718">
            <w:pPr>
              <w:jc w:val="center"/>
              <w:rPr>
                <w:b/>
                <w:sz w:val="16"/>
                <w:szCs w:val="16"/>
                <w:lang w:val="sr-Latn-ME"/>
              </w:rPr>
            </w:pPr>
            <w:r w:rsidRPr="0023595B">
              <w:rPr>
                <w:b/>
                <w:sz w:val="16"/>
                <w:szCs w:val="16"/>
                <w:lang w:val="sr-Latn-ME"/>
              </w:rPr>
              <w:t>(N = 114)</w:t>
            </w:r>
          </w:p>
        </w:tc>
        <w:tc>
          <w:tcPr>
            <w:tcW w:w="990" w:type="dxa"/>
            <w:vAlign w:val="center"/>
          </w:tcPr>
          <w:p w14:paraId="5E36ADA7" w14:textId="77777777" w:rsidR="0075781B" w:rsidRPr="0023595B" w:rsidRDefault="0075781B" w:rsidP="00D55718">
            <w:pPr>
              <w:jc w:val="center"/>
              <w:rPr>
                <w:b/>
                <w:sz w:val="16"/>
                <w:szCs w:val="16"/>
                <w:lang w:val="sr-Latn-ME"/>
              </w:rPr>
            </w:pPr>
            <w:r w:rsidRPr="0023595B">
              <w:rPr>
                <w:b/>
                <w:sz w:val="16"/>
                <w:szCs w:val="16"/>
                <w:lang w:val="sr-Latn-ME"/>
              </w:rPr>
              <w:t>Kontrolna</w:t>
            </w:r>
          </w:p>
          <w:p w14:paraId="72B0C4E5" w14:textId="77777777" w:rsidR="0075781B" w:rsidRPr="0023595B" w:rsidRDefault="0075781B" w:rsidP="00D55718">
            <w:pPr>
              <w:jc w:val="center"/>
              <w:rPr>
                <w:b/>
                <w:sz w:val="16"/>
                <w:szCs w:val="16"/>
                <w:lang w:val="sr-Latn-ME"/>
              </w:rPr>
            </w:pPr>
            <w:r w:rsidRPr="0023595B">
              <w:rPr>
                <w:b/>
                <w:sz w:val="16"/>
                <w:szCs w:val="16"/>
                <w:lang w:val="sr-Latn-ME"/>
              </w:rPr>
              <w:t>(N = 73)</w:t>
            </w:r>
          </w:p>
        </w:tc>
        <w:tc>
          <w:tcPr>
            <w:tcW w:w="1080" w:type="dxa"/>
            <w:vAlign w:val="center"/>
          </w:tcPr>
          <w:p w14:paraId="027E6E3F" w14:textId="3D4C2FCE" w:rsidR="0075781B" w:rsidRPr="0023595B" w:rsidRDefault="0075781B" w:rsidP="00D55718">
            <w:pPr>
              <w:jc w:val="center"/>
              <w:rPr>
                <w:b/>
                <w:sz w:val="16"/>
                <w:szCs w:val="16"/>
                <w:lang w:val="sr-Latn-ME"/>
              </w:rPr>
            </w:pPr>
            <w:r w:rsidRPr="0023595B">
              <w:rPr>
                <w:b/>
                <w:sz w:val="16"/>
                <w:szCs w:val="16"/>
                <w:lang w:val="sr-Latn-ME"/>
              </w:rPr>
              <w:t>Eylea 2 mg</w:t>
            </w:r>
          </w:p>
          <w:p w14:paraId="47580D7A" w14:textId="77777777" w:rsidR="0075781B" w:rsidRPr="0023595B" w:rsidRDefault="0075781B" w:rsidP="00D55718">
            <w:pPr>
              <w:jc w:val="center"/>
              <w:rPr>
                <w:b/>
                <w:sz w:val="16"/>
                <w:szCs w:val="16"/>
                <w:lang w:val="sr-Latn-ME"/>
              </w:rPr>
            </w:pPr>
            <w:r w:rsidRPr="0023595B">
              <w:rPr>
                <w:b/>
                <w:sz w:val="16"/>
                <w:szCs w:val="16"/>
                <w:lang w:val="sr-Latn-ME"/>
              </w:rPr>
              <w:t>(N = 114)</w:t>
            </w:r>
          </w:p>
        </w:tc>
        <w:tc>
          <w:tcPr>
            <w:tcW w:w="1080" w:type="dxa"/>
            <w:vAlign w:val="center"/>
          </w:tcPr>
          <w:p w14:paraId="1809C9B5" w14:textId="77777777" w:rsidR="0075781B" w:rsidRPr="0023595B" w:rsidRDefault="0075781B" w:rsidP="00D55718">
            <w:pPr>
              <w:jc w:val="center"/>
              <w:rPr>
                <w:b/>
                <w:sz w:val="16"/>
                <w:szCs w:val="16"/>
                <w:lang w:val="sr-Latn-ME"/>
              </w:rPr>
            </w:pPr>
            <w:r w:rsidRPr="0023595B">
              <w:rPr>
                <w:b/>
                <w:sz w:val="16"/>
                <w:szCs w:val="16"/>
                <w:lang w:val="sr-Latn-ME"/>
              </w:rPr>
              <w:t>Kontrolna</w:t>
            </w:r>
            <w:r w:rsidRPr="0023595B">
              <w:rPr>
                <w:b/>
                <w:sz w:val="16"/>
                <w:szCs w:val="16"/>
                <w:vertAlign w:val="superscript"/>
                <w:lang w:val="sr-Latn-ME"/>
              </w:rPr>
              <w:t>E)</w:t>
            </w:r>
          </w:p>
          <w:p w14:paraId="4A8BDAB4" w14:textId="77777777" w:rsidR="0075781B" w:rsidRPr="0023595B" w:rsidRDefault="0075781B" w:rsidP="00D55718">
            <w:pPr>
              <w:jc w:val="center"/>
              <w:rPr>
                <w:b/>
                <w:sz w:val="16"/>
                <w:szCs w:val="16"/>
                <w:lang w:val="sr-Latn-ME"/>
              </w:rPr>
            </w:pPr>
            <w:r w:rsidRPr="0023595B">
              <w:rPr>
                <w:b/>
                <w:sz w:val="16"/>
                <w:szCs w:val="16"/>
                <w:lang w:val="sr-Latn-ME"/>
              </w:rPr>
              <w:t>(N = 73)</w:t>
            </w:r>
          </w:p>
        </w:tc>
        <w:tc>
          <w:tcPr>
            <w:tcW w:w="1057" w:type="dxa"/>
            <w:vAlign w:val="center"/>
          </w:tcPr>
          <w:p w14:paraId="7251FCD6" w14:textId="77777777" w:rsidR="0075781B" w:rsidRPr="0023595B" w:rsidRDefault="0075781B" w:rsidP="00D55718">
            <w:pPr>
              <w:jc w:val="center"/>
              <w:rPr>
                <w:b/>
                <w:sz w:val="16"/>
                <w:szCs w:val="16"/>
                <w:lang w:val="sr-Latn-ME"/>
              </w:rPr>
            </w:pPr>
            <w:r w:rsidRPr="0023595B">
              <w:rPr>
                <w:b/>
                <w:sz w:val="16"/>
                <w:szCs w:val="16"/>
                <w:lang w:val="sr-Latn-ME"/>
              </w:rPr>
              <w:t>Eylea</w:t>
            </w:r>
            <w:r w:rsidRPr="0023595B">
              <w:rPr>
                <w:b/>
                <w:sz w:val="16"/>
                <w:szCs w:val="16"/>
                <w:vertAlign w:val="superscript"/>
                <w:lang w:val="sr-Latn-ME"/>
              </w:rPr>
              <w:t>F)</w:t>
            </w:r>
          </w:p>
          <w:p w14:paraId="4E5D8897" w14:textId="77777777" w:rsidR="0075781B" w:rsidRPr="0023595B" w:rsidRDefault="0075781B" w:rsidP="00D55718">
            <w:pPr>
              <w:jc w:val="center"/>
              <w:rPr>
                <w:b/>
                <w:sz w:val="16"/>
                <w:szCs w:val="16"/>
                <w:lang w:val="sr-Latn-ME"/>
              </w:rPr>
            </w:pPr>
            <w:r w:rsidRPr="0023595B">
              <w:rPr>
                <w:b/>
                <w:sz w:val="16"/>
                <w:szCs w:val="16"/>
                <w:lang w:val="sr-Latn-ME"/>
              </w:rPr>
              <w:t>2 mg</w:t>
            </w:r>
          </w:p>
          <w:p w14:paraId="754DE397" w14:textId="77777777" w:rsidR="0075781B" w:rsidRPr="0023595B" w:rsidRDefault="0075781B" w:rsidP="00D55718">
            <w:pPr>
              <w:jc w:val="center"/>
              <w:rPr>
                <w:b/>
                <w:sz w:val="16"/>
                <w:szCs w:val="16"/>
                <w:lang w:val="sr-Latn-ME"/>
              </w:rPr>
            </w:pPr>
            <w:r w:rsidRPr="0023595B">
              <w:rPr>
                <w:b/>
                <w:sz w:val="16"/>
                <w:szCs w:val="16"/>
                <w:lang w:val="sr-Latn-ME"/>
              </w:rPr>
              <w:t>(N = 114)</w:t>
            </w:r>
          </w:p>
        </w:tc>
        <w:tc>
          <w:tcPr>
            <w:tcW w:w="1170" w:type="dxa"/>
            <w:vAlign w:val="center"/>
          </w:tcPr>
          <w:p w14:paraId="482116C9" w14:textId="77777777" w:rsidR="0075781B" w:rsidRPr="0023595B" w:rsidRDefault="0075781B" w:rsidP="00D55718">
            <w:pPr>
              <w:jc w:val="center"/>
              <w:rPr>
                <w:b/>
                <w:sz w:val="16"/>
                <w:szCs w:val="16"/>
                <w:vertAlign w:val="superscript"/>
                <w:lang w:val="sr-Latn-ME"/>
              </w:rPr>
            </w:pPr>
            <w:r w:rsidRPr="0023595B">
              <w:rPr>
                <w:b/>
                <w:sz w:val="16"/>
                <w:szCs w:val="16"/>
                <w:lang w:val="sr-Latn-ME"/>
              </w:rPr>
              <w:t>Kontrolna</w:t>
            </w:r>
            <w:r w:rsidRPr="0023595B">
              <w:rPr>
                <w:b/>
                <w:sz w:val="16"/>
                <w:szCs w:val="16"/>
                <w:vertAlign w:val="superscript"/>
                <w:lang w:val="sr-Latn-ME"/>
              </w:rPr>
              <w:t>E,F)</w:t>
            </w:r>
          </w:p>
          <w:p w14:paraId="3873EB78" w14:textId="77777777" w:rsidR="0075781B" w:rsidRPr="0023595B" w:rsidRDefault="0075781B" w:rsidP="00D55718">
            <w:pPr>
              <w:jc w:val="center"/>
              <w:rPr>
                <w:b/>
                <w:sz w:val="16"/>
                <w:szCs w:val="16"/>
                <w:lang w:val="sr-Latn-ME"/>
              </w:rPr>
            </w:pPr>
            <w:r w:rsidRPr="0023595B">
              <w:rPr>
                <w:b/>
                <w:sz w:val="16"/>
                <w:szCs w:val="16"/>
                <w:lang w:val="sr-Latn-ME"/>
              </w:rPr>
              <w:t>(N = 73)</w:t>
            </w:r>
          </w:p>
        </w:tc>
        <w:tc>
          <w:tcPr>
            <w:tcW w:w="1013" w:type="dxa"/>
            <w:vAlign w:val="center"/>
          </w:tcPr>
          <w:p w14:paraId="521D3B40" w14:textId="77777777" w:rsidR="0075781B" w:rsidRPr="0023595B" w:rsidRDefault="0075781B" w:rsidP="00D55718">
            <w:pPr>
              <w:jc w:val="center"/>
              <w:rPr>
                <w:b/>
                <w:sz w:val="16"/>
                <w:szCs w:val="16"/>
                <w:lang w:val="sr-Latn-ME"/>
              </w:rPr>
            </w:pPr>
            <w:r w:rsidRPr="0023595B">
              <w:rPr>
                <w:b/>
                <w:sz w:val="16"/>
                <w:szCs w:val="16"/>
                <w:lang w:val="sr-Latn-ME"/>
              </w:rPr>
              <w:t>Eylea 2 mg Q4</w:t>
            </w:r>
          </w:p>
          <w:p w14:paraId="4676EC3A" w14:textId="77777777" w:rsidR="0075781B" w:rsidRPr="0023595B" w:rsidRDefault="0075781B" w:rsidP="00D55718">
            <w:pPr>
              <w:jc w:val="center"/>
              <w:rPr>
                <w:b/>
                <w:sz w:val="16"/>
                <w:szCs w:val="16"/>
                <w:lang w:val="sr-Latn-ME"/>
              </w:rPr>
            </w:pPr>
            <w:r w:rsidRPr="0023595B">
              <w:rPr>
                <w:b/>
                <w:sz w:val="16"/>
                <w:szCs w:val="16"/>
                <w:lang w:val="sr-Latn-ME"/>
              </w:rPr>
              <w:t>(N = 103)</w:t>
            </w:r>
          </w:p>
        </w:tc>
        <w:tc>
          <w:tcPr>
            <w:tcW w:w="990" w:type="dxa"/>
            <w:vAlign w:val="center"/>
          </w:tcPr>
          <w:p w14:paraId="5B514F13" w14:textId="77777777" w:rsidR="0075781B" w:rsidRPr="0023595B" w:rsidRDefault="0075781B" w:rsidP="00D55718">
            <w:pPr>
              <w:jc w:val="center"/>
              <w:rPr>
                <w:b/>
                <w:sz w:val="16"/>
                <w:szCs w:val="16"/>
                <w:lang w:val="sr-Latn-ME"/>
              </w:rPr>
            </w:pPr>
            <w:r w:rsidRPr="0023595B">
              <w:rPr>
                <w:b/>
                <w:sz w:val="16"/>
                <w:szCs w:val="16"/>
                <w:lang w:val="sr-Latn-ME"/>
              </w:rPr>
              <w:t>Kontrolna</w:t>
            </w:r>
          </w:p>
          <w:p w14:paraId="59537C38" w14:textId="77777777" w:rsidR="0075781B" w:rsidRPr="0023595B" w:rsidRDefault="0075781B" w:rsidP="00D55718">
            <w:pPr>
              <w:jc w:val="center"/>
              <w:rPr>
                <w:b/>
                <w:sz w:val="16"/>
                <w:szCs w:val="16"/>
                <w:lang w:val="sr-Latn-ME"/>
              </w:rPr>
            </w:pPr>
            <w:r w:rsidRPr="0023595B">
              <w:rPr>
                <w:b/>
                <w:sz w:val="16"/>
                <w:szCs w:val="16"/>
                <w:lang w:val="sr-Latn-ME"/>
              </w:rPr>
              <w:t>(N = 68)</w:t>
            </w:r>
          </w:p>
        </w:tc>
        <w:tc>
          <w:tcPr>
            <w:tcW w:w="1080" w:type="dxa"/>
            <w:vAlign w:val="center"/>
          </w:tcPr>
          <w:p w14:paraId="72D154E5" w14:textId="77777777" w:rsidR="0075781B" w:rsidRPr="0023595B" w:rsidRDefault="0075781B" w:rsidP="00D55718">
            <w:pPr>
              <w:jc w:val="center"/>
              <w:rPr>
                <w:b/>
                <w:sz w:val="16"/>
                <w:szCs w:val="16"/>
                <w:lang w:val="sr-Latn-ME"/>
              </w:rPr>
            </w:pPr>
            <w:r w:rsidRPr="0023595B">
              <w:rPr>
                <w:b/>
                <w:sz w:val="16"/>
                <w:szCs w:val="16"/>
                <w:lang w:val="sr-Latn-ME"/>
              </w:rPr>
              <w:t>Eylea</w:t>
            </w:r>
          </w:p>
          <w:p w14:paraId="63B2CC40" w14:textId="77777777" w:rsidR="0075781B" w:rsidRPr="0023595B" w:rsidRDefault="0075781B" w:rsidP="00D55718">
            <w:pPr>
              <w:jc w:val="center"/>
              <w:rPr>
                <w:b/>
                <w:sz w:val="16"/>
                <w:szCs w:val="16"/>
                <w:lang w:val="sr-Latn-ME"/>
              </w:rPr>
            </w:pPr>
            <w:r w:rsidRPr="0023595B">
              <w:rPr>
                <w:b/>
                <w:sz w:val="16"/>
                <w:szCs w:val="16"/>
                <w:lang w:val="sr-Latn-ME"/>
              </w:rPr>
              <w:t>2 mg</w:t>
            </w:r>
          </w:p>
          <w:p w14:paraId="5D52A537" w14:textId="77777777" w:rsidR="0075781B" w:rsidRPr="0023595B" w:rsidRDefault="0075781B" w:rsidP="00D55718">
            <w:pPr>
              <w:jc w:val="center"/>
              <w:rPr>
                <w:b/>
                <w:sz w:val="16"/>
                <w:szCs w:val="16"/>
                <w:lang w:val="sr-Latn-ME"/>
              </w:rPr>
            </w:pPr>
            <w:r w:rsidRPr="0023595B">
              <w:rPr>
                <w:b/>
                <w:sz w:val="16"/>
                <w:szCs w:val="16"/>
                <w:lang w:val="sr-Latn-ME"/>
              </w:rPr>
              <w:t>(N = 103)</w:t>
            </w:r>
          </w:p>
        </w:tc>
        <w:tc>
          <w:tcPr>
            <w:tcW w:w="1080" w:type="dxa"/>
            <w:vAlign w:val="center"/>
          </w:tcPr>
          <w:p w14:paraId="46991362" w14:textId="77777777" w:rsidR="0075781B" w:rsidRPr="0023595B" w:rsidRDefault="0075781B" w:rsidP="00D55718">
            <w:pPr>
              <w:jc w:val="center"/>
              <w:rPr>
                <w:b/>
                <w:sz w:val="16"/>
                <w:szCs w:val="16"/>
                <w:lang w:val="sr-Latn-ME"/>
              </w:rPr>
            </w:pPr>
            <w:r w:rsidRPr="0023595B">
              <w:rPr>
                <w:b/>
                <w:sz w:val="16"/>
                <w:szCs w:val="16"/>
                <w:lang w:val="sr-Latn-ME"/>
              </w:rPr>
              <w:t>Kontrolna</w:t>
            </w:r>
          </w:p>
          <w:p w14:paraId="79897FB9" w14:textId="77777777" w:rsidR="0075781B" w:rsidRPr="0023595B" w:rsidRDefault="0075781B" w:rsidP="00D55718">
            <w:pPr>
              <w:jc w:val="center"/>
              <w:rPr>
                <w:b/>
                <w:sz w:val="16"/>
                <w:szCs w:val="16"/>
                <w:lang w:val="sr-Latn-ME"/>
              </w:rPr>
            </w:pPr>
            <w:r w:rsidRPr="0023595B">
              <w:rPr>
                <w:b/>
                <w:sz w:val="16"/>
                <w:szCs w:val="16"/>
                <w:lang w:val="sr-Latn-ME"/>
              </w:rPr>
              <w:t>(N = 68)</w:t>
            </w:r>
          </w:p>
        </w:tc>
        <w:tc>
          <w:tcPr>
            <w:tcW w:w="1170" w:type="dxa"/>
            <w:vAlign w:val="center"/>
          </w:tcPr>
          <w:p w14:paraId="2AF5D657" w14:textId="77777777" w:rsidR="0075781B" w:rsidRPr="0023595B" w:rsidRDefault="0075781B" w:rsidP="00D55718">
            <w:pPr>
              <w:jc w:val="center"/>
              <w:rPr>
                <w:b/>
                <w:sz w:val="16"/>
                <w:szCs w:val="16"/>
                <w:lang w:val="sr-Latn-ME"/>
              </w:rPr>
            </w:pPr>
            <w:r w:rsidRPr="0023595B">
              <w:rPr>
                <w:b/>
                <w:sz w:val="16"/>
                <w:szCs w:val="16"/>
                <w:lang w:val="sr-Latn-ME"/>
              </w:rPr>
              <w:t>Eylea</w:t>
            </w:r>
            <w:r w:rsidRPr="0023595B">
              <w:rPr>
                <w:b/>
                <w:sz w:val="16"/>
                <w:szCs w:val="16"/>
                <w:vertAlign w:val="superscript"/>
                <w:lang w:val="sr-Latn-ME"/>
              </w:rPr>
              <w:t>G)</w:t>
            </w:r>
          </w:p>
          <w:p w14:paraId="342CA471" w14:textId="77777777" w:rsidR="0075781B" w:rsidRPr="0023595B" w:rsidRDefault="0075781B" w:rsidP="00D55718">
            <w:pPr>
              <w:jc w:val="center"/>
              <w:rPr>
                <w:b/>
                <w:sz w:val="16"/>
                <w:szCs w:val="16"/>
                <w:lang w:val="sr-Latn-ME"/>
              </w:rPr>
            </w:pPr>
            <w:r w:rsidRPr="0023595B">
              <w:rPr>
                <w:b/>
                <w:sz w:val="16"/>
                <w:szCs w:val="16"/>
                <w:lang w:val="sr-Latn-ME"/>
              </w:rPr>
              <w:t>2 mg</w:t>
            </w:r>
          </w:p>
          <w:p w14:paraId="2FAD5EEA" w14:textId="77777777" w:rsidR="0075781B" w:rsidRPr="0023595B" w:rsidRDefault="0075781B" w:rsidP="00D55718">
            <w:pPr>
              <w:jc w:val="center"/>
              <w:rPr>
                <w:b/>
                <w:sz w:val="16"/>
                <w:szCs w:val="16"/>
                <w:lang w:val="sr-Latn-ME"/>
              </w:rPr>
            </w:pPr>
            <w:r w:rsidRPr="0023595B">
              <w:rPr>
                <w:b/>
                <w:sz w:val="16"/>
                <w:szCs w:val="16"/>
                <w:lang w:val="sr-Latn-ME"/>
              </w:rPr>
              <w:t>(N = 103)</w:t>
            </w:r>
          </w:p>
        </w:tc>
        <w:tc>
          <w:tcPr>
            <w:tcW w:w="1080" w:type="dxa"/>
            <w:vAlign w:val="center"/>
          </w:tcPr>
          <w:p w14:paraId="291F0503" w14:textId="77777777" w:rsidR="0075781B" w:rsidRPr="0023595B" w:rsidRDefault="0075781B" w:rsidP="00D55718">
            <w:pPr>
              <w:jc w:val="center"/>
              <w:rPr>
                <w:b/>
                <w:sz w:val="16"/>
                <w:szCs w:val="16"/>
                <w:lang w:val="sr-Latn-ME"/>
              </w:rPr>
            </w:pPr>
            <w:r w:rsidRPr="0023595B">
              <w:rPr>
                <w:b/>
                <w:sz w:val="16"/>
                <w:szCs w:val="16"/>
                <w:lang w:val="sr-Latn-ME"/>
              </w:rPr>
              <w:t>Kontrolna</w:t>
            </w:r>
            <w:r w:rsidRPr="0023595B">
              <w:rPr>
                <w:b/>
                <w:sz w:val="16"/>
                <w:szCs w:val="16"/>
                <w:vertAlign w:val="superscript"/>
                <w:lang w:val="sr-Latn-ME"/>
              </w:rPr>
              <w:t>G)</w:t>
            </w:r>
          </w:p>
          <w:p w14:paraId="260FFAF0" w14:textId="77777777" w:rsidR="0075781B" w:rsidRPr="0023595B" w:rsidRDefault="0075781B" w:rsidP="00D55718">
            <w:pPr>
              <w:jc w:val="center"/>
              <w:rPr>
                <w:b/>
                <w:sz w:val="16"/>
                <w:szCs w:val="16"/>
                <w:lang w:val="sr-Latn-ME"/>
              </w:rPr>
            </w:pPr>
            <w:r w:rsidRPr="0023595B">
              <w:rPr>
                <w:b/>
                <w:sz w:val="16"/>
                <w:szCs w:val="16"/>
                <w:lang w:val="sr-Latn-ME"/>
              </w:rPr>
              <w:t>(N = 68)</w:t>
            </w:r>
          </w:p>
        </w:tc>
      </w:tr>
      <w:tr w:rsidR="0075781B" w:rsidRPr="0023595B" w14:paraId="68DD5E3E" w14:textId="77777777" w:rsidTr="00D55718">
        <w:tc>
          <w:tcPr>
            <w:tcW w:w="1728" w:type="dxa"/>
          </w:tcPr>
          <w:p w14:paraId="6EB397CC" w14:textId="77777777" w:rsidR="0075781B" w:rsidRPr="0023595B" w:rsidRDefault="0075781B" w:rsidP="00D55718">
            <w:pPr>
              <w:rPr>
                <w:sz w:val="16"/>
                <w:szCs w:val="16"/>
                <w:lang w:val="sr-Latn-ME"/>
              </w:rPr>
            </w:pPr>
            <w:r w:rsidRPr="0023595B">
              <w:rPr>
                <w:sz w:val="16"/>
                <w:szCs w:val="16"/>
                <w:lang w:val="sr-Latn-ME"/>
              </w:rPr>
              <w:t>Udio pacijenata povećanjem ≥15 slova od početne vrijednosti</w:t>
            </w:r>
          </w:p>
        </w:tc>
        <w:tc>
          <w:tcPr>
            <w:tcW w:w="1080" w:type="dxa"/>
            <w:vAlign w:val="center"/>
          </w:tcPr>
          <w:p w14:paraId="7AD3728E" w14:textId="77777777" w:rsidR="0075781B" w:rsidRPr="0023595B" w:rsidRDefault="0075781B" w:rsidP="00D55718">
            <w:pPr>
              <w:jc w:val="center"/>
              <w:rPr>
                <w:sz w:val="16"/>
                <w:szCs w:val="16"/>
                <w:lang w:val="sr-Latn-ME"/>
              </w:rPr>
            </w:pPr>
            <w:r w:rsidRPr="0023595B">
              <w:rPr>
                <w:sz w:val="16"/>
                <w:szCs w:val="16"/>
                <w:lang w:val="sr-Latn-ME"/>
              </w:rPr>
              <w:t>56%</w:t>
            </w:r>
          </w:p>
        </w:tc>
        <w:tc>
          <w:tcPr>
            <w:tcW w:w="990" w:type="dxa"/>
            <w:vAlign w:val="center"/>
          </w:tcPr>
          <w:p w14:paraId="1CDE9EC2" w14:textId="77777777" w:rsidR="0075781B" w:rsidRPr="0023595B" w:rsidRDefault="0075781B" w:rsidP="00D55718">
            <w:pPr>
              <w:jc w:val="center"/>
              <w:rPr>
                <w:sz w:val="16"/>
                <w:szCs w:val="16"/>
                <w:lang w:val="sr-Latn-ME"/>
              </w:rPr>
            </w:pPr>
            <w:r w:rsidRPr="0023595B">
              <w:rPr>
                <w:sz w:val="16"/>
                <w:szCs w:val="16"/>
                <w:lang w:val="sr-Latn-ME"/>
              </w:rPr>
              <w:t>12%</w:t>
            </w:r>
          </w:p>
        </w:tc>
        <w:tc>
          <w:tcPr>
            <w:tcW w:w="1080" w:type="dxa"/>
            <w:vAlign w:val="center"/>
          </w:tcPr>
          <w:p w14:paraId="237D44FB" w14:textId="21AC87FE" w:rsidR="0075781B" w:rsidRPr="0023595B" w:rsidRDefault="0075781B" w:rsidP="00D55718">
            <w:pPr>
              <w:jc w:val="center"/>
              <w:rPr>
                <w:sz w:val="16"/>
                <w:szCs w:val="16"/>
                <w:lang w:val="sr-Latn-ME"/>
              </w:rPr>
            </w:pPr>
            <w:r w:rsidRPr="0023595B">
              <w:rPr>
                <w:sz w:val="16"/>
                <w:szCs w:val="16"/>
                <w:lang w:val="sr-Latn-ME"/>
              </w:rPr>
              <w:t>55%</w:t>
            </w:r>
          </w:p>
        </w:tc>
        <w:tc>
          <w:tcPr>
            <w:tcW w:w="1080" w:type="dxa"/>
            <w:vAlign w:val="center"/>
          </w:tcPr>
          <w:p w14:paraId="17CC161F" w14:textId="77777777" w:rsidR="0075781B" w:rsidRPr="0023595B" w:rsidRDefault="0075781B" w:rsidP="00D55718">
            <w:pPr>
              <w:jc w:val="center"/>
              <w:rPr>
                <w:sz w:val="16"/>
                <w:szCs w:val="16"/>
                <w:lang w:val="sr-Latn-ME"/>
              </w:rPr>
            </w:pPr>
            <w:r w:rsidRPr="0023595B">
              <w:rPr>
                <w:sz w:val="16"/>
                <w:szCs w:val="16"/>
                <w:lang w:val="sr-Latn-ME"/>
              </w:rPr>
              <w:t>30%</w:t>
            </w:r>
          </w:p>
        </w:tc>
        <w:tc>
          <w:tcPr>
            <w:tcW w:w="1057" w:type="dxa"/>
            <w:vAlign w:val="center"/>
          </w:tcPr>
          <w:p w14:paraId="0B795AF0" w14:textId="77777777" w:rsidR="0075781B" w:rsidRPr="0023595B" w:rsidRDefault="0075781B" w:rsidP="00D55718">
            <w:pPr>
              <w:jc w:val="center"/>
              <w:rPr>
                <w:sz w:val="16"/>
                <w:szCs w:val="16"/>
                <w:lang w:val="sr-Latn-ME"/>
              </w:rPr>
            </w:pPr>
            <w:r w:rsidRPr="0023595B">
              <w:rPr>
                <w:sz w:val="16"/>
                <w:szCs w:val="16"/>
                <w:lang w:val="sr-Latn-ME"/>
              </w:rPr>
              <w:t>49,1%</w:t>
            </w:r>
          </w:p>
        </w:tc>
        <w:tc>
          <w:tcPr>
            <w:tcW w:w="1170" w:type="dxa"/>
            <w:vAlign w:val="center"/>
          </w:tcPr>
          <w:p w14:paraId="49A25B17" w14:textId="77777777" w:rsidR="0075781B" w:rsidRPr="0023595B" w:rsidRDefault="0075781B" w:rsidP="00D55718">
            <w:pPr>
              <w:jc w:val="center"/>
              <w:rPr>
                <w:sz w:val="16"/>
                <w:szCs w:val="16"/>
                <w:lang w:val="sr-Latn-ME"/>
              </w:rPr>
            </w:pPr>
            <w:r w:rsidRPr="0023595B">
              <w:rPr>
                <w:sz w:val="16"/>
                <w:szCs w:val="16"/>
                <w:lang w:val="sr-Latn-ME"/>
              </w:rPr>
              <w:t>23,3%</w:t>
            </w:r>
          </w:p>
        </w:tc>
        <w:tc>
          <w:tcPr>
            <w:tcW w:w="1013" w:type="dxa"/>
            <w:vAlign w:val="center"/>
          </w:tcPr>
          <w:p w14:paraId="748D5A25" w14:textId="77777777" w:rsidR="0075781B" w:rsidRPr="0023595B" w:rsidRDefault="0075781B" w:rsidP="00D55718">
            <w:pPr>
              <w:jc w:val="center"/>
              <w:rPr>
                <w:sz w:val="16"/>
                <w:szCs w:val="16"/>
                <w:lang w:val="sr-Latn-ME"/>
              </w:rPr>
            </w:pPr>
            <w:r w:rsidRPr="0023595B">
              <w:rPr>
                <w:sz w:val="16"/>
                <w:szCs w:val="16"/>
                <w:lang w:val="sr-Latn-ME"/>
              </w:rPr>
              <w:t>60%</w:t>
            </w:r>
          </w:p>
        </w:tc>
        <w:tc>
          <w:tcPr>
            <w:tcW w:w="990" w:type="dxa"/>
            <w:vAlign w:val="center"/>
          </w:tcPr>
          <w:p w14:paraId="6DC820A5" w14:textId="77777777" w:rsidR="0075781B" w:rsidRPr="0023595B" w:rsidRDefault="0075781B" w:rsidP="00D55718">
            <w:pPr>
              <w:jc w:val="center"/>
              <w:rPr>
                <w:sz w:val="16"/>
                <w:szCs w:val="16"/>
                <w:lang w:val="sr-Latn-ME"/>
              </w:rPr>
            </w:pPr>
            <w:r w:rsidRPr="0023595B">
              <w:rPr>
                <w:sz w:val="16"/>
                <w:szCs w:val="16"/>
                <w:lang w:val="sr-Latn-ME"/>
              </w:rPr>
              <w:t>22%</w:t>
            </w:r>
          </w:p>
        </w:tc>
        <w:tc>
          <w:tcPr>
            <w:tcW w:w="1080" w:type="dxa"/>
            <w:vAlign w:val="center"/>
          </w:tcPr>
          <w:p w14:paraId="319946AA" w14:textId="77777777" w:rsidR="0075781B" w:rsidRPr="0023595B" w:rsidRDefault="0075781B" w:rsidP="00D55718">
            <w:pPr>
              <w:jc w:val="center"/>
              <w:rPr>
                <w:sz w:val="16"/>
                <w:szCs w:val="16"/>
                <w:lang w:val="sr-Latn-ME"/>
              </w:rPr>
            </w:pPr>
            <w:r w:rsidRPr="0023595B">
              <w:rPr>
                <w:sz w:val="16"/>
                <w:szCs w:val="16"/>
                <w:lang w:val="sr-Latn-ME"/>
              </w:rPr>
              <w:t>60%</w:t>
            </w:r>
          </w:p>
        </w:tc>
        <w:tc>
          <w:tcPr>
            <w:tcW w:w="1080" w:type="dxa"/>
            <w:vAlign w:val="center"/>
          </w:tcPr>
          <w:p w14:paraId="6038B0D0" w14:textId="77777777" w:rsidR="0075781B" w:rsidRPr="0023595B" w:rsidRDefault="0075781B" w:rsidP="00D55718">
            <w:pPr>
              <w:jc w:val="center"/>
              <w:rPr>
                <w:sz w:val="16"/>
                <w:szCs w:val="16"/>
                <w:lang w:val="sr-Latn-ME"/>
              </w:rPr>
            </w:pPr>
            <w:r w:rsidRPr="0023595B">
              <w:rPr>
                <w:sz w:val="16"/>
                <w:szCs w:val="16"/>
                <w:lang w:val="sr-Latn-ME"/>
              </w:rPr>
              <w:t>32%</w:t>
            </w:r>
          </w:p>
        </w:tc>
        <w:tc>
          <w:tcPr>
            <w:tcW w:w="1170" w:type="dxa"/>
            <w:vAlign w:val="center"/>
          </w:tcPr>
          <w:p w14:paraId="79E3F938" w14:textId="77777777" w:rsidR="0075781B" w:rsidRPr="0023595B" w:rsidRDefault="0075781B" w:rsidP="00D55718">
            <w:pPr>
              <w:jc w:val="center"/>
              <w:rPr>
                <w:sz w:val="16"/>
                <w:szCs w:val="16"/>
                <w:lang w:val="sr-Latn-ME"/>
              </w:rPr>
            </w:pPr>
            <w:r w:rsidRPr="0023595B">
              <w:rPr>
                <w:sz w:val="16"/>
                <w:szCs w:val="16"/>
                <w:lang w:val="sr-Latn-ME"/>
              </w:rPr>
              <w:t>57,3%</w:t>
            </w:r>
          </w:p>
        </w:tc>
        <w:tc>
          <w:tcPr>
            <w:tcW w:w="1080" w:type="dxa"/>
            <w:vAlign w:val="center"/>
          </w:tcPr>
          <w:p w14:paraId="39DCDB7F" w14:textId="77777777" w:rsidR="0075781B" w:rsidRPr="0023595B" w:rsidRDefault="0075781B" w:rsidP="00D55718">
            <w:pPr>
              <w:jc w:val="center"/>
              <w:rPr>
                <w:sz w:val="16"/>
                <w:szCs w:val="16"/>
                <w:lang w:val="sr-Latn-ME"/>
              </w:rPr>
            </w:pPr>
            <w:r w:rsidRPr="0023595B">
              <w:rPr>
                <w:sz w:val="16"/>
                <w:szCs w:val="16"/>
                <w:lang w:val="sr-Latn-ME"/>
              </w:rPr>
              <w:t>29,4%</w:t>
            </w:r>
          </w:p>
        </w:tc>
      </w:tr>
      <w:tr w:rsidR="0075781B" w:rsidRPr="0023595B" w14:paraId="5D87F3DE" w14:textId="77777777" w:rsidTr="00D55718">
        <w:tc>
          <w:tcPr>
            <w:tcW w:w="1728" w:type="dxa"/>
          </w:tcPr>
          <w:p w14:paraId="0F7558D4" w14:textId="77777777" w:rsidR="0075781B" w:rsidRPr="0023595B" w:rsidRDefault="0075781B" w:rsidP="00D55718">
            <w:pPr>
              <w:rPr>
                <w:sz w:val="16"/>
                <w:szCs w:val="16"/>
                <w:lang w:val="sr-Latn-ME"/>
              </w:rPr>
            </w:pPr>
            <w:r w:rsidRPr="0023595B">
              <w:rPr>
                <w:sz w:val="16"/>
                <w:szCs w:val="16"/>
                <w:lang w:val="sr-Latn-ME"/>
              </w:rPr>
              <w:t>Ponderisana razlika</w:t>
            </w:r>
            <w:r w:rsidRPr="0023595B">
              <w:rPr>
                <w:sz w:val="16"/>
                <w:szCs w:val="16"/>
                <w:vertAlign w:val="superscript"/>
                <w:lang w:val="sr-Latn-ME"/>
              </w:rPr>
              <w:t>A,B,E)</w:t>
            </w:r>
            <w:r w:rsidRPr="0023595B">
              <w:rPr>
                <w:sz w:val="16"/>
                <w:szCs w:val="16"/>
                <w:lang w:val="sr-Latn-ME"/>
              </w:rPr>
              <w:t xml:space="preserve"> </w:t>
            </w:r>
          </w:p>
          <w:p w14:paraId="23DD6A80" w14:textId="77777777" w:rsidR="0075781B" w:rsidRPr="0023595B" w:rsidRDefault="0075781B" w:rsidP="00D55718">
            <w:pPr>
              <w:rPr>
                <w:sz w:val="16"/>
                <w:szCs w:val="16"/>
                <w:lang w:val="sr-Latn-ME"/>
              </w:rPr>
            </w:pPr>
            <w:r w:rsidRPr="0023595B">
              <w:rPr>
                <w:sz w:val="16"/>
                <w:szCs w:val="16"/>
                <w:lang w:val="sr-Latn-ME"/>
              </w:rPr>
              <w:t>(95% CI)</w:t>
            </w:r>
          </w:p>
          <w:p w14:paraId="004B6DCC" w14:textId="77777777" w:rsidR="0075781B" w:rsidRPr="0023595B" w:rsidRDefault="0075781B" w:rsidP="00D55718">
            <w:pPr>
              <w:rPr>
                <w:sz w:val="16"/>
                <w:szCs w:val="16"/>
                <w:lang w:val="sr-Latn-ME"/>
              </w:rPr>
            </w:pPr>
            <w:r w:rsidRPr="0023595B">
              <w:rPr>
                <w:sz w:val="16"/>
                <w:szCs w:val="16"/>
                <w:lang w:val="sr-Latn-ME"/>
              </w:rPr>
              <w:t>p-vrijednost</w:t>
            </w:r>
          </w:p>
        </w:tc>
        <w:tc>
          <w:tcPr>
            <w:tcW w:w="1080" w:type="dxa"/>
            <w:vAlign w:val="center"/>
          </w:tcPr>
          <w:p w14:paraId="68BFCE8C" w14:textId="77777777" w:rsidR="0075781B" w:rsidRPr="0023595B" w:rsidRDefault="0075781B" w:rsidP="00D55718">
            <w:pPr>
              <w:jc w:val="center"/>
              <w:rPr>
                <w:sz w:val="16"/>
                <w:szCs w:val="16"/>
                <w:lang w:val="sr-Latn-ME"/>
              </w:rPr>
            </w:pPr>
            <w:r w:rsidRPr="0023595B">
              <w:rPr>
                <w:sz w:val="16"/>
                <w:szCs w:val="16"/>
                <w:lang w:val="sr-Latn-ME"/>
              </w:rPr>
              <w:t>44,8%</w:t>
            </w:r>
          </w:p>
          <w:p w14:paraId="2163CDD8" w14:textId="77777777" w:rsidR="0075781B" w:rsidRPr="0023595B" w:rsidRDefault="0075781B" w:rsidP="00D55718">
            <w:pPr>
              <w:jc w:val="center"/>
              <w:rPr>
                <w:sz w:val="16"/>
                <w:szCs w:val="16"/>
                <w:lang w:val="sr-Latn-ME"/>
              </w:rPr>
            </w:pPr>
            <w:r w:rsidRPr="0023595B">
              <w:rPr>
                <w:sz w:val="16"/>
                <w:szCs w:val="16"/>
                <w:lang w:val="sr-Latn-ME"/>
              </w:rPr>
              <w:t>(33,0; 56,6)</w:t>
            </w:r>
          </w:p>
          <w:p w14:paraId="0CDC986F" w14:textId="77777777" w:rsidR="0075781B" w:rsidRPr="0023595B" w:rsidRDefault="0075781B" w:rsidP="00D55718">
            <w:pPr>
              <w:jc w:val="center"/>
              <w:rPr>
                <w:sz w:val="16"/>
                <w:szCs w:val="16"/>
                <w:lang w:val="sr-Latn-ME"/>
              </w:rPr>
            </w:pPr>
            <w:r w:rsidRPr="0023595B">
              <w:rPr>
                <w:sz w:val="16"/>
                <w:szCs w:val="16"/>
                <w:lang w:val="sr-Latn-ME"/>
              </w:rPr>
              <w:t>p&lt;0,0001</w:t>
            </w:r>
          </w:p>
        </w:tc>
        <w:tc>
          <w:tcPr>
            <w:tcW w:w="990" w:type="dxa"/>
            <w:vAlign w:val="center"/>
          </w:tcPr>
          <w:p w14:paraId="05D0A050" w14:textId="77777777" w:rsidR="0075781B" w:rsidRPr="0023595B" w:rsidRDefault="0075781B" w:rsidP="00D55718">
            <w:pPr>
              <w:jc w:val="center"/>
              <w:rPr>
                <w:sz w:val="16"/>
                <w:szCs w:val="16"/>
                <w:lang w:val="sr-Latn-ME"/>
              </w:rPr>
            </w:pPr>
          </w:p>
        </w:tc>
        <w:tc>
          <w:tcPr>
            <w:tcW w:w="1080" w:type="dxa"/>
            <w:vAlign w:val="center"/>
          </w:tcPr>
          <w:p w14:paraId="2FA2C334" w14:textId="77777777" w:rsidR="0075781B" w:rsidRPr="0023595B" w:rsidRDefault="0075781B" w:rsidP="00D55718">
            <w:pPr>
              <w:jc w:val="center"/>
              <w:rPr>
                <w:sz w:val="16"/>
                <w:szCs w:val="16"/>
                <w:lang w:val="sr-Latn-ME"/>
              </w:rPr>
            </w:pPr>
            <w:r w:rsidRPr="0023595B">
              <w:rPr>
                <w:sz w:val="16"/>
                <w:szCs w:val="16"/>
                <w:lang w:val="sr-Latn-ME"/>
              </w:rPr>
              <w:t>25,9%</w:t>
            </w:r>
          </w:p>
          <w:p w14:paraId="122766D4" w14:textId="77777777" w:rsidR="0075781B" w:rsidRPr="0023595B" w:rsidRDefault="0075781B" w:rsidP="00D55718">
            <w:pPr>
              <w:jc w:val="center"/>
              <w:rPr>
                <w:sz w:val="16"/>
                <w:szCs w:val="16"/>
                <w:lang w:val="sr-Latn-ME"/>
              </w:rPr>
            </w:pPr>
            <w:r w:rsidRPr="0023595B">
              <w:rPr>
                <w:sz w:val="16"/>
                <w:szCs w:val="16"/>
                <w:lang w:val="sr-Latn-ME"/>
              </w:rPr>
              <w:t>(11,8; 40,1)</w:t>
            </w:r>
          </w:p>
          <w:p w14:paraId="0CA08AB1" w14:textId="77777777" w:rsidR="0075781B" w:rsidRPr="0023595B" w:rsidRDefault="0075781B" w:rsidP="00D55718">
            <w:pPr>
              <w:jc w:val="center"/>
              <w:rPr>
                <w:sz w:val="16"/>
                <w:szCs w:val="16"/>
                <w:lang w:val="sr-Latn-ME"/>
              </w:rPr>
            </w:pPr>
            <w:r w:rsidRPr="0023595B">
              <w:rPr>
                <w:sz w:val="16"/>
                <w:szCs w:val="16"/>
                <w:lang w:val="sr-Latn-ME"/>
              </w:rPr>
              <w:t>p=0,0006</w:t>
            </w:r>
          </w:p>
        </w:tc>
        <w:tc>
          <w:tcPr>
            <w:tcW w:w="1080" w:type="dxa"/>
            <w:vAlign w:val="center"/>
          </w:tcPr>
          <w:p w14:paraId="05F55A35" w14:textId="77777777" w:rsidR="0075781B" w:rsidRPr="0023595B" w:rsidRDefault="0075781B" w:rsidP="00D55718">
            <w:pPr>
              <w:jc w:val="center"/>
              <w:rPr>
                <w:sz w:val="16"/>
                <w:szCs w:val="16"/>
                <w:lang w:val="sr-Latn-ME"/>
              </w:rPr>
            </w:pPr>
          </w:p>
        </w:tc>
        <w:tc>
          <w:tcPr>
            <w:tcW w:w="1057" w:type="dxa"/>
            <w:vAlign w:val="center"/>
          </w:tcPr>
          <w:p w14:paraId="309255AF" w14:textId="77777777" w:rsidR="0075781B" w:rsidRPr="0023595B" w:rsidRDefault="0075781B" w:rsidP="00D55718">
            <w:pPr>
              <w:jc w:val="center"/>
              <w:rPr>
                <w:sz w:val="16"/>
                <w:szCs w:val="16"/>
                <w:lang w:val="sr-Latn-ME"/>
              </w:rPr>
            </w:pPr>
            <w:r w:rsidRPr="0023595B">
              <w:rPr>
                <w:sz w:val="16"/>
                <w:szCs w:val="16"/>
                <w:lang w:val="sr-Latn-ME"/>
              </w:rPr>
              <w:t>26,7%</w:t>
            </w:r>
          </w:p>
          <w:p w14:paraId="78EDD76A" w14:textId="77777777" w:rsidR="0075781B" w:rsidRPr="0023595B" w:rsidRDefault="0075781B" w:rsidP="00D55718">
            <w:pPr>
              <w:jc w:val="center"/>
              <w:rPr>
                <w:sz w:val="16"/>
                <w:szCs w:val="16"/>
                <w:lang w:val="sr-Latn-ME"/>
              </w:rPr>
            </w:pPr>
            <w:r w:rsidRPr="0023595B">
              <w:rPr>
                <w:sz w:val="16"/>
                <w:szCs w:val="16"/>
                <w:lang w:val="sr-Latn-ME"/>
              </w:rPr>
              <w:t>(13,1; 40,3)</w:t>
            </w:r>
          </w:p>
          <w:p w14:paraId="576DEA3A" w14:textId="77777777" w:rsidR="0075781B" w:rsidRPr="0023595B" w:rsidRDefault="0075781B" w:rsidP="00D55718">
            <w:pPr>
              <w:jc w:val="center"/>
              <w:rPr>
                <w:sz w:val="16"/>
                <w:szCs w:val="16"/>
                <w:lang w:val="sr-Latn-ME"/>
              </w:rPr>
            </w:pPr>
            <w:r w:rsidRPr="0023595B">
              <w:rPr>
                <w:sz w:val="16"/>
                <w:szCs w:val="16"/>
                <w:lang w:val="sr-Latn-ME"/>
              </w:rPr>
              <w:t>p=0,0003</w:t>
            </w:r>
          </w:p>
        </w:tc>
        <w:tc>
          <w:tcPr>
            <w:tcW w:w="1170" w:type="dxa"/>
            <w:vAlign w:val="center"/>
          </w:tcPr>
          <w:p w14:paraId="2EBFA27D" w14:textId="77777777" w:rsidR="0075781B" w:rsidRPr="0023595B" w:rsidRDefault="0075781B" w:rsidP="00D55718">
            <w:pPr>
              <w:jc w:val="center"/>
              <w:rPr>
                <w:sz w:val="16"/>
                <w:szCs w:val="16"/>
                <w:lang w:val="sr-Latn-ME"/>
              </w:rPr>
            </w:pPr>
          </w:p>
        </w:tc>
        <w:tc>
          <w:tcPr>
            <w:tcW w:w="1013" w:type="dxa"/>
            <w:vAlign w:val="center"/>
          </w:tcPr>
          <w:p w14:paraId="08C97313" w14:textId="77777777" w:rsidR="0075781B" w:rsidRPr="0023595B" w:rsidRDefault="0075781B" w:rsidP="00D55718">
            <w:pPr>
              <w:jc w:val="center"/>
              <w:rPr>
                <w:sz w:val="16"/>
                <w:szCs w:val="16"/>
                <w:lang w:val="sr-Latn-ME"/>
              </w:rPr>
            </w:pPr>
            <w:r w:rsidRPr="0023595B">
              <w:rPr>
                <w:sz w:val="16"/>
                <w:szCs w:val="16"/>
                <w:lang w:val="sr-Latn-ME"/>
              </w:rPr>
              <w:t>38,3%</w:t>
            </w:r>
          </w:p>
          <w:p w14:paraId="33505554" w14:textId="77777777" w:rsidR="0075781B" w:rsidRPr="0023595B" w:rsidRDefault="0075781B" w:rsidP="00D55718">
            <w:pPr>
              <w:jc w:val="center"/>
              <w:rPr>
                <w:sz w:val="16"/>
                <w:szCs w:val="16"/>
                <w:lang w:val="sr-Latn-ME"/>
              </w:rPr>
            </w:pPr>
            <w:r w:rsidRPr="0023595B">
              <w:rPr>
                <w:sz w:val="16"/>
                <w:szCs w:val="16"/>
                <w:lang w:val="sr-Latn-ME"/>
              </w:rPr>
              <w:t>(24,4; 52,1)</w:t>
            </w:r>
          </w:p>
          <w:p w14:paraId="2BE63E8D" w14:textId="77777777" w:rsidR="0075781B" w:rsidRPr="0023595B" w:rsidRDefault="0075781B" w:rsidP="00D55718">
            <w:pPr>
              <w:jc w:val="center"/>
              <w:rPr>
                <w:sz w:val="16"/>
                <w:szCs w:val="16"/>
                <w:lang w:val="sr-Latn-ME"/>
              </w:rPr>
            </w:pPr>
            <w:r w:rsidRPr="0023595B">
              <w:rPr>
                <w:sz w:val="16"/>
                <w:szCs w:val="16"/>
                <w:lang w:val="sr-Latn-ME"/>
              </w:rPr>
              <w:t>p&lt;0,0001</w:t>
            </w:r>
          </w:p>
        </w:tc>
        <w:tc>
          <w:tcPr>
            <w:tcW w:w="990" w:type="dxa"/>
            <w:vAlign w:val="center"/>
          </w:tcPr>
          <w:p w14:paraId="3AFA6231" w14:textId="77777777" w:rsidR="0075781B" w:rsidRPr="0023595B" w:rsidRDefault="0075781B" w:rsidP="00D55718">
            <w:pPr>
              <w:jc w:val="center"/>
              <w:rPr>
                <w:sz w:val="16"/>
                <w:szCs w:val="16"/>
                <w:lang w:val="sr-Latn-ME"/>
              </w:rPr>
            </w:pPr>
          </w:p>
        </w:tc>
        <w:tc>
          <w:tcPr>
            <w:tcW w:w="1080" w:type="dxa"/>
            <w:vAlign w:val="center"/>
          </w:tcPr>
          <w:p w14:paraId="3295C9C5" w14:textId="77777777" w:rsidR="0075781B" w:rsidRPr="0023595B" w:rsidRDefault="0075781B" w:rsidP="00D55718">
            <w:pPr>
              <w:jc w:val="center"/>
              <w:rPr>
                <w:sz w:val="16"/>
                <w:szCs w:val="16"/>
                <w:lang w:val="sr-Latn-ME"/>
              </w:rPr>
            </w:pPr>
            <w:r w:rsidRPr="0023595B">
              <w:rPr>
                <w:sz w:val="16"/>
                <w:szCs w:val="16"/>
                <w:lang w:val="sr-Latn-ME"/>
              </w:rPr>
              <w:t>27,9%</w:t>
            </w:r>
          </w:p>
          <w:p w14:paraId="376A477C" w14:textId="77777777" w:rsidR="0075781B" w:rsidRPr="0023595B" w:rsidRDefault="0075781B" w:rsidP="00D55718">
            <w:pPr>
              <w:jc w:val="center"/>
              <w:rPr>
                <w:sz w:val="16"/>
                <w:szCs w:val="16"/>
                <w:lang w:val="sr-Latn-ME"/>
              </w:rPr>
            </w:pPr>
            <w:r w:rsidRPr="0023595B">
              <w:rPr>
                <w:sz w:val="16"/>
                <w:szCs w:val="16"/>
                <w:lang w:val="sr-Latn-ME"/>
              </w:rPr>
              <w:t>(13,0; 42,7)</w:t>
            </w:r>
          </w:p>
          <w:p w14:paraId="03452D60" w14:textId="77777777" w:rsidR="0075781B" w:rsidRPr="0023595B" w:rsidRDefault="0075781B" w:rsidP="00D55718">
            <w:pPr>
              <w:jc w:val="center"/>
              <w:rPr>
                <w:sz w:val="16"/>
                <w:szCs w:val="16"/>
                <w:lang w:val="sr-Latn-ME"/>
              </w:rPr>
            </w:pPr>
            <w:r w:rsidRPr="0023595B">
              <w:rPr>
                <w:sz w:val="16"/>
                <w:szCs w:val="16"/>
                <w:lang w:val="sr-Latn-ME"/>
              </w:rPr>
              <w:t>p=0,0004</w:t>
            </w:r>
          </w:p>
        </w:tc>
        <w:tc>
          <w:tcPr>
            <w:tcW w:w="1080" w:type="dxa"/>
            <w:vAlign w:val="center"/>
          </w:tcPr>
          <w:p w14:paraId="0FEA80BD" w14:textId="77777777" w:rsidR="0075781B" w:rsidRPr="0023595B" w:rsidRDefault="0075781B" w:rsidP="00D55718">
            <w:pPr>
              <w:jc w:val="center"/>
              <w:rPr>
                <w:sz w:val="16"/>
                <w:szCs w:val="16"/>
                <w:lang w:val="sr-Latn-ME"/>
              </w:rPr>
            </w:pPr>
          </w:p>
        </w:tc>
        <w:tc>
          <w:tcPr>
            <w:tcW w:w="1170" w:type="dxa"/>
            <w:vAlign w:val="center"/>
          </w:tcPr>
          <w:p w14:paraId="3259835E" w14:textId="77777777" w:rsidR="0075781B" w:rsidRPr="0023595B" w:rsidRDefault="0075781B" w:rsidP="00D55718">
            <w:pPr>
              <w:jc w:val="center"/>
              <w:rPr>
                <w:sz w:val="16"/>
                <w:szCs w:val="16"/>
                <w:lang w:val="sr-Latn-ME"/>
              </w:rPr>
            </w:pPr>
            <w:r w:rsidRPr="0023595B">
              <w:rPr>
                <w:sz w:val="16"/>
                <w:szCs w:val="16"/>
                <w:lang w:val="sr-Latn-ME"/>
              </w:rPr>
              <w:t>28.0%</w:t>
            </w:r>
          </w:p>
          <w:p w14:paraId="2F117A2D" w14:textId="77777777" w:rsidR="0075781B" w:rsidRPr="0023595B" w:rsidRDefault="0075781B" w:rsidP="00D55718">
            <w:pPr>
              <w:jc w:val="center"/>
              <w:rPr>
                <w:sz w:val="16"/>
                <w:szCs w:val="16"/>
                <w:lang w:val="sr-Latn-ME"/>
              </w:rPr>
            </w:pPr>
            <w:r w:rsidRPr="0023595B">
              <w:rPr>
                <w:sz w:val="16"/>
                <w:szCs w:val="16"/>
                <w:lang w:val="sr-Latn-ME"/>
              </w:rPr>
              <w:t>(13,3; 42,6)</w:t>
            </w:r>
          </w:p>
          <w:p w14:paraId="4C88DFB2" w14:textId="77777777" w:rsidR="0075781B" w:rsidRPr="0023595B" w:rsidRDefault="0075781B" w:rsidP="00D55718">
            <w:pPr>
              <w:jc w:val="center"/>
              <w:rPr>
                <w:sz w:val="16"/>
                <w:szCs w:val="16"/>
                <w:lang w:val="sr-Latn-ME"/>
              </w:rPr>
            </w:pPr>
            <w:r w:rsidRPr="0023595B">
              <w:rPr>
                <w:sz w:val="16"/>
                <w:szCs w:val="16"/>
                <w:lang w:val="sr-Latn-ME"/>
              </w:rPr>
              <w:t>p=0,0004</w:t>
            </w:r>
          </w:p>
        </w:tc>
        <w:tc>
          <w:tcPr>
            <w:tcW w:w="1080" w:type="dxa"/>
            <w:vAlign w:val="center"/>
          </w:tcPr>
          <w:p w14:paraId="39FA9737" w14:textId="77777777" w:rsidR="0075781B" w:rsidRPr="0023595B" w:rsidRDefault="0075781B" w:rsidP="00D55718">
            <w:pPr>
              <w:jc w:val="center"/>
              <w:rPr>
                <w:sz w:val="16"/>
                <w:szCs w:val="16"/>
                <w:lang w:val="sr-Latn-ME"/>
              </w:rPr>
            </w:pPr>
          </w:p>
        </w:tc>
      </w:tr>
      <w:tr w:rsidR="0075781B" w:rsidRPr="0023595B" w14:paraId="06B95902" w14:textId="77777777" w:rsidTr="00D55718">
        <w:tc>
          <w:tcPr>
            <w:tcW w:w="1728" w:type="dxa"/>
          </w:tcPr>
          <w:p w14:paraId="43A37227" w14:textId="77777777" w:rsidR="0075781B" w:rsidRPr="0023595B" w:rsidRDefault="0075781B" w:rsidP="00D55718">
            <w:pPr>
              <w:rPr>
                <w:sz w:val="16"/>
                <w:szCs w:val="16"/>
                <w:lang w:val="sr-Latn-ME"/>
              </w:rPr>
            </w:pPr>
            <w:r w:rsidRPr="0023595B">
              <w:rPr>
                <w:sz w:val="16"/>
                <w:szCs w:val="16"/>
                <w:lang w:val="sr-Latn-ME"/>
              </w:rPr>
              <w:t>Srednja vrijednost promjene u BCVA</w:t>
            </w:r>
            <w:r w:rsidRPr="0023595B">
              <w:rPr>
                <w:sz w:val="16"/>
                <w:szCs w:val="16"/>
                <w:vertAlign w:val="superscript"/>
                <w:lang w:val="sr-Latn-ME"/>
              </w:rPr>
              <w:t>C)</w:t>
            </w:r>
            <w:r w:rsidRPr="0023595B">
              <w:rPr>
                <w:sz w:val="16"/>
                <w:szCs w:val="16"/>
                <w:lang w:val="sr-Latn-ME"/>
              </w:rPr>
              <w:t xml:space="preserve"> od početne vrijednosti mjereno pomoću ETDRS</w:t>
            </w:r>
            <w:r w:rsidRPr="0023595B">
              <w:rPr>
                <w:sz w:val="16"/>
                <w:szCs w:val="16"/>
                <w:vertAlign w:val="superscript"/>
                <w:lang w:val="sr-Latn-ME"/>
              </w:rPr>
              <w:t>C)</w:t>
            </w:r>
            <w:r w:rsidRPr="0023595B">
              <w:rPr>
                <w:sz w:val="16"/>
                <w:szCs w:val="16"/>
                <w:lang w:val="sr-Latn-ME"/>
              </w:rPr>
              <w:t xml:space="preserve"> skale za slova (SD)</w:t>
            </w:r>
          </w:p>
        </w:tc>
        <w:tc>
          <w:tcPr>
            <w:tcW w:w="1080" w:type="dxa"/>
            <w:vAlign w:val="center"/>
          </w:tcPr>
          <w:p w14:paraId="705F0839" w14:textId="77777777" w:rsidR="0075781B" w:rsidRPr="0023595B" w:rsidRDefault="0075781B" w:rsidP="00D55718">
            <w:pPr>
              <w:jc w:val="center"/>
              <w:rPr>
                <w:sz w:val="16"/>
                <w:szCs w:val="16"/>
                <w:lang w:val="sr-Latn-ME"/>
              </w:rPr>
            </w:pPr>
            <w:r w:rsidRPr="0023595B">
              <w:rPr>
                <w:sz w:val="16"/>
                <w:szCs w:val="16"/>
                <w:lang w:val="sr-Latn-ME"/>
              </w:rPr>
              <w:t xml:space="preserve">17,3 </w:t>
            </w:r>
          </w:p>
          <w:p w14:paraId="08CB6C8B" w14:textId="77777777" w:rsidR="0075781B" w:rsidRPr="0023595B" w:rsidRDefault="0075781B" w:rsidP="00D55718">
            <w:pPr>
              <w:jc w:val="center"/>
              <w:rPr>
                <w:sz w:val="16"/>
                <w:szCs w:val="16"/>
                <w:lang w:val="sr-Latn-ME"/>
              </w:rPr>
            </w:pPr>
            <w:r w:rsidRPr="0023595B">
              <w:rPr>
                <w:sz w:val="16"/>
                <w:szCs w:val="16"/>
                <w:lang w:val="sr-Latn-ME"/>
              </w:rPr>
              <w:t>(12,8)</w:t>
            </w:r>
          </w:p>
        </w:tc>
        <w:tc>
          <w:tcPr>
            <w:tcW w:w="990" w:type="dxa"/>
            <w:vAlign w:val="center"/>
          </w:tcPr>
          <w:p w14:paraId="7F0FD175" w14:textId="77777777" w:rsidR="0075781B" w:rsidRPr="0023595B" w:rsidRDefault="0075781B" w:rsidP="00D55718">
            <w:pPr>
              <w:jc w:val="center"/>
              <w:rPr>
                <w:sz w:val="16"/>
                <w:szCs w:val="16"/>
                <w:lang w:val="sr-Latn-ME"/>
              </w:rPr>
            </w:pPr>
            <w:r w:rsidRPr="0023595B">
              <w:rPr>
                <w:sz w:val="16"/>
                <w:szCs w:val="16"/>
                <w:lang w:val="sr-Latn-ME"/>
              </w:rPr>
              <w:t xml:space="preserve">-4,0 </w:t>
            </w:r>
          </w:p>
          <w:p w14:paraId="1CE361DA" w14:textId="77777777" w:rsidR="0075781B" w:rsidRPr="0023595B" w:rsidRDefault="0075781B" w:rsidP="00D55718">
            <w:pPr>
              <w:jc w:val="center"/>
              <w:rPr>
                <w:sz w:val="16"/>
                <w:szCs w:val="16"/>
                <w:lang w:val="sr-Latn-ME"/>
              </w:rPr>
            </w:pPr>
            <w:r w:rsidRPr="0023595B">
              <w:rPr>
                <w:sz w:val="16"/>
                <w:szCs w:val="16"/>
                <w:lang w:val="sr-Latn-ME"/>
              </w:rPr>
              <w:t>(18,0)</w:t>
            </w:r>
          </w:p>
        </w:tc>
        <w:tc>
          <w:tcPr>
            <w:tcW w:w="1080" w:type="dxa"/>
            <w:vAlign w:val="center"/>
          </w:tcPr>
          <w:p w14:paraId="5A2DB4D8" w14:textId="2BA9799B" w:rsidR="0075781B" w:rsidRPr="0023595B" w:rsidRDefault="0075781B" w:rsidP="00D55718">
            <w:pPr>
              <w:jc w:val="center"/>
              <w:rPr>
                <w:sz w:val="16"/>
                <w:szCs w:val="16"/>
                <w:lang w:val="sr-Latn-ME"/>
              </w:rPr>
            </w:pPr>
            <w:r w:rsidRPr="0023595B">
              <w:rPr>
                <w:sz w:val="16"/>
                <w:szCs w:val="16"/>
                <w:lang w:val="sr-Latn-ME"/>
              </w:rPr>
              <w:t xml:space="preserve">16,2 </w:t>
            </w:r>
          </w:p>
          <w:p w14:paraId="267FBBB4" w14:textId="77777777" w:rsidR="0075781B" w:rsidRPr="0023595B" w:rsidRDefault="0075781B" w:rsidP="00D55718">
            <w:pPr>
              <w:jc w:val="center"/>
              <w:rPr>
                <w:sz w:val="16"/>
                <w:szCs w:val="16"/>
                <w:lang w:val="sr-Latn-ME"/>
              </w:rPr>
            </w:pPr>
            <w:r w:rsidRPr="0023595B">
              <w:rPr>
                <w:sz w:val="16"/>
                <w:szCs w:val="16"/>
                <w:lang w:val="sr-Latn-ME"/>
              </w:rPr>
              <w:t>(17,4)</w:t>
            </w:r>
          </w:p>
        </w:tc>
        <w:tc>
          <w:tcPr>
            <w:tcW w:w="1080" w:type="dxa"/>
            <w:vAlign w:val="center"/>
          </w:tcPr>
          <w:p w14:paraId="0D50BE30" w14:textId="77777777" w:rsidR="0075781B" w:rsidRPr="0023595B" w:rsidRDefault="0075781B" w:rsidP="00D55718">
            <w:pPr>
              <w:jc w:val="center"/>
              <w:rPr>
                <w:sz w:val="16"/>
                <w:szCs w:val="16"/>
                <w:lang w:val="sr-Latn-ME"/>
              </w:rPr>
            </w:pPr>
            <w:r w:rsidRPr="0023595B">
              <w:rPr>
                <w:sz w:val="16"/>
                <w:szCs w:val="16"/>
                <w:lang w:val="sr-Latn-ME"/>
              </w:rPr>
              <w:t xml:space="preserve">3,8 </w:t>
            </w:r>
          </w:p>
          <w:p w14:paraId="6D9CEA16" w14:textId="77777777" w:rsidR="0075781B" w:rsidRPr="0023595B" w:rsidRDefault="0075781B" w:rsidP="00D55718">
            <w:pPr>
              <w:jc w:val="center"/>
              <w:rPr>
                <w:sz w:val="16"/>
                <w:szCs w:val="16"/>
                <w:lang w:val="sr-Latn-ME"/>
              </w:rPr>
            </w:pPr>
            <w:r w:rsidRPr="0023595B">
              <w:rPr>
                <w:sz w:val="16"/>
                <w:szCs w:val="16"/>
                <w:lang w:val="sr-Latn-ME"/>
              </w:rPr>
              <w:t>(17,1)</w:t>
            </w:r>
          </w:p>
        </w:tc>
        <w:tc>
          <w:tcPr>
            <w:tcW w:w="1057" w:type="dxa"/>
            <w:vAlign w:val="center"/>
          </w:tcPr>
          <w:p w14:paraId="37CD461A" w14:textId="77777777" w:rsidR="0075781B" w:rsidRPr="0023595B" w:rsidRDefault="0075781B" w:rsidP="00D55718">
            <w:pPr>
              <w:jc w:val="center"/>
              <w:rPr>
                <w:sz w:val="16"/>
                <w:szCs w:val="16"/>
                <w:lang w:val="sr-Latn-ME"/>
              </w:rPr>
            </w:pPr>
            <w:r w:rsidRPr="0023595B">
              <w:rPr>
                <w:sz w:val="16"/>
                <w:szCs w:val="16"/>
                <w:lang w:val="sr-Latn-ME"/>
              </w:rPr>
              <w:t xml:space="preserve">13,0 </w:t>
            </w:r>
          </w:p>
          <w:p w14:paraId="590733E0" w14:textId="77777777" w:rsidR="0075781B" w:rsidRPr="0023595B" w:rsidRDefault="0075781B" w:rsidP="00D55718">
            <w:pPr>
              <w:jc w:val="center"/>
              <w:rPr>
                <w:sz w:val="16"/>
                <w:szCs w:val="16"/>
                <w:lang w:val="sr-Latn-ME"/>
              </w:rPr>
            </w:pPr>
            <w:r w:rsidRPr="0023595B">
              <w:rPr>
                <w:sz w:val="16"/>
                <w:szCs w:val="16"/>
                <w:lang w:val="sr-Latn-ME"/>
              </w:rPr>
              <w:t>(17,7)</w:t>
            </w:r>
          </w:p>
        </w:tc>
        <w:tc>
          <w:tcPr>
            <w:tcW w:w="1170" w:type="dxa"/>
            <w:vAlign w:val="center"/>
          </w:tcPr>
          <w:p w14:paraId="045E0FD1" w14:textId="77777777" w:rsidR="0075781B" w:rsidRPr="0023595B" w:rsidRDefault="0075781B" w:rsidP="00D55718">
            <w:pPr>
              <w:jc w:val="center"/>
              <w:rPr>
                <w:sz w:val="16"/>
                <w:szCs w:val="16"/>
                <w:lang w:val="sr-Latn-ME"/>
              </w:rPr>
            </w:pPr>
            <w:r w:rsidRPr="0023595B">
              <w:rPr>
                <w:sz w:val="16"/>
                <w:szCs w:val="16"/>
                <w:lang w:val="sr-Latn-ME"/>
              </w:rPr>
              <w:t xml:space="preserve">1,5 </w:t>
            </w:r>
          </w:p>
          <w:p w14:paraId="27916692" w14:textId="77777777" w:rsidR="0075781B" w:rsidRPr="0023595B" w:rsidRDefault="0075781B" w:rsidP="00D55718">
            <w:pPr>
              <w:jc w:val="center"/>
              <w:rPr>
                <w:sz w:val="16"/>
                <w:szCs w:val="16"/>
                <w:lang w:val="sr-Latn-ME"/>
              </w:rPr>
            </w:pPr>
            <w:r w:rsidRPr="0023595B">
              <w:rPr>
                <w:sz w:val="16"/>
                <w:szCs w:val="16"/>
                <w:lang w:val="sr-Latn-ME"/>
              </w:rPr>
              <w:t>(17,7)</w:t>
            </w:r>
          </w:p>
        </w:tc>
        <w:tc>
          <w:tcPr>
            <w:tcW w:w="1013" w:type="dxa"/>
            <w:vAlign w:val="center"/>
          </w:tcPr>
          <w:p w14:paraId="1018B7DF" w14:textId="77777777" w:rsidR="0075781B" w:rsidRPr="0023595B" w:rsidRDefault="0075781B" w:rsidP="00D55718">
            <w:pPr>
              <w:jc w:val="center"/>
              <w:rPr>
                <w:sz w:val="16"/>
                <w:szCs w:val="16"/>
                <w:lang w:val="sr-Latn-ME"/>
              </w:rPr>
            </w:pPr>
            <w:r w:rsidRPr="0023595B">
              <w:rPr>
                <w:sz w:val="16"/>
                <w:szCs w:val="16"/>
                <w:lang w:val="sr-Latn-ME"/>
              </w:rPr>
              <w:t xml:space="preserve">18,0 </w:t>
            </w:r>
          </w:p>
          <w:p w14:paraId="1F52AEC5" w14:textId="77777777" w:rsidR="0075781B" w:rsidRPr="0023595B" w:rsidRDefault="0075781B" w:rsidP="00D55718">
            <w:pPr>
              <w:jc w:val="center"/>
              <w:rPr>
                <w:sz w:val="16"/>
                <w:szCs w:val="16"/>
                <w:lang w:val="sr-Latn-ME"/>
              </w:rPr>
            </w:pPr>
            <w:r w:rsidRPr="0023595B">
              <w:rPr>
                <w:sz w:val="16"/>
                <w:szCs w:val="16"/>
                <w:lang w:val="sr-Latn-ME"/>
              </w:rPr>
              <w:t>(12,2)</w:t>
            </w:r>
          </w:p>
        </w:tc>
        <w:tc>
          <w:tcPr>
            <w:tcW w:w="990" w:type="dxa"/>
            <w:vAlign w:val="center"/>
          </w:tcPr>
          <w:p w14:paraId="42077D5B" w14:textId="77777777" w:rsidR="0075781B" w:rsidRPr="0023595B" w:rsidRDefault="0075781B" w:rsidP="00D55718">
            <w:pPr>
              <w:jc w:val="center"/>
              <w:rPr>
                <w:sz w:val="16"/>
                <w:szCs w:val="16"/>
                <w:lang w:val="sr-Latn-ME"/>
              </w:rPr>
            </w:pPr>
            <w:r w:rsidRPr="0023595B">
              <w:rPr>
                <w:sz w:val="16"/>
                <w:szCs w:val="16"/>
                <w:lang w:val="sr-Latn-ME"/>
              </w:rPr>
              <w:t xml:space="preserve">3,3 </w:t>
            </w:r>
          </w:p>
          <w:p w14:paraId="3460D1F8" w14:textId="77777777" w:rsidR="0075781B" w:rsidRPr="0023595B" w:rsidRDefault="0075781B" w:rsidP="00D55718">
            <w:pPr>
              <w:jc w:val="center"/>
              <w:rPr>
                <w:sz w:val="16"/>
                <w:szCs w:val="16"/>
                <w:lang w:val="sr-Latn-ME"/>
              </w:rPr>
            </w:pPr>
            <w:r w:rsidRPr="0023595B">
              <w:rPr>
                <w:sz w:val="16"/>
                <w:szCs w:val="16"/>
                <w:lang w:val="sr-Latn-ME"/>
              </w:rPr>
              <w:t>(14,1)</w:t>
            </w:r>
          </w:p>
        </w:tc>
        <w:tc>
          <w:tcPr>
            <w:tcW w:w="1080" w:type="dxa"/>
            <w:vAlign w:val="center"/>
          </w:tcPr>
          <w:p w14:paraId="0163DCA2" w14:textId="77777777" w:rsidR="0075781B" w:rsidRPr="0023595B" w:rsidRDefault="0075781B" w:rsidP="00D55718">
            <w:pPr>
              <w:jc w:val="center"/>
              <w:rPr>
                <w:sz w:val="16"/>
                <w:szCs w:val="16"/>
                <w:lang w:val="sr-Latn-ME"/>
              </w:rPr>
            </w:pPr>
            <w:r w:rsidRPr="0023595B">
              <w:rPr>
                <w:sz w:val="16"/>
                <w:szCs w:val="16"/>
                <w:lang w:val="sr-Latn-ME"/>
              </w:rPr>
              <w:t xml:space="preserve">16,9 </w:t>
            </w:r>
          </w:p>
          <w:p w14:paraId="6F13D58A" w14:textId="77777777" w:rsidR="0075781B" w:rsidRPr="0023595B" w:rsidRDefault="0075781B" w:rsidP="00D55718">
            <w:pPr>
              <w:jc w:val="center"/>
              <w:rPr>
                <w:sz w:val="16"/>
                <w:szCs w:val="16"/>
                <w:lang w:val="sr-Latn-ME"/>
              </w:rPr>
            </w:pPr>
            <w:r w:rsidRPr="0023595B">
              <w:rPr>
                <w:sz w:val="16"/>
                <w:szCs w:val="16"/>
                <w:lang w:val="sr-Latn-ME"/>
              </w:rPr>
              <w:t>(14,8)</w:t>
            </w:r>
          </w:p>
        </w:tc>
        <w:tc>
          <w:tcPr>
            <w:tcW w:w="1080" w:type="dxa"/>
            <w:vAlign w:val="center"/>
          </w:tcPr>
          <w:p w14:paraId="66F41328" w14:textId="77777777" w:rsidR="0075781B" w:rsidRPr="0023595B" w:rsidRDefault="0075781B" w:rsidP="00D55718">
            <w:pPr>
              <w:jc w:val="center"/>
              <w:rPr>
                <w:sz w:val="16"/>
                <w:szCs w:val="16"/>
                <w:lang w:val="sr-Latn-ME"/>
              </w:rPr>
            </w:pPr>
            <w:r w:rsidRPr="0023595B">
              <w:rPr>
                <w:sz w:val="16"/>
                <w:szCs w:val="16"/>
                <w:lang w:val="sr-Latn-ME"/>
              </w:rPr>
              <w:t xml:space="preserve">3,8 </w:t>
            </w:r>
          </w:p>
          <w:p w14:paraId="3C8FCCDC" w14:textId="77777777" w:rsidR="0075781B" w:rsidRPr="0023595B" w:rsidRDefault="0075781B" w:rsidP="00D55718">
            <w:pPr>
              <w:jc w:val="center"/>
              <w:rPr>
                <w:sz w:val="16"/>
                <w:szCs w:val="16"/>
                <w:lang w:val="sr-Latn-ME"/>
              </w:rPr>
            </w:pPr>
            <w:r w:rsidRPr="0023595B">
              <w:rPr>
                <w:sz w:val="16"/>
                <w:szCs w:val="16"/>
                <w:lang w:val="sr-Latn-ME"/>
              </w:rPr>
              <w:t>(18,1)</w:t>
            </w:r>
          </w:p>
        </w:tc>
        <w:tc>
          <w:tcPr>
            <w:tcW w:w="1170" w:type="dxa"/>
            <w:vAlign w:val="center"/>
          </w:tcPr>
          <w:p w14:paraId="73B2D9E7" w14:textId="77777777" w:rsidR="0075781B" w:rsidRPr="0023595B" w:rsidRDefault="0075781B" w:rsidP="00D55718">
            <w:pPr>
              <w:jc w:val="center"/>
              <w:rPr>
                <w:sz w:val="16"/>
                <w:szCs w:val="16"/>
                <w:lang w:val="sr-Latn-ME"/>
              </w:rPr>
            </w:pPr>
            <w:r w:rsidRPr="0023595B">
              <w:rPr>
                <w:sz w:val="16"/>
                <w:szCs w:val="16"/>
                <w:lang w:val="sr-Latn-ME"/>
              </w:rPr>
              <w:t xml:space="preserve">13,7 </w:t>
            </w:r>
          </w:p>
          <w:p w14:paraId="2F5E65C9" w14:textId="77777777" w:rsidR="0075781B" w:rsidRPr="0023595B" w:rsidRDefault="0075781B" w:rsidP="00D55718">
            <w:pPr>
              <w:jc w:val="center"/>
              <w:rPr>
                <w:sz w:val="16"/>
                <w:szCs w:val="16"/>
                <w:lang w:val="sr-Latn-ME"/>
              </w:rPr>
            </w:pPr>
            <w:r w:rsidRPr="0023595B">
              <w:rPr>
                <w:sz w:val="16"/>
                <w:szCs w:val="16"/>
                <w:lang w:val="sr-Latn-ME"/>
              </w:rPr>
              <w:t>(17,8)</w:t>
            </w:r>
          </w:p>
        </w:tc>
        <w:tc>
          <w:tcPr>
            <w:tcW w:w="1080" w:type="dxa"/>
            <w:vAlign w:val="center"/>
          </w:tcPr>
          <w:p w14:paraId="53739507" w14:textId="77777777" w:rsidR="0075781B" w:rsidRPr="0023595B" w:rsidRDefault="0075781B" w:rsidP="00D55718">
            <w:pPr>
              <w:jc w:val="center"/>
              <w:rPr>
                <w:sz w:val="16"/>
                <w:szCs w:val="16"/>
                <w:lang w:val="sr-Latn-ME"/>
              </w:rPr>
            </w:pPr>
            <w:r w:rsidRPr="0023595B">
              <w:rPr>
                <w:sz w:val="16"/>
                <w:szCs w:val="16"/>
                <w:lang w:val="sr-Latn-ME"/>
              </w:rPr>
              <w:t xml:space="preserve">6,2 </w:t>
            </w:r>
          </w:p>
          <w:p w14:paraId="1429128D" w14:textId="77777777" w:rsidR="0075781B" w:rsidRPr="0023595B" w:rsidRDefault="0075781B" w:rsidP="00D55718">
            <w:pPr>
              <w:jc w:val="center"/>
              <w:rPr>
                <w:sz w:val="16"/>
                <w:szCs w:val="16"/>
                <w:lang w:val="sr-Latn-ME"/>
              </w:rPr>
            </w:pPr>
            <w:r w:rsidRPr="0023595B">
              <w:rPr>
                <w:sz w:val="16"/>
                <w:szCs w:val="16"/>
                <w:lang w:val="sr-Latn-ME"/>
              </w:rPr>
              <w:t>(17,7)</w:t>
            </w:r>
          </w:p>
        </w:tc>
      </w:tr>
      <w:tr w:rsidR="0075781B" w:rsidRPr="0023595B" w14:paraId="1E198CD1" w14:textId="77777777" w:rsidTr="00D55718">
        <w:tc>
          <w:tcPr>
            <w:tcW w:w="1728" w:type="dxa"/>
          </w:tcPr>
          <w:p w14:paraId="0F985488" w14:textId="77777777" w:rsidR="0075781B" w:rsidRPr="0023595B" w:rsidRDefault="0075781B" w:rsidP="00D55718">
            <w:pPr>
              <w:rPr>
                <w:sz w:val="16"/>
                <w:szCs w:val="16"/>
                <w:lang w:val="sr-Latn-ME"/>
              </w:rPr>
            </w:pPr>
            <w:r w:rsidRPr="0023595B">
              <w:rPr>
                <w:sz w:val="16"/>
                <w:szCs w:val="16"/>
                <w:lang w:val="sr-Latn-ME"/>
              </w:rPr>
              <w:t>Razlika u LS srednjoj vrijednosti</w:t>
            </w:r>
            <w:r w:rsidRPr="0023595B">
              <w:rPr>
                <w:sz w:val="16"/>
                <w:szCs w:val="16"/>
                <w:vertAlign w:val="superscript"/>
                <w:lang w:val="sr-Latn-ME"/>
              </w:rPr>
              <w:t>A,C,D,E)</w:t>
            </w:r>
            <w:r w:rsidRPr="0023595B">
              <w:rPr>
                <w:sz w:val="16"/>
                <w:szCs w:val="16"/>
                <w:lang w:val="sr-Latn-ME"/>
              </w:rPr>
              <w:t xml:space="preserve"> </w:t>
            </w:r>
          </w:p>
          <w:p w14:paraId="61EF9EBA" w14:textId="77777777" w:rsidR="0075781B" w:rsidRPr="0023595B" w:rsidRDefault="0075781B" w:rsidP="00D55718">
            <w:pPr>
              <w:rPr>
                <w:sz w:val="16"/>
                <w:szCs w:val="16"/>
                <w:lang w:val="sr-Latn-ME"/>
              </w:rPr>
            </w:pPr>
            <w:r w:rsidRPr="0023595B">
              <w:rPr>
                <w:sz w:val="16"/>
                <w:szCs w:val="16"/>
                <w:lang w:val="sr-Latn-ME"/>
              </w:rPr>
              <w:t>(95% CI)</w:t>
            </w:r>
          </w:p>
          <w:p w14:paraId="40A91DB0" w14:textId="77777777" w:rsidR="0075781B" w:rsidRPr="0023595B" w:rsidRDefault="0075781B" w:rsidP="00D55718">
            <w:pPr>
              <w:rPr>
                <w:sz w:val="16"/>
                <w:szCs w:val="16"/>
                <w:lang w:val="sr-Latn-ME"/>
              </w:rPr>
            </w:pPr>
            <w:r w:rsidRPr="0023595B">
              <w:rPr>
                <w:sz w:val="16"/>
                <w:szCs w:val="16"/>
                <w:lang w:val="sr-Latn-ME"/>
              </w:rPr>
              <w:t>p-vrijednost</w:t>
            </w:r>
          </w:p>
        </w:tc>
        <w:tc>
          <w:tcPr>
            <w:tcW w:w="1080" w:type="dxa"/>
            <w:vAlign w:val="center"/>
          </w:tcPr>
          <w:p w14:paraId="32E4B3CB" w14:textId="77777777" w:rsidR="0075781B" w:rsidRPr="0023595B" w:rsidRDefault="0075781B" w:rsidP="00D55718">
            <w:pPr>
              <w:jc w:val="center"/>
              <w:rPr>
                <w:sz w:val="16"/>
                <w:szCs w:val="16"/>
                <w:lang w:val="sr-Latn-ME"/>
              </w:rPr>
            </w:pPr>
            <w:r w:rsidRPr="0023595B">
              <w:rPr>
                <w:sz w:val="16"/>
                <w:szCs w:val="16"/>
                <w:lang w:val="sr-Latn-ME"/>
              </w:rPr>
              <w:t>21,7</w:t>
            </w:r>
          </w:p>
          <w:p w14:paraId="0AD237D5" w14:textId="77777777" w:rsidR="0075781B" w:rsidRPr="0023595B" w:rsidRDefault="0075781B" w:rsidP="00D55718">
            <w:pPr>
              <w:jc w:val="center"/>
              <w:rPr>
                <w:sz w:val="16"/>
                <w:szCs w:val="16"/>
                <w:lang w:val="sr-Latn-ME"/>
              </w:rPr>
            </w:pPr>
            <w:r w:rsidRPr="0023595B">
              <w:rPr>
                <w:sz w:val="16"/>
                <w:szCs w:val="16"/>
                <w:lang w:val="sr-Latn-ME"/>
              </w:rPr>
              <w:t>(17,4; 26,0)</w:t>
            </w:r>
          </w:p>
          <w:p w14:paraId="3DB4ABFD" w14:textId="77777777" w:rsidR="0075781B" w:rsidRPr="0023595B" w:rsidRDefault="0075781B" w:rsidP="00D55718">
            <w:pPr>
              <w:jc w:val="center"/>
              <w:rPr>
                <w:sz w:val="16"/>
                <w:szCs w:val="16"/>
                <w:lang w:val="sr-Latn-ME"/>
              </w:rPr>
            </w:pPr>
            <w:r w:rsidRPr="0023595B">
              <w:rPr>
                <w:sz w:val="16"/>
                <w:szCs w:val="16"/>
                <w:lang w:val="sr-Latn-ME"/>
              </w:rPr>
              <w:t>p&lt;0,0001</w:t>
            </w:r>
          </w:p>
        </w:tc>
        <w:tc>
          <w:tcPr>
            <w:tcW w:w="990" w:type="dxa"/>
            <w:vAlign w:val="center"/>
          </w:tcPr>
          <w:p w14:paraId="5736D8EF" w14:textId="77777777" w:rsidR="0075781B" w:rsidRPr="0023595B" w:rsidRDefault="0075781B" w:rsidP="00D55718">
            <w:pPr>
              <w:jc w:val="center"/>
              <w:rPr>
                <w:sz w:val="16"/>
                <w:szCs w:val="16"/>
                <w:lang w:val="sr-Latn-ME"/>
              </w:rPr>
            </w:pPr>
          </w:p>
        </w:tc>
        <w:tc>
          <w:tcPr>
            <w:tcW w:w="1080" w:type="dxa"/>
            <w:vAlign w:val="center"/>
          </w:tcPr>
          <w:p w14:paraId="6E2D225C" w14:textId="01B1E7D1" w:rsidR="0075781B" w:rsidRPr="0023595B" w:rsidRDefault="0075781B" w:rsidP="00D55718">
            <w:pPr>
              <w:jc w:val="center"/>
              <w:rPr>
                <w:sz w:val="16"/>
                <w:szCs w:val="16"/>
                <w:lang w:val="sr-Latn-ME"/>
              </w:rPr>
            </w:pPr>
            <w:r w:rsidRPr="0023595B">
              <w:rPr>
                <w:sz w:val="16"/>
                <w:szCs w:val="16"/>
                <w:lang w:val="sr-Latn-ME"/>
              </w:rPr>
              <w:t>12,7</w:t>
            </w:r>
          </w:p>
          <w:p w14:paraId="548C25F2" w14:textId="77777777" w:rsidR="0075781B" w:rsidRPr="0023595B" w:rsidRDefault="0075781B" w:rsidP="00D55718">
            <w:pPr>
              <w:jc w:val="center"/>
              <w:rPr>
                <w:sz w:val="16"/>
                <w:szCs w:val="16"/>
                <w:lang w:val="sr-Latn-ME"/>
              </w:rPr>
            </w:pPr>
            <w:r w:rsidRPr="0023595B">
              <w:rPr>
                <w:sz w:val="16"/>
                <w:szCs w:val="16"/>
                <w:lang w:val="sr-Latn-ME"/>
              </w:rPr>
              <w:t>(7,7; 17,7)</w:t>
            </w:r>
          </w:p>
          <w:p w14:paraId="1F989EF1" w14:textId="77777777" w:rsidR="0075781B" w:rsidRPr="0023595B" w:rsidRDefault="0075781B" w:rsidP="00D55718">
            <w:pPr>
              <w:jc w:val="center"/>
              <w:rPr>
                <w:sz w:val="16"/>
                <w:szCs w:val="16"/>
                <w:lang w:val="sr-Latn-ME"/>
              </w:rPr>
            </w:pPr>
            <w:r w:rsidRPr="0023595B">
              <w:rPr>
                <w:sz w:val="16"/>
                <w:szCs w:val="16"/>
                <w:lang w:val="sr-Latn-ME"/>
              </w:rPr>
              <w:t>p&lt;0,0001</w:t>
            </w:r>
          </w:p>
        </w:tc>
        <w:tc>
          <w:tcPr>
            <w:tcW w:w="1080" w:type="dxa"/>
            <w:vAlign w:val="center"/>
          </w:tcPr>
          <w:p w14:paraId="3D1637DA" w14:textId="77777777" w:rsidR="0075781B" w:rsidRPr="0023595B" w:rsidRDefault="0075781B" w:rsidP="00D55718">
            <w:pPr>
              <w:jc w:val="center"/>
              <w:rPr>
                <w:sz w:val="16"/>
                <w:szCs w:val="16"/>
                <w:lang w:val="sr-Latn-ME"/>
              </w:rPr>
            </w:pPr>
          </w:p>
        </w:tc>
        <w:tc>
          <w:tcPr>
            <w:tcW w:w="1057" w:type="dxa"/>
            <w:vAlign w:val="center"/>
          </w:tcPr>
          <w:p w14:paraId="186977CC" w14:textId="77777777" w:rsidR="0075781B" w:rsidRPr="0023595B" w:rsidRDefault="0075781B" w:rsidP="00D55718">
            <w:pPr>
              <w:jc w:val="center"/>
              <w:rPr>
                <w:sz w:val="16"/>
                <w:szCs w:val="16"/>
                <w:lang w:val="sr-Latn-ME"/>
              </w:rPr>
            </w:pPr>
            <w:r w:rsidRPr="0023595B">
              <w:rPr>
                <w:sz w:val="16"/>
                <w:szCs w:val="16"/>
                <w:lang w:val="sr-Latn-ME"/>
              </w:rPr>
              <w:t>11,8</w:t>
            </w:r>
          </w:p>
          <w:p w14:paraId="2125792B" w14:textId="77777777" w:rsidR="0075781B" w:rsidRPr="0023595B" w:rsidRDefault="0075781B" w:rsidP="00D55718">
            <w:pPr>
              <w:jc w:val="center"/>
              <w:rPr>
                <w:sz w:val="16"/>
                <w:szCs w:val="16"/>
                <w:lang w:val="sr-Latn-ME"/>
              </w:rPr>
            </w:pPr>
            <w:r w:rsidRPr="0023595B">
              <w:rPr>
                <w:sz w:val="16"/>
                <w:szCs w:val="16"/>
                <w:lang w:val="sr-Latn-ME"/>
              </w:rPr>
              <w:t>(6,7; 17,0)</w:t>
            </w:r>
          </w:p>
          <w:p w14:paraId="35A638F8" w14:textId="77777777" w:rsidR="0075781B" w:rsidRPr="0023595B" w:rsidRDefault="0075781B" w:rsidP="00D55718">
            <w:pPr>
              <w:jc w:val="center"/>
              <w:rPr>
                <w:sz w:val="16"/>
                <w:szCs w:val="16"/>
                <w:lang w:val="sr-Latn-ME"/>
              </w:rPr>
            </w:pPr>
            <w:r w:rsidRPr="0023595B">
              <w:rPr>
                <w:sz w:val="16"/>
                <w:szCs w:val="16"/>
                <w:lang w:val="sr-Latn-ME"/>
              </w:rPr>
              <w:t>p&lt;0,0001</w:t>
            </w:r>
          </w:p>
        </w:tc>
        <w:tc>
          <w:tcPr>
            <w:tcW w:w="1170" w:type="dxa"/>
            <w:vAlign w:val="center"/>
          </w:tcPr>
          <w:p w14:paraId="44E44D79" w14:textId="77777777" w:rsidR="0075781B" w:rsidRPr="0023595B" w:rsidRDefault="0075781B" w:rsidP="00D55718">
            <w:pPr>
              <w:jc w:val="center"/>
              <w:rPr>
                <w:sz w:val="16"/>
                <w:szCs w:val="16"/>
                <w:lang w:val="sr-Latn-ME"/>
              </w:rPr>
            </w:pPr>
          </w:p>
        </w:tc>
        <w:tc>
          <w:tcPr>
            <w:tcW w:w="1013" w:type="dxa"/>
            <w:vAlign w:val="center"/>
          </w:tcPr>
          <w:p w14:paraId="057CEA76" w14:textId="77777777" w:rsidR="0075781B" w:rsidRPr="0023595B" w:rsidRDefault="0075781B" w:rsidP="00D55718">
            <w:pPr>
              <w:jc w:val="center"/>
              <w:rPr>
                <w:sz w:val="16"/>
                <w:szCs w:val="16"/>
                <w:lang w:val="sr-Latn-ME"/>
              </w:rPr>
            </w:pPr>
            <w:r w:rsidRPr="0023595B">
              <w:rPr>
                <w:sz w:val="16"/>
                <w:szCs w:val="16"/>
                <w:lang w:val="sr-Latn-ME"/>
              </w:rPr>
              <w:t>14,7</w:t>
            </w:r>
          </w:p>
          <w:p w14:paraId="243B59A1" w14:textId="77777777" w:rsidR="0075781B" w:rsidRPr="0023595B" w:rsidRDefault="0075781B" w:rsidP="00D55718">
            <w:pPr>
              <w:jc w:val="center"/>
              <w:rPr>
                <w:sz w:val="16"/>
                <w:szCs w:val="16"/>
                <w:lang w:val="sr-Latn-ME"/>
              </w:rPr>
            </w:pPr>
            <w:r w:rsidRPr="0023595B">
              <w:rPr>
                <w:sz w:val="16"/>
                <w:szCs w:val="16"/>
                <w:lang w:val="sr-Latn-ME"/>
              </w:rPr>
              <w:t>(10,8; 18,7)</w:t>
            </w:r>
          </w:p>
          <w:p w14:paraId="13EA4823" w14:textId="77777777" w:rsidR="0075781B" w:rsidRPr="0023595B" w:rsidRDefault="0075781B" w:rsidP="00D55718">
            <w:pPr>
              <w:jc w:val="center"/>
              <w:rPr>
                <w:sz w:val="16"/>
                <w:szCs w:val="16"/>
                <w:lang w:val="sr-Latn-ME"/>
              </w:rPr>
            </w:pPr>
            <w:r w:rsidRPr="0023595B">
              <w:rPr>
                <w:sz w:val="16"/>
                <w:szCs w:val="16"/>
                <w:lang w:val="sr-Latn-ME"/>
              </w:rPr>
              <w:t>p&lt;0,0001</w:t>
            </w:r>
          </w:p>
        </w:tc>
        <w:tc>
          <w:tcPr>
            <w:tcW w:w="990" w:type="dxa"/>
            <w:vAlign w:val="center"/>
          </w:tcPr>
          <w:p w14:paraId="1DDE279B" w14:textId="77777777" w:rsidR="0075781B" w:rsidRPr="0023595B" w:rsidRDefault="0075781B" w:rsidP="00D55718">
            <w:pPr>
              <w:jc w:val="center"/>
              <w:rPr>
                <w:sz w:val="16"/>
                <w:szCs w:val="16"/>
                <w:lang w:val="sr-Latn-ME"/>
              </w:rPr>
            </w:pPr>
          </w:p>
        </w:tc>
        <w:tc>
          <w:tcPr>
            <w:tcW w:w="1080" w:type="dxa"/>
            <w:vAlign w:val="center"/>
          </w:tcPr>
          <w:p w14:paraId="6EA22452" w14:textId="77777777" w:rsidR="0075781B" w:rsidRPr="0023595B" w:rsidRDefault="0075781B" w:rsidP="00D55718">
            <w:pPr>
              <w:jc w:val="center"/>
              <w:rPr>
                <w:sz w:val="16"/>
                <w:szCs w:val="16"/>
                <w:lang w:val="sr-Latn-ME"/>
              </w:rPr>
            </w:pPr>
            <w:r w:rsidRPr="0023595B">
              <w:rPr>
                <w:sz w:val="16"/>
                <w:szCs w:val="16"/>
                <w:lang w:val="sr-Latn-ME"/>
              </w:rPr>
              <w:t>13,2</w:t>
            </w:r>
          </w:p>
          <w:p w14:paraId="5D5854C6" w14:textId="77777777" w:rsidR="0075781B" w:rsidRPr="0023595B" w:rsidRDefault="0075781B" w:rsidP="00D55718">
            <w:pPr>
              <w:jc w:val="center"/>
              <w:rPr>
                <w:sz w:val="16"/>
                <w:szCs w:val="16"/>
                <w:lang w:val="sr-Latn-ME"/>
              </w:rPr>
            </w:pPr>
            <w:r w:rsidRPr="0023595B">
              <w:rPr>
                <w:sz w:val="16"/>
                <w:szCs w:val="16"/>
                <w:lang w:val="sr-Latn-ME"/>
              </w:rPr>
              <w:t>(8,2; 18,2)</w:t>
            </w:r>
          </w:p>
          <w:p w14:paraId="20B91ADB" w14:textId="77777777" w:rsidR="0075781B" w:rsidRPr="0023595B" w:rsidRDefault="0075781B" w:rsidP="00D55718">
            <w:pPr>
              <w:jc w:val="center"/>
              <w:rPr>
                <w:sz w:val="16"/>
                <w:szCs w:val="16"/>
                <w:lang w:val="sr-Latn-ME"/>
              </w:rPr>
            </w:pPr>
            <w:r w:rsidRPr="0023595B">
              <w:rPr>
                <w:sz w:val="16"/>
                <w:szCs w:val="16"/>
                <w:lang w:val="sr-Latn-ME"/>
              </w:rPr>
              <w:t>p&lt;0,0001</w:t>
            </w:r>
          </w:p>
        </w:tc>
        <w:tc>
          <w:tcPr>
            <w:tcW w:w="1080" w:type="dxa"/>
            <w:vAlign w:val="center"/>
          </w:tcPr>
          <w:p w14:paraId="7847FEC0" w14:textId="77777777" w:rsidR="0075781B" w:rsidRPr="0023595B" w:rsidRDefault="0075781B" w:rsidP="00D55718">
            <w:pPr>
              <w:jc w:val="center"/>
              <w:rPr>
                <w:sz w:val="16"/>
                <w:szCs w:val="16"/>
                <w:lang w:val="sr-Latn-ME"/>
              </w:rPr>
            </w:pPr>
          </w:p>
        </w:tc>
        <w:tc>
          <w:tcPr>
            <w:tcW w:w="1170" w:type="dxa"/>
            <w:vAlign w:val="center"/>
          </w:tcPr>
          <w:p w14:paraId="7D04F89E" w14:textId="77777777" w:rsidR="0075781B" w:rsidRPr="0023595B" w:rsidRDefault="0075781B" w:rsidP="00D55718">
            <w:pPr>
              <w:jc w:val="center"/>
              <w:rPr>
                <w:sz w:val="16"/>
                <w:szCs w:val="16"/>
                <w:lang w:val="sr-Latn-ME"/>
              </w:rPr>
            </w:pPr>
            <w:r w:rsidRPr="0023595B">
              <w:rPr>
                <w:sz w:val="16"/>
                <w:szCs w:val="16"/>
                <w:lang w:val="sr-Latn-ME"/>
              </w:rPr>
              <w:t>7,6 (2,1; 13,1)</w:t>
            </w:r>
          </w:p>
          <w:p w14:paraId="42C2C2C1" w14:textId="77777777" w:rsidR="0075781B" w:rsidRPr="0023595B" w:rsidRDefault="0075781B" w:rsidP="00D55718">
            <w:pPr>
              <w:jc w:val="center"/>
              <w:rPr>
                <w:sz w:val="16"/>
                <w:szCs w:val="16"/>
                <w:lang w:val="sr-Latn-ME"/>
              </w:rPr>
            </w:pPr>
            <w:r w:rsidRPr="0023595B">
              <w:rPr>
                <w:sz w:val="16"/>
                <w:szCs w:val="16"/>
                <w:lang w:val="sr-Latn-ME"/>
              </w:rPr>
              <w:t>p=0,0070</w:t>
            </w:r>
          </w:p>
        </w:tc>
        <w:tc>
          <w:tcPr>
            <w:tcW w:w="1080" w:type="dxa"/>
            <w:vAlign w:val="center"/>
          </w:tcPr>
          <w:p w14:paraId="44B63B9B" w14:textId="77777777" w:rsidR="0075781B" w:rsidRPr="0023595B" w:rsidRDefault="0075781B" w:rsidP="00D55718">
            <w:pPr>
              <w:jc w:val="center"/>
              <w:rPr>
                <w:sz w:val="16"/>
                <w:szCs w:val="16"/>
                <w:lang w:val="sr-Latn-ME"/>
              </w:rPr>
            </w:pPr>
          </w:p>
        </w:tc>
      </w:tr>
    </w:tbl>
    <w:p w14:paraId="553BE9CB" w14:textId="77777777" w:rsidR="0075781B" w:rsidRPr="0023595B" w:rsidRDefault="0075781B" w:rsidP="0075781B">
      <w:pPr>
        <w:pStyle w:val="ListParagraph"/>
        <w:numPr>
          <w:ilvl w:val="0"/>
          <w:numId w:val="16"/>
        </w:numPr>
        <w:ind w:left="270" w:hanging="270"/>
        <w:rPr>
          <w:sz w:val="20"/>
          <w:szCs w:val="20"/>
          <w:lang w:val="sr-Latn-ME"/>
        </w:rPr>
      </w:pPr>
      <w:r w:rsidRPr="0023595B">
        <w:rPr>
          <w:sz w:val="20"/>
          <w:szCs w:val="20"/>
          <w:lang w:val="sr-Latn-ME"/>
        </w:rPr>
        <w:t>Razlika je Eylea 2 mg svake 4 nedjelje minus kontrolna.</w:t>
      </w:r>
    </w:p>
    <w:p w14:paraId="7684EF9A" w14:textId="77777777" w:rsidR="0075781B" w:rsidRPr="0023595B" w:rsidRDefault="0075781B" w:rsidP="0075781B">
      <w:pPr>
        <w:pStyle w:val="ListParagraph"/>
        <w:numPr>
          <w:ilvl w:val="0"/>
          <w:numId w:val="16"/>
        </w:numPr>
        <w:ind w:left="270" w:hanging="270"/>
        <w:rPr>
          <w:sz w:val="20"/>
          <w:szCs w:val="20"/>
          <w:lang w:val="sr-Latn-ME"/>
        </w:rPr>
      </w:pPr>
      <w:r w:rsidRPr="0023595B">
        <w:rPr>
          <w:sz w:val="20"/>
          <w:szCs w:val="20"/>
          <w:lang w:val="sr-Latn-ME"/>
        </w:rPr>
        <w:t xml:space="preserve">Razlika i interval pouzdanosti (CI) izračunati su pomoću Cochran-Mantel-Haenszelovog (CMH) testa prilagođenog za region (Amerika naspram ostatka svijeta u ispitivanju COPERNICUS i Evropa naspram Azija/Pacifik u ispitivanju GALILEO) i početnu BCVA kategoriju (&gt; 20/200 i ≤ 20/200) </w:t>
      </w:r>
    </w:p>
    <w:p w14:paraId="64E8E57F" w14:textId="4F41FF4D" w:rsidR="0075781B" w:rsidRPr="0023595B" w:rsidRDefault="0075781B" w:rsidP="0075781B">
      <w:pPr>
        <w:pStyle w:val="ListParagraph"/>
        <w:numPr>
          <w:ilvl w:val="0"/>
          <w:numId w:val="16"/>
        </w:numPr>
        <w:ind w:left="270" w:hanging="270"/>
        <w:rPr>
          <w:sz w:val="20"/>
          <w:szCs w:val="20"/>
          <w:lang w:val="sr-Latn-ME"/>
        </w:rPr>
      </w:pPr>
      <w:r w:rsidRPr="0023595B">
        <w:rPr>
          <w:sz w:val="20"/>
          <w:szCs w:val="20"/>
          <w:lang w:val="sr-Latn-ME"/>
        </w:rPr>
        <w:t xml:space="preserve">BCVA: najbolje korigovana oštrina vida </w:t>
      </w:r>
    </w:p>
    <w:p w14:paraId="55B93165" w14:textId="77777777" w:rsidR="0075781B" w:rsidRPr="0023595B" w:rsidRDefault="0075781B" w:rsidP="0075781B">
      <w:pPr>
        <w:ind w:left="270"/>
        <w:rPr>
          <w:sz w:val="20"/>
          <w:szCs w:val="20"/>
          <w:lang w:val="sr-Latn-ME"/>
        </w:rPr>
      </w:pPr>
      <w:r w:rsidRPr="0023595B">
        <w:rPr>
          <w:sz w:val="20"/>
          <w:szCs w:val="20"/>
          <w:lang w:val="sr-Latn-ME"/>
        </w:rPr>
        <w:t>ETDRS: Ispitivanje ranog liječenja dijabetičke retinopatije</w:t>
      </w:r>
    </w:p>
    <w:p w14:paraId="3CA8DDFD" w14:textId="77777777" w:rsidR="0075781B" w:rsidRPr="0023595B" w:rsidRDefault="0075781B" w:rsidP="0075781B">
      <w:pPr>
        <w:ind w:left="270"/>
        <w:rPr>
          <w:sz w:val="20"/>
          <w:szCs w:val="20"/>
          <w:lang w:val="sr-Latn-ME"/>
        </w:rPr>
      </w:pPr>
      <w:r w:rsidRPr="0023595B">
        <w:rPr>
          <w:sz w:val="20"/>
          <w:szCs w:val="20"/>
          <w:lang w:val="sr-Latn-ME"/>
        </w:rPr>
        <w:t xml:space="preserve">LOCF: Posljednje mjerenje preneseno dalje </w:t>
      </w:r>
    </w:p>
    <w:p w14:paraId="3558F4C6" w14:textId="77777777" w:rsidR="0075781B" w:rsidRPr="0023595B" w:rsidRDefault="0075781B" w:rsidP="0075781B">
      <w:pPr>
        <w:ind w:left="270"/>
        <w:rPr>
          <w:sz w:val="20"/>
          <w:szCs w:val="20"/>
          <w:lang w:val="sr-Latn-ME"/>
        </w:rPr>
      </w:pPr>
      <w:r w:rsidRPr="0023595B">
        <w:rPr>
          <w:sz w:val="20"/>
          <w:szCs w:val="20"/>
          <w:lang w:val="sr-Latn-ME"/>
        </w:rPr>
        <w:t>SD: Standardna devijacija</w:t>
      </w:r>
    </w:p>
    <w:p w14:paraId="30B31CCF" w14:textId="52EEEFC7" w:rsidR="0075781B" w:rsidRPr="0023595B" w:rsidRDefault="0075781B" w:rsidP="0075781B">
      <w:pPr>
        <w:ind w:left="270"/>
        <w:rPr>
          <w:sz w:val="20"/>
          <w:szCs w:val="20"/>
          <w:lang w:val="sr-Latn-ME"/>
        </w:rPr>
      </w:pPr>
      <w:r w:rsidRPr="0023595B">
        <w:rPr>
          <w:sz w:val="20"/>
          <w:szCs w:val="20"/>
          <w:lang w:val="sr-Latn-ME"/>
        </w:rPr>
        <w:t xml:space="preserve">LS: Najmanji kvadrat prosjeka izveden iz ANCOVA-e </w:t>
      </w:r>
    </w:p>
    <w:p w14:paraId="6264F29C" w14:textId="77777777" w:rsidR="0075781B" w:rsidRPr="0023595B" w:rsidRDefault="0075781B" w:rsidP="0075781B">
      <w:pPr>
        <w:pStyle w:val="ListParagraph"/>
        <w:numPr>
          <w:ilvl w:val="0"/>
          <w:numId w:val="16"/>
        </w:numPr>
        <w:ind w:left="270" w:hanging="270"/>
        <w:rPr>
          <w:sz w:val="20"/>
          <w:szCs w:val="20"/>
          <w:lang w:val="sr-Latn-ME"/>
        </w:rPr>
      </w:pPr>
      <w:r w:rsidRPr="0023595B">
        <w:rPr>
          <w:sz w:val="20"/>
          <w:szCs w:val="20"/>
          <w:lang w:val="sr-Latn-ME"/>
        </w:rPr>
        <w:t>LS projsečne razlike i intervala pouzdanosti na osnovu ANCOVA modela sa faktorima terapijske grupe, regiona (Amerika naspram ostatka svijeta u ispitivanju COPERNICUS i Evropa naspram Azija/Pacifik u ispitivanju GALILEO) i početnom BCVA kategorijom (&gt; 20/200 i ≤ 20/200)</w:t>
      </w:r>
    </w:p>
    <w:p w14:paraId="55BC3A77" w14:textId="5F907196" w:rsidR="0075781B" w:rsidRPr="0023595B" w:rsidRDefault="0075781B" w:rsidP="0075781B">
      <w:pPr>
        <w:pStyle w:val="ListParagraph"/>
        <w:numPr>
          <w:ilvl w:val="0"/>
          <w:numId w:val="16"/>
        </w:numPr>
        <w:ind w:left="270" w:hanging="270"/>
        <w:rPr>
          <w:sz w:val="20"/>
          <w:szCs w:val="20"/>
          <w:lang w:val="sr-Latn-ME"/>
        </w:rPr>
      </w:pPr>
      <w:r w:rsidRPr="0023595B">
        <w:rPr>
          <w:sz w:val="20"/>
          <w:szCs w:val="20"/>
          <w:lang w:val="sr-Latn-ME"/>
        </w:rPr>
        <w:t>U ispitivanju COPERNICUS, pacijenti u kontrolnoj grupi mogli su primiti lijek Eylea po potrebi sa učestalošću i na svake 4 nedjelje u periodu od 24. do 52. nedjelje; pacijenti su imali kontrolne preglede na svake 4 nedjelje.</w:t>
      </w:r>
    </w:p>
    <w:p w14:paraId="311BC15F" w14:textId="5E0B2AA6" w:rsidR="0075781B" w:rsidRPr="0023595B" w:rsidRDefault="0075781B" w:rsidP="0075781B">
      <w:pPr>
        <w:pStyle w:val="ListParagraph"/>
        <w:numPr>
          <w:ilvl w:val="0"/>
          <w:numId w:val="16"/>
        </w:numPr>
        <w:ind w:left="270" w:hanging="270"/>
        <w:rPr>
          <w:sz w:val="20"/>
          <w:szCs w:val="20"/>
          <w:lang w:val="sr-Latn-ME"/>
        </w:rPr>
      </w:pPr>
      <w:r w:rsidRPr="0023595B">
        <w:rPr>
          <w:sz w:val="20"/>
          <w:szCs w:val="20"/>
          <w:lang w:val="sr-Latn-ME"/>
        </w:rPr>
        <w:t>U ispitivanju COPERNICUS, i kontrolna grupa i pacijenti liječeni lijekom Eylea od 2 mg primali su lijek Eylea od 2 mg po potrebi sa učestalošću od čak svake 4 nedjelje počevši od 52. do 96. nedjelje pacijenti su imali obavezne kvartalne kontrolne preglede, ukoliko je bilo potrebe, pregledi su obavljani i na svake četiri nedjelje.</w:t>
      </w:r>
    </w:p>
    <w:p w14:paraId="10D620B2" w14:textId="09B8E05A" w:rsidR="0075781B" w:rsidRPr="0023595B" w:rsidRDefault="0075781B" w:rsidP="0075781B">
      <w:pPr>
        <w:pStyle w:val="ListParagraph"/>
        <w:numPr>
          <w:ilvl w:val="0"/>
          <w:numId w:val="16"/>
        </w:numPr>
        <w:ind w:left="270" w:hanging="270"/>
        <w:rPr>
          <w:sz w:val="20"/>
          <w:szCs w:val="20"/>
          <w:lang w:val="sr-Latn-ME"/>
        </w:rPr>
      </w:pPr>
      <w:r w:rsidRPr="0023595B">
        <w:rPr>
          <w:sz w:val="20"/>
          <w:szCs w:val="20"/>
          <w:lang w:val="sr-Latn-ME"/>
        </w:rPr>
        <w:t>U ispitivanju GALILEO, i kontrolna grupa i pacijenti liječeni lijekom Eylea od 2 mg primali su lijek Eylea od 2 mg po potrebi svakih 8 nedjelja počevši od 52. do 68. nedjelje pacijenti su imale obavezne kontrolne preglede na svakih 8 nedjelja.</w:t>
      </w:r>
    </w:p>
    <w:p w14:paraId="01B11593" w14:textId="32F3F76B" w:rsidR="00B20CE0" w:rsidRDefault="00B20CE0" w:rsidP="0075781B">
      <w:pPr>
        <w:rPr>
          <w:szCs w:val="22"/>
          <w:lang w:val="sr-Latn-ME"/>
        </w:rPr>
      </w:pPr>
    </w:p>
    <w:p w14:paraId="53E53333" w14:textId="77777777" w:rsidR="00B20CE0" w:rsidRPr="00B20CE0" w:rsidRDefault="00B20CE0">
      <w:pPr>
        <w:rPr>
          <w:szCs w:val="22"/>
          <w:lang w:val="sr-Latn-ME"/>
        </w:rPr>
      </w:pPr>
    </w:p>
    <w:p w14:paraId="1FC58E59" w14:textId="77777777" w:rsidR="00B20CE0" w:rsidRPr="00B20CE0" w:rsidRDefault="00B20CE0">
      <w:pPr>
        <w:rPr>
          <w:szCs w:val="22"/>
          <w:lang w:val="sr-Latn-ME"/>
        </w:rPr>
      </w:pPr>
    </w:p>
    <w:p w14:paraId="109026DD" w14:textId="77777777" w:rsidR="00B20CE0" w:rsidRPr="00B20CE0" w:rsidRDefault="00B20CE0" w:rsidP="00587D79">
      <w:pPr>
        <w:jc w:val="center"/>
        <w:rPr>
          <w:szCs w:val="22"/>
          <w:lang w:val="sr-Latn-ME"/>
        </w:rPr>
      </w:pPr>
    </w:p>
    <w:p w14:paraId="54678A3A" w14:textId="082062C3" w:rsidR="00422BA7" w:rsidRDefault="00422BA7" w:rsidP="00587D79">
      <w:pPr>
        <w:tabs>
          <w:tab w:val="center" w:pos="7470"/>
        </w:tabs>
        <w:rPr>
          <w:szCs w:val="22"/>
          <w:lang w:val="sr-Latn-ME"/>
        </w:rPr>
        <w:sectPr w:rsidR="00422BA7" w:rsidSect="00710313">
          <w:pgSz w:w="16840" w:h="11907" w:orient="landscape" w:code="9"/>
          <w:pgMar w:top="1138" w:right="907" w:bottom="1138" w:left="993" w:header="360" w:footer="806" w:gutter="0"/>
          <w:pgNumType w:start="14"/>
          <w:cols w:space="720"/>
          <w:docGrid w:linePitch="360"/>
        </w:sectPr>
      </w:pPr>
    </w:p>
    <w:p w14:paraId="019551C4" w14:textId="0427CD4C" w:rsidR="0075781B" w:rsidRPr="0023595B" w:rsidRDefault="0075781B" w:rsidP="0075781B">
      <w:pPr>
        <w:ind w:left="709" w:hanging="709"/>
        <w:jc w:val="both"/>
        <w:rPr>
          <w:sz w:val="22"/>
          <w:szCs w:val="22"/>
          <w:lang w:val="sr-Latn-ME"/>
        </w:rPr>
      </w:pPr>
      <w:r w:rsidRPr="0023595B">
        <w:rPr>
          <w:b/>
          <w:sz w:val="22"/>
          <w:szCs w:val="22"/>
          <w:lang w:val="sr-Latn-ME"/>
        </w:rPr>
        <w:lastRenderedPageBreak/>
        <w:t>Slika 2:</w:t>
      </w:r>
      <w:r w:rsidRPr="0023595B">
        <w:rPr>
          <w:sz w:val="22"/>
          <w:szCs w:val="22"/>
          <w:lang w:val="sr-Latn-ME"/>
        </w:rPr>
        <w:t xml:space="preserve"> Srednja promjena od početne vrijednosti do 76/100. nedjelje u oštrini vida po terapijskim grupama u ispitivanju COPERNICUS i ispitivanju GALILEO (analiza svih podataka)</w:t>
      </w:r>
    </w:p>
    <w:p w14:paraId="586E89DF" w14:textId="17EE752C" w:rsidR="0075781B" w:rsidRPr="0023595B" w:rsidRDefault="00777A7E" w:rsidP="0075781B">
      <w:pPr>
        <w:jc w:val="center"/>
        <w:rPr>
          <w:szCs w:val="22"/>
          <w:lang w:val="sr-Latn-ME"/>
        </w:rPr>
      </w:pPr>
      <w:r w:rsidRPr="0023595B">
        <w:rPr>
          <w:i/>
          <w:iCs/>
          <w:noProof/>
        </w:rPr>
        <mc:AlternateContent>
          <mc:Choice Requires="wps">
            <w:drawing>
              <wp:anchor distT="0" distB="0" distL="114300" distR="114300" simplePos="0" relativeHeight="251713536" behindDoc="0" locked="0" layoutInCell="1" allowOverlap="1" wp14:anchorId="3211CE69" wp14:editId="5849FB61">
                <wp:simplePos x="0" y="0"/>
                <wp:positionH relativeFrom="column">
                  <wp:posOffset>1942033</wp:posOffset>
                </wp:positionH>
                <wp:positionV relativeFrom="paragraph">
                  <wp:posOffset>3813022</wp:posOffset>
                </wp:positionV>
                <wp:extent cx="1097280" cy="429904"/>
                <wp:effectExtent l="0" t="0" r="7620" b="8255"/>
                <wp:wrapNone/>
                <wp:docPr id="291"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29904"/>
                        </a:xfrm>
                        <a:prstGeom prst="rect">
                          <a:avLst/>
                        </a:prstGeom>
                        <a:solidFill>
                          <a:schemeClr val="bg1">
                            <a:lumMod val="85000"/>
                          </a:schemeClr>
                        </a:solidFill>
                        <a:ln>
                          <a:noFill/>
                        </a:ln>
                      </wps:spPr>
                      <wps:txbx>
                        <w:txbxContent>
                          <w:p w14:paraId="2B016696" w14:textId="77777777" w:rsidR="00DA4990" w:rsidRPr="009207D8" w:rsidRDefault="00DA4990" w:rsidP="00777A7E">
                            <w:pPr>
                              <w:rPr>
                                <w:rFonts w:ascii="Arial" w:hAnsi="Arial"/>
                                <w:b/>
                                <w:bCs/>
                                <w:sz w:val="16"/>
                                <w:szCs w:val="16"/>
                                <w:lang w:val="hr-HR"/>
                              </w:rPr>
                            </w:pPr>
                            <w:r>
                              <w:rPr>
                                <w:rFonts w:ascii="Arial" w:hAnsi="Arial"/>
                                <w:b/>
                                <w:bCs/>
                                <w:sz w:val="16"/>
                                <w:szCs w:val="16"/>
                                <w:lang w:val="hr-HR"/>
                              </w:rPr>
                              <w:t>PRN uz praćenje svakih mjesec dana</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1CE69" id="Text Box 293" o:spid="_x0000_s1030" type="#_x0000_t202" style="position:absolute;left:0;text-align:left;margin-left:152.9pt;margin-top:300.25pt;width:86.4pt;height:3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" fillcolor="#d8d8d8 [2732]" stroked="f">
                <v:textbox inset="1mm,1mm,1mm,1mm">
                  <w:txbxContent>
                    <w:p w14:paraId="2B016696" w14:textId="77777777" w:rsidR="00DA4990" w:rsidRPr="009207D8" w:rsidRDefault="00DA4990" w:rsidP="00777A7E">
                      <w:pPr>
                        <w:rPr>
                          <w:rFonts w:ascii="Arial" w:hAnsi="Arial"/>
                          <w:b/>
                          <w:bCs/>
                          <w:sz w:val="16"/>
                          <w:szCs w:val="16"/>
                          <w:lang w:val="hr-HR"/>
                        </w:rPr>
                      </w:pPr>
                      <w:r>
                        <w:rPr>
                          <w:rFonts w:ascii="Arial" w:hAnsi="Arial"/>
                          <w:b/>
                          <w:bCs/>
                          <w:sz w:val="16"/>
                          <w:szCs w:val="16"/>
                          <w:lang w:val="hr-HR"/>
                        </w:rPr>
                        <w:t>PRN uz praćenje svakih mjesec dana</w:t>
                      </w:r>
                    </w:p>
                  </w:txbxContent>
                </v:textbox>
              </v:shape>
            </w:pict>
          </mc:Fallback>
        </mc:AlternateContent>
      </w:r>
      <w:r w:rsidRPr="0023595B">
        <w:rPr>
          <w:i/>
          <w:iCs/>
          <w:noProof/>
        </w:rPr>
        <mc:AlternateContent>
          <mc:Choice Requires="wps">
            <w:drawing>
              <wp:anchor distT="0" distB="0" distL="114300" distR="114300" simplePos="0" relativeHeight="251711488" behindDoc="0" locked="0" layoutInCell="1" allowOverlap="1" wp14:anchorId="60564476" wp14:editId="2D1DF24E">
                <wp:simplePos x="0" y="0"/>
                <wp:positionH relativeFrom="column">
                  <wp:posOffset>1097280</wp:posOffset>
                </wp:positionH>
                <wp:positionV relativeFrom="paragraph">
                  <wp:posOffset>3832530</wp:posOffset>
                </wp:positionV>
                <wp:extent cx="735965" cy="429895"/>
                <wp:effectExtent l="0" t="0" r="6985" b="8255"/>
                <wp:wrapNone/>
                <wp:docPr id="290"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2989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B0010" w14:textId="77777777" w:rsidR="00DA4990" w:rsidRPr="009207D8" w:rsidRDefault="00DA4990" w:rsidP="00777A7E">
                            <w:pPr>
                              <w:rPr>
                                <w:rFonts w:ascii="Arial" w:hAnsi="Arial"/>
                                <w:b/>
                                <w:bCs/>
                                <w:sz w:val="16"/>
                                <w:szCs w:val="16"/>
                                <w:lang w:val="hr-HR"/>
                              </w:rPr>
                            </w:pPr>
                            <w:r w:rsidRPr="009207D8">
                              <w:rPr>
                                <w:rFonts w:ascii="Arial" w:hAnsi="Arial"/>
                                <w:b/>
                                <w:bCs/>
                                <w:sz w:val="16"/>
                                <w:szCs w:val="16"/>
                                <w:lang w:val="hr-HR"/>
                              </w:rPr>
                              <w:t>fiksna mjesečna doza</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64476" id="_x0000_s1031" type="#_x0000_t202" style="position:absolute;left:0;text-align:left;margin-left:86.4pt;margin-top:301.75pt;width:57.95pt;height:33.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" fillcolor="#e6e6e6" stroked="f">
                <v:textbox inset="1mm,1mm,1mm,1mm">
                  <w:txbxContent>
                    <w:p w14:paraId="6DDB0010" w14:textId="77777777" w:rsidR="00DA4990" w:rsidRPr="009207D8" w:rsidRDefault="00DA4990" w:rsidP="00777A7E">
                      <w:pPr>
                        <w:rPr>
                          <w:rFonts w:ascii="Arial" w:hAnsi="Arial"/>
                          <w:b/>
                          <w:bCs/>
                          <w:sz w:val="16"/>
                          <w:szCs w:val="16"/>
                          <w:lang w:val="hr-HR"/>
                        </w:rPr>
                      </w:pPr>
                      <w:r w:rsidRPr="009207D8">
                        <w:rPr>
                          <w:rFonts w:ascii="Arial" w:hAnsi="Arial"/>
                          <w:b/>
                          <w:bCs/>
                          <w:sz w:val="16"/>
                          <w:szCs w:val="16"/>
                          <w:lang w:val="hr-HR"/>
                        </w:rPr>
                        <w:t>fiksna mjesečna doza</w:t>
                      </w:r>
                    </w:p>
                  </w:txbxContent>
                </v:textbox>
              </v:shape>
            </w:pict>
          </mc:Fallback>
        </mc:AlternateContent>
      </w:r>
      <w:r w:rsidRPr="0023595B">
        <w:rPr>
          <w:i/>
          <w:iCs/>
          <w:noProof/>
        </w:rPr>
        <mc:AlternateContent>
          <mc:Choice Requires="wps">
            <w:drawing>
              <wp:anchor distT="0" distB="0" distL="114300" distR="114300" simplePos="0" relativeHeight="251709440" behindDoc="0" locked="0" layoutInCell="1" allowOverlap="1" wp14:anchorId="414C6BE7" wp14:editId="585E4A4C">
                <wp:simplePos x="0" y="0"/>
                <wp:positionH relativeFrom="column">
                  <wp:posOffset>1940255</wp:posOffset>
                </wp:positionH>
                <wp:positionV relativeFrom="paragraph">
                  <wp:posOffset>998220</wp:posOffset>
                </wp:positionV>
                <wp:extent cx="1097280" cy="429904"/>
                <wp:effectExtent l="0" t="0" r="7620" b="8255"/>
                <wp:wrapNone/>
                <wp:docPr id="29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29904"/>
                        </a:xfrm>
                        <a:prstGeom prst="rect">
                          <a:avLst/>
                        </a:prstGeom>
                        <a:solidFill>
                          <a:schemeClr val="bg1">
                            <a:lumMod val="85000"/>
                          </a:schemeClr>
                        </a:solidFill>
                        <a:ln>
                          <a:noFill/>
                        </a:ln>
                      </wps:spPr>
                      <wps:txbx>
                        <w:txbxContent>
                          <w:p w14:paraId="5F354CC2" w14:textId="77777777" w:rsidR="00DA4990" w:rsidRPr="009207D8" w:rsidRDefault="00DA4990" w:rsidP="00777A7E">
                            <w:pPr>
                              <w:rPr>
                                <w:rFonts w:ascii="Arial" w:hAnsi="Arial"/>
                                <w:b/>
                                <w:bCs/>
                                <w:sz w:val="16"/>
                                <w:szCs w:val="16"/>
                                <w:lang w:val="hr-HR"/>
                              </w:rPr>
                            </w:pPr>
                            <w:r>
                              <w:rPr>
                                <w:rFonts w:ascii="Arial" w:hAnsi="Arial"/>
                                <w:b/>
                                <w:bCs/>
                                <w:sz w:val="16"/>
                                <w:szCs w:val="16"/>
                                <w:lang w:val="hr-HR"/>
                              </w:rPr>
                              <w:t>PRN uz praćenje svakih mjesec dana</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C6BE7" id="_x0000_s1032" type="#_x0000_t202" style="position:absolute;left:0;text-align:left;margin-left:152.8pt;margin-top:78.6pt;width:86.4pt;height:33.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" fillcolor="#d8d8d8 [2732]" stroked="f">
                <v:textbox inset="1mm,1mm,1mm,1mm">
                  <w:txbxContent>
                    <w:p w14:paraId="5F354CC2" w14:textId="77777777" w:rsidR="00DA4990" w:rsidRPr="009207D8" w:rsidRDefault="00DA4990" w:rsidP="00777A7E">
                      <w:pPr>
                        <w:rPr>
                          <w:rFonts w:ascii="Arial" w:hAnsi="Arial"/>
                          <w:b/>
                          <w:bCs/>
                          <w:sz w:val="16"/>
                          <w:szCs w:val="16"/>
                          <w:lang w:val="hr-HR"/>
                        </w:rPr>
                      </w:pPr>
                      <w:r>
                        <w:rPr>
                          <w:rFonts w:ascii="Arial" w:hAnsi="Arial"/>
                          <w:b/>
                          <w:bCs/>
                          <w:sz w:val="16"/>
                          <w:szCs w:val="16"/>
                          <w:lang w:val="hr-HR"/>
                        </w:rPr>
                        <w:t>PRN uz praćenje svakih mjesec dana</w:t>
                      </w:r>
                    </w:p>
                  </w:txbxContent>
                </v:textbox>
              </v:shape>
            </w:pict>
          </mc:Fallback>
        </mc:AlternateContent>
      </w:r>
      <w:r w:rsidRPr="0023595B">
        <w:rPr>
          <w:i/>
          <w:iCs/>
          <w:noProof/>
        </w:rPr>
        <mc:AlternateContent>
          <mc:Choice Requires="wps">
            <w:drawing>
              <wp:anchor distT="0" distB="0" distL="114300" distR="114300" simplePos="0" relativeHeight="251707392" behindDoc="0" locked="0" layoutInCell="1" allowOverlap="1" wp14:anchorId="408A5855" wp14:editId="79275232">
                <wp:simplePos x="0" y="0"/>
                <wp:positionH relativeFrom="column">
                  <wp:posOffset>1092682</wp:posOffset>
                </wp:positionH>
                <wp:positionV relativeFrom="paragraph">
                  <wp:posOffset>956920</wp:posOffset>
                </wp:positionV>
                <wp:extent cx="783590" cy="429895"/>
                <wp:effectExtent l="0" t="0" r="0" b="8255"/>
                <wp:wrapNone/>
                <wp:docPr id="375"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42989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0F86E" w14:textId="77777777" w:rsidR="00DA4990" w:rsidRPr="009207D8" w:rsidRDefault="00DA4990" w:rsidP="00777A7E">
                            <w:pPr>
                              <w:rPr>
                                <w:rFonts w:ascii="Arial" w:hAnsi="Arial"/>
                                <w:b/>
                                <w:bCs/>
                                <w:sz w:val="16"/>
                                <w:szCs w:val="16"/>
                                <w:lang w:val="hr-HR"/>
                              </w:rPr>
                            </w:pPr>
                            <w:r w:rsidRPr="009207D8">
                              <w:rPr>
                                <w:rFonts w:ascii="Arial" w:hAnsi="Arial"/>
                                <w:b/>
                                <w:bCs/>
                                <w:sz w:val="16"/>
                                <w:szCs w:val="16"/>
                                <w:lang w:val="hr-HR"/>
                              </w:rPr>
                              <w:t>fiksna mjesečna doza</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A5855" id="_x0000_s1033" type="#_x0000_t202" style="position:absolute;left:0;text-align:left;margin-left:86.05pt;margin-top:75.35pt;width:61.7pt;height:33.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" fillcolor="#e6e6e6" stroked="f">
                <v:textbox inset="1mm,1mm,1mm,1mm">
                  <w:txbxContent>
                    <w:p w14:paraId="6690F86E" w14:textId="77777777" w:rsidR="00DA4990" w:rsidRPr="009207D8" w:rsidRDefault="00DA4990" w:rsidP="00777A7E">
                      <w:pPr>
                        <w:rPr>
                          <w:rFonts w:ascii="Arial" w:hAnsi="Arial"/>
                          <w:b/>
                          <w:bCs/>
                          <w:sz w:val="16"/>
                          <w:szCs w:val="16"/>
                          <w:lang w:val="hr-HR"/>
                        </w:rPr>
                      </w:pPr>
                      <w:r w:rsidRPr="009207D8">
                        <w:rPr>
                          <w:rFonts w:ascii="Arial" w:hAnsi="Arial"/>
                          <w:b/>
                          <w:bCs/>
                          <w:sz w:val="16"/>
                          <w:szCs w:val="16"/>
                          <w:lang w:val="hr-HR"/>
                        </w:rPr>
                        <w:t>fiksna mjesečna doza</w:t>
                      </w:r>
                    </w:p>
                  </w:txbxContent>
                </v:textbox>
              </v:shape>
            </w:pict>
          </mc:Fallback>
        </mc:AlternateContent>
      </w:r>
      <w:r w:rsidR="0075781B" w:rsidRPr="0023595B">
        <w:rPr>
          <w:i/>
          <w:noProof/>
          <w:szCs w:val="22"/>
        </w:rPr>
        <mc:AlternateContent>
          <mc:Choice Requires="wps">
            <w:drawing>
              <wp:anchor distT="0" distB="0" distL="114300" distR="114300" simplePos="0" relativeHeight="251660288" behindDoc="0" locked="0" layoutInCell="1" allowOverlap="1" wp14:anchorId="53B4CF30" wp14:editId="5A7D38BB">
                <wp:simplePos x="0" y="0"/>
                <wp:positionH relativeFrom="column">
                  <wp:posOffset>269714</wp:posOffset>
                </wp:positionH>
                <wp:positionV relativeFrom="paragraph">
                  <wp:posOffset>3239770</wp:posOffset>
                </wp:positionV>
                <wp:extent cx="370840" cy="18891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889125"/>
                        </a:xfrm>
                        <a:prstGeom prst="rect">
                          <a:avLst/>
                        </a:prstGeom>
                        <a:solidFill>
                          <a:srgbClr val="FFFFFF"/>
                        </a:solidFill>
                        <a:ln w="9525">
                          <a:noFill/>
                          <a:miter lim="800000"/>
                          <a:headEnd/>
                          <a:tailEnd/>
                        </a:ln>
                      </wps:spPr>
                      <wps:txbx>
                        <w:txbxContent>
                          <w:p w14:paraId="3EDE8534"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79A8E40B"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4CF30" id="_x0000_s1034" type="#_x0000_t202" style="position:absolute;left:0;text-align:left;margin-left:21.25pt;margin-top:255.1pt;width:29.2pt;height:1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" stroked="f">
                <v:textbox style="layout-flow:vertical;mso-layout-flow-alt:bottom-to-top" inset="0,0,0,0">
                  <w:txbxContent>
                    <w:p w14:paraId="3EDE8534"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79A8E40B"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v:textbox>
              </v:shape>
            </w:pict>
          </mc:Fallback>
        </mc:AlternateContent>
      </w:r>
      <w:r w:rsidR="0075781B" w:rsidRPr="0023595B">
        <w:rPr>
          <w:i/>
          <w:noProof/>
          <w:szCs w:val="22"/>
        </w:rPr>
        <mc:AlternateContent>
          <mc:Choice Requires="wps">
            <w:drawing>
              <wp:anchor distT="0" distB="0" distL="114300" distR="114300" simplePos="0" relativeHeight="251661312" behindDoc="0" locked="0" layoutInCell="1" allowOverlap="1" wp14:anchorId="10F6450A" wp14:editId="52C341B6">
                <wp:simplePos x="0" y="0"/>
                <wp:positionH relativeFrom="column">
                  <wp:posOffset>276064</wp:posOffset>
                </wp:positionH>
                <wp:positionV relativeFrom="paragraph">
                  <wp:posOffset>388620</wp:posOffset>
                </wp:positionV>
                <wp:extent cx="370840" cy="18891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889125"/>
                        </a:xfrm>
                        <a:prstGeom prst="rect">
                          <a:avLst/>
                        </a:prstGeom>
                        <a:solidFill>
                          <a:srgbClr val="FFFFFF"/>
                        </a:solidFill>
                        <a:ln w="9525">
                          <a:noFill/>
                          <a:miter lim="800000"/>
                          <a:headEnd/>
                          <a:tailEnd/>
                        </a:ln>
                      </wps:spPr>
                      <wps:txbx>
                        <w:txbxContent>
                          <w:p w14:paraId="7940F023"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4B497237"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6450A" id="_x0000_s1035" type="#_x0000_t202" style="position:absolute;left:0;text-align:left;margin-left:21.75pt;margin-top:30.6pt;width:29.2pt;height:1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" stroked="f">
                <v:textbox style="layout-flow:vertical;mso-layout-flow-alt:bottom-to-top" inset="0,0,0,0">
                  <w:txbxContent>
                    <w:p w14:paraId="7940F023"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4B497237"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v:textbox>
              </v:shape>
            </w:pict>
          </mc:Fallback>
        </mc:AlternateContent>
      </w:r>
      <w:r w:rsidR="0075781B" w:rsidRPr="0023595B">
        <w:rPr>
          <w:noProof/>
          <w:szCs w:val="22"/>
        </w:rPr>
        <w:drawing>
          <wp:inline distT="0" distB="0" distL="0" distR="0" wp14:anchorId="27BCBBFC" wp14:editId="0E84765C">
            <wp:extent cx="4762500" cy="62182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t="576"/>
                    <a:stretch/>
                  </pic:blipFill>
                  <pic:spPr bwMode="auto">
                    <a:xfrm>
                      <a:off x="0" y="0"/>
                      <a:ext cx="4767726" cy="6225052"/>
                    </a:xfrm>
                    <a:prstGeom prst="rect">
                      <a:avLst/>
                    </a:prstGeom>
                    <a:noFill/>
                    <a:ln>
                      <a:noFill/>
                    </a:ln>
                    <a:extLst>
                      <a:ext uri="{53640926-AAD7-44D8-BBD7-CCE9431645EC}">
                        <a14:shadowObscured xmlns:a14="http://schemas.microsoft.com/office/drawing/2010/main"/>
                      </a:ext>
                    </a:extLst>
                  </pic:spPr>
                </pic:pic>
              </a:graphicData>
            </a:graphic>
          </wp:inline>
        </w:drawing>
      </w:r>
    </w:p>
    <w:p w14:paraId="5BAF796D" w14:textId="6B1CA423" w:rsidR="0075781B" w:rsidRPr="0023595B" w:rsidRDefault="0075781B" w:rsidP="0075781B">
      <w:pPr>
        <w:tabs>
          <w:tab w:val="left" w:pos="0"/>
        </w:tabs>
        <w:autoSpaceDE w:val="0"/>
        <w:autoSpaceDN w:val="0"/>
        <w:adjustRightInd w:val="0"/>
        <w:jc w:val="both"/>
        <w:rPr>
          <w:sz w:val="22"/>
          <w:szCs w:val="22"/>
          <w:lang w:val="sr-Latn-ME"/>
        </w:rPr>
      </w:pPr>
      <w:r w:rsidRPr="0023595B">
        <w:rPr>
          <w:sz w:val="22"/>
          <w:szCs w:val="22"/>
          <w:lang w:val="sr-Latn-ME"/>
        </w:rPr>
        <w:t>U ispitivanju GALILEO 86,4% pacijenata (n = 89) u grupi koj</w:t>
      </w:r>
      <w:r w:rsidR="00777A7E" w:rsidRPr="0023595B">
        <w:rPr>
          <w:sz w:val="22"/>
          <w:szCs w:val="22"/>
          <w:lang w:val="sr-Latn-ME"/>
        </w:rPr>
        <w:t>a</w:t>
      </w:r>
      <w:r w:rsidRPr="0023595B">
        <w:rPr>
          <w:sz w:val="22"/>
          <w:szCs w:val="22"/>
          <w:lang w:val="sr-Latn-ME"/>
        </w:rPr>
        <w:t xml:space="preserve"> je dobijala lijek Eylea i 79,4% pacijenata (n = 54) u grupi koja je prividno primala lijek (placebo) imali su perfuziju CRVO na početku liječenja. U 24. nedjelji ovi ud</w:t>
      </w:r>
      <w:r w:rsidR="0023595B">
        <w:rPr>
          <w:sz w:val="22"/>
          <w:szCs w:val="22"/>
          <w:lang w:val="sr-Latn-ME"/>
        </w:rPr>
        <w:t>i</w:t>
      </w:r>
      <w:r w:rsidRPr="0023595B">
        <w:rPr>
          <w:sz w:val="22"/>
          <w:szCs w:val="22"/>
          <w:lang w:val="sr-Latn-ME"/>
        </w:rPr>
        <w:t>jeli su iznosili 91,8% (n = 89) u grupi na terapiji lijekom Eylea, i 85,5% (n = 47) u grupi koja je prividno primala lijek. Ovi ud</w:t>
      </w:r>
      <w:r w:rsidR="0023595B">
        <w:rPr>
          <w:sz w:val="22"/>
          <w:szCs w:val="22"/>
          <w:lang w:val="sr-Latn-ME"/>
        </w:rPr>
        <w:t>i</w:t>
      </w:r>
      <w:r w:rsidRPr="0023595B">
        <w:rPr>
          <w:sz w:val="22"/>
          <w:szCs w:val="22"/>
          <w:lang w:val="sr-Latn-ME"/>
        </w:rPr>
        <w:t>jeli su održani do 76. nedjelje sa 84,3% (n = 75) u grupi na terapiji lijekom Eylea, i 84,0% (n = 42) u grupi koja je prividno primala lijek.</w:t>
      </w:r>
    </w:p>
    <w:p w14:paraId="75D23571" w14:textId="77777777" w:rsidR="0075781B" w:rsidRPr="0023595B" w:rsidRDefault="0075781B" w:rsidP="0075781B">
      <w:pPr>
        <w:tabs>
          <w:tab w:val="left" w:pos="0"/>
        </w:tabs>
        <w:autoSpaceDE w:val="0"/>
        <w:autoSpaceDN w:val="0"/>
        <w:adjustRightInd w:val="0"/>
        <w:jc w:val="both"/>
        <w:rPr>
          <w:color w:val="000000"/>
          <w:sz w:val="22"/>
          <w:szCs w:val="22"/>
          <w:lang w:val="sr-Latn-ME"/>
        </w:rPr>
      </w:pPr>
    </w:p>
    <w:p w14:paraId="1C593101" w14:textId="00CA1E63" w:rsidR="0075781B" w:rsidRPr="0023595B" w:rsidRDefault="0075781B" w:rsidP="0075781B">
      <w:pPr>
        <w:widowControl w:val="0"/>
        <w:autoSpaceDE w:val="0"/>
        <w:autoSpaceDN w:val="0"/>
        <w:adjustRightInd w:val="0"/>
        <w:jc w:val="both"/>
        <w:rPr>
          <w:color w:val="000000"/>
          <w:sz w:val="22"/>
          <w:szCs w:val="22"/>
          <w:lang w:val="sr-Latn-ME"/>
        </w:rPr>
      </w:pPr>
      <w:r w:rsidRPr="0023595B">
        <w:rPr>
          <w:sz w:val="22"/>
          <w:szCs w:val="22"/>
          <w:lang w:val="sr-Latn-ME"/>
        </w:rPr>
        <w:t>U ispitivanju COPERNICUS 67,5% pacijenata (n = 77) u grupi liječenoj lijekom Eylea i 68,5% pacijenata (n=50) u grupi koja je prividno primala lijek imali su perfuziju CRVO na početku liječenja. U 24. nedjelji, to je iznosilo 87,4% (n=90) u grupi koja je liječena lijekom Eylea i 58,6% (n=34) u grupi koja je prividno dobijala lijek. Ovi ud</w:t>
      </w:r>
      <w:r w:rsidR="0023595B">
        <w:rPr>
          <w:sz w:val="22"/>
          <w:szCs w:val="22"/>
          <w:lang w:val="sr-Latn-ME"/>
        </w:rPr>
        <w:t>i</w:t>
      </w:r>
      <w:r w:rsidRPr="0023595B">
        <w:rPr>
          <w:sz w:val="22"/>
          <w:szCs w:val="22"/>
          <w:lang w:val="sr-Latn-ME"/>
        </w:rPr>
        <w:t>jeli su održani do 100. nedjelje, sa 76,8% (n=76) u grupi koja je liječena lijekom Eylea i 78% (n=39) u grupi koja je prividno dobijala lijek. Pacijenti koji su bili u grupi koja je primala placebo bili su pogodni za primanje lijeka Eylea od 24. nedjelje.</w:t>
      </w:r>
      <w:r w:rsidRPr="0023595B" w:rsidDel="00A276EA">
        <w:rPr>
          <w:sz w:val="22"/>
          <w:szCs w:val="22"/>
          <w:lang w:val="sr-Latn-ME"/>
        </w:rPr>
        <w:t xml:space="preserve"> </w:t>
      </w:r>
    </w:p>
    <w:p w14:paraId="24B9BE12" w14:textId="77777777" w:rsidR="0075781B" w:rsidRPr="0023595B" w:rsidRDefault="0075781B" w:rsidP="0075781B">
      <w:pPr>
        <w:widowControl w:val="0"/>
        <w:autoSpaceDE w:val="0"/>
        <w:autoSpaceDN w:val="0"/>
        <w:adjustRightInd w:val="0"/>
        <w:jc w:val="both"/>
        <w:rPr>
          <w:color w:val="000000"/>
          <w:sz w:val="22"/>
          <w:szCs w:val="22"/>
          <w:lang w:val="sr-Latn-ME"/>
        </w:rPr>
      </w:pPr>
    </w:p>
    <w:p w14:paraId="04BD6FB1" w14:textId="746B1A94" w:rsidR="0075781B" w:rsidRPr="0023595B" w:rsidRDefault="0075781B" w:rsidP="0075781B">
      <w:pPr>
        <w:tabs>
          <w:tab w:val="center" w:pos="4536"/>
          <w:tab w:val="right" w:pos="9072"/>
        </w:tabs>
        <w:jc w:val="both"/>
        <w:rPr>
          <w:color w:val="000000"/>
          <w:sz w:val="22"/>
          <w:szCs w:val="22"/>
          <w:lang w:val="sr-Latn-ME"/>
        </w:rPr>
      </w:pPr>
      <w:r w:rsidRPr="0023595B">
        <w:rPr>
          <w:color w:val="000000"/>
          <w:sz w:val="22"/>
          <w:szCs w:val="22"/>
          <w:lang w:val="sr-Latn-ME"/>
        </w:rPr>
        <w:t xml:space="preserve">Korisno dejstvo lijeka Eylea na funkciju vida bilo je slično u početnim podgrupama pacijenata sa i bez perfuzije. Dejstva liječenja kod svih procijenjenih podgrupa (npr. po starosti, polu, rasi, početnoj oštrini vida, </w:t>
      </w:r>
      <w:r w:rsidRPr="0023595B">
        <w:rPr>
          <w:color w:val="000000"/>
          <w:sz w:val="22"/>
          <w:szCs w:val="22"/>
          <w:lang w:val="sr-Latn-ME"/>
        </w:rPr>
        <w:lastRenderedPageBreak/>
        <w:t xml:space="preserve">stanju perfuzije mrežnjače, trajanju CRVO) u svakom ispitivanju bila su generalno usklađena sa rezultatima ukupne populacije ispitanika. </w:t>
      </w:r>
    </w:p>
    <w:p w14:paraId="727280C9" w14:textId="77777777" w:rsidR="0075781B" w:rsidRPr="0023595B" w:rsidRDefault="0075781B" w:rsidP="0075781B">
      <w:pPr>
        <w:autoSpaceDE w:val="0"/>
        <w:autoSpaceDN w:val="0"/>
        <w:adjustRightInd w:val="0"/>
        <w:jc w:val="both"/>
        <w:rPr>
          <w:color w:val="000000"/>
          <w:sz w:val="22"/>
          <w:szCs w:val="22"/>
          <w:lang w:val="sr-Latn-ME"/>
        </w:rPr>
      </w:pPr>
    </w:p>
    <w:p w14:paraId="2DC394A9" w14:textId="77777777" w:rsidR="0075781B" w:rsidRPr="0023595B" w:rsidRDefault="0075781B" w:rsidP="0075781B">
      <w:pPr>
        <w:autoSpaceDE w:val="0"/>
        <w:autoSpaceDN w:val="0"/>
        <w:adjustRightInd w:val="0"/>
        <w:jc w:val="both"/>
        <w:rPr>
          <w:color w:val="000000"/>
          <w:sz w:val="22"/>
          <w:szCs w:val="22"/>
          <w:lang w:val="sr-Latn-ME"/>
        </w:rPr>
      </w:pPr>
      <w:r w:rsidRPr="0023595B">
        <w:rPr>
          <w:color w:val="000000"/>
          <w:sz w:val="22"/>
          <w:szCs w:val="22"/>
          <w:lang w:val="sr-Latn-ME"/>
        </w:rPr>
        <w:t xml:space="preserve">U kombinovanoj analizi podataka iz kliničkih ispitivanja GALILEO i COPERNICUS, lijek Eylea je pokazao klinički značajne promjene u odnosu na početne vrijednosti u unaprijed određenom sekundarnom ishodu efikasnosti prema Upitniku funkcije vida Nacionalnog zavoda za oči (engl. </w:t>
      </w:r>
      <w:r w:rsidRPr="0023595B">
        <w:rPr>
          <w:i/>
          <w:iCs/>
          <w:color w:val="000000"/>
          <w:sz w:val="22"/>
          <w:szCs w:val="22"/>
          <w:lang w:val="sr-Latn-ME"/>
        </w:rPr>
        <w:t>National Eye Institute Visual Function Questionnaire</w:t>
      </w:r>
      <w:r w:rsidRPr="0023595B">
        <w:rPr>
          <w:iCs/>
          <w:color w:val="000000"/>
          <w:sz w:val="22"/>
          <w:szCs w:val="22"/>
          <w:lang w:val="sr-Latn-ME"/>
        </w:rPr>
        <w:t xml:space="preserve"> </w:t>
      </w:r>
      <w:r w:rsidRPr="0023595B">
        <w:rPr>
          <w:color w:val="000000"/>
          <w:sz w:val="22"/>
          <w:szCs w:val="22"/>
          <w:lang w:val="sr-Latn-ME"/>
        </w:rPr>
        <w:t xml:space="preserve">– NEI VFQ-25). Raspon tih promjena bio je sličan onome u objavljenim ispitivanjima, a odgovarao je povećanju za 15 slova kod najbolje korigovane oštrine vida (BCVA). </w:t>
      </w:r>
    </w:p>
    <w:p w14:paraId="432AD1C4" w14:textId="77777777" w:rsidR="0075781B" w:rsidRPr="0023595B" w:rsidRDefault="0075781B" w:rsidP="0075781B">
      <w:pPr>
        <w:autoSpaceDE w:val="0"/>
        <w:autoSpaceDN w:val="0"/>
        <w:adjustRightInd w:val="0"/>
        <w:jc w:val="both"/>
        <w:rPr>
          <w:color w:val="000000"/>
          <w:sz w:val="22"/>
          <w:szCs w:val="22"/>
          <w:lang w:val="sr-Latn-ME"/>
        </w:rPr>
      </w:pPr>
    </w:p>
    <w:p w14:paraId="5CBE12C9" w14:textId="77777777" w:rsidR="0075781B" w:rsidRPr="0023595B" w:rsidRDefault="0075781B" w:rsidP="0075781B">
      <w:pPr>
        <w:tabs>
          <w:tab w:val="center" w:pos="4536"/>
          <w:tab w:val="right" w:pos="9072"/>
        </w:tabs>
        <w:jc w:val="both"/>
        <w:rPr>
          <w:i/>
          <w:sz w:val="22"/>
          <w:szCs w:val="22"/>
          <w:lang w:val="sr-Latn-ME"/>
        </w:rPr>
      </w:pPr>
      <w:r w:rsidRPr="0023595B">
        <w:rPr>
          <w:i/>
          <w:sz w:val="22"/>
          <w:szCs w:val="22"/>
          <w:lang w:val="sr-Latn-ME"/>
        </w:rPr>
        <w:t>Makularni edem kao posljedica BRVO</w:t>
      </w:r>
    </w:p>
    <w:p w14:paraId="02E386E9" w14:textId="77777777" w:rsidR="0075781B" w:rsidRPr="0023595B" w:rsidRDefault="0075781B" w:rsidP="0075781B">
      <w:pPr>
        <w:tabs>
          <w:tab w:val="center" w:pos="4536"/>
          <w:tab w:val="right" w:pos="9072"/>
        </w:tabs>
        <w:jc w:val="both"/>
        <w:rPr>
          <w:i/>
          <w:sz w:val="22"/>
          <w:szCs w:val="22"/>
          <w:lang w:val="sr-Latn-ME"/>
        </w:rPr>
      </w:pPr>
    </w:p>
    <w:p w14:paraId="6DBB3C9C" w14:textId="366C7A0C"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Bezbjednost i efikasnost primjene lijeka Eylea je procijenjena u randomizovanom, multicentričnom, dvostruko maskiranom aktivno kontrolisanom ispitivanju (VIBRANT) kod pacijenata sa makularnim edemom, nastalim kao posljedica BRVO, koja je uključivala hemi-retinalnu vensku okluziju. U VIBRANT ispitivanju liječen je ukupno 181 pacijent (od kojih je 91 liječen lijekom Eylea) uz procjenu efikasnosti. Godine pacijenata su se kretale od 42 do 94, sa srednjom vrijednošću od 65 godina. U BRVO ispitivanju, približno 58% (53/91) pacijenata randomizovanih na ter</w:t>
      </w:r>
      <w:r w:rsidR="00BA6BF2">
        <w:rPr>
          <w:sz w:val="22"/>
          <w:szCs w:val="22"/>
          <w:lang w:val="sr-Latn-ME"/>
        </w:rPr>
        <w:t>a</w:t>
      </w:r>
      <w:r w:rsidRPr="0023595B">
        <w:rPr>
          <w:sz w:val="22"/>
          <w:szCs w:val="22"/>
          <w:lang w:val="sr-Latn-ME"/>
        </w:rPr>
        <w:t>piju lijekom Eylea imali su 65 i više godina, i približno 23% (21/91) pacijenata je bilo starosti 75 i više godina. U okviru ovog ispitivanja, pacijenti su nasumično podijeljeni u dvije grupe u odnosu 1:1, od kojih je jedna dobijala 2 mg lijeka Eylea na svakih 8 nedjelja, nakon čega su narednih 6 mjeseci primali injekciju jednom mjesečno; dok je druga grupa od početka bila na terapiji laserskom fotokoagulacijom (laserska kontrolna grupa). Pacijenti iz laserske kontrolne grupe su, po potrebi, mogli da prime i dodatnu terapiju laserske fotokaogulacije (nazvanu pomoćno lasersko liječenje), počevši od 12. nedjelje. Minimalni interval između dvije terapije je bio 12 nedjelja. Počevši od 24. nedjelje, pacijenti iz laserske kontrolne grupe su, po potrebi, mogli da prime pomoćnu te</w:t>
      </w:r>
      <w:r w:rsidR="00BA6BF2">
        <w:rPr>
          <w:sz w:val="22"/>
          <w:szCs w:val="22"/>
          <w:lang w:val="sr-Latn-ME"/>
        </w:rPr>
        <w:t>r</w:t>
      </w:r>
      <w:r w:rsidRPr="0023595B">
        <w:rPr>
          <w:sz w:val="22"/>
          <w:szCs w:val="22"/>
          <w:lang w:val="sr-Latn-ME"/>
        </w:rPr>
        <w:t>apiju u vidu 2 mg lijeka Eylea, primjenjivanu svake 4 nedjelje tokom 3 mjeseca, što je bilo praćeno intravitrealnim injekcijama na svakih 8 nedjelja, bazirano na unaprijed određenim kriterijumima.</w:t>
      </w:r>
    </w:p>
    <w:p w14:paraId="43110DB5" w14:textId="77777777" w:rsidR="0075781B" w:rsidRPr="0023595B" w:rsidRDefault="0075781B" w:rsidP="0075781B">
      <w:pPr>
        <w:tabs>
          <w:tab w:val="center" w:pos="4536"/>
          <w:tab w:val="right" w:pos="9072"/>
        </w:tabs>
        <w:jc w:val="both"/>
        <w:rPr>
          <w:sz w:val="22"/>
          <w:szCs w:val="22"/>
          <w:lang w:val="sr-Latn-ME"/>
        </w:rPr>
      </w:pPr>
    </w:p>
    <w:p w14:paraId="0047ABDB"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ispitivanju VIBRANT primarni parametar efikasnosti bio je udio pacijenata koji su dobili najmanje 15 slova prema BCVA mjereno u 24. nedjelji u odnosu na početnu vrijednost, a grupa koja je primala lijek Eylea bila je superiornija u odnosu na kontrolnu grupu.</w:t>
      </w:r>
    </w:p>
    <w:p w14:paraId="58988E87" w14:textId="77777777" w:rsidR="0075781B" w:rsidRPr="0023595B" w:rsidRDefault="0075781B" w:rsidP="0075781B">
      <w:pPr>
        <w:tabs>
          <w:tab w:val="center" w:pos="4536"/>
          <w:tab w:val="right" w:pos="9072"/>
        </w:tabs>
        <w:jc w:val="both"/>
        <w:rPr>
          <w:sz w:val="22"/>
          <w:szCs w:val="22"/>
          <w:lang w:val="sr-Latn-ME"/>
        </w:rPr>
      </w:pPr>
    </w:p>
    <w:p w14:paraId="6FA0C40F"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 xml:space="preserve">Sekundarni parametar efikasnosti bila je promjena u oštrini vida u 24. nedjelji u poređenju sa početnom vrijednošću, i ona je bila statistički značajna u korist lijeka Eylea u ispitivanju VIBRANT. Poboljšanje vida bilo je brzo, sa maksimumom poboljšanja u 3. mjesecu i održavanjem tog dejstva do 12. mjeseca. </w:t>
      </w:r>
    </w:p>
    <w:p w14:paraId="058E54B6" w14:textId="77777777" w:rsidR="0075781B" w:rsidRPr="0023595B" w:rsidRDefault="0075781B" w:rsidP="0075781B">
      <w:pPr>
        <w:tabs>
          <w:tab w:val="center" w:pos="4536"/>
          <w:tab w:val="right" w:pos="9072"/>
        </w:tabs>
        <w:jc w:val="both"/>
        <w:rPr>
          <w:sz w:val="22"/>
          <w:szCs w:val="22"/>
          <w:lang w:val="sr-Latn-ME"/>
        </w:rPr>
      </w:pPr>
    </w:p>
    <w:p w14:paraId="405474E7"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grupi na terapiji laserom, 67 pacijenata je primilo pomoćnu terapiju lijekom Eylea, počevši od 24. nedjelje (aktivna kontrola/grupa koja prima 2 mg lijeka Eylea), što je rezultovalo popravljanjem oštrine vida za otprilike 5 slova od 24. do 52. nedjelje.</w:t>
      </w:r>
    </w:p>
    <w:p w14:paraId="031590E5" w14:textId="77777777" w:rsidR="0075781B" w:rsidRPr="0023595B" w:rsidRDefault="0075781B" w:rsidP="0075781B">
      <w:pPr>
        <w:tabs>
          <w:tab w:val="center" w:pos="4536"/>
          <w:tab w:val="right" w:pos="9072"/>
        </w:tabs>
        <w:jc w:val="both"/>
        <w:rPr>
          <w:sz w:val="22"/>
          <w:szCs w:val="22"/>
          <w:lang w:val="sr-Latn-ME"/>
        </w:rPr>
      </w:pPr>
    </w:p>
    <w:p w14:paraId="6D6465E6"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Detaljan prikaz rezultata analize VIBRANT ispitivanja su pokazani u nastavku u Tabeli 4 i na Slici 3.</w:t>
      </w:r>
    </w:p>
    <w:p w14:paraId="3FA6180D" w14:textId="77777777" w:rsidR="0075781B" w:rsidRPr="0023595B" w:rsidRDefault="0075781B" w:rsidP="0075781B">
      <w:pPr>
        <w:tabs>
          <w:tab w:val="center" w:pos="4536"/>
          <w:tab w:val="right" w:pos="9072"/>
        </w:tabs>
        <w:jc w:val="both"/>
        <w:rPr>
          <w:sz w:val="22"/>
          <w:szCs w:val="22"/>
          <w:lang w:val="sr-Latn-ME"/>
        </w:rPr>
      </w:pPr>
    </w:p>
    <w:p w14:paraId="61F58010" w14:textId="77777777" w:rsidR="0075781B" w:rsidRPr="0023595B" w:rsidRDefault="0075781B" w:rsidP="0075781B">
      <w:pPr>
        <w:tabs>
          <w:tab w:val="center" w:pos="4536"/>
          <w:tab w:val="right" w:pos="9072"/>
        </w:tabs>
        <w:jc w:val="both"/>
        <w:rPr>
          <w:sz w:val="22"/>
          <w:szCs w:val="22"/>
          <w:lang w:val="sr-Latn-ME"/>
        </w:rPr>
      </w:pPr>
      <w:r w:rsidRPr="0023595B">
        <w:rPr>
          <w:b/>
          <w:sz w:val="22"/>
          <w:szCs w:val="22"/>
          <w:lang w:val="sr-Latn-ME"/>
        </w:rPr>
        <w:t>Tabela 4</w:t>
      </w:r>
      <w:r w:rsidRPr="0023595B">
        <w:rPr>
          <w:sz w:val="22"/>
          <w:szCs w:val="22"/>
          <w:lang w:val="sr-Latn-ME"/>
        </w:rPr>
        <w:t>: Ishodi efikasnosti u 24. i 52. nedjelji (analiza svih podataka uz LOCF) u VIBRANT ispitivanju</w:t>
      </w:r>
    </w:p>
    <w:tbl>
      <w:tblPr>
        <w:tblStyle w:val="TableGrid"/>
        <w:tblW w:w="0" w:type="auto"/>
        <w:tblLook w:val="04A0" w:firstRow="1" w:lastRow="0" w:firstColumn="1" w:lastColumn="0" w:noHBand="0" w:noVBand="1"/>
      </w:tblPr>
      <w:tblGrid>
        <w:gridCol w:w="3114"/>
        <w:gridCol w:w="1620"/>
        <w:gridCol w:w="1675"/>
        <w:gridCol w:w="1592"/>
        <w:gridCol w:w="1628"/>
      </w:tblGrid>
      <w:tr w:rsidR="0075781B" w:rsidRPr="0023595B" w14:paraId="4C56863F" w14:textId="77777777" w:rsidTr="0075781B">
        <w:tc>
          <w:tcPr>
            <w:tcW w:w="3114" w:type="dxa"/>
          </w:tcPr>
          <w:p w14:paraId="223EE1BF" w14:textId="77777777" w:rsidR="0075781B" w:rsidRPr="0023595B" w:rsidRDefault="0075781B" w:rsidP="00D55718">
            <w:pPr>
              <w:rPr>
                <w:b/>
                <w:sz w:val="20"/>
                <w:szCs w:val="20"/>
                <w:lang w:val="sr-Latn-ME"/>
              </w:rPr>
            </w:pPr>
            <w:r w:rsidRPr="0023595B">
              <w:rPr>
                <w:b/>
                <w:sz w:val="20"/>
                <w:szCs w:val="20"/>
                <w:lang w:val="sr-Latn-ME"/>
              </w:rPr>
              <w:t>Ishodi efikasnosti</w:t>
            </w:r>
          </w:p>
        </w:tc>
        <w:tc>
          <w:tcPr>
            <w:tcW w:w="6515" w:type="dxa"/>
            <w:gridSpan w:val="4"/>
          </w:tcPr>
          <w:p w14:paraId="6167207F" w14:textId="77777777" w:rsidR="0075781B" w:rsidRPr="0023595B" w:rsidRDefault="0075781B" w:rsidP="00D55718">
            <w:pPr>
              <w:jc w:val="center"/>
              <w:rPr>
                <w:b/>
                <w:sz w:val="20"/>
                <w:szCs w:val="20"/>
                <w:lang w:val="sr-Latn-ME"/>
              </w:rPr>
            </w:pPr>
            <w:r w:rsidRPr="0023595B">
              <w:rPr>
                <w:b/>
                <w:sz w:val="20"/>
                <w:szCs w:val="20"/>
                <w:lang w:val="sr-Latn-ME"/>
              </w:rPr>
              <w:t>VIBRANT</w:t>
            </w:r>
          </w:p>
        </w:tc>
      </w:tr>
      <w:tr w:rsidR="0075781B" w:rsidRPr="0023595B" w14:paraId="674FF5D4" w14:textId="77777777" w:rsidTr="0075781B">
        <w:tc>
          <w:tcPr>
            <w:tcW w:w="3114" w:type="dxa"/>
          </w:tcPr>
          <w:p w14:paraId="2E68FE1F" w14:textId="77777777" w:rsidR="0075781B" w:rsidRPr="0023595B" w:rsidRDefault="0075781B" w:rsidP="00D55718">
            <w:pPr>
              <w:rPr>
                <w:b/>
                <w:sz w:val="20"/>
                <w:szCs w:val="20"/>
                <w:lang w:val="sr-Latn-ME"/>
              </w:rPr>
            </w:pPr>
          </w:p>
        </w:tc>
        <w:tc>
          <w:tcPr>
            <w:tcW w:w="3295" w:type="dxa"/>
            <w:gridSpan w:val="2"/>
          </w:tcPr>
          <w:p w14:paraId="0CE9BFEF" w14:textId="77777777" w:rsidR="0075781B" w:rsidRPr="0023595B" w:rsidRDefault="0075781B" w:rsidP="00D55718">
            <w:pPr>
              <w:jc w:val="center"/>
              <w:rPr>
                <w:b/>
                <w:sz w:val="20"/>
                <w:szCs w:val="20"/>
                <w:lang w:val="sr-Latn-ME"/>
              </w:rPr>
            </w:pPr>
            <w:r w:rsidRPr="0023595B">
              <w:rPr>
                <w:b/>
                <w:sz w:val="20"/>
                <w:szCs w:val="20"/>
                <w:lang w:val="sr-Latn-ME"/>
              </w:rPr>
              <w:t>24. nedjelja</w:t>
            </w:r>
          </w:p>
        </w:tc>
        <w:tc>
          <w:tcPr>
            <w:tcW w:w="3220" w:type="dxa"/>
            <w:gridSpan w:val="2"/>
          </w:tcPr>
          <w:p w14:paraId="7E74F10A" w14:textId="77777777" w:rsidR="0075781B" w:rsidRPr="0023595B" w:rsidRDefault="0075781B" w:rsidP="00D55718">
            <w:pPr>
              <w:jc w:val="center"/>
              <w:rPr>
                <w:b/>
                <w:sz w:val="20"/>
                <w:szCs w:val="20"/>
                <w:lang w:val="sr-Latn-ME"/>
              </w:rPr>
            </w:pPr>
            <w:r w:rsidRPr="0023595B">
              <w:rPr>
                <w:b/>
                <w:sz w:val="20"/>
                <w:szCs w:val="20"/>
                <w:lang w:val="sr-Latn-ME"/>
              </w:rPr>
              <w:t>52. nedjelja</w:t>
            </w:r>
          </w:p>
        </w:tc>
      </w:tr>
      <w:tr w:rsidR="0075781B" w:rsidRPr="0023595B" w14:paraId="1F6B56DD" w14:textId="77777777" w:rsidTr="0075781B">
        <w:tc>
          <w:tcPr>
            <w:tcW w:w="3114" w:type="dxa"/>
          </w:tcPr>
          <w:p w14:paraId="0196C71F" w14:textId="77777777" w:rsidR="0075781B" w:rsidRPr="0023595B" w:rsidRDefault="0075781B" w:rsidP="00D55718">
            <w:pPr>
              <w:rPr>
                <w:b/>
                <w:sz w:val="20"/>
                <w:szCs w:val="20"/>
                <w:lang w:val="sr-Latn-ME"/>
              </w:rPr>
            </w:pPr>
          </w:p>
        </w:tc>
        <w:tc>
          <w:tcPr>
            <w:tcW w:w="1620" w:type="dxa"/>
          </w:tcPr>
          <w:p w14:paraId="1061A278" w14:textId="77777777" w:rsidR="0075781B" w:rsidRPr="0023595B" w:rsidRDefault="0075781B" w:rsidP="00D55718">
            <w:pPr>
              <w:jc w:val="center"/>
              <w:rPr>
                <w:b/>
                <w:sz w:val="20"/>
                <w:szCs w:val="20"/>
                <w:lang w:val="sr-Latn-ME"/>
              </w:rPr>
            </w:pPr>
            <w:r w:rsidRPr="0023595B">
              <w:rPr>
                <w:b/>
                <w:sz w:val="20"/>
                <w:szCs w:val="20"/>
                <w:lang w:val="sr-Latn-ME"/>
              </w:rPr>
              <w:t>Eylea 2 mg Q4</w:t>
            </w:r>
          </w:p>
          <w:p w14:paraId="0CA27D89" w14:textId="77777777" w:rsidR="0075781B" w:rsidRPr="0023595B" w:rsidRDefault="0075781B" w:rsidP="00D55718">
            <w:pPr>
              <w:jc w:val="center"/>
              <w:rPr>
                <w:b/>
                <w:sz w:val="20"/>
                <w:szCs w:val="20"/>
                <w:lang w:val="sr-Latn-ME"/>
              </w:rPr>
            </w:pPr>
            <w:r w:rsidRPr="0023595B">
              <w:rPr>
                <w:b/>
                <w:sz w:val="20"/>
                <w:szCs w:val="20"/>
                <w:lang w:val="sr-Latn-ME"/>
              </w:rPr>
              <w:t>(N=91)</w:t>
            </w:r>
          </w:p>
        </w:tc>
        <w:tc>
          <w:tcPr>
            <w:tcW w:w="1675" w:type="dxa"/>
          </w:tcPr>
          <w:p w14:paraId="50B6A8A1" w14:textId="77777777" w:rsidR="0075781B" w:rsidRPr="0023595B" w:rsidRDefault="0075781B" w:rsidP="00D55718">
            <w:pPr>
              <w:jc w:val="center"/>
              <w:rPr>
                <w:b/>
                <w:sz w:val="20"/>
                <w:szCs w:val="20"/>
                <w:lang w:val="sr-Latn-ME"/>
              </w:rPr>
            </w:pPr>
            <w:r w:rsidRPr="0023595B">
              <w:rPr>
                <w:b/>
                <w:sz w:val="20"/>
                <w:szCs w:val="20"/>
                <w:lang w:val="sr-Latn-ME"/>
              </w:rPr>
              <w:t>Aktivna kontrolna grupa (laser)</w:t>
            </w:r>
          </w:p>
          <w:p w14:paraId="0A6FFEFF" w14:textId="77777777" w:rsidR="0075781B" w:rsidRPr="0023595B" w:rsidRDefault="0075781B" w:rsidP="00D55718">
            <w:pPr>
              <w:jc w:val="center"/>
              <w:rPr>
                <w:b/>
                <w:sz w:val="20"/>
                <w:szCs w:val="20"/>
                <w:lang w:val="sr-Latn-ME"/>
              </w:rPr>
            </w:pPr>
            <w:r w:rsidRPr="0023595B">
              <w:rPr>
                <w:b/>
                <w:sz w:val="20"/>
                <w:szCs w:val="20"/>
                <w:lang w:val="sr-Latn-ME"/>
              </w:rPr>
              <w:t>(N=90)</w:t>
            </w:r>
          </w:p>
        </w:tc>
        <w:tc>
          <w:tcPr>
            <w:tcW w:w="1592" w:type="dxa"/>
          </w:tcPr>
          <w:p w14:paraId="059637FC" w14:textId="77777777" w:rsidR="0075781B" w:rsidRPr="0023595B" w:rsidRDefault="0075781B" w:rsidP="00D55718">
            <w:pPr>
              <w:jc w:val="center"/>
              <w:rPr>
                <w:b/>
                <w:sz w:val="20"/>
                <w:szCs w:val="20"/>
                <w:lang w:val="sr-Latn-ME"/>
              </w:rPr>
            </w:pPr>
            <w:r w:rsidRPr="0023595B">
              <w:rPr>
                <w:b/>
                <w:sz w:val="20"/>
                <w:szCs w:val="20"/>
                <w:lang w:val="sr-Latn-ME"/>
              </w:rPr>
              <w:t>Eylea 2 mg Q8</w:t>
            </w:r>
          </w:p>
          <w:p w14:paraId="6EEE6CA0" w14:textId="77777777" w:rsidR="0075781B" w:rsidRPr="0023595B" w:rsidRDefault="0075781B" w:rsidP="00D55718">
            <w:pPr>
              <w:jc w:val="center"/>
              <w:rPr>
                <w:b/>
                <w:sz w:val="20"/>
                <w:szCs w:val="20"/>
                <w:lang w:val="sr-Latn-ME"/>
              </w:rPr>
            </w:pPr>
            <w:r w:rsidRPr="0023595B">
              <w:rPr>
                <w:b/>
                <w:sz w:val="20"/>
                <w:szCs w:val="20"/>
                <w:lang w:val="sr-Latn-ME"/>
              </w:rPr>
              <w:t>(N=91)</w:t>
            </w:r>
            <w:r w:rsidRPr="0023595B">
              <w:rPr>
                <w:b/>
                <w:sz w:val="20"/>
                <w:szCs w:val="20"/>
                <w:vertAlign w:val="superscript"/>
                <w:lang w:val="sr-Latn-ME"/>
              </w:rPr>
              <w:t>D)</w:t>
            </w:r>
          </w:p>
        </w:tc>
        <w:tc>
          <w:tcPr>
            <w:tcW w:w="1628" w:type="dxa"/>
          </w:tcPr>
          <w:p w14:paraId="4BCA2B2A" w14:textId="77777777" w:rsidR="0075781B" w:rsidRPr="0023595B" w:rsidRDefault="0075781B" w:rsidP="00D55718">
            <w:pPr>
              <w:jc w:val="center"/>
              <w:rPr>
                <w:b/>
                <w:sz w:val="20"/>
                <w:szCs w:val="20"/>
                <w:lang w:val="sr-Latn-ME"/>
              </w:rPr>
            </w:pPr>
            <w:r w:rsidRPr="0023595B">
              <w:rPr>
                <w:b/>
                <w:sz w:val="20"/>
                <w:szCs w:val="20"/>
                <w:lang w:val="sr-Latn-ME"/>
              </w:rPr>
              <w:t>Aktivna kontrolna grupa (laser)/Eylea 2mg</w:t>
            </w:r>
            <w:r w:rsidRPr="0023595B">
              <w:rPr>
                <w:b/>
                <w:sz w:val="20"/>
                <w:szCs w:val="20"/>
                <w:vertAlign w:val="superscript"/>
                <w:lang w:val="sr-Latn-ME"/>
              </w:rPr>
              <w:t>E)</w:t>
            </w:r>
          </w:p>
          <w:p w14:paraId="25E6B99C" w14:textId="77777777" w:rsidR="0075781B" w:rsidRPr="0023595B" w:rsidRDefault="0075781B" w:rsidP="00D55718">
            <w:pPr>
              <w:jc w:val="center"/>
              <w:rPr>
                <w:b/>
                <w:sz w:val="20"/>
                <w:szCs w:val="20"/>
                <w:lang w:val="sr-Latn-ME"/>
              </w:rPr>
            </w:pPr>
            <w:r w:rsidRPr="0023595B">
              <w:rPr>
                <w:b/>
                <w:sz w:val="20"/>
                <w:szCs w:val="20"/>
                <w:lang w:val="sr-Latn-ME"/>
              </w:rPr>
              <w:t>(N=90)</w:t>
            </w:r>
          </w:p>
        </w:tc>
      </w:tr>
      <w:tr w:rsidR="0075781B" w:rsidRPr="0023595B" w14:paraId="2D4F694C" w14:textId="77777777" w:rsidTr="0075781B">
        <w:tc>
          <w:tcPr>
            <w:tcW w:w="3114" w:type="dxa"/>
          </w:tcPr>
          <w:p w14:paraId="73F010CF" w14:textId="77777777" w:rsidR="0075781B" w:rsidRPr="0023595B" w:rsidRDefault="0075781B" w:rsidP="00D55718">
            <w:pPr>
              <w:rPr>
                <w:sz w:val="20"/>
                <w:szCs w:val="20"/>
                <w:lang w:val="sr-Latn-ME"/>
              </w:rPr>
            </w:pPr>
            <w:r w:rsidRPr="0023595B">
              <w:rPr>
                <w:sz w:val="20"/>
                <w:szCs w:val="20"/>
                <w:lang w:val="sr-Latn-ME"/>
              </w:rPr>
              <w:t>Udio pacijenata kod kojih je zabilježeno povećanje ≥15 slova u odnosu na početne vrijednosti (%)</w:t>
            </w:r>
          </w:p>
        </w:tc>
        <w:tc>
          <w:tcPr>
            <w:tcW w:w="1620" w:type="dxa"/>
            <w:vAlign w:val="center"/>
          </w:tcPr>
          <w:p w14:paraId="5BC1BBB3" w14:textId="77777777" w:rsidR="0075781B" w:rsidRPr="0023595B" w:rsidRDefault="0075781B" w:rsidP="00D55718">
            <w:pPr>
              <w:jc w:val="center"/>
              <w:rPr>
                <w:sz w:val="20"/>
                <w:szCs w:val="20"/>
                <w:lang w:val="sr-Latn-ME"/>
              </w:rPr>
            </w:pPr>
            <w:r w:rsidRPr="0023595B">
              <w:rPr>
                <w:sz w:val="20"/>
                <w:szCs w:val="20"/>
                <w:lang w:val="sr-Latn-ME"/>
              </w:rPr>
              <w:t>52,7%</w:t>
            </w:r>
          </w:p>
        </w:tc>
        <w:tc>
          <w:tcPr>
            <w:tcW w:w="1675" w:type="dxa"/>
            <w:vAlign w:val="center"/>
          </w:tcPr>
          <w:p w14:paraId="324AAE73" w14:textId="77777777" w:rsidR="0075781B" w:rsidRPr="0023595B" w:rsidRDefault="0075781B" w:rsidP="00D55718">
            <w:pPr>
              <w:jc w:val="center"/>
              <w:rPr>
                <w:sz w:val="20"/>
                <w:szCs w:val="20"/>
                <w:lang w:val="sr-Latn-ME"/>
              </w:rPr>
            </w:pPr>
            <w:r w:rsidRPr="0023595B">
              <w:rPr>
                <w:sz w:val="20"/>
                <w:szCs w:val="20"/>
                <w:lang w:val="sr-Latn-ME"/>
              </w:rPr>
              <w:t>26,7%</w:t>
            </w:r>
          </w:p>
        </w:tc>
        <w:tc>
          <w:tcPr>
            <w:tcW w:w="1592" w:type="dxa"/>
            <w:vAlign w:val="center"/>
          </w:tcPr>
          <w:p w14:paraId="7613453F" w14:textId="77777777" w:rsidR="0075781B" w:rsidRPr="0023595B" w:rsidRDefault="0075781B" w:rsidP="00D55718">
            <w:pPr>
              <w:jc w:val="center"/>
              <w:rPr>
                <w:sz w:val="20"/>
                <w:szCs w:val="20"/>
                <w:lang w:val="sr-Latn-ME"/>
              </w:rPr>
            </w:pPr>
            <w:r w:rsidRPr="0023595B">
              <w:rPr>
                <w:sz w:val="20"/>
                <w:szCs w:val="20"/>
                <w:lang w:val="sr-Latn-ME"/>
              </w:rPr>
              <w:t>57,1%</w:t>
            </w:r>
          </w:p>
        </w:tc>
        <w:tc>
          <w:tcPr>
            <w:tcW w:w="1628" w:type="dxa"/>
            <w:vAlign w:val="center"/>
          </w:tcPr>
          <w:p w14:paraId="5C546910" w14:textId="77777777" w:rsidR="0075781B" w:rsidRPr="0023595B" w:rsidRDefault="0075781B" w:rsidP="00D55718">
            <w:pPr>
              <w:jc w:val="center"/>
              <w:rPr>
                <w:sz w:val="20"/>
                <w:szCs w:val="20"/>
                <w:lang w:val="sr-Latn-ME"/>
              </w:rPr>
            </w:pPr>
            <w:r w:rsidRPr="0023595B">
              <w:rPr>
                <w:sz w:val="20"/>
                <w:szCs w:val="20"/>
                <w:lang w:val="sr-Latn-ME"/>
              </w:rPr>
              <w:t>41,1%</w:t>
            </w:r>
          </w:p>
        </w:tc>
      </w:tr>
      <w:tr w:rsidR="0075781B" w:rsidRPr="0023595B" w14:paraId="4B32DAE2" w14:textId="77777777" w:rsidTr="0075781B">
        <w:tc>
          <w:tcPr>
            <w:tcW w:w="3114" w:type="dxa"/>
          </w:tcPr>
          <w:p w14:paraId="5A876452" w14:textId="77777777" w:rsidR="0075781B" w:rsidRPr="0023595B" w:rsidRDefault="0075781B" w:rsidP="00D55718">
            <w:pPr>
              <w:rPr>
                <w:sz w:val="20"/>
                <w:szCs w:val="20"/>
                <w:lang w:val="sr-Latn-ME"/>
              </w:rPr>
            </w:pPr>
            <w:r w:rsidRPr="0023595B">
              <w:rPr>
                <w:sz w:val="20"/>
                <w:szCs w:val="20"/>
                <w:lang w:val="sr-Latn-ME"/>
              </w:rPr>
              <w:t xml:space="preserve">Ponderisana razlika </w:t>
            </w:r>
            <w:r w:rsidRPr="0023595B">
              <w:rPr>
                <w:sz w:val="20"/>
                <w:szCs w:val="20"/>
                <w:vertAlign w:val="superscript"/>
                <w:lang w:val="sr-Latn-ME"/>
              </w:rPr>
              <w:t>A,B)</w:t>
            </w:r>
            <w:r w:rsidRPr="0023595B">
              <w:rPr>
                <w:sz w:val="20"/>
                <w:szCs w:val="20"/>
                <w:lang w:val="sr-Latn-ME"/>
              </w:rPr>
              <w:t xml:space="preserve"> (%)</w:t>
            </w:r>
          </w:p>
          <w:p w14:paraId="17208438" w14:textId="77777777" w:rsidR="0075781B" w:rsidRPr="0023595B" w:rsidRDefault="0075781B" w:rsidP="00D55718">
            <w:pPr>
              <w:rPr>
                <w:sz w:val="20"/>
                <w:szCs w:val="20"/>
                <w:lang w:val="sr-Latn-ME"/>
              </w:rPr>
            </w:pPr>
            <w:r w:rsidRPr="0023595B">
              <w:rPr>
                <w:sz w:val="20"/>
                <w:szCs w:val="20"/>
                <w:lang w:val="sr-Latn-ME"/>
              </w:rPr>
              <w:t>(95% CI)</w:t>
            </w:r>
          </w:p>
          <w:p w14:paraId="557D176F" w14:textId="77777777" w:rsidR="0075781B" w:rsidRPr="0023595B" w:rsidRDefault="0075781B" w:rsidP="00D55718">
            <w:pPr>
              <w:rPr>
                <w:sz w:val="20"/>
                <w:szCs w:val="20"/>
                <w:lang w:val="sr-Latn-ME"/>
              </w:rPr>
            </w:pPr>
            <w:r w:rsidRPr="0023595B">
              <w:rPr>
                <w:sz w:val="20"/>
                <w:szCs w:val="20"/>
                <w:lang w:val="sr-Latn-ME"/>
              </w:rPr>
              <w:t>p-vrijednost</w:t>
            </w:r>
          </w:p>
        </w:tc>
        <w:tc>
          <w:tcPr>
            <w:tcW w:w="1620" w:type="dxa"/>
            <w:vAlign w:val="center"/>
          </w:tcPr>
          <w:p w14:paraId="3AF8D4EB" w14:textId="77777777" w:rsidR="0075781B" w:rsidRPr="0023595B" w:rsidRDefault="0075781B" w:rsidP="00D55718">
            <w:pPr>
              <w:jc w:val="center"/>
              <w:rPr>
                <w:sz w:val="20"/>
                <w:szCs w:val="20"/>
                <w:lang w:val="sr-Latn-ME"/>
              </w:rPr>
            </w:pPr>
            <w:r w:rsidRPr="0023595B">
              <w:rPr>
                <w:sz w:val="20"/>
                <w:szCs w:val="20"/>
                <w:lang w:val="sr-Latn-ME"/>
              </w:rPr>
              <w:t>26,6%</w:t>
            </w:r>
          </w:p>
          <w:p w14:paraId="770CFBCE" w14:textId="77777777" w:rsidR="0075781B" w:rsidRPr="0023595B" w:rsidRDefault="0075781B" w:rsidP="00D55718">
            <w:pPr>
              <w:jc w:val="center"/>
              <w:rPr>
                <w:sz w:val="20"/>
                <w:szCs w:val="20"/>
                <w:lang w:val="sr-Latn-ME"/>
              </w:rPr>
            </w:pPr>
            <w:r w:rsidRPr="0023595B">
              <w:rPr>
                <w:sz w:val="20"/>
                <w:szCs w:val="20"/>
                <w:lang w:val="sr-Latn-ME"/>
              </w:rPr>
              <w:t>(13,0; 40,1)</w:t>
            </w:r>
          </w:p>
          <w:p w14:paraId="48251621" w14:textId="77777777" w:rsidR="0075781B" w:rsidRPr="0023595B" w:rsidRDefault="0075781B" w:rsidP="00D55718">
            <w:pPr>
              <w:jc w:val="center"/>
              <w:rPr>
                <w:sz w:val="20"/>
                <w:szCs w:val="20"/>
                <w:lang w:val="sr-Latn-ME"/>
              </w:rPr>
            </w:pPr>
            <w:r w:rsidRPr="0023595B">
              <w:rPr>
                <w:sz w:val="20"/>
                <w:szCs w:val="20"/>
                <w:lang w:val="sr-Latn-ME"/>
              </w:rPr>
              <w:t>p= 0,0003</w:t>
            </w:r>
          </w:p>
        </w:tc>
        <w:tc>
          <w:tcPr>
            <w:tcW w:w="1675" w:type="dxa"/>
            <w:vAlign w:val="center"/>
          </w:tcPr>
          <w:p w14:paraId="51CED969" w14:textId="77777777" w:rsidR="0075781B" w:rsidRPr="0023595B" w:rsidRDefault="0075781B" w:rsidP="00D55718">
            <w:pPr>
              <w:jc w:val="center"/>
              <w:rPr>
                <w:sz w:val="20"/>
                <w:szCs w:val="20"/>
                <w:lang w:val="sr-Latn-ME"/>
              </w:rPr>
            </w:pPr>
          </w:p>
        </w:tc>
        <w:tc>
          <w:tcPr>
            <w:tcW w:w="1592" w:type="dxa"/>
            <w:vAlign w:val="center"/>
          </w:tcPr>
          <w:p w14:paraId="077780CB" w14:textId="77777777" w:rsidR="0075781B" w:rsidRPr="0023595B" w:rsidRDefault="0075781B" w:rsidP="00D55718">
            <w:pPr>
              <w:jc w:val="center"/>
              <w:rPr>
                <w:sz w:val="20"/>
                <w:szCs w:val="20"/>
                <w:lang w:val="sr-Latn-ME"/>
              </w:rPr>
            </w:pPr>
            <w:r w:rsidRPr="0023595B">
              <w:rPr>
                <w:sz w:val="20"/>
                <w:szCs w:val="20"/>
                <w:lang w:val="sr-Latn-ME"/>
              </w:rPr>
              <w:t>16,2%</w:t>
            </w:r>
          </w:p>
          <w:p w14:paraId="0E949197" w14:textId="77777777" w:rsidR="0075781B" w:rsidRPr="0023595B" w:rsidRDefault="0075781B" w:rsidP="00D55718">
            <w:pPr>
              <w:jc w:val="center"/>
              <w:rPr>
                <w:sz w:val="20"/>
                <w:szCs w:val="20"/>
                <w:lang w:val="sr-Latn-ME"/>
              </w:rPr>
            </w:pPr>
            <w:r w:rsidRPr="0023595B">
              <w:rPr>
                <w:sz w:val="20"/>
                <w:szCs w:val="20"/>
                <w:lang w:val="sr-Latn-ME"/>
              </w:rPr>
              <w:t>(2,0; 30,5)</w:t>
            </w:r>
          </w:p>
          <w:p w14:paraId="74A1F6EA" w14:textId="77777777" w:rsidR="0075781B" w:rsidRPr="0023595B" w:rsidRDefault="0075781B" w:rsidP="00D55718">
            <w:pPr>
              <w:jc w:val="center"/>
              <w:rPr>
                <w:sz w:val="20"/>
                <w:szCs w:val="20"/>
                <w:lang w:val="sr-Latn-ME"/>
              </w:rPr>
            </w:pPr>
            <w:r w:rsidRPr="0023595B">
              <w:rPr>
                <w:sz w:val="20"/>
                <w:szCs w:val="20"/>
                <w:lang w:val="sr-Latn-ME"/>
              </w:rPr>
              <w:t>P=0,0296</w:t>
            </w:r>
          </w:p>
        </w:tc>
        <w:tc>
          <w:tcPr>
            <w:tcW w:w="1628" w:type="dxa"/>
            <w:vAlign w:val="center"/>
          </w:tcPr>
          <w:p w14:paraId="048A5D88" w14:textId="77777777" w:rsidR="0075781B" w:rsidRPr="0023595B" w:rsidRDefault="0075781B" w:rsidP="00D55718">
            <w:pPr>
              <w:jc w:val="center"/>
              <w:rPr>
                <w:sz w:val="20"/>
                <w:szCs w:val="20"/>
                <w:lang w:val="sr-Latn-ME"/>
              </w:rPr>
            </w:pPr>
          </w:p>
        </w:tc>
      </w:tr>
      <w:tr w:rsidR="0075781B" w:rsidRPr="0023595B" w14:paraId="374757EE" w14:textId="77777777" w:rsidTr="0075781B">
        <w:tc>
          <w:tcPr>
            <w:tcW w:w="3114" w:type="dxa"/>
          </w:tcPr>
          <w:p w14:paraId="7903FDF1" w14:textId="77777777" w:rsidR="0075781B" w:rsidRPr="0023595B" w:rsidRDefault="0075781B" w:rsidP="00D55718">
            <w:pPr>
              <w:rPr>
                <w:sz w:val="20"/>
                <w:szCs w:val="20"/>
                <w:lang w:val="sr-Latn-ME"/>
              </w:rPr>
            </w:pPr>
            <w:r w:rsidRPr="0023595B">
              <w:rPr>
                <w:sz w:val="20"/>
                <w:szCs w:val="20"/>
                <w:lang w:val="sr-Latn-ME"/>
              </w:rPr>
              <w:t xml:space="preserve">Srednja vrijednost promjene u BCVA od početne vrijednosti </w:t>
            </w:r>
            <w:r w:rsidRPr="0023595B">
              <w:rPr>
                <w:sz w:val="20"/>
                <w:szCs w:val="20"/>
                <w:lang w:val="sr-Latn-ME"/>
              </w:rPr>
              <w:lastRenderedPageBreak/>
              <w:t>mjereno pomoću ETDRS skale za slova (SD)</w:t>
            </w:r>
          </w:p>
        </w:tc>
        <w:tc>
          <w:tcPr>
            <w:tcW w:w="1620" w:type="dxa"/>
            <w:vAlign w:val="center"/>
          </w:tcPr>
          <w:p w14:paraId="293211B2" w14:textId="77777777" w:rsidR="0075781B" w:rsidRPr="0023595B" w:rsidRDefault="0075781B" w:rsidP="00D55718">
            <w:pPr>
              <w:jc w:val="center"/>
              <w:rPr>
                <w:sz w:val="20"/>
                <w:szCs w:val="20"/>
                <w:lang w:val="sr-Latn-ME"/>
              </w:rPr>
            </w:pPr>
            <w:r w:rsidRPr="0023595B">
              <w:rPr>
                <w:sz w:val="20"/>
                <w:szCs w:val="20"/>
                <w:lang w:val="sr-Latn-ME"/>
              </w:rPr>
              <w:lastRenderedPageBreak/>
              <w:t>17,0</w:t>
            </w:r>
          </w:p>
          <w:p w14:paraId="00DD98FC" w14:textId="77777777" w:rsidR="0075781B" w:rsidRPr="0023595B" w:rsidRDefault="0075781B" w:rsidP="00D55718">
            <w:pPr>
              <w:jc w:val="center"/>
              <w:rPr>
                <w:sz w:val="20"/>
                <w:szCs w:val="20"/>
                <w:lang w:val="sr-Latn-ME"/>
              </w:rPr>
            </w:pPr>
            <w:r w:rsidRPr="0023595B">
              <w:rPr>
                <w:sz w:val="20"/>
                <w:szCs w:val="20"/>
                <w:lang w:val="sr-Latn-ME"/>
              </w:rPr>
              <w:t>(11,9)</w:t>
            </w:r>
          </w:p>
        </w:tc>
        <w:tc>
          <w:tcPr>
            <w:tcW w:w="1675" w:type="dxa"/>
            <w:vAlign w:val="center"/>
          </w:tcPr>
          <w:p w14:paraId="50429B51" w14:textId="77777777" w:rsidR="0075781B" w:rsidRPr="0023595B" w:rsidRDefault="0075781B" w:rsidP="00D55718">
            <w:pPr>
              <w:jc w:val="center"/>
              <w:rPr>
                <w:sz w:val="20"/>
                <w:szCs w:val="20"/>
                <w:lang w:val="sr-Latn-ME"/>
              </w:rPr>
            </w:pPr>
            <w:r w:rsidRPr="0023595B">
              <w:rPr>
                <w:sz w:val="20"/>
                <w:szCs w:val="20"/>
                <w:lang w:val="sr-Latn-ME"/>
              </w:rPr>
              <w:t>6,9</w:t>
            </w:r>
          </w:p>
          <w:p w14:paraId="264D4CDE" w14:textId="77777777" w:rsidR="0075781B" w:rsidRPr="0023595B" w:rsidRDefault="0075781B" w:rsidP="00D55718">
            <w:pPr>
              <w:jc w:val="center"/>
              <w:rPr>
                <w:sz w:val="20"/>
                <w:szCs w:val="20"/>
                <w:lang w:val="sr-Latn-ME"/>
              </w:rPr>
            </w:pPr>
            <w:r w:rsidRPr="0023595B">
              <w:rPr>
                <w:sz w:val="20"/>
                <w:szCs w:val="20"/>
                <w:lang w:val="sr-Latn-ME"/>
              </w:rPr>
              <w:t>(12,9)</w:t>
            </w:r>
          </w:p>
        </w:tc>
        <w:tc>
          <w:tcPr>
            <w:tcW w:w="1592" w:type="dxa"/>
            <w:vAlign w:val="center"/>
          </w:tcPr>
          <w:p w14:paraId="7E8AA8CD" w14:textId="77777777" w:rsidR="0075781B" w:rsidRPr="0023595B" w:rsidRDefault="0075781B" w:rsidP="00D55718">
            <w:pPr>
              <w:jc w:val="center"/>
              <w:rPr>
                <w:sz w:val="20"/>
                <w:szCs w:val="20"/>
                <w:lang w:val="sr-Latn-ME"/>
              </w:rPr>
            </w:pPr>
            <w:r w:rsidRPr="0023595B">
              <w:rPr>
                <w:sz w:val="20"/>
                <w:szCs w:val="20"/>
                <w:lang w:val="sr-Latn-ME"/>
              </w:rPr>
              <w:t>17.1</w:t>
            </w:r>
          </w:p>
          <w:p w14:paraId="287ABD9B" w14:textId="77777777" w:rsidR="0075781B" w:rsidRPr="0023595B" w:rsidRDefault="0075781B" w:rsidP="00D55718">
            <w:pPr>
              <w:jc w:val="center"/>
              <w:rPr>
                <w:sz w:val="20"/>
                <w:szCs w:val="20"/>
                <w:lang w:val="sr-Latn-ME"/>
              </w:rPr>
            </w:pPr>
            <w:r w:rsidRPr="0023595B">
              <w:rPr>
                <w:sz w:val="20"/>
                <w:szCs w:val="20"/>
                <w:lang w:val="sr-Latn-ME"/>
              </w:rPr>
              <w:t>(13.1)</w:t>
            </w:r>
          </w:p>
        </w:tc>
        <w:tc>
          <w:tcPr>
            <w:tcW w:w="1628" w:type="dxa"/>
            <w:vAlign w:val="center"/>
          </w:tcPr>
          <w:p w14:paraId="07C8A3FA" w14:textId="77777777" w:rsidR="0075781B" w:rsidRPr="0023595B" w:rsidRDefault="0075781B" w:rsidP="00D55718">
            <w:pPr>
              <w:jc w:val="center"/>
              <w:rPr>
                <w:sz w:val="20"/>
                <w:szCs w:val="20"/>
                <w:lang w:val="sr-Latn-ME"/>
              </w:rPr>
            </w:pPr>
            <w:r w:rsidRPr="0023595B">
              <w:rPr>
                <w:sz w:val="20"/>
                <w:szCs w:val="20"/>
                <w:lang w:val="sr-Latn-ME"/>
              </w:rPr>
              <w:t>12,2 (11,9)</w:t>
            </w:r>
          </w:p>
        </w:tc>
      </w:tr>
      <w:tr w:rsidR="0075781B" w:rsidRPr="0023595B" w14:paraId="007A17CF" w14:textId="77777777" w:rsidTr="0075781B">
        <w:tc>
          <w:tcPr>
            <w:tcW w:w="3114" w:type="dxa"/>
          </w:tcPr>
          <w:p w14:paraId="47052272" w14:textId="77777777" w:rsidR="0075781B" w:rsidRPr="0023595B" w:rsidRDefault="0075781B" w:rsidP="00D55718">
            <w:pPr>
              <w:rPr>
                <w:sz w:val="20"/>
                <w:szCs w:val="20"/>
                <w:lang w:val="sr-Latn-ME"/>
              </w:rPr>
            </w:pPr>
            <w:r w:rsidRPr="0023595B">
              <w:rPr>
                <w:sz w:val="20"/>
                <w:szCs w:val="20"/>
                <w:lang w:val="sr-Latn-ME"/>
              </w:rPr>
              <w:t xml:space="preserve">Razlika u LS srednjoj vrijednosti </w:t>
            </w:r>
            <w:r w:rsidRPr="0023595B">
              <w:rPr>
                <w:sz w:val="20"/>
                <w:szCs w:val="20"/>
                <w:vertAlign w:val="superscript"/>
                <w:lang w:val="sr-Latn-ME"/>
              </w:rPr>
              <w:t>A,C=</w:t>
            </w:r>
          </w:p>
          <w:p w14:paraId="2B075937" w14:textId="77777777" w:rsidR="0075781B" w:rsidRPr="0023595B" w:rsidRDefault="0075781B" w:rsidP="00D55718">
            <w:pPr>
              <w:rPr>
                <w:sz w:val="20"/>
                <w:szCs w:val="20"/>
                <w:lang w:val="sr-Latn-ME"/>
              </w:rPr>
            </w:pPr>
            <w:r w:rsidRPr="0023595B">
              <w:rPr>
                <w:sz w:val="20"/>
                <w:szCs w:val="20"/>
                <w:lang w:val="sr-Latn-ME"/>
              </w:rPr>
              <w:t>(95% CI)</w:t>
            </w:r>
          </w:p>
          <w:p w14:paraId="53F658BD" w14:textId="77777777" w:rsidR="0075781B" w:rsidRPr="0023595B" w:rsidRDefault="0075781B" w:rsidP="00D55718">
            <w:pPr>
              <w:rPr>
                <w:sz w:val="20"/>
                <w:szCs w:val="20"/>
                <w:lang w:val="sr-Latn-ME"/>
              </w:rPr>
            </w:pPr>
            <w:r w:rsidRPr="0023595B">
              <w:rPr>
                <w:sz w:val="20"/>
                <w:szCs w:val="20"/>
                <w:lang w:val="sr-Latn-ME"/>
              </w:rPr>
              <w:t>p-vrijednost</w:t>
            </w:r>
          </w:p>
        </w:tc>
        <w:tc>
          <w:tcPr>
            <w:tcW w:w="1620" w:type="dxa"/>
            <w:vAlign w:val="center"/>
          </w:tcPr>
          <w:p w14:paraId="2CB7289F" w14:textId="77777777" w:rsidR="0075781B" w:rsidRPr="0023595B" w:rsidRDefault="0075781B" w:rsidP="00D55718">
            <w:pPr>
              <w:jc w:val="center"/>
              <w:rPr>
                <w:sz w:val="20"/>
                <w:szCs w:val="20"/>
                <w:lang w:val="sr-Latn-ME"/>
              </w:rPr>
            </w:pPr>
            <w:r w:rsidRPr="0023595B">
              <w:rPr>
                <w:sz w:val="20"/>
                <w:szCs w:val="20"/>
                <w:lang w:val="sr-Latn-ME"/>
              </w:rPr>
              <w:t>10,5</w:t>
            </w:r>
          </w:p>
          <w:p w14:paraId="099E2D10" w14:textId="77777777" w:rsidR="0075781B" w:rsidRPr="0023595B" w:rsidRDefault="0075781B" w:rsidP="00D55718">
            <w:pPr>
              <w:jc w:val="center"/>
              <w:rPr>
                <w:sz w:val="20"/>
                <w:szCs w:val="20"/>
                <w:lang w:val="sr-Latn-ME"/>
              </w:rPr>
            </w:pPr>
            <w:r w:rsidRPr="0023595B">
              <w:rPr>
                <w:sz w:val="20"/>
                <w:szCs w:val="20"/>
                <w:lang w:val="sr-Latn-ME"/>
              </w:rPr>
              <w:t>(7,1; 14,0)</w:t>
            </w:r>
          </w:p>
          <w:p w14:paraId="1433755D" w14:textId="77777777" w:rsidR="0075781B" w:rsidRPr="0023595B" w:rsidRDefault="0075781B" w:rsidP="00D55718">
            <w:pPr>
              <w:jc w:val="center"/>
              <w:rPr>
                <w:sz w:val="20"/>
                <w:szCs w:val="20"/>
                <w:lang w:val="sr-Latn-ME"/>
              </w:rPr>
            </w:pPr>
            <w:r w:rsidRPr="0023595B">
              <w:rPr>
                <w:sz w:val="20"/>
                <w:szCs w:val="20"/>
                <w:lang w:val="sr-Latn-ME"/>
              </w:rPr>
              <w:t>p&lt;0,0001</w:t>
            </w:r>
          </w:p>
        </w:tc>
        <w:tc>
          <w:tcPr>
            <w:tcW w:w="1675" w:type="dxa"/>
            <w:vAlign w:val="center"/>
          </w:tcPr>
          <w:p w14:paraId="152A2D41" w14:textId="77777777" w:rsidR="0075781B" w:rsidRPr="0023595B" w:rsidRDefault="0075781B" w:rsidP="00D55718">
            <w:pPr>
              <w:jc w:val="center"/>
              <w:rPr>
                <w:sz w:val="20"/>
                <w:szCs w:val="20"/>
                <w:lang w:val="sr-Latn-ME"/>
              </w:rPr>
            </w:pPr>
          </w:p>
        </w:tc>
        <w:tc>
          <w:tcPr>
            <w:tcW w:w="1592" w:type="dxa"/>
            <w:vAlign w:val="center"/>
          </w:tcPr>
          <w:p w14:paraId="0E16E07F" w14:textId="77777777" w:rsidR="0075781B" w:rsidRPr="0023595B" w:rsidRDefault="0075781B" w:rsidP="00D55718">
            <w:pPr>
              <w:jc w:val="center"/>
              <w:rPr>
                <w:sz w:val="20"/>
                <w:szCs w:val="20"/>
                <w:lang w:val="sr-Latn-ME"/>
              </w:rPr>
            </w:pPr>
            <w:r w:rsidRPr="0023595B">
              <w:rPr>
                <w:sz w:val="20"/>
                <w:szCs w:val="20"/>
                <w:lang w:val="sr-Latn-ME"/>
              </w:rPr>
              <w:t>5,2</w:t>
            </w:r>
          </w:p>
          <w:p w14:paraId="1EAF1F5C" w14:textId="77777777" w:rsidR="0075781B" w:rsidRPr="0023595B" w:rsidRDefault="0075781B" w:rsidP="00D55718">
            <w:pPr>
              <w:jc w:val="center"/>
              <w:rPr>
                <w:sz w:val="20"/>
                <w:szCs w:val="20"/>
                <w:lang w:val="sr-Latn-ME"/>
              </w:rPr>
            </w:pPr>
            <w:r w:rsidRPr="0023595B">
              <w:rPr>
                <w:sz w:val="20"/>
                <w:szCs w:val="20"/>
                <w:lang w:val="sr-Latn-ME"/>
              </w:rPr>
              <w:t>(1,7; 8,7)</w:t>
            </w:r>
          </w:p>
          <w:p w14:paraId="3F52E13E" w14:textId="77777777" w:rsidR="0075781B" w:rsidRPr="0023595B" w:rsidRDefault="0075781B" w:rsidP="00D55718">
            <w:pPr>
              <w:jc w:val="center"/>
              <w:rPr>
                <w:sz w:val="20"/>
                <w:szCs w:val="20"/>
                <w:lang w:val="sr-Latn-ME"/>
              </w:rPr>
            </w:pPr>
            <w:r w:rsidRPr="0023595B">
              <w:rPr>
                <w:sz w:val="20"/>
                <w:szCs w:val="20"/>
                <w:lang w:val="sr-Latn-ME"/>
              </w:rPr>
              <w:t>p=0,0035</w:t>
            </w:r>
            <w:r w:rsidRPr="0023595B">
              <w:rPr>
                <w:sz w:val="20"/>
                <w:szCs w:val="20"/>
                <w:vertAlign w:val="superscript"/>
                <w:lang w:val="sr-Latn-ME"/>
              </w:rPr>
              <w:t>F)</w:t>
            </w:r>
          </w:p>
        </w:tc>
        <w:tc>
          <w:tcPr>
            <w:tcW w:w="1628" w:type="dxa"/>
            <w:vAlign w:val="center"/>
          </w:tcPr>
          <w:p w14:paraId="6997D2AD" w14:textId="77777777" w:rsidR="0075781B" w:rsidRPr="0023595B" w:rsidRDefault="0075781B" w:rsidP="00D55718">
            <w:pPr>
              <w:jc w:val="center"/>
              <w:rPr>
                <w:sz w:val="20"/>
                <w:szCs w:val="20"/>
                <w:lang w:val="sr-Latn-ME"/>
              </w:rPr>
            </w:pPr>
          </w:p>
        </w:tc>
      </w:tr>
    </w:tbl>
    <w:p w14:paraId="66F01552" w14:textId="77777777" w:rsidR="0075781B" w:rsidRPr="0023595B" w:rsidRDefault="0075781B" w:rsidP="0075781B">
      <w:pPr>
        <w:ind w:left="270" w:hanging="270"/>
        <w:rPr>
          <w:sz w:val="20"/>
          <w:szCs w:val="20"/>
          <w:lang w:val="sr-Latn-ME"/>
        </w:rPr>
      </w:pPr>
      <w:r w:rsidRPr="0023595B">
        <w:rPr>
          <w:szCs w:val="22"/>
          <w:vertAlign w:val="superscript"/>
          <w:lang w:val="sr-Latn-ME"/>
        </w:rPr>
        <w:t>A)</w:t>
      </w:r>
      <w:r w:rsidRPr="0023595B">
        <w:rPr>
          <w:szCs w:val="22"/>
          <w:lang w:val="sr-Latn-ME"/>
        </w:rPr>
        <w:tab/>
      </w:r>
      <w:r w:rsidRPr="0023595B">
        <w:rPr>
          <w:sz w:val="20"/>
          <w:szCs w:val="20"/>
          <w:lang w:val="sr-Latn-ME"/>
        </w:rPr>
        <w:t>Razlika je Eylea 2 mg svake 4 nedjelje minus laserska kontrolna.</w:t>
      </w:r>
    </w:p>
    <w:p w14:paraId="236EE2AD" w14:textId="77777777" w:rsidR="0075781B" w:rsidRPr="0023595B" w:rsidRDefault="0075781B" w:rsidP="0075781B">
      <w:pPr>
        <w:ind w:left="270" w:hanging="270"/>
        <w:rPr>
          <w:sz w:val="20"/>
          <w:szCs w:val="20"/>
          <w:lang w:val="sr-Latn-ME"/>
        </w:rPr>
      </w:pPr>
      <w:r w:rsidRPr="0023595B">
        <w:rPr>
          <w:sz w:val="20"/>
          <w:szCs w:val="20"/>
          <w:vertAlign w:val="superscript"/>
          <w:lang w:val="sr-Latn-ME"/>
        </w:rPr>
        <w:t>B)</w:t>
      </w:r>
      <w:r w:rsidRPr="0023595B">
        <w:rPr>
          <w:sz w:val="20"/>
          <w:szCs w:val="20"/>
          <w:lang w:val="sr-Latn-ME"/>
        </w:rPr>
        <w:tab/>
        <w:t>Razlika i 95% CI izračunati su pomoću Mantel-Haenszelovog testa prilagođenog za region (Severna Amerika naspram Japana) i početne BCVA kategorije (&gt; 20/200 i ≤ 20/200)</w:t>
      </w:r>
    </w:p>
    <w:p w14:paraId="6FFADDC3" w14:textId="77777777" w:rsidR="0075781B" w:rsidRPr="0023595B" w:rsidRDefault="0075781B" w:rsidP="0075781B">
      <w:pPr>
        <w:ind w:left="270" w:hanging="270"/>
        <w:rPr>
          <w:sz w:val="20"/>
          <w:szCs w:val="20"/>
          <w:lang w:val="sr-Latn-ME"/>
        </w:rPr>
      </w:pPr>
      <w:r w:rsidRPr="0023595B">
        <w:rPr>
          <w:sz w:val="20"/>
          <w:szCs w:val="20"/>
          <w:vertAlign w:val="superscript"/>
          <w:lang w:val="sr-Latn-ME"/>
        </w:rPr>
        <w:t>C)</w:t>
      </w:r>
      <w:r w:rsidRPr="0023595B">
        <w:rPr>
          <w:sz w:val="20"/>
          <w:szCs w:val="20"/>
          <w:lang w:val="sr-Latn-ME"/>
        </w:rPr>
        <w:tab/>
        <w:t>LS prosječne razlike i 95% CI na osnovu ANCOVA modela sa terapijskom grupom, početnom BCVA kategorijom (&gt; 20/200 i ≤ 20/200) i regiona (Severna Amerika naspram Japana) kao fiksnim efektima i sa početnim BCVA mjerenjima kao kovarijabilom</w:t>
      </w:r>
    </w:p>
    <w:p w14:paraId="061A76A8" w14:textId="77777777" w:rsidR="0075781B" w:rsidRPr="0023595B" w:rsidRDefault="0075781B" w:rsidP="0075781B">
      <w:pPr>
        <w:ind w:left="270" w:hanging="270"/>
        <w:rPr>
          <w:sz w:val="20"/>
          <w:szCs w:val="20"/>
          <w:lang w:val="sr-Latn-ME"/>
        </w:rPr>
      </w:pPr>
      <w:r w:rsidRPr="0023595B">
        <w:rPr>
          <w:sz w:val="20"/>
          <w:szCs w:val="20"/>
          <w:vertAlign w:val="superscript"/>
          <w:lang w:val="sr-Latn-ME"/>
        </w:rPr>
        <w:t>D)</w:t>
      </w:r>
      <w:r w:rsidRPr="0023595B">
        <w:rPr>
          <w:sz w:val="20"/>
          <w:szCs w:val="20"/>
          <w:lang w:val="sr-Latn-ME"/>
        </w:rPr>
        <w:tab/>
        <w:t>Od 24. nedjelje interval terapije u grupi liječenoj lijekom Eylea je produžen za sve ispitanike sa 4 na 8 nedjelja do 48. nedjelje</w:t>
      </w:r>
    </w:p>
    <w:p w14:paraId="4046C567" w14:textId="3C64FB3F" w:rsidR="0075781B" w:rsidRPr="0023595B" w:rsidRDefault="0075781B" w:rsidP="0075781B">
      <w:pPr>
        <w:ind w:left="270" w:hanging="270"/>
        <w:rPr>
          <w:sz w:val="20"/>
          <w:szCs w:val="20"/>
          <w:lang w:val="sr-Latn-ME"/>
        </w:rPr>
      </w:pPr>
      <w:r w:rsidRPr="0023595B">
        <w:rPr>
          <w:sz w:val="20"/>
          <w:szCs w:val="20"/>
          <w:vertAlign w:val="superscript"/>
          <w:lang w:val="sr-Latn-ME"/>
        </w:rPr>
        <w:t>E)</w:t>
      </w:r>
      <w:r w:rsidRPr="0023595B">
        <w:rPr>
          <w:sz w:val="20"/>
          <w:szCs w:val="20"/>
          <w:lang w:val="sr-Latn-ME"/>
        </w:rPr>
        <w:tab/>
        <w:t>Počevši od 24 nedjelje ispitanici iz laserske grupe su mogli da prime pomoćnu t</w:t>
      </w:r>
      <w:r w:rsidR="00777A7E" w:rsidRPr="0023595B">
        <w:rPr>
          <w:sz w:val="20"/>
          <w:szCs w:val="20"/>
          <w:lang w:val="sr-Latn-ME"/>
        </w:rPr>
        <w:t>e</w:t>
      </w:r>
      <w:r w:rsidRPr="0023595B">
        <w:rPr>
          <w:sz w:val="20"/>
          <w:szCs w:val="20"/>
          <w:lang w:val="sr-Latn-ME"/>
        </w:rPr>
        <w:t>rapiju lijekom Eylea, ukoliko su ispunjavali bar jedan od unaprijed određenih kriterijuma. U okviru ove grupe, ukupno 67 ispitanika je primilo pomoćnu te</w:t>
      </w:r>
      <w:r w:rsidR="00BA6BF2">
        <w:rPr>
          <w:sz w:val="20"/>
          <w:szCs w:val="20"/>
          <w:lang w:val="sr-Latn-ME"/>
        </w:rPr>
        <w:t>r</w:t>
      </w:r>
      <w:r w:rsidRPr="0023595B">
        <w:rPr>
          <w:sz w:val="20"/>
          <w:szCs w:val="20"/>
          <w:lang w:val="sr-Latn-ME"/>
        </w:rPr>
        <w:t>apiju lijekom Eylea. Fiksni režim primanja pomoćne terapije lijeka Eylea je bio tri puta 2 mg lijeka Eylea svake 4 nedjelje, pa zatim na svakih 8 nedjelja</w:t>
      </w:r>
    </w:p>
    <w:p w14:paraId="760FC6FF" w14:textId="77777777" w:rsidR="0075781B" w:rsidRPr="0023595B" w:rsidRDefault="0075781B" w:rsidP="0075781B">
      <w:pPr>
        <w:ind w:left="270" w:hanging="270"/>
        <w:rPr>
          <w:sz w:val="20"/>
          <w:szCs w:val="20"/>
          <w:lang w:val="sr-Latn-ME"/>
        </w:rPr>
      </w:pPr>
      <w:r w:rsidRPr="0023595B">
        <w:rPr>
          <w:sz w:val="20"/>
          <w:szCs w:val="20"/>
          <w:vertAlign w:val="superscript"/>
          <w:lang w:val="sr-Latn-ME"/>
        </w:rPr>
        <w:t>F)</w:t>
      </w:r>
      <w:r w:rsidRPr="0023595B">
        <w:rPr>
          <w:sz w:val="20"/>
          <w:szCs w:val="20"/>
          <w:lang w:val="sr-Latn-ME"/>
        </w:rPr>
        <w:tab/>
        <w:t>Nominalna p-vrijednost</w:t>
      </w:r>
    </w:p>
    <w:p w14:paraId="565228E2" w14:textId="4F573F23" w:rsidR="0075781B" w:rsidRPr="0023595B" w:rsidRDefault="0075781B" w:rsidP="0075781B">
      <w:pPr>
        <w:jc w:val="both"/>
        <w:rPr>
          <w:sz w:val="22"/>
          <w:szCs w:val="22"/>
          <w:lang w:val="sr-Latn-ME"/>
        </w:rPr>
      </w:pPr>
    </w:p>
    <w:p w14:paraId="28F756DF" w14:textId="77777777" w:rsidR="0075781B" w:rsidRPr="0023595B" w:rsidRDefault="0075781B" w:rsidP="0075781B">
      <w:pPr>
        <w:ind w:left="709" w:hanging="709"/>
        <w:jc w:val="both"/>
        <w:rPr>
          <w:sz w:val="22"/>
          <w:szCs w:val="22"/>
          <w:lang w:val="sr-Latn-ME"/>
        </w:rPr>
      </w:pPr>
      <w:r w:rsidRPr="0023595B">
        <w:rPr>
          <w:b/>
          <w:sz w:val="22"/>
          <w:szCs w:val="22"/>
          <w:lang w:val="sr-Latn-ME"/>
        </w:rPr>
        <w:t>Slika 3</w:t>
      </w:r>
      <w:r w:rsidRPr="0023595B">
        <w:rPr>
          <w:sz w:val="22"/>
          <w:szCs w:val="22"/>
          <w:lang w:val="sr-Latn-ME"/>
        </w:rPr>
        <w:t>: Srednja vrijednost promjene u BCVA u odnosu na početnu vrijednost, mjereno pomoću ETDRS slovnog rezultata do 52. nedjelje u okviru VIBRANT ispitivanja</w:t>
      </w:r>
    </w:p>
    <w:p w14:paraId="33CC6AA6" w14:textId="7EB220ED" w:rsidR="0075781B" w:rsidRPr="0023595B" w:rsidRDefault="00777A7E" w:rsidP="0075781B">
      <w:pPr>
        <w:rPr>
          <w:sz w:val="22"/>
          <w:szCs w:val="22"/>
          <w:lang w:val="sr-Latn-ME"/>
        </w:rPr>
      </w:pPr>
      <w:r w:rsidRPr="0023595B">
        <w:rPr>
          <w:i/>
          <w:iCs/>
          <w:noProof/>
        </w:rPr>
        <mc:AlternateContent>
          <mc:Choice Requires="wps">
            <w:drawing>
              <wp:anchor distT="0" distB="0" distL="114300" distR="114300" simplePos="0" relativeHeight="251715584" behindDoc="0" locked="0" layoutInCell="1" allowOverlap="1" wp14:anchorId="53EBDD77" wp14:editId="71008864">
                <wp:simplePos x="0" y="0"/>
                <wp:positionH relativeFrom="column">
                  <wp:posOffset>1858061</wp:posOffset>
                </wp:positionH>
                <wp:positionV relativeFrom="paragraph">
                  <wp:posOffset>1888795</wp:posOffset>
                </wp:positionV>
                <wp:extent cx="783732" cy="211540"/>
                <wp:effectExtent l="0" t="0" r="0" b="0"/>
                <wp:wrapNone/>
                <wp:docPr id="301"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32" cy="211540"/>
                        </a:xfrm>
                        <a:prstGeom prst="rect">
                          <a:avLst/>
                        </a:prstGeom>
                        <a:solidFill>
                          <a:schemeClr val="bg1"/>
                        </a:solidFill>
                        <a:ln>
                          <a:noFill/>
                        </a:ln>
                      </wps:spPr>
                      <wps:txbx>
                        <w:txbxContent>
                          <w:p w14:paraId="3AECC1BB" w14:textId="77777777" w:rsidR="00DA4990" w:rsidRPr="009207D8" w:rsidRDefault="00DA4990" w:rsidP="00777A7E">
                            <w:pPr>
                              <w:rPr>
                                <w:rFonts w:ascii="Arial" w:hAnsi="Arial"/>
                                <w:b/>
                                <w:bCs/>
                                <w:sz w:val="16"/>
                                <w:szCs w:val="16"/>
                                <w:lang w:val="hr-HR"/>
                              </w:rPr>
                            </w:pPr>
                            <w:r>
                              <w:rPr>
                                <w:rFonts w:ascii="Arial" w:hAnsi="Arial"/>
                                <w:b/>
                                <w:bCs/>
                                <w:sz w:val="16"/>
                                <w:szCs w:val="16"/>
                                <w:lang w:val="hr-HR"/>
                              </w:rPr>
                              <w:t>Nedjelje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BDD77" id="_x0000_s1036" type="#_x0000_t202" style="position:absolute;margin-left:146.3pt;margin-top:148.7pt;width:61.7pt;height:1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" fillcolor="white [3212]" stroked="f">
                <v:textbox inset="1mm,1mm,1mm,1mm">
                  <w:txbxContent>
                    <w:p w14:paraId="3AECC1BB" w14:textId="77777777" w:rsidR="00DA4990" w:rsidRPr="009207D8" w:rsidRDefault="00DA4990" w:rsidP="00777A7E">
                      <w:pPr>
                        <w:rPr>
                          <w:rFonts w:ascii="Arial" w:hAnsi="Arial"/>
                          <w:b/>
                          <w:bCs/>
                          <w:sz w:val="16"/>
                          <w:szCs w:val="16"/>
                          <w:lang w:val="hr-HR"/>
                        </w:rPr>
                      </w:pPr>
                      <w:r>
                        <w:rPr>
                          <w:rFonts w:ascii="Arial" w:hAnsi="Arial"/>
                          <w:b/>
                          <w:bCs/>
                          <w:sz w:val="16"/>
                          <w:szCs w:val="16"/>
                          <w:lang w:val="hr-HR"/>
                        </w:rPr>
                        <w:t>Nedjelje</w:t>
                      </w:r>
                    </w:p>
                  </w:txbxContent>
                </v:textbox>
              </v:shape>
            </w:pict>
          </mc:Fallback>
        </mc:AlternateContent>
      </w:r>
      <w:r w:rsidR="0075781B" w:rsidRPr="0023595B">
        <w:rPr>
          <w:i/>
          <w:noProof/>
          <w:szCs w:val="22"/>
        </w:rPr>
        <mc:AlternateContent>
          <mc:Choice Requires="wps">
            <w:drawing>
              <wp:anchor distT="0" distB="0" distL="114300" distR="114300" simplePos="0" relativeHeight="251673600" behindDoc="0" locked="0" layoutInCell="1" allowOverlap="1" wp14:anchorId="0ABD69A9" wp14:editId="1F8B41C0">
                <wp:simplePos x="0" y="0"/>
                <wp:positionH relativeFrom="margin">
                  <wp:posOffset>0</wp:posOffset>
                </wp:positionH>
                <wp:positionV relativeFrom="paragraph">
                  <wp:posOffset>47930</wp:posOffset>
                </wp:positionV>
                <wp:extent cx="370840" cy="1889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889125"/>
                        </a:xfrm>
                        <a:prstGeom prst="rect">
                          <a:avLst/>
                        </a:prstGeom>
                        <a:solidFill>
                          <a:srgbClr val="FFFFFF"/>
                        </a:solidFill>
                        <a:ln w="9525">
                          <a:noFill/>
                          <a:miter lim="800000"/>
                          <a:headEnd/>
                          <a:tailEnd/>
                        </a:ln>
                      </wps:spPr>
                      <wps:txbx>
                        <w:txbxContent>
                          <w:p w14:paraId="07CAE85E"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0E411C7E"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D69A9" id="_x0000_s1037" type="#_x0000_t202" style="position:absolute;margin-left:0;margin-top:3.75pt;width:29.2pt;height:14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" stroked="f">
                <v:textbox style="layout-flow:vertical;mso-layout-flow-alt:bottom-to-top" inset="0,0,0,0">
                  <w:txbxContent>
                    <w:p w14:paraId="07CAE85E"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0E411C7E"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v:textbox>
                <w10:wrap anchorx="margin"/>
              </v:shape>
            </w:pict>
          </mc:Fallback>
        </mc:AlternateContent>
      </w:r>
      <w:r w:rsidR="0075781B" w:rsidRPr="0023595B">
        <w:rPr>
          <w:rFonts w:eastAsia="TimesNewRoman"/>
          <w:noProof/>
          <w:color w:val="FF0000"/>
          <w:sz w:val="20"/>
          <w:szCs w:val="20"/>
        </w:rPr>
        <w:drawing>
          <wp:inline distT="0" distB="0" distL="0" distR="0" wp14:anchorId="3C6635EC" wp14:editId="382F6A0A">
            <wp:extent cx="4915346" cy="2355494"/>
            <wp:effectExtent l="0" t="0" r="0" b="6985"/>
            <wp:docPr id="10" name="Picture 10" descr="Ey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ylea"/>
                    <pic:cNvPicPr>
                      <a:picLocks noChangeAspect="1" noChangeArrowheads="1"/>
                    </pic:cNvPicPr>
                  </pic:nvPicPr>
                  <pic:blipFill>
                    <a:blip r:embed="rId20">
                      <a:extLst>
                        <a:ext uri="{28A0092B-C50C-407E-A947-70E740481C1C}">
                          <a14:useLocalDpi xmlns:a14="http://schemas.microsoft.com/office/drawing/2010/main" val="0"/>
                        </a:ext>
                      </a:extLst>
                    </a:blip>
                    <a:srcRect b="32037"/>
                    <a:stretch>
                      <a:fillRect/>
                    </a:stretch>
                  </pic:blipFill>
                  <pic:spPr bwMode="auto">
                    <a:xfrm>
                      <a:off x="0" y="0"/>
                      <a:ext cx="4960356" cy="2377064"/>
                    </a:xfrm>
                    <a:prstGeom prst="rect">
                      <a:avLst/>
                    </a:prstGeom>
                    <a:noFill/>
                    <a:ln>
                      <a:noFill/>
                    </a:ln>
                  </pic:spPr>
                </pic:pic>
              </a:graphicData>
            </a:graphic>
          </wp:inline>
        </w:drawing>
      </w:r>
    </w:p>
    <w:p w14:paraId="72EEC60B" w14:textId="77777777" w:rsidR="0075781B" w:rsidRPr="0023595B" w:rsidRDefault="0075781B" w:rsidP="0075781B">
      <w:pPr>
        <w:jc w:val="both"/>
        <w:rPr>
          <w:sz w:val="22"/>
          <w:szCs w:val="22"/>
          <w:lang w:val="sr-Latn-ME"/>
        </w:rPr>
      </w:pPr>
      <w:r w:rsidRPr="0023595B">
        <w:rPr>
          <w:sz w:val="22"/>
          <w:szCs w:val="22"/>
          <w:lang w:val="sr-Latn-ME"/>
        </w:rPr>
        <w:t>Na početku odnos pacijenata sa perfuzijom u grupi koja je liječena lijekom Eylea i u grupi koja je liječena laserom je bio 60% odnosno 68%. U 24. nedjelji ovi odnosi su bili 80% odnosno 67%. U grupi pacijenata liječenih lijekom Eylea, odnos pacijenata sa perfuzijom je zadržan do 52. nedjelje. U grupi koja je liječena laserom, gdje su pacijenti mogli da dobiju pomoćnu terapiju lijekom Eylea počevši od 24. nedjelje, udio pacijenata sa perfuzijom je porastao na 78% do 52. nedjelje</w:t>
      </w:r>
    </w:p>
    <w:p w14:paraId="4D307DA5" w14:textId="77777777" w:rsidR="0075781B" w:rsidRPr="0023595B" w:rsidRDefault="0075781B" w:rsidP="0075781B">
      <w:pPr>
        <w:tabs>
          <w:tab w:val="center" w:pos="4536"/>
          <w:tab w:val="right" w:pos="9072"/>
        </w:tabs>
        <w:jc w:val="both"/>
        <w:rPr>
          <w:bCs/>
          <w:sz w:val="22"/>
          <w:szCs w:val="22"/>
          <w:u w:val="single"/>
          <w:lang w:val="sr-Latn-ME" w:eastAsia="sr-Latn-RS"/>
        </w:rPr>
      </w:pPr>
    </w:p>
    <w:p w14:paraId="58510146" w14:textId="77777777" w:rsidR="0075781B" w:rsidRPr="0023595B" w:rsidRDefault="0075781B" w:rsidP="0075781B">
      <w:pPr>
        <w:tabs>
          <w:tab w:val="center" w:pos="4536"/>
          <w:tab w:val="right" w:pos="9072"/>
        </w:tabs>
        <w:jc w:val="both"/>
        <w:rPr>
          <w:sz w:val="22"/>
          <w:szCs w:val="22"/>
          <w:lang w:val="sr-Latn-ME"/>
        </w:rPr>
      </w:pPr>
      <w:r w:rsidRPr="0023595B">
        <w:rPr>
          <w:i/>
          <w:sz w:val="22"/>
          <w:szCs w:val="22"/>
          <w:lang w:val="sr-Latn-ME"/>
        </w:rPr>
        <w:t>Dijabetički makularni edem</w:t>
      </w:r>
    </w:p>
    <w:p w14:paraId="36AACE92" w14:textId="77777777" w:rsidR="0075781B" w:rsidRPr="0023595B" w:rsidRDefault="0075781B" w:rsidP="0075781B">
      <w:pPr>
        <w:tabs>
          <w:tab w:val="center" w:pos="4536"/>
          <w:tab w:val="right" w:pos="9072"/>
        </w:tabs>
        <w:jc w:val="both"/>
        <w:rPr>
          <w:sz w:val="22"/>
          <w:szCs w:val="22"/>
          <w:lang w:val="sr-Latn-ME"/>
        </w:rPr>
      </w:pPr>
    </w:p>
    <w:p w14:paraId="51C37F58" w14:textId="130B4F19"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Bezbjednost i efikasno</w:t>
      </w:r>
      <w:r w:rsidR="00BA6BF2">
        <w:rPr>
          <w:sz w:val="22"/>
          <w:szCs w:val="22"/>
          <w:lang w:val="sr-Latn-ME"/>
        </w:rPr>
        <w:t>s</w:t>
      </w:r>
      <w:r w:rsidRPr="0023595B">
        <w:rPr>
          <w:sz w:val="22"/>
          <w:szCs w:val="22"/>
          <w:lang w:val="sr-Latn-ME"/>
        </w:rPr>
        <w:t>t primjene lijeka Eylea je procijenjena u dva randomizovana, multicentrična, dvostruko maskirana, aktivno ko</w:t>
      </w:r>
      <w:r w:rsidR="00BA6BF2">
        <w:rPr>
          <w:sz w:val="22"/>
          <w:szCs w:val="22"/>
          <w:lang w:val="sr-Latn-ME"/>
        </w:rPr>
        <w:t>n</w:t>
      </w:r>
      <w:r w:rsidRPr="0023595B">
        <w:rPr>
          <w:sz w:val="22"/>
          <w:szCs w:val="22"/>
          <w:lang w:val="sr-Latn-ME"/>
        </w:rPr>
        <w:t>trolisana ispitivanja kod pacijenata sa DME (VIVID</w:t>
      </w:r>
      <w:r w:rsidRPr="0023595B">
        <w:rPr>
          <w:sz w:val="22"/>
          <w:szCs w:val="22"/>
          <w:vertAlign w:val="superscript"/>
          <w:lang w:val="sr-Latn-ME"/>
        </w:rPr>
        <w:t>DME</w:t>
      </w:r>
      <w:r w:rsidRPr="0023595B">
        <w:rPr>
          <w:sz w:val="22"/>
          <w:szCs w:val="22"/>
          <w:lang w:val="sr-Latn-ME"/>
        </w:rPr>
        <w:t xml:space="preserve"> i VISTA</w:t>
      </w:r>
      <w:r w:rsidRPr="0023595B">
        <w:rPr>
          <w:sz w:val="22"/>
          <w:szCs w:val="22"/>
          <w:vertAlign w:val="superscript"/>
          <w:lang w:val="sr-Latn-ME"/>
        </w:rPr>
        <w:t>DME</w:t>
      </w:r>
      <w:r w:rsidRPr="0023595B">
        <w:rPr>
          <w:sz w:val="22"/>
          <w:szCs w:val="22"/>
          <w:lang w:val="sr-Latn-ME"/>
        </w:rPr>
        <w:t>). Efikasnost je procijenjena na osnovu ukupno 862 randomizovana i liječena pacijenta, od čega je 576 pacijenata primalo lijek Eylea. Starost pacijenata se kretala u rasponu od 23 do 87 godina, a prosječna starost je bila 63 godine. U DME ispitivanjima, približno 47% (268/576) pacijenata randomizovanih na ter</w:t>
      </w:r>
      <w:r w:rsidR="00BA6BF2">
        <w:rPr>
          <w:sz w:val="22"/>
          <w:szCs w:val="22"/>
          <w:lang w:val="sr-Latn-ME"/>
        </w:rPr>
        <w:t>a</w:t>
      </w:r>
      <w:r w:rsidRPr="0023595B">
        <w:rPr>
          <w:sz w:val="22"/>
          <w:szCs w:val="22"/>
          <w:lang w:val="sr-Latn-ME"/>
        </w:rPr>
        <w:t>piju lijekom Eylea imali su 65 i više godina, i približno 9% (52/576) pacijenata je bilo starosti 75 i više godina. Većina pacijenata u oba ispitivanja je imala dijabetes tip II.</w:t>
      </w:r>
    </w:p>
    <w:p w14:paraId="53F937AC" w14:textId="77777777" w:rsidR="0075781B" w:rsidRPr="0023595B" w:rsidRDefault="0075781B" w:rsidP="0075781B">
      <w:pPr>
        <w:tabs>
          <w:tab w:val="center" w:pos="4536"/>
          <w:tab w:val="right" w:pos="9072"/>
        </w:tabs>
        <w:jc w:val="both"/>
        <w:rPr>
          <w:sz w:val="22"/>
          <w:szCs w:val="22"/>
          <w:lang w:val="sr-Latn-ME"/>
        </w:rPr>
      </w:pPr>
    </w:p>
    <w:p w14:paraId="1AD9A01F" w14:textId="77777777"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oba ispitivanja pacijentima je nasumično dodijeljen u odnosu 1:1:1, jedan od tri režima doziranja:</w:t>
      </w:r>
    </w:p>
    <w:p w14:paraId="29E0888D" w14:textId="17DC42CC" w:rsidR="0075781B" w:rsidRPr="0023595B" w:rsidRDefault="0075781B" w:rsidP="0075781B">
      <w:pPr>
        <w:pStyle w:val="ListParagraph"/>
        <w:numPr>
          <w:ilvl w:val="0"/>
          <w:numId w:val="19"/>
        </w:numPr>
        <w:tabs>
          <w:tab w:val="center" w:pos="4536"/>
          <w:tab w:val="right" w:pos="9072"/>
        </w:tabs>
        <w:ind w:left="286" w:hanging="270"/>
        <w:contextualSpacing w:val="0"/>
        <w:rPr>
          <w:szCs w:val="22"/>
          <w:lang w:val="sr-Latn-ME"/>
        </w:rPr>
      </w:pPr>
      <w:r w:rsidRPr="0023595B">
        <w:rPr>
          <w:szCs w:val="22"/>
          <w:lang w:val="sr-Latn-ME"/>
        </w:rPr>
        <w:t>Lijek Eylea prim</w:t>
      </w:r>
      <w:r w:rsidR="00BA6BF2">
        <w:rPr>
          <w:szCs w:val="22"/>
          <w:lang w:val="sr-Latn-ME"/>
        </w:rPr>
        <w:t>i</w:t>
      </w:r>
      <w:r w:rsidRPr="0023595B">
        <w:rPr>
          <w:szCs w:val="22"/>
          <w:lang w:val="sr-Latn-ME"/>
        </w:rPr>
        <w:t>jenjen u dozi od 2</w:t>
      </w:r>
      <w:r w:rsidR="00777A7E" w:rsidRPr="0023595B">
        <w:rPr>
          <w:szCs w:val="22"/>
          <w:lang w:val="sr-Latn-ME"/>
        </w:rPr>
        <w:t xml:space="preserve"> </w:t>
      </w:r>
      <w:r w:rsidRPr="0023595B">
        <w:rPr>
          <w:szCs w:val="22"/>
          <w:lang w:val="sr-Latn-ME"/>
        </w:rPr>
        <w:t>mg na svakih 8 nedjelja, nakon 5 početnih injekcija jednom mjesečno (Eylea 2Q8)</w:t>
      </w:r>
    </w:p>
    <w:p w14:paraId="25E3410C" w14:textId="02D31750" w:rsidR="0075781B" w:rsidRPr="0023595B" w:rsidRDefault="0075781B" w:rsidP="0075781B">
      <w:pPr>
        <w:pStyle w:val="ListParagraph"/>
        <w:numPr>
          <w:ilvl w:val="0"/>
          <w:numId w:val="19"/>
        </w:numPr>
        <w:tabs>
          <w:tab w:val="center" w:pos="4536"/>
          <w:tab w:val="right" w:pos="9072"/>
        </w:tabs>
        <w:ind w:left="286" w:hanging="270"/>
        <w:contextualSpacing w:val="0"/>
        <w:rPr>
          <w:szCs w:val="22"/>
          <w:lang w:val="sr-Latn-ME"/>
        </w:rPr>
      </w:pPr>
      <w:r w:rsidRPr="0023595B">
        <w:rPr>
          <w:szCs w:val="22"/>
          <w:lang w:val="sr-Latn-ME"/>
        </w:rPr>
        <w:t>Lijek Eylea prim</w:t>
      </w:r>
      <w:r w:rsidR="00BA6BF2">
        <w:rPr>
          <w:szCs w:val="22"/>
          <w:lang w:val="sr-Latn-ME"/>
        </w:rPr>
        <w:t>i</w:t>
      </w:r>
      <w:r w:rsidRPr="0023595B">
        <w:rPr>
          <w:szCs w:val="22"/>
          <w:lang w:val="sr-Latn-ME"/>
        </w:rPr>
        <w:t>jenjen u dozi od 2</w:t>
      </w:r>
      <w:r w:rsidR="00777A7E" w:rsidRPr="0023595B">
        <w:rPr>
          <w:szCs w:val="22"/>
          <w:lang w:val="sr-Latn-ME"/>
        </w:rPr>
        <w:t xml:space="preserve"> </w:t>
      </w:r>
      <w:r w:rsidRPr="0023595B">
        <w:rPr>
          <w:szCs w:val="22"/>
          <w:lang w:val="sr-Latn-ME"/>
        </w:rPr>
        <w:t>mg na svake 4 nedjelje (Eylea2Q4); i</w:t>
      </w:r>
    </w:p>
    <w:p w14:paraId="1A432933" w14:textId="77777777" w:rsidR="0075781B" w:rsidRPr="0023595B" w:rsidRDefault="0075781B" w:rsidP="0075781B">
      <w:pPr>
        <w:pStyle w:val="ListParagraph"/>
        <w:numPr>
          <w:ilvl w:val="0"/>
          <w:numId w:val="19"/>
        </w:numPr>
        <w:tabs>
          <w:tab w:val="center" w:pos="4536"/>
          <w:tab w:val="right" w:pos="9072"/>
        </w:tabs>
        <w:ind w:left="286" w:hanging="270"/>
        <w:contextualSpacing w:val="0"/>
        <w:rPr>
          <w:szCs w:val="22"/>
          <w:lang w:val="sr-Latn-ME"/>
        </w:rPr>
      </w:pPr>
      <w:r w:rsidRPr="0023595B">
        <w:rPr>
          <w:szCs w:val="22"/>
          <w:lang w:val="sr-Latn-ME"/>
        </w:rPr>
        <w:lastRenderedPageBreak/>
        <w:t>laserska fotokoagulacija makule (aktivna kontrola)</w:t>
      </w:r>
    </w:p>
    <w:p w14:paraId="11B8CF75" w14:textId="77777777" w:rsidR="00777A7E" w:rsidRPr="0023595B" w:rsidRDefault="00777A7E" w:rsidP="0075781B">
      <w:pPr>
        <w:tabs>
          <w:tab w:val="center" w:pos="4536"/>
          <w:tab w:val="right" w:pos="9072"/>
        </w:tabs>
        <w:jc w:val="both"/>
        <w:rPr>
          <w:sz w:val="22"/>
          <w:szCs w:val="22"/>
          <w:lang w:val="sr-Latn-ME"/>
        </w:rPr>
      </w:pPr>
    </w:p>
    <w:p w14:paraId="1D905A14" w14:textId="798C869D"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Počevši od 24. nedjelje, pacijenti kod kojih je zabilježen unaprijed definisani stepen gubitka vida, bili su pogodni za primanje dodatne terapije: pacijenti u grupama koje su primale lijek Eylea su mogli da dobiju terapiju laserom, dok su pacijenti u kontrolnoj grupi mogli da dobiju lijek Eylea.</w:t>
      </w:r>
    </w:p>
    <w:p w14:paraId="45DC6EDB" w14:textId="77777777" w:rsidR="0075781B" w:rsidRPr="0023595B" w:rsidRDefault="0075781B" w:rsidP="0075781B">
      <w:pPr>
        <w:tabs>
          <w:tab w:val="center" w:pos="4536"/>
          <w:tab w:val="right" w:pos="9072"/>
        </w:tabs>
        <w:jc w:val="both"/>
        <w:rPr>
          <w:sz w:val="22"/>
          <w:szCs w:val="22"/>
          <w:lang w:val="sr-Latn-ME"/>
        </w:rPr>
      </w:pPr>
    </w:p>
    <w:p w14:paraId="3495AD3D" w14:textId="1B490263"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 xml:space="preserve">U oba ispitivanja, primarni parametar praćenja efikasnosti je bio srednja vrijednost promjene BCVA u odnosu na početnu vrijednost, mjereno u 52. nedjelji, i </w:t>
      </w:r>
      <w:r w:rsidR="00BA6BF2">
        <w:rPr>
          <w:sz w:val="22"/>
          <w:szCs w:val="22"/>
          <w:lang w:val="sr-Latn-ME"/>
        </w:rPr>
        <w:t xml:space="preserve">u </w:t>
      </w:r>
      <w:r w:rsidRPr="0023595B">
        <w:rPr>
          <w:sz w:val="22"/>
          <w:szCs w:val="22"/>
          <w:lang w:val="sr-Latn-ME"/>
        </w:rPr>
        <w:t>obje grupe koje su primale lijek Eylea, Eylea 2Q8 i Eylea 2Q4, pokazana je efikasnost, st</w:t>
      </w:r>
      <w:r w:rsidR="00BA6BF2">
        <w:rPr>
          <w:sz w:val="22"/>
          <w:szCs w:val="22"/>
          <w:lang w:val="sr-Latn-ME"/>
        </w:rPr>
        <w:t>at</w:t>
      </w:r>
      <w:r w:rsidRPr="0023595B">
        <w:rPr>
          <w:sz w:val="22"/>
          <w:szCs w:val="22"/>
          <w:lang w:val="sr-Latn-ME"/>
        </w:rPr>
        <w:t>istički značajno superiornija u odnosu na kontrolnu grupu. Ovakav pozitivan ishod je održan do 100. nedjelje.</w:t>
      </w:r>
    </w:p>
    <w:p w14:paraId="6D23C34A" w14:textId="77777777" w:rsidR="0075781B" w:rsidRPr="0023595B" w:rsidRDefault="0075781B" w:rsidP="0075781B">
      <w:pPr>
        <w:tabs>
          <w:tab w:val="center" w:pos="4536"/>
          <w:tab w:val="right" w:pos="9072"/>
        </w:tabs>
        <w:jc w:val="both"/>
        <w:rPr>
          <w:sz w:val="22"/>
          <w:szCs w:val="22"/>
          <w:lang w:val="sr-Latn-ME"/>
        </w:rPr>
      </w:pPr>
    </w:p>
    <w:p w14:paraId="1007EEB0" w14:textId="77777777" w:rsidR="0075781B" w:rsidRPr="0023595B" w:rsidRDefault="0075781B" w:rsidP="0075781B">
      <w:pPr>
        <w:tabs>
          <w:tab w:val="center" w:pos="4536"/>
          <w:tab w:val="right" w:pos="9072"/>
        </w:tabs>
        <w:jc w:val="both"/>
        <w:rPr>
          <w:sz w:val="22"/>
          <w:szCs w:val="22"/>
          <w:lang w:val="sr-Latn-ME"/>
        </w:rPr>
      </w:pPr>
      <w:r w:rsidRPr="0023595B">
        <w:rPr>
          <w:bCs/>
          <w:sz w:val="22"/>
          <w:szCs w:val="22"/>
          <w:lang w:val="sr-Latn-ME" w:eastAsia="sr-Latn-RS"/>
        </w:rPr>
        <w:t>Detaljni rezultati analize ispitivanja VIVID</w:t>
      </w:r>
      <w:r w:rsidRPr="0023595B">
        <w:rPr>
          <w:bCs/>
          <w:sz w:val="22"/>
          <w:szCs w:val="22"/>
          <w:vertAlign w:val="superscript"/>
          <w:lang w:val="sr-Latn-ME" w:eastAsia="sr-Latn-RS"/>
        </w:rPr>
        <w:t xml:space="preserve">DME </w:t>
      </w:r>
      <w:r w:rsidRPr="0023595B">
        <w:rPr>
          <w:bCs/>
          <w:sz w:val="22"/>
          <w:szCs w:val="22"/>
          <w:lang w:val="sr-Latn-ME" w:eastAsia="sr-Latn-RS"/>
        </w:rPr>
        <w:t>i VISTA</w:t>
      </w:r>
      <w:r w:rsidRPr="0023595B">
        <w:rPr>
          <w:bCs/>
          <w:sz w:val="22"/>
          <w:szCs w:val="22"/>
          <w:vertAlign w:val="superscript"/>
          <w:lang w:val="sr-Latn-ME" w:eastAsia="sr-Latn-RS"/>
        </w:rPr>
        <w:t>DME</w:t>
      </w:r>
      <w:r w:rsidRPr="0023595B">
        <w:rPr>
          <w:bCs/>
          <w:sz w:val="22"/>
          <w:szCs w:val="22"/>
          <w:lang w:val="sr-Latn-ME" w:eastAsia="sr-Latn-RS"/>
        </w:rPr>
        <w:t xml:space="preserve"> prikazani su u nastavku u tabeli 5 i na slici 4.</w:t>
      </w:r>
    </w:p>
    <w:p w14:paraId="1B5C92B5" w14:textId="77777777" w:rsidR="0075781B" w:rsidRPr="0023595B" w:rsidRDefault="0075781B" w:rsidP="0075781B">
      <w:pPr>
        <w:tabs>
          <w:tab w:val="center" w:pos="4536"/>
          <w:tab w:val="right" w:pos="9072"/>
        </w:tabs>
        <w:rPr>
          <w:sz w:val="22"/>
          <w:szCs w:val="22"/>
          <w:lang w:val="sr-Latn-ME"/>
        </w:rPr>
      </w:pPr>
    </w:p>
    <w:p w14:paraId="4974E925" w14:textId="77777777" w:rsidR="0075781B" w:rsidRPr="0023595B" w:rsidRDefault="0075781B" w:rsidP="0075781B">
      <w:pPr>
        <w:keepNext/>
        <w:rPr>
          <w:b/>
          <w:bCs/>
          <w:sz w:val="22"/>
          <w:szCs w:val="22"/>
          <w:lang w:val="sr-Latn-ME"/>
        </w:rPr>
        <w:sectPr w:rsidR="0075781B" w:rsidRPr="0023595B" w:rsidSect="00D55718">
          <w:pgSz w:w="11907" w:h="16840" w:code="9"/>
          <w:pgMar w:top="905" w:right="1134" w:bottom="1701" w:left="1134" w:header="357" w:footer="805" w:gutter="0"/>
          <w:pgNumType w:start="15"/>
          <w:cols w:space="720"/>
          <w:docGrid w:linePitch="360"/>
        </w:sectPr>
      </w:pPr>
    </w:p>
    <w:p w14:paraId="2520FD8B" w14:textId="77777777" w:rsidR="0075781B" w:rsidRPr="0023595B" w:rsidRDefault="0075781B" w:rsidP="0075781B">
      <w:pPr>
        <w:keepNext/>
        <w:rPr>
          <w:b/>
          <w:bCs/>
          <w:sz w:val="22"/>
          <w:szCs w:val="22"/>
          <w:lang w:val="sr-Latn-ME"/>
        </w:rPr>
      </w:pPr>
      <w:r w:rsidRPr="0023595B">
        <w:rPr>
          <w:b/>
          <w:bCs/>
          <w:sz w:val="22"/>
          <w:szCs w:val="22"/>
          <w:lang w:val="sr-Latn-ME"/>
        </w:rPr>
        <w:lastRenderedPageBreak/>
        <w:t xml:space="preserve">Tabela </w:t>
      </w:r>
      <w:r w:rsidRPr="0023595B">
        <w:rPr>
          <w:b/>
          <w:sz w:val="22"/>
          <w:szCs w:val="22"/>
          <w:lang w:val="sr-Latn-ME"/>
        </w:rPr>
        <w:t>5</w:t>
      </w:r>
      <w:r w:rsidRPr="0023595B">
        <w:rPr>
          <w:b/>
          <w:bCs/>
          <w:sz w:val="22"/>
          <w:szCs w:val="22"/>
          <w:lang w:val="sr-Latn-ME"/>
        </w:rPr>
        <w:t xml:space="preserve">: </w:t>
      </w:r>
      <w:r w:rsidRPr="0023595B">
        <w:rPr>
          <w:sz w:val="22"/>
          <w:szCs w:val="22"/>
          <w:lang w:val="sr-Latn-ME"/>
        </w:rPr>
        <w:t>Ishodi efikasnosti u 52. i 100. nedjelji (analiza svih podataka sa LOCF) u ispitivanjima VIVID</w:t>
      </w:r>
      <w:r w:rsidRPr="0023595B">
        <w:rPr>
          <w:sz w:val="22"/>
          <w:szCs w:val="22"/>
          <w:vertAlign w:val="superscript"/>
          <w:lang w:val="sr-Latn-ME"/>
        </w:rPr>
        <w:t>DME</w:t>
      </w:r>
      <w:r w:rsidRPr="0023595B">
        <w:rPr>
          <w:sz w:val="22"/>
          <w:szCs w:val="22"/>
          <w:lang w:val="sr-Latn-ME"/>
        </w:rPr>
        <w:t xml:space="preserve"> i VISTA</w:t>
      </w:r>
      <w:r w:rsidRPr="0023595B">
        <w:rPr>
          <w:sz w:val="22"/>
          <w:szCs w:val="22"/>
          <w:vertAlign w:val="superscript"/>
          <w:lang w:val="sr-Latn-ME"/>
        </w:rPr>
        <w:t>DME</w:t>
      </w:r>
      <w:r w:rsidRPr="0023595B">
        <w:rPr>
          <w:sz w:val="22"/>
          <w:szCs w:val="22"/>
          <w:lang w:val="sr-Latn-ME"/>
        </w:rPr>
        <w:t xml:space="preserve"> </w:t>
      </w:r>
    </w:p>
    <w:tbl>
      <w:tblPr>
        <w:tblStyle w:val="TableGrid"/>
        <w:tblW w:w="14958" w:type="dxa"/>
        <w:tblLook w:val="04A0" w:firstRow="1" w:lastRow="0" w:firstColumn="1" w:lastColumn="0" w:noHBand="0" w:noVBand="1"/>
      </w:tblPr>
      <w:tblGrid>
        <w:gridCol w:w="2247"/>
        <w:gridCol w:w="1011"/>
        <w:gridCol w:w="990"/>
        <w:gridCol w:w="990"/>
        <w:gridCol w:w="990"/>
        <w:gridCol w:w="1080"/>
        <w:gridCol w:w="990"/>
        <w:gridCol w:w="1080"/>
        <w:gridCol w:w="1170"/>
        <w:gridCol w:w="990"/>
        <w:gridCol w:w="1080"/>
        <w:gridCol w:w="1170"/>
        <w:gridCol w:w="1170"/>
      </w:tblGrid>
      <w:tr w:rsidR="0075781B" w:rsidRPr="0023595B" w14:paraId="1FCD5575" w14:textId="77777777" w:rsidTr="00D55718">
        <w:tc>
          <w:tcPr>
            <w:tcW w:w="2247" w:type="dxa"/>
            <w:vMerge w:val="restart"/>
          </w:tcPr>
          <w:p w14:paraId="7DAB93CF" w14:textId="77777777" w:rsidR="0075781B" w:rsidRPr="0023595B" w:rsidRDefault="0075781B" w:rsidP="00D55718">
            <w:pPr>
              <w:rPr>
                <w:b/>
                <w:sz w:val="16"/>
                <w:szCs w:val="16"/>
                <w:lang w:val="sr-Latn-ME"/>
              </w:rPr>
            </w:pPr>
            <w:r w:rsidRPr="0023595B">
              <w:rPr>
                <w:b/>
                <w:sz w:val="16"/>
                <w:szCs w:val="16"/>
                <w:lang w:val="sr-Latn-ME"/>
              </w:rPr>
              <w:t>Ishod</w:t>
            </w:r>
          </w:p>
          <w:p w14:paraId="3A5275FE" w14:textId="77777777" w:rsidR="0075781B" w:rsidRPr="0023595B" w:rsidRDefault="0075781B" w:rsidP="00D55718">
            <w:pPr>
              <w:rPr>
                <w:b/>
                <w:szCs w:val="22"/>
                <w:lang w:val="sr-Latn-ME"/>
              </w:rPr>
            </w:pPr>
            <w:r w:rsidRPr="0023595B">
              <w:rPr>
                <w:b/>
                <w:sz w:val="16"/>
                <w:szCs w:val="16"/>
                <w:lang w:val="sr-Latn-ME"/>
              </w:rPr>
              <w:t>efikasnosti</w:t>
            </w:r>
          </w:p>
        </w:tc>
        <w:tc>
          <w:tcPr>
            <w:tcW w:w="6051" w:type="dxa"/>
            <w:gridSpan w:val="6"/>
          </w:tcPr>
          <w:p w14:paraId="08856C9D" w14:textId="77777777" w:rsidR="0075781B" w:rsidRPr="0023595B" w:rsidRDefault="0075781B" w:rsidP="00D55718">
            <w:pPr>
              <w:jc w:val="center"/>
              <w:rPr>
                <w:b/>
                <w:szCs w:val="22"/>
                <w:lang w:val="sr-Latn-ME"/>
              </w:rPr>
            </w:pPr>
            <w:r w:rsidRPr="0023595B">
              <w:rPr>
                <w:b/>
                <w:sz w:val="16"/>
                <w:szCs w:val="16"/>
                <w:lang w:val="sr-Latn-ME"/>
              </w:rPr>
              <w:t>VIVID</w:t>
            </w:r>
            <w:r w:rsidRPr="0023595B">
              <w:rPr>
                <w:b/>
                <w:sz w:val="16"/>
                <w:szCs w:val="16"/>
                <w:vertAlign w:val="superscript"/>
                <w:lang w:val="sr-Latn-ME"/>
              </w:rPr>
              <w:t>DME</w:t>
            </w:r>
          </w:p>
        </w:tc>
        <w:tc>
          <w:tcPr>
            <w:tcW w:w="6660" w:type="dxa"/>
            <w:gridSpan w:val="6"/>
          </w:tcPr>
          <w:p w14:paraId="01A486A0" w14:textId="77777777" w:rsidR="0075781B" w:rsidRPr="0023595B" w:rsidRDefault="0075781B" w:rsidP="00D55718">
            <w:pPr>
              <w:jc w:val="center"/>
              <w:rPr>
                <w:b/>
                <w:szCs w:val="22"/>
                <w:lang w:val="sr-Latn-ME"/>
              </w:rPr>
            </w:pPr>
            <w:r w:rsidRPr="0023595B">
              <w:rPr>
                <w:b/>
                <w:sz w:val="16"/>
                <w:szCs w:val="16"/>
                <w:lang w:val="sr-Latn-ME"/>
              </w:rPr>
              <w:t>VISTA</w:t>
            </w:r>
            <w:r w:rsidRPr="0023595B">
              <w:rPr>
                <w:b/>
                <w:sz w:val="16"/>
                <w:szCs w:val="16"/>
                <w:vertAlign w:val="superscript"/>
                <w:lang w:val="sr-Latn-ME"/>
              </w:rPr>
              <w:t>DME</w:t>
            </w:r>
          </w:p>
        </w:tc>
      </w:tr>
      <w:tr w:rsidR="0075781B" w:rsidRPr="0023595B" w14:paraId="343EE5B5" w14:textId="77777777" w:rsidTr="00D55718">
        <w:tc>
          <w:tcPr>
            <w:tcW w:w="2247" w:type="dxa"/>
            <w:vMerge/>
          </w:tcPr>
          <w:p w14:paraId="23543F3A" w14:textId="77777777" w:rsidR="0075781B" w:rsidRPr="0023595B" w:rsidRDefault="0075781B" w:rsidP="00D55718">
            <w:pPr>
              <w:rPr>
                <w:b/>
                <w:szCs w:val="22"/>
                <w:lang w:val="sr-Latn-ME"/>
              </w:rPr>
            </w:pPr>
          </w:p>
        </w:tc>
        <w:tc>
          <w:tcPr>
            <w:tcW w:w="2991" w:type="dxa"/>
            <w:gridSpan w:val="3"/>
          </w:tcPr>
          <w:p w14:paraId="720A4B41" w14:textId="77777777" w:rsidR="0075781B" w:rsidRPr="0023595B" w:rsidRDefault="0075781B" w:rsidP="00D55718">
            <w:pPr>
              <w:jc w:val="center"/>
              <w:rPr>
                <w:b/>
                <w:szCs w:val="22"/>
                <w:lang w:val="sr-Latn-ME"/>
              </w:rPr>
            </w:pPr>
            <w:r w:rsidRPr="0023595B">
              <w:rPr>
                <w:b/>
                <w:sz w:val="16"/>
                <w:szCs w:val="16"/>
                <w:lang w:val="sr-Latn-ME"/>
              </w:rPr>
              <w:t>52 nedjelje</w:t>
            </w:r>
          </w:p>
        </w:tc>
        <w:tc>
          <w:tcPr>
            <w:tcW w:w="3060" w:type="dxa"/>
            <w:gridSpan w:val="3"/>
          </w:tcPr>
          <w:p w14:paraId="0FF5E122" w14:textId="77777777" w:rsidR="0075781B" w:rsidRPr="0023595B" w:rsidRDefault="0075781B" w:rsidP="00D55718">
            <w:pPr>
              <w:jc w:val="center"/>
              <w:rPr>
                <w:b/>
                <w:szCs w:val="22"/>
                <w:lang w:val="sr-Latn-ME"/>
              </w:rPr>
            </w:pPr>
            <w:r w:rsidRPr="0023595B">
              <w:rPr>
                <w:b/>
                <w:sz w:val="16"/>
                <w:szCs w:val="16"/>
                <w:lang w:val="sr-Latn-ME"/>
              </w:rPr>
              <w:t>100 nedjelja</w:t>
            </w:r>
          </w:p>
        </w:tc>
        <w:tc>
          <w:tcPr>
            <w:tcW w:w="3240" w:type="dxa"/>
            <w:gridSpan w:val="3"/>
          </w:tcPr>
          <w:p w14:paraId="66CA8F6B" w14:textId="77777777" w:rsidR="0075781B" w:rsidRPr="0023595B" w:rsidRDefault="0075781B" w:rsidP="00D55718">
            <w:pPr>
              <w:jc w:val="center"/>
              <w:rPr>
                <w:b/>
                <w:szCs w:val="22"/>
                <w:lang w:val="sr-Latn-ME"/>
              </w:rPr>
            </w:pPr>
            <w:r w:rsidRPr="0023595B">
              <w:rPr>
                <w:b/>
                <w:sz w:val="16"/>
                <w:szCs w:val="16"/>
                <w:lang w:val="sr-Latn-ME"/>
              </w:rPr>
              <w:t>52 nedjelje</w:t>
            </w:r>
          </w:p>
        </w:tc>
        <w:tc>
          <w:tcPr>
            <w:tcW w:w="3420" w:type="dxa"/>
            <w:gridSpan w:val="3"/>
          </w:tcPr>
          <w:p w14:paraId="03ECF350" w14:textId="77777777" w:rsidR="0075781B" w:rsidRPr="0023595B" w:rsidRDefault="0075781B" w:rsidP="00D55718">
            <w:pPr>
              <w:jc w:val="center"/>
              <w:rPr>
                <w:b/>
                <w:szCs w:val="22"/>
                <w:lang w:val="sr-Latn-ME"/>
              </w:rPr>
            </w:pPr>
            <w:r w:rsidRPr="0023595B">
              <w:rPr>
                <w:b/>
                <w:sz w:val="16"/>
                <w:szCs w:val="16"/>
                <w:lang w:val="sr-Latn-ME"/>
              </w:rPr>
              <w:t>100 nedjelja</w:t>
            </w:r>
          </w:p>
        </w:tc>
      </w:tr>
      <w:tr w:rsidR="0075781B" w:rsidRPr="0023595B" w14:paraId="20EB1C2F" w14:textId="77777777" w:rsidTr="00D55718">
        <w:tc>
          <w:tcPr>
            <w:tcW w:w="2247" w:type="dxa"/>
            <w:vMerge/>
          </w:tcPr>
          <w:p w14:paraId="6BFF1995" w14:textId="77777777" w:rsidR="0075781B" w:rsidRPr="0023595B" w:rsidRDefault="0075781B" w:rsidP="00D55718">
            <w:pPr>
              <w:rPr>
                <w:b/>
                <w:szCs w:val="22"/>
                <w:lang w:val="sr-Latn-ME"/>
              </w:rPr>
            </w:pPr>
          </w:p>
        </w:tc>
        <w:tc>
          <w:tcPr>
            <w:tcW w:w="1011" w:type="dxa"/>
            <w:vAlign w:val="center"/>
          </w:tcPr>
          <w:p w14:paraId="34855840" w14:textId="77777777" w:rsidR="0075781B" w:rsidRPr="0023595B" w:rsidRDefault="0075781B" w:rsidP="00D55718">
            <w:pPr>
              <w:jc w:val="center"/>
              <w:rPr>
                <w:b/>
                <w:sz w:val="16"/>
                <w:szCs w:val="16"/>
                <w:lang w:val="sr-Latn-ME"/>
              </w:rPr>
            </w:pPr>
            <w:r w:rsidRPr="0023595B">
              <w:rPr>
                <w:b/>
                <w:sz w:val="16"/>
                <w:szCs w:val="16"/>
                <w:lang w:val="sr-Latn-ME"/>
              </w:rPr>
              <w:t>Eylea</w:t>
            </w:r>
          </w:p>
          <w:p w14:paraId="7A97511C" w14:textId="77777777" w:rsidR="0075781B" w:rsidRPr="0023595B" w:rsidRDefault="0075781B" w:rsidP="00D55718">
            <w:pPr>
              <w:jc w:val="center"/>
              <w:rPr>
                <w:b/>
                <w:sz w:val="16"/>
                <w:szCs w:val="16"/>
                <w:lang w:val="sr-Latn-ME"/>
              </w:rPr>
            </w:pPr>
            <w:r w:rsidRPr="0023595B">
              <w:rPr>
                <w:b/>
                <w:sz w:val="16"/>
                <w:szCs w:val="16"/>
                <w:lang w:val="sr-Latn-ME"/>
              </w:rPr>
              <w:t>2 mg Q8</w:t>
            </w:r>
            <w:r w:rsidRPr="0023595B">
              <w:rPr>
                <w:b/>
                <w:sz w:val="16"/>
                <w:szCs w:val="16"/>
                <w:vertAlign w:val="superscript"/>
                <w:lang w:val="sr-Latn-ME"/>
              </w:rPr>
              <w:t>A</w:t>
            </w:r>
          </w:p>
          <w:p w14:paraId="1A0F926A" w14:textId="77777777" w:rsidR="0075781B" w:rsidRPr="0023595B" w:rsidRDefault="0075781B" w:rsidP="00D55718">
            <w:pPr>
              <w:jc w:val="center"/>
              <w:rPr>
                <w:b/>
                <w:szCs w:val="22"/>
                <w:lang w:val="sr-Latn-ME"/>
              </w:rPr>
            </w:pPr>
            <w:r w:rsidRPr="0023595B">
              <w:rPr>
                <w:b/>
                <w:sz w:val="16"/>
                <w:szCs w:val="16"/>
                <w:lang w:val="sr-Latn-ME"/>
              </w:rPr>
              <w:t>(N = 135)</w:t>
            </w:r>
          </w:p>
        </w:tc>
        <w:tc>
          <w:tcPr>
            <w:tcW w:w="990" w:type="dxa"/>
            <w:vAlign w:val="center"/>
          </w:tcPr>
          <w:p w14:paraId="6270AE11" w14:textId="77777777" w:rsidR="0075781B" w:rsidRPr="0023595B" w:rsidRDefault="0075781B" w:rsidP="00D55718">
            <w:pPr>
              <w:jc w:val="center"/>
              <w:rPr>
                <w:b/>
                <w:sz w:val="16"/>
                <w:szCs w:val="16"/>
                <w:lang w:val="sr-Latn-ME"/>
              </w:rPr>
            </w:pPr>
            <w:r w:rsidRPr="0023595B">
              <w:rPr>
                <w:b/>
                <w:sz w:val="16"/>
                <w:szCs w:val="16"/>
                <w:lang w:val="sr-Latn-ME"/>
              </w:rPr>
              <w:t>Eylea</w:t>
            </w:r>
          </w:p>
          <w:p w14:paraId="17D2BFE9" w14:textId="77777777" w:rsidR="0075781B" w:rsidRPr="0023595B" w:rsidRDefault="0075781B" w:rsidP="00D55718">
            <w:pPr>
              <w:jc w:val="center"/>
              <w:rPr>
                <w:b/>
                <w:sz w:val="16"/>
                <w:szCs w:val="16"/>
                <w:lang w:val="sr-Latn-ME"/>
              </w:rPr>
            </w:pPr>
            <w:r w:rsidRPr="0023595B">
              <w:rPr>
                <w:b/>
                <w:sz w:val="16"/>
                <w:szCs w:val="16"/>
                <w:lang w:val="sr-Latn-ME"/>
              </w:rPr>
              <w:t>2 mg Q4</w:t>
            </w:r>
          </w:p>
          <w:p w14:paraId="0B18F92E" w14:textId="77777777" w:rsidR="0075781B" w:rsidRPr="0023595B" w:rsidRDefault="0075781B" w:rsidP="00D55718">
            <w:pPr>
              <w:jc w:val="center"/>
              <w:rPr>
                <w:b/>
                <w:szCs w:val="22"/>
                <w:lang w:val="sr-Latn-ME"/>
              </w:rPr>
            </w:pPr>
            <w:r w:rsidRPr="0023595B">
              <w:rPr>
                <w:b/>
                <w:sz w:val="16"/>
                <w:szCs w:val="16"/>
                <w:lang w:val="sr-Latn-ME"/>
              </w:rPr>
              <w:t>(N = 136)</w:t>
            </w:r>
          </w:p>
        </w:tc>
        <w:tc>
          <w:tcPr>
            <w:tcW w:w="990" w:type="dxa"/>
            <w:vAlign w:val="center"/>
          </w:tcPr>
          <w:p w14:paraId="581C21A4" w14:textId="77777777" w:rsidR="0075781B" w:rsidRPr="0023595B" w:rsidRDefault="0075781B" w:rsidP="00D55718">
            <w:pPr>
              <w:jc w:val="center"/>
              <w:rPr>
                <w:b/>
                <w:sz w:val="16"/>
                <w:szCs w:val="16"/>
                <w:lang w:val="sr-Latn-ME"/>
              </w:rPr>
            </w:pPr>
            <w:r w:rsidRPr="0023595B">
              <w:rPr>
                <w:b/>
                <w:sz w:val="16"/>
                <w:szCs w:val="16"/>
                <w:lang w:val="sr-Latn-ME"/>
              </w:rPr>
              <w:t>Aktivna kontrola</w:t>
            </w:r>
          </w:p>
          <w:p w14:paraId="4A4378CE" w14:textId="77777777" w:rsidR="0075781B" w:rsidRPr="0023595B" w:rsidRDefault="0075781B" w:rsidP="00D55718">
            <w:pPr>
              <w:jc w:val="center"/>
              <w:rPr>
                <w:b/>
                <w:sz w:val="16"/>
                <w:szCs w:val="16"/>
                <w:lang w:val="sr-Latn-ME"/>
              </w:rPr>
            </w:pPr>
            <w:r w:rsidRPr="0023595B">
              <w:rPr>
                <w:b/>
                <w:sz w:val="16"/>
                <w:szCs w:val="16"/>
                <w:lang w:val="sr-Latn-ME"/>
              </w:rPr>
              <w:t>(laser)</w:t>
            </w:r>
          </w:p>
          <w:p w14:paraId="197E43B7" w14:textId="77777777" w:rsidR="0075781B" w:rsidRPr="0023595B" w:rsidRDefault="0075781B" w:rsidP="00D55718">
            <w:pPr>
              <w:jc w:val="center"/>
              <w:rPr>
                <w:b/>
                <w:szCs w:val="22"/>
                <w:lang w:val="sr-Latn-ME"/>
              </w:rPr>
            </w:pPr>
            <w:r w:rsidRPr="0023595B">
              <w:rPr>
                <w:b/>
                <w:sz w:val="16"/>
                <w:szCs w:val="16"/>
                <w:lang w:val="sr-Latn-ME"/>
              </w:rPr>
              <w:t>(N = 132)</w:t>
            </w:r>
          </w:p>
        </w:tc>
        <w:tc>
          <w:tcPr>
            <w:tcW w:w="990" w:type="dxa"/>
            <w:vAlign w:val="center"/>
          </w:tcPr>
          <w:p w14:paraId="1BF884E5" w14:textId="77777777" w:rsidR="0075781B" w:rsidRPr="0023595B" w:rsidRDefault="0075781B" w:rsidP="00D55718">
            <w:pPr>
              <w:jc w:val="center"/>
              <w:rPr>
                <w:b/>
                <w:sz w:val="16"/>
                <w:szCs w:val="16"/>
                <w:lang w:val="sr-Latn-ME"/>
              </w:rPr>
            </w:pPr>
            <w:r w:rsidRPr="0023595B">
              <w:rPr>
                <w:b/>
                <w:sz w:val="16"/>
                <w:szCs w:val="16"/>
                <w:lang w:val="sr-Latn-ME"/>
              </w:rPr>
              <w:t>Eylea</w:t>
            </w:r>
          </w:p>
          <w:p w14:paraId="280F0E9F" w14:textId="77777777" w:rsidR="0075781B" w:rsidRPr="0023595B" w:rsidRDefault="0075781B" w:rsidP="00D55718">
            <w:pPr>
              <w:jc w:val="center"/>
              <w:rPr>
                <w:b/>
                <w:sz w:val="16"/>
                <w:szCs w:val="16"/>
                <w:lang w:val="sr-Latn-ME"/>
              </w:rPr>
            </w:pPr>
            <w:r w:rsidRPr="0023595B">
              <w:rPr>
                <w:b/>
                <w:sz w:val="16"/>
                <w:szCs w:val="16"/>
                <w:lang w:val="sr-Latn-ME"/>
              </w:rPr>
              <w:t>2 mg Q8</w:t>
            </w:r>
            <w:r w:rsidRPr="0023595B">
              <w:rPr>
                <w:b/>
                <w:sz w:val="16"/>
                <w:szCs w:val="16"/>
                <w:vertAlign w:val="superscript"/>
                <w:lang w:val="sr-Latn-ME"/>
              </w:rPr>
              <w:t>A</w:t>
            </w:r>
          </w:p>
          <w:p w14:paraId="64B0C3E6" w14:textId="77777777" w:rsidR="0075781B" w:rsidRPr="0023595B" w:rsidRDefault="0075781B" w:rsidP="00D55718">
            <w:pPr>
              <w:jc w:val="center"/>
              <w:rPr>
                <w:b/>
                <w:szCs w:val="22"/>
                <w:lang w:val="sr-Latn-ME"/>
              </w:rPr>
            </w:pPr>
            <w:r w:rsidRPr="0023595B">
              <w:rPr>
                <w:b/>
                <w:sz w:val="16"/>
                <w:szCs w:val="16"/>
                <w:lang w:val="sr-Latn-ME"/>
              </w:rPr>
              <w:t>(N = 135)</w:t>
            </w:r>
          </w:p>
        </w:tc>
        <w:tc>
          <w:tcPr>
            <w:tcW w:w="1080" w:type="dxa"/>
            <w:vAlign w:val="center"/>
          </w:tcPr>
          <w:p w14:paraId="6C583C19" w14:textId="77777777" w:rsidR="0075781B" w:rsidRPr="0023595B" w:rsidRDefault="0075781B" w:rsidP="00D55718">
            <w:pPr>
              <w:jc w:val="center"/>
              <w:rPr>
                <w:b/>
                <w:sz w:val="16"/>
                <w:szCs w:val="16"/>
                <w:lang w:val="sr-Latn-ME"/>
              </w:rPr>
            </w:pPr>
            <w:r w:rsidRPr="0023595B">
              <w:rPr>
                <w:b/>
                <w:sz w:val="16"/>
                <w:szCs w:val="16"/>
                <w:lang w:val="sr-Latn-ME"/>
              </w:rPr>
              <w:t>Eylea</w:t>
            </w:r>
          </w:p>
          <w:p w14:paraId="10067A5B" w14:textId="77777777" w:rsidR="0075781B" w:rsidRPr="0023595B" w:rsidRDefault="0075781B" w:rsidP="00D55718">
            <w:pPr>
              <w:jc w:val="center"/>
              <w:rPr>
                <w:b/>
                <w:sz w:val="16"/>
                <w:szCs w:val="16"/>
                <w:lang w:val="sr-Latn-ME"/>
              </w:rPr>
            </w:pPr>
            <w:r w:rsidRPr="0023595B">
              <w:rPr>
                <w:b/>
                <w:sz w:val="16"/>
                <w:szCs w:val="16"/>
                <w:lang w:val="sr-Latn-ME"/>
              </w:rPr>
              <w:t>2 mg Q4</w:t>
            </w:r>
          </w:p>
          <w:p w14:paraId="63909E7E" w14:textId="77777777" w:rsidR="0075781B" w:rsidRPr="0023595B" w:rsidRDefault="0075781B" w:rsidP="00D55718">
            <w:pPr>
              <w:jc w:val="center"/>
              <w:rPr>
                <w:b/>
                <w:szCs w:val="22"/>
                <w:lang w:val="sr-Latn-ME"/>
              </w:rPr>
            </w:pPr>
            <w:r w:rsidRPr="0023595B">
              <w:rPr>
                <w:b/>
                <w:sz w:val="16"/>
                <w:szCs w:val="16"/>
                <w:lang w:val="sr-Latn-ME"/>
              </w:rPr>
              <w:t>(N = 136)</w:t>
            </w:r>
          </w:p>
        </w:tc>
        <w:tc>
          <w:tcPr>
            <w:tcW w:w="990" w:type="dxa"/>
            <w:vAlign w:val="center"/>
          </w:tcPr>
          <w:p w14:paraId="3E1D32C5" w14:textId="77777777" w:rsidR="0075781B" w:rsidRPr="0023595B" w:rsidRDefault="0075781B" w:rsidP="00D55718">
            <w:pPr>
              <w:jc w:val="center"/>
              <w:rPr>
                <w:b/>
                <w:sz w:val="16"/>
                <w:szCs w:val="16"/>
                <w:lang w:val="sr-Latn-ME"/>
              </w:rPr>
            </w:pPr>
            <w:r w:rsidRPr="0023595B">
              <w:rPr>
                <w:b/>
                <w:sz w:val="16"/>
                <w:szCs w:val="16"/>
                <w:lang w:val="sr-Latn-ME"/>
              </w:rPr>
              <w:t>Aktivna kontrola</w:t>
            </w:r>
          </w:p>
          <w:p w14:paraId="01319818" w14:textId="77777777" w:rsidR="0075781B" w:rsidRPr="0023595B" w:rsidRDefault="0075781B" w:rsidP="00D55718">
            <w:pPr>
              <w:jc w:val="center"/>
              <w:rPr>
                <w:b/>
                <w:sz w:val="16"/>
                <w:szCs w:val="16"/>
                <w:lang w:val="sr-Latn-ME"/>
              </w:rPr>
            </w:pPr>
            <w:r w:rsidRPr="0023595B">
              <w:rPr>
                <w:b/>
                <w:sz w:val="16"/>
                <w:szCs w:val="16"/>
                <w:lang w:val="sr-Latn-ME"/>
              </w:rPr>
              <w:t>(laser)</w:t>
            </w:r>
          </w:p>
          <w:p w14:paraId="66A4931A" w14:textId="77777777" w:rsidR="0075781B" w:rsidRPr="0023595B" w:rsidRDefault="0075781B" w:rsidP="00D55718">
            <w:pPr>
              <w:jc w:val="center"/>
              <w:rPr>
                <w:b/>
                <w:szCs w:val="22"/>
                <w:lang w:val="sr-Latn-ME"/>
              </w:rPr>
            </w:pPr>
            <w:r w:rsidRPr="0023595B">
              <w:rPr>
                <w:b/>
                <w:sz w:val="16"/>
                <w:szCs w:val="16"/>
                <w:lang w:val="sr-Latn-ME"/>
              </w:rPr>
              <w:t>(N = 132)</w:t>
            </w:r>
          </w:p>
        </w:tc>
        <w:tc>
          <w:tcPr>
            <w:tcW w:w="1080" w:type="dxa"/>
            <w:vAlign w:val="center"/>
          </w:tcPr>
          <w:p w14:paraId="52AC4A1A" w14:textId="77777777" w:rsidR="0075781B" w:rsidRPr="0023595B" w:rsidRDefault="0075781B" w:rsidP="00D55718">
            <w:pPr>
              <w:jc w:val="center"/>
              <w:rPr>
                <w:b/>
                <w:sz w:val="16"/>
                <w:szCs w:val="16"/>
                <w:lang w:val="sr-Latn-ME"/>
              </w:rPr>
            </w:pPr>
            <w:r w:rsidRPr="0023595B">
              <w:rPr>
                <w:b/>
                <w:sz w:val="16"/>
                <w:szCs w:val="16"/>
                <w:lang w:val="sr-Latn-ME"/>
              </w:rPr>
              <w:t>Eylea</w:t>
            </w:r>
          </w:p>
          <w:p w14:paraId="36A39DD7" w14:textId="77777777" w:rsidR="0075781B" w:rsidRPr="0023595B" w:rsidRDefault="0075781B" w:rsidP="00D55718">
            <w:pPr>
              <w:jc w:val="center"/>
              <w:rPr>
                <w:b/>
                <w:sz w:val="16"/>
                <w:szCs w:val="16"/>
                <w:lang w:val="sr-Latn-ME"/>
              </w:rPr>
            </w:pPr>
            <w:r w:rsidRPr="0023595B">
              <w:rPr>
                <w:b/>
                <w:sz w:val="16"/>
                <w:szCs w:val="16"/>
                <w:lang w:val="sr-Latn-ME"/>
              </w:rPr>
              <w:t>2 mg Q8</w:t>
            </w:r>
            <w:r w:rsidRPr="0023595B">
              <w:rPr>
                <w:b/>
                <w:sz w:val="16"/>
                <w:szCs w:val="16"/>
                <w:vertAlign w:val="superscript"/>
                <w:lang w:val="sr-Latn-ME"/>
              </w:rPr>
              <w:t>A</w:t>
            </w:r>
          </w:p>
          <w:p w14:paraId="3DEB0524" w14:textId="77777777" w:rsidR="0075781B" w:rsidRPr="0023595B" w:rsidRDefault="0075781B" w:rsidP="00D55718">
            <w:pPr>
              <w:jc w:val="center"/>
              <w:rPr>
                <w:b/>
                <w:szCs w:val="22"/>
                <w:lang w:val="sr-Latn-ME"/>
              </w:rPr>
            </w:pPr>
            <w:r w:rsidRPr="0023595B">
              <w:rPr>
                <w:b/>
                <w:sz w:val="16"/>
                <w:szCs w:val="16"/>
                <w:lang w:val="sr-Latn-ME"/>
              </w:rPr>
              <w:t>(N = 151)</w:t>
            </w:r>
          </w:p>
        </w:tc>
        <w:tc>
          <w:tcPr>
            <w:tcW w:w="1170" w:type="dxa"/>
            <w:vAlign w:val="center"/>
          </w:tcPr>
          <w:p w14:paraId="7C310D37" w14:textId="77777777" w:rsidR="0075781B" w:rsidRPr="0023595B" w:rsidRDefault="0075781B" w:rsidP="00D55718">
            <w:pPr>
              <w:jc w:val="center"/>
              <w:rPr>
                <w:b/>
                <w:sz w:val="16"/>
                <w:szCs w:val="16"/>
                <w:lang w:val="sr-Latn-ME"/>
              </w:rPr>
            </w:pPr>
            <w:r w:rsidRPr="0023595B">
              <w:rPr>
                <w:b/>
                <w:sz w:val="16"/>
                <w:szCs w:val="16"/>
                <w:lang w:val="sr-Latn-ME"/>
              </w:rPr>
              <w:t>Eylea</w:t>
            </w:r>
          </w:p>
          <w:p w14:paraId="00D500B4" w14:textId="77777777" w:rsidR="0075781B" w:rsidRPr="0023595B" w:rsidRDefault="0075781B" w:rsidP="00D55718">
            <w:pPr>
              <w:jc w:val="center"/>
              <w:rPr>
                <w:b/>
                <w:sz w:val="16"/>
                <w:szCs w:val="16"/>
                <w:lang w:val="sr-Latn-ME"/>
              </w:rPr>
            </w:pPr>
            <w:r w:rsidRPr="0023595B">
              <w:rPr>
                <w:b/>
                <w:sz w:val="16"/>
                <w:szCs w:val="16"/>
                <w:lang w:val="sr-Latn-ME"/>
              </w:rPr>
              <w:t>2 mg Q4</w:t>
            </w:r>
          </w:p>
          <w:p w14:paraId="0688A77A" w14:textId="77777777" w:rsidR="0075781B" w:rsidRPr="0023595B" w:rsidRDefault="0075781B" w:rsidP="00D55718">
            <w:pPr>
              <w:jc w:val="center"/>
              <w:rPr>
                <w:b/>
                <w:szCs w:val="22"/>
                <w:lang w:val="sr-Latn-ME"/>
              </w:rPr>
            </w:pPr>
            <w:r w:rsidRPr="0023595B">
              <w:rPr>
                <w:b/>
                <w:sz w:val="16"/>
                <w:szCs w:val="16"/>
                <w:lang w:val="sr-Latn-ME"/>
              </w:rPr>
              <w:t>(N = 154)</w:t>
            </w:r>
          </w:p>
        </w:tc>
        <w:tc>
          <w:tcPr>
            <w:tcW w:w="990" w:type="dxa"/>
            <w:vAlign w:val="center"/>
          </w:tcPr>
          <w:p w14:paraId="438D9BA2" w14:textId="77777777" w:rsidR="0075781B" w:rsidRPr="0023595B" w:rsidRDefault="0075781B" w:rsidP="00D55718">
            <w:pPr>
              <w:jc w:val="center"/>
              <w:rPr>
                <w:b/>
                <w:sz w:val="16"/>
                <w:szCs w:val="16"/>
                <w:lang w:val="sr-Latn-ME"/>
              </w:rPr>
            </w:pPr>
            <w:r w:rsidRPr="0023595B">
              <w:rPr>
                <w:b/>
                <w:sz w:val="16"/>
                <w:szCs w:val="16"/>
                <w:lang w:val="sr-Latn-ME"/>
              </w:rPr>
              <w:t>Aktivna kontrola</w:t>
            </w:r>
          </w:p>
          <w:p w14:paraId="2A98708D" w14:textId="77777777" w:rsidR="0075781B" w:rsidRPr="0023595B" w:rsidRDefault="0075781B" w:rsidP="00D55718">
            <w:pPr>
              <w:jc w:val="center"/>
              <w:rPr>
                <w:b/>
                <w:sz w:val="16"/>
                <w:szCs w:val="16"/>
                <w:lang w:val="sr-Latn-ME"/>
              </w:rPr>
            </w:pPr>
            <w:r w:rsidRPr="0023595B">
              <w:rPr>
                <w:b/>
                <w:sz w:val="16"/>
                <w:szCs w:val="16"/>
                <w:lang w:val="sr-Latn-ME"/>
              </w:rPr>
              <w:t>(laser)</w:t>
            </w:r>
          </w:p>
          <w:p w14:paraId="35228B85" w14:textId="77777777" w:rsidR="0075781B" w:rsidRPr="0023595B" w:rsidRDefault="0075781B" w:rsidP="00D55718">
            <w:pPr>
              <w:jc w:val="center"/>
              <w:rPr>
                <w:b/>
                <w:szCs w:val="22"/>
                <w:lang w:val="sr-Latn-ME"/>
              </w:rPr>
            </w:pPr>
            <w:r w:rsidRPr="0023595B">
              <w:rPr>
                <w:b/>
                <w:sz w:val="16"/>
                <w:szCs w:val="16"/>
                <w:lang w:val="sr-Latn-ME"/>
              </w:rPr>
              <w:t>(N = 154)</w:t>
            </w:r>
          </w:p>
        </w:tc>
        <w:tc>
          <w:tcPr>
            <w:tcW w:w="1080" w:type="dxa"/>
            <w:vAlign w:val="center"/>
          </w:tcPr>
          <w:p w14:paraId="094F2CEF" w14:textId="77777777" w:rsidR="0075781B" w:rsidRPr="0023595B" w:rsidRDefault="0075781B" w:rsidP="00D55718">
            <w:pPr>
              <w:jc w:val="center"/>
              <w:rPr>
                <w:b/>
                <w:sz w:val="16"/>
                <w:szCs w:val="16"/>
                <w:lang w:val="sr-Latn-ME"/>
              </w:rPr>
            </w:pPr>
            <w:r w:rsidRPr="0023595B">
              <w:rPr>
                <w:b/>
                <w:sz w:val="16"/>
                <w:szCs w:val="16"/>
                <w:lang w:val="sr-Latn-ME"/>
              </w:rPr>
              <w:t>Eylea</w:t>
            </w:r>
          </w:p>
          <w:p w14:paraId="3D7B8878" w14:textId="77777777" w:rsidR="0075781B" w:rsidRPr="0023595B" w:rsidRDefault="0075781B" w:rsidP="00D55718">
            <w:pPr>
              <w:jc w:val="center"/>
              <w:rPr>
                <w:b/>
                <w:sz w:val="16"/>
                <w:szCs w:val="16"/>
                <w:lang w:val="sr-Latn-ME"/>
              </w:rPr>
            </w:pPr>
            <w:r w:rsidRPr="0023595B">
              <w:rPr>
                <w:b/>
                <w:sz w:val="16"/>
                <w:szCs w:val="16"/>
                <w:lang w:val="sr-Latn-ME"/>
              </w:rPr>
              <w:t>2 mg Q8</w:t>
            </w:r>
            <w:r w:rsidRPr="0023595B">
              <w:rPr>
                <w:b/>
                <w:sz w:val="16"/>
                <w:szCs w:val="16"/>
                <w:vertAlign w:val="superscript"/>
                <w:lang w:val="sr-Latn-ME"/>
              </w:rPr>
              <w:t>A</w:t>
            </w:r>
          </w:p>
          <w:p w14:paraId="472F2D8C" w14:textId="77777777" w:rsidR="0075781B" w:rsidRPr="0023595B" w:rsidRDefault="0075781B" w:rsidP="00D55718">
            <w:pPr>
              <w:jc w:val="center"/>
              <w:rPr>
                <w:b/>
                <w:szCs w:val="22"/>
                <w:lang w:val="sr-Latn-ME"/>
              </w:rPr>
            </w:pPr>
            <w:r w:rsidRPr="0023595B">
              <w:rPr>
                <w:b/>
                <w:sz w:val="16"/>
                <w:szCs w:val="16"/>
                <w:lang w:val="sr-Latn-ME"/>
              </w:rPr>
              <w:t>(N = 151)</w:t>
            </w:r>
          </w:p>
        </w:tc>
        <w:tc>
          <w:tcPr>
            <w:tcW w:w="1170" w:type="dxa"/>
            <w:vAlign w:val="center"/>
          </w:tcPr>
          <w:p w14:paraId="77F33869" w14:textId="77777777" w:rsidR="0075781B" w:rsidRPr="0023595B" w:rsidRDefault="0075781B" w:rsidP="00D55718">
            <w:pPr>
              <w:jc w:val="center"/>
              <w:rPr>
                <w:b/>
                <w:sz w:val="16"/>
                <w:szCs w:val="16"/>
                <w:lang w:val="sr-Latn-ME"/>
              </w:rPr>
            </w:pPr>
            <w:r w:rsidRPr="0023595B">
              <w:rPr>
                <w:b/>
                <w:sz w:val="16"/>
                <w:szCs w:val="16"/>
                <w:lang w:val="sr-Latn-ME"/>
              </w:rPr>
              <w:t>Eylea</w:t>
            </w:r>
          </w:p>
          <w:p w14:paraId="48C80B35" w14:textId="77777777" w:rsidR="0075781B" w:rsidRPr="0023595B" w:rsidRDefault="0075781B" w:rsidP="00D55718">
            <w:pPr>
              <w:jc w:val="center"/>
              <w:rPr>
                <w:b/>
                <w:sz w:val="16"/>
                <w:szCs w:val="16"/>
                <w:lang w:val="sr-Latn-ME"/>
              </w:rPr>
            </w:pPr>
            <w:r w:rsidRPr="0023595B">
              <w:rPr>
                <w:b/>
                <w:sz w:val="16"/>
                <w:szCs w:val="16"/>
                <w:lang w:val="sr-Latn-ME"/>
              </w:rPr>
              <w:t>2 mg Q4</w:t>
            </w:r>
          </w:p>
          <w:p w14:paraId="3D62BBDB" w14:textId="77777777" w:rsidR="0075781B" w:rsidRPr="0023595B" w:rsidRDefault="0075781B" w:rsidP="00D55718">
            <w:pPr>
              <w:jc w:val="center"/>
              <w:rPr>
                <w:b/>
                <w:szCs w:val="22"/>
                <w:lang w:val="sr-Latn-ME"/>
              </w:rPr>
            </w:pPr>
            <w:r w:rsidRPr="0023595B">
              <w:rPr>
                <w:b/>
                <w:sz w:val="16"/>
                <w:szCs w:val="16"/>
                <w:lang w:val="sr-Latn-ME"/>
              </w:rPr>
              <w:t>(N = 154)</w:t>
            </w:r>
          </w:p>
        </w:tc>
        <w:tc>
          <w:tcPr>
            <w:tcW w:w="1170" w:type="dxa"/>
            <w:vAlign w:val="center"/>
          </w:tcPr>
          <w:p w14:paraId="0FCDA4F7" w14:textId="77777777" w:rsidR="0075781B" w:rsidRPr="0023595B" w:rsidRDefault="0075781B" w:rsidP="00D55718">
            <w:pPr>
              <w:jc w:val="center"/>
              <w:rPr>
                <w:b/>
                <w:sz w:val="16"/>
                <w:szCs w:val="16"/>
                <w:lang w:val="sr-Latn-ME"/>
              </w:rPr>
            </w:pPr>
            <w:r w:rsidRPr="0023595B">
              <w:rPr>
                <w:b/>
                <w:sz w:val="16"/>
                <w:szCs w:val="16"/>
                <w:lang w:val="sr-Latn-ME"/>
              </w:rPr>
              <w:t>Aktivna kontrola</w:t>
            </w:r>
          </w:p>
          <w:p w14:paraId="5F3E5A7D" w14:textId="77777777" w:rsidR="0075781B" w:rsidRPr="0023595B" w:rsidRDefault="0075781B" w:rsidP="00D55718">
            <w:pPr>
              <w:jc w:val="center"/>
              <w:rPr>
                <w:b/>
                <w:sz w:val="16"/>
                <w:szCs w:val="16"/>
                <w:lang w:val="sr-Latn-ME"/>
              </w:rPr>
            </w:pPr>
            <w:r w:rsidRPr="0023595B">
              <w:rPr>
                <w:b/>
                <w:sz w:val="16"/>
                <w:szCs w:val="16"/>
                <w:lang w:val="sr-Latn-ME"/>
              </w:rPr>
              <w:t>(laser)</w:t>
            </w:r>
          </w:p>
          <w:p w14:paraId="7622678A" w14:textId="77777777" w:rsidR="0075781B" w:rsidRPr="0023595B" w:rsidRDefault="0075781B" w:rsidP="00D55718">
            <w:pPr>
              <w:jc w:val="center"/>
              <w:rPr>
                <w:b/>
                <w:szCs w:val="22"/>
                <w:lang w:val="sr-Latn-ME"/>
              </w:rPr>
            </w:pPr>
            <w:r w:rsidRPr="0023595B">
              <w:rPr>
                <w:b/>
                <w:sz w:val="16"/>
                <w:szCs w:val="16"/>
                <w:lang w:val="sr-Latn-ME"/>
              </w:rPr>
              <w:t>(N = 154)</w:t>
            </w:r>
          </w:p>
        </w:tc>
      </w:tr>
      <w:tr w:rsidR="0075781B" w:rsidRPr="0023595B" w14:paraId="1D7CF6A2" w14:textId="77777777" w:rsidTr="00D55718">
        <w:tc>
          <w:tcPr>
            <w:tcW w:w="2247" w:type="dxa"/>
          </w:tcPr>
          <w:p w14:paraId="76A50512" w14:textId="77777777" w:rsidR="0075781B" w:rsidRPr="0023595B" w:rsidRDefault="0075781B" w:rsidP="00D55718">
            <w:pPr>
              <w:rPr>
                <w:szCs w:val="22"/>
                <w:lang w:val="sr-Latn-ME"/>
              </w:rPr>
            </w:pPr>
            <w:r w:rsidRPr="0023595B">
              <w:rPr>
                <w:sz w:val="16"/>
                <w:szCs w:val="16"/>
                <w:lang w:val="sr-Latn-ME"/>
              </w:rPr>
              <w:t>Srednja vrijednost promjene BCVA mjereno pomoću ETDRS</w:t>
            </w:r>
            <w:r w:rsidRPr="0023595B">
              <w:rPr>
                <w:sz w:val="16"/>
                <w:szCs w:val="16"/>
                <w:vertAlign w:val="superscript"/>
                <w:lang w:val="sr-Latn-ME"/>
              </w:rPr>
              <w:t>E)</w:t>
            </w:r>
            <w:r w:rsidRPr="0023595B">
              <w:rPr>
                <w:sz w:val="16"/>
                <w:szCs w:val="16"/>
                <w:lang w:val="sr-Latn-ME"/>
              </w:rPr>
              <w:t xml:space="preserve"> slovnog rezultata u odnosu na početne vrijednosti</w:t>
            </w:r>
          </w:p>
        </w:tc>
        <w:tc>
          <w:tcPr>
            <w:tcW w:w="1011" w:type="dxa"/>
            <w:vAlign w:val="center"/>
          </w:tcPr>
          <w:p w14:paraId="33C0871D" w14:textId="77777777" w:rsidR="0075781B" w:rsidRPr="0023595B" w:rsidRDefault="0075781B" w:rsidP="00D55718">
            <w:pPr>
              <w:jc w:val="center"/>
              <w:rPr>
                <w:szCs w:val="22"/>
                <w:lang w:val="sr-Latn-ME"/>
              </w:rPr>
            </w:pPr>
            <w:r w:rsidRPr="0023595B">
              <w:rPr>
                <w:sz w:val="16"/>
                <w:szCs w:val="16"/>
                <w:lang w:val="sr-Latn-ME"/>
              </w:rPr>
              <w:t>10,7</w:t>
            </w:r>
          </w:p>
        </w:tc>
        <w:tc>
          <w:tcPr>
            <w:tcW w:w="990" w:type="dxa"/>
            <w:vAlign w:val="center"/>
          </w:tcPr>
          <w:p w14:paraId="7C0C3BDF" w14:textId="77777777" w:rsidR="0075781B" w:rsidRPr="0023595B" w:rsidRDefault="0075781B" w:rsidP="00D55718">
            <w:pPr>
              <w:jc w:val="center"/>
              <w:rPr>
                <w:szCs w:val="22"/>
                <w:lang w:val="sr-Latn-ME"/>
              </w:rPr>
            </w:pPr>
            <w:r w:rsidRPr="0023595B">
              <w:rPr>
                <w:sz w:val="16"/>
                <w:szCs w:val="16"/>
                <w:lang w:val="sr-Latn-ME"/>
              </w:rPr>
              <w:t>10,5</w:t>
            </w:r>
          </w:p>
        </w:tc>
        <w:tc>
          <w:tcPr>
            <w:tcW w:w="990" w:type="dxa"/>
            <w:vAlign w:val="center"/>
          </w:tcPr>
          <w:p w14:paraId="7C61E021" w14:textId="77777777" w:rsidR="0075781B" w:rsidRPr="0023595B" w:rsidRDefault="0075781B" w:rsidP="00D55718">
            <w:pPr>
              <w:jc w:val="center"/>
              <w:rPr>
                <w:szCs w:val="22"/>
                <w:lang w:val="sr-Latn-ME"/>
              </w:rPr>
            </w:pPr>
            <w:r w:rsidRPr="0023595B">
              <w:rPr>
                <w:sz w:val="16"/>
                <w:szCs w:val="16"/>
                <w:lang w:val="sr-Latn-ME"/>
              </w:rPr>
              <w:t>1,2</w:t>
            </w:r>
          </w:p>
        </w:tc>
        <w:tc>
          <w:tcPr>
            <w:tcW w:w="990" w:type="dxa"/>
            <w:vAlign w:val="center"/>
          </w:tcPr>
          <w:p w14:paraId="51E05796" w14:textId="77777777" w:rsidR="0075781B" w:rsidRPr="0023595B" w:rsidRDefault="0075781B" w:rsidP="00D55718">
            <w:pPr>
              <w:jc w:val="center"/>
              <w:rPr>
                <w:szCs w:val="22"/>
                <w:lang w:val="sr-Latn-ME"/>
              </w:rPr>
            </w:pPr>
            <w:r w:rsidRPr="0023595B">
              <w:rPr>
                <w:sz w:val="16"/>
                <w:szCs w:val="16"/>
                <w:lang w:val="sr-Latn-ME"/>
              </w:rPr>
              <w:t>9,4</w:t>
            </w:r>
          </w:p>
        </w:tc>
        <w:tc>
          <w:tcPr>
            <w:tcW w:w="1080" w:type="dxa"/>
            <w:vAlign w:val="center"/>
          </w:tcPr>
          <w:p w14:paraId="268CEA3D" w14:textId="77777777" w:rsidR="0075781B" w:rsidRPr="0023595B" w:rsidRDefault="0075781B" w:rsidP="00D55718">
            <w:pPr>
              <w:jc w:val="center"/>
              <w:rPr>
                <w:szCs w:val="22"/>
                <w:lang w:val="sr-Latn-ME"/>
              </w:rPr>
            </w:pPr>
            <w:r w:rsidRPr="0023595B">
              <w:rPr>
                <w:sz w:val="16"/>
                <w:szCs w:val="16"/>
                <w:lang w:val="sr-Latn-ME"/>
              </w:rPr>
              <w:t>11,4</w:t>
            </w:r>
          </w:p>
        </w:tc>
        <w:tc>
          <w:tcPr>
            <w:tcW w:w="990" w:type="dxa"/>
            <w:vAlign w:val="center"/>
          </w:tcPr>
          <w:p w14:paraId="0702EA59" w14:textId="77777777" w:rsidR="0075781B" w:rsidRPr="0023595B" w:rsidRDefault="0075781B" w:rsidP="00D55718">
            <w:pPr>
              <w:jc w:val="center"/>
              <w:rPr>
                <w:szCs w:val="22"/>
                <w:lang w:val="sr-Latn-ME"/>
              </w:rPr>
            </w:pPr>
            <w:r w:rsidRPr="0023595B">
              <w:rPr>
                <w:sz w:val="16"/>
                <w:szCs w:val="16"/>
                <w:lang w:val="sr-Latn-ME"/>
              </w:rPr>
              <w:t>0,7</w:t>
            </w:r>
          </w:p>
        </w:tc>
        <w:tc>
          <w:tcPr>
            <w:tcW w:w="1080" w:type="dxa"/>
            <w:vAlign w:val="center"/>
          </w:tcPr>
          <w:p w14:paraId="15E5170D" w14:textId="77777777" w:rsidR="0075781B" w:rsidRPr="0023595B" w:rsidRDefault="0075781B" w:rsidP="00D55718">
            <w:pPr>
              <w:jc w:val="center"/>
              <w:rPr>
                <w:szCs w:val="22"/>
                <w:lang w:val="sr-Latn-ME"/>
              </w:rPr>
            </w:pPr>
            <w:r w:rsidRPr="0023595B">
              <w:rPr>
                <w:sz w:val="16"/>
                <w:szCs w:val="16"/>
                <w:lang w:val="sr-Latn-ME"/>
              </w:rPr>
              <w:t>10,7</w:t>
            </w:r>
          </w:p>
        </w:tc>
        <w:tc>
          <w:tcPr>
            <w:tcW w:w="1170" w:type="dxa"/>
            <w:vAlign w:val="center"/>
          </w:tcPr>
          <w:p w14:paraId="10B2027A" w14:textId="77777777" w:rsidR="0075781B" w:rsidRPr="0023595B" w:rsidRDefault="0075781B" w:rsidP="00D55718">
            <w:pPr>
              <w:jc w:val="center"/>
              <w:rPr>
                <w:szCs w:val="22"/>
                <w:lang w:val="sr-Latn-ME"/>
              </w:rPr>
            </w:pPr>
            <w:r w:rsidRPr="0023595B">
              <w:rPr>
                <w:sz w:val="16"/>
                <w:szCs w:val="16"/>
                <w:lang w:val="sr-Latn-ME"/>
              </w:rPr>
              <w:t>12,5</w:t>
            </w:r>
          </w:p>
        </w:tc>
        <w:tc>
          <w:tcPr>
            <w:tcW w:w="990" w:type="dxa"/>
            <w:vAlign w:val="center"/>
          </w:tcPr>
          <w:p w14:paraId="1815B101" w14:textId="77777777" w:rsidR="0075781B" w:rsidRPr="0023595B" w:rsidRDefault="0075781B" w:rsidP="00D55718">
            <w:pPr>
              <w:jc w:val="center"/>
              <w:rPr>
                <w:szCs w:val="22"/>
                <w:lang w:val="sr-Latn-ME"/>
              </w:rPr>
            </w:pPr>
            <w:r w:rsidRPr="0023595B">
              <w:rPr>
                <w:sz w:val="16"/>
                <w:szCs w:val="16"/>
                <w:lang w:val="sr-Latn-ME"/>
              </w:rPr>
              <w:t>0,2</w:t>
            </w:r>
          </w:p>
        </w:tc>
        <w:tc>
          <w:tcPr>
            <w:tcW w:w="1080" w:type="dxa"/>
            <w:vAlign w:val="center"/>
          </w:tcPr>
          <w:p w14:paraId="13342D10" w14:textId="77777777" w:rsidR="0075781B" w:rsidRPr="0023595B" w:rsidRDefault="0075781B" w:rsidP="00D55718">
            <w:pPr>
              <w:jc w:val="center"/>
              <w:rPr>
                <w:szCs w:val="22"/>
                <w:lang w:val="sr-Latn-ME"/>
              </w:rPr>
            </w:pPr>
            <w:r w:rsidRPr="0023595B">
              <w:rPr>
                <w:sz w:val="16"/>
                <w:szCs w:val="16"/>
                <w:lang w:val="sr-Latn-ME"/>
              </w:rPr>
              <w:t>11,1</w:t>
            </w:r>
          </w:p>
        </w:tc>
        <w:tc>
          <w:tcPr>
            <w:tcW w:w="1170" w:type="dxa"/>
            <w:vAlign w:val="center"/>
          </w:tcPr>
          <w:p w14:paraId="53B16D0B" w14:textId="77777777" w:rsidR="0075781B" w:rsidRPr="0023595B" w:rsidRDefault="0075781B" w:rsidP="00D55718">
            <w:pPr>
              <w:jc w:val="center"/>
              <w:rPr>
                <w:szCs w:val="22"/>
                <w:lang w:val="sr-Latn-ME"/>
              </w:rPr>
            </w:pPr>
            <w:r w:rsidRPr="0023595B">
              <w:rPr>
                <w:sz w:val="16"/>
                <w:szCs w:val="16"/>
                <w:lang w:val="sr-Latn-ME"/>
              </w:rPr>
              <w:t>11,5</w:t>
            </w:r>
          </w:p>
        </w:tc>
        <w:tc>
          <w:tcPr>
            <w:tcW w:w="1170" w:type="dxa"/>
            <w:vAlign w:val="center"/>
          </w:tcPr>
          <w:p w14:paraId="58B11B9B" w14:textId="77777777" w:rsidR="0075781B" w:rsidRPr="0023595B" w:rsidRDefault="0075781B" w:rsidP="00D55718">
            <w:pPr>
              <w:jc w:val="center"/>
              <w:rPr>
                <w:szCs w:val="22"/>
                <w:lang w:val="sr-Latn-ME"/>
              </w:rPr>
            </w:pPr>
            <w:r w:rsidRPr="0023595B">
              <w:rPr>
                <w:sz w:val="16"/>
                <w:szCs w:val="16"/>
                <w:lang w:val="sr-Latn-ME"/>
              </w:rPr>
              <w:t>0,9</w:t>
            </w:r>
          </w:p>
        </w:tc>
      </w:tr>
      <w:tr w:rsidR="0075781B" w:rsidRPr="0023595B" w14:paraId="139195DC" w14:textId="77777777" w:rsidTr="00D55718">
        <w:tc>
          <w:tcPr>
            <w:tcW w:w="2247" w:type="dxa"/>
          </w:tcPr>
          <w:p w14:paraId="5E0E58DA" w14:textId="77777777" w:rsidR="0075781B" w:rsidRPr="0023595B" w:rsidRDefault="0075781B" w:rsidP="00D55718">
            <w:pPr>
              <w:rPr>
                <w:sz w:val="16"/>
                <w:szCs w:val="16"/>
                <w:lang w:val="sr-Latn-ME"/>
              </w:rPr>
            </w:pPr>
            <w:r w:rsidRPr="0023595B">
              <w:rPr>
                <w:sz w:val="16"/>
                <w:szCs w:val="16"/>
                <w:lang w:val="sr-Latn-ME"/>
              </w:rPr>
              <w:t>Razlika u LS srednjoj vrijednosti</w:t>
            </w:r>
            <w:r w:rsidRPr="0023595B">
              <w:rPr>
                <w:sz w:val="16"/>
                <w:szCs w:val="16"/>
                <w:vertAlign w:val="superscript"/>
                <w:lang w:val="sr-Latn-ME"/>
              </w:rPr>
              <w:t>B,C,E</w:t>
            </w:r>
          </w:p>
          <w:p w14:paraId="67737F48" w14:textId="77777777" w:rsidR="0075781B" w:rsidRPr="0023595B" w:rsidRDefault="0075781B" w:rsidP="00D55718">
            <w:pPr>
              <w:rPr>
                <w:szCs w:val="22"/>
                <w:lang w:val="sr-Latn-ME"/>
              </w:rPr>
            </w:pPr>
            <w:r w:rsidRPr="0023595B">
              <w:rPr>
                <w:sz w:val="16"/>
                <w:szCs w:val="16"/>
                <w:lang w:val="sr-Latn-ME"/>
              </w:rPr>
              <w:t>(97.5% CI)</w:t>
            </w:r>
          </w:p>
        </w:tc>
        <w:tc>
          <w:tcPr>
            <w:tcW w:w="1011" w:type="dxa"/>
            <w:vAlign w:val="center"/>
          </w:tcPr>
          <w:p w14:paraId="54E6D010" w14:textId="77777777" w:rsidR="0075781B" w:rsidRPr="0023595B" w:rsidRDefault="0075781B" w:rsidP="00D55718">
            <w:pPr>
              <w:jc w:val="center"/>
              <w:rPr>
                <w:sz w:val="16"/>
                <w:szCs w:val="16"/>
                <w:lang w:val="sr-Latn-ME"/>
              </w:rPr>
            </w:pPr>
            <w:r w:rsidRPr="0023595B">
              <w:rPr>
                <w:sz w:val="16"/>
                <w:szCs w:val="16"/>
                <w:lang w:val="sr-Latn-ME"/>
              </w:rPr>
              <w:t>9,1</w:t>
            </w:r>
          </w:p>
          <w:p w14:paraId="35C8C6A9" w14:textId="77777777" w:rsidR="0075781B" w:rsidRPr="0023595B" w:rsidRDefault="0075781B" w:rsidP="00D55718">
            <w:pPr>
              <w:jc w:val="center"/>
              <w:rPr>
                <w:szCs w:val="22"/>
                <w:lang w:val="sr-Latn-ME"/>
              </w:rPr>
            </w:pPr>
            <w:r w:rsidRPr="0023595B">
              <w:rPr>
                <w:sz w:val="16"/>
                <w:szCs w:val="16"/>
                <w:lang w:val="sr-Latn-ME"/>
              </w:rPr>
              <w:t>(6,3; 11,8)</w:t>
            </w:r>
          </w:p>
        </w:tc>
        <w:tc>
          <w:tcPr>
            <w:tcW w:w="990" w:type="dxa"/>
            <w:vAlign w:val="center"/>
          </w:tcPr>
          <w:p w14:paraId="727A1ADB" w14:textId="77777777" w:rsidR="0075781B" w:rsidRPr="0023595B" w:rsidRDefault="0075781B" w:rsidP="00D55718">
            <w:pPr>
              <w:jc w:val="center"/>
              <w:rPr>
                <w:sz w:val="16"/>
                <w:szCs w:val="16"/>
                <w:lang w:val="sr-Latn-ME"/>
              </w:rPr>
            </w:pPr>
            <w:r w:rsidRPr="0023595B">
              <w:rPr>
                <w:sz w:val="16"/>
                <w:szCs w:val="16"/>
                <w:lang w:val="sr-Latn-ME"/>
              </w:rPr>
              <w:t>9,3</w:t>
            </w:r>
          </w:p>
          <w:p w14:paraId="51653F1D" w14:textId="77777777" w:rsidR="0075781B" w:rsidRPr="0023595B" w:rsidRDefault="0075781B" w:rsidP="00D55718">
            <w:pPr>
              <w:jc w:val="center"/>
              <w:rPr>
                <w:szCs w:val="22"/>
                <w:lang w:val="sr-Latn-ME"/>
              </w:rPr>
            </w:pPr>
            <w:r w:rsidRPr="0023595B">
              <w:rPr>
                <w:sz w:val="16"/>
                <w:szCs w:val="16"/>
                <w:lang w:val="sr-Latn-ME"/>
              </w:rPr>
              <w:t>(6,5; 12,0)</w:t>
            </w:r>
          </w:p>
        </w:tc>
        <w:tc>
          <w:tcPr>
            <w:tcW w:w="990" w:type="dxa"/>
            <w:vAlign w:val="center"/>
          </w:tcPr>
          <w:p w14:paraId="3433299B" w14:textId="77777777" w:rsidR="0075781B" w:rsidRPr="0023595B" w:rsidRDefault="0075781B" w:rsidP="00D55718">
            <w:pPr>
              <w:jc w:val="center"/>
              <w:rPr>
                <w:szCs w:val="22"/>
                <w:lang w:val="sr-Latn-ME"/>
              </w:rPr>
            </w:pPr>
          </w:p>
        </w:tc>
        <w:tc>
          <w:tcPr>
            <w:tcW w:w="990" w:type="dxa"/>
            <w:vAlign w:val="center"/>
          </w:tcPr>
          <w:p w14:paraId="29CFF2A1" w14:textId="77777777" w:rsidR="0075781B" w:rsidRPr="0023595B" w:rsidRDefault="0075781B" w:rsidP="00D55718">
            <w:pPr>
              <w:jc w:val="center"/>
              <w:rPr>
                <w:sz w:val="16"/>
                <w:szCs w:val="16"/>
                <w:lang w:val="sr-Latn-ME"/>
              </w:rPr>
            </w:pPr>
            <w:r w:rsidRPr="0023595B">
              <w:rPr>
                <w:sz w:val="16"/>
                <w:szCs w:val="16"/>
                <w:lang w:val="sr-Latn-ME"/>
              </w:rPr>
              <w:t>8,2</w:t>
            </w:r>
          </w:p>
          <w:p w14:paraId="299BE3BB" w14:textId="77777777" w:rsidR="0075781B" w:rsidRPr="0023595B" w:rsidRDefault="0075781B" w:rsidP="00D55718">
            <w:pPr>
              <w:jc w:val="center"/>
              <w:rPr>
                <w:szCs w:val="22"/>
                <w:lang w:val="sr-Latn-ME"/>
              </w:rPr>
            </w:pPr>
            <w:r w:rsidRPr="0023595B">
              <w:rPr>
                <w:sz w:val="16"/>
                <w:szCs w:val="16"/>
                <w:lang w:val="sr-Latn-ME"/>
              </w:rPr>
              <w:t>(5,2; 11,3)</w:t>
            </w:r>
          </w:p>
        </w:tc>
        <w:tc>
          <w:tcPr>
            <w:tcW w:w="1080" w:type="dxa"/>
            <w:vAlign w:val="center"/>
          </w:tcPr>
          <w:p w14:paraId="5C7C3D38" w14:textId="77777777" w:rsidR="0075781B" w:rsidRPr="0023595B" w:rsidRDefault="0075781B" w:rsidP="00D55718">
            <w:pPr>
              <w:jc w:val="center"/>
              <w:rPr>
                <w:sz w:val="16"/>
                <w:szCs w:val="16"/>
                <w:lang w:val="sr-Latn-ME"/>
              </w:rPr>
            </w:pPr>
            <w:r w:rsidRPr="0023595B">
              <w:rPr>
                <w:sz w:val="16"/>
                <w:szCs w:val="16"/>
                <w:lang w:val="sr-Latn-ME"/>
              </w:rPr>
              <w:t>10,7</w:t>
            </w:r>
          </w:p>
          <w:p w14:paraId="254587B4" w14:textId="77777777" w:rsidR="0075781B" w:rsidRPr="0023595B" w:rsidRDefault="0075781B" w:rsidP="00D55718">
            <w:pPr>
              <w:jc w:val="center"/>
              <w:rPr>
                <w:szCs w:val="22"/>
                <w:lang w:val="sr-Latn-ME"/>
              </w:rPr>
            </w:pPr>
            <w:r w:rsidRPr="0023595B">
              <w:rPr>
                <w:sz w:val="16"/>
                <w:szCs w:val="16"/>
                <w:lang w:val="sr-Latn-ME"/>
              </w:rPr>
              <w:t>(7,6; 13,8)</w:t>
            </w:r>
          </w:p>
        </w:tc>
        <w:tc>
          <w:tcPr>
            <w:tcW w:w="990" w:type="dxa"/>
            <w:vAlign w:val="center"/>
          </w:tcPr>
          <w:p w14:paraId="7773CF9E" w14:textId="77777777" w:rsidR="0075781B" w:rsidRPr="0023595B" w:rsidRDefault="0075781B" w:rsidP="00D55718">
            <w:pPr>
              <w:jc w:val="center"/>
              <w:rPr>
                <w:szCs w:val="22"/>
                <w:lang w:val="sr-Latn-ME"/>
              </w:rPr>
            </w:pPr>
          </w:p>
        </w:tc>
        <w:tc>
          <w:tcPr>
            <w:tcW w:w="1080" w:type="dxa"/>
            <w:vAlign w:val="center"/>
          </w:tcPr>
          <w:p w14:paraId="30F0C853" w14:textId="77777777" w:rsidR="0075781B" w:rsidRPr="0023595B" w:rsidRDefault="0075781B" w:rsidP="00D55718">
            <w:pPr>
              <w:jc w:val="center"/>
              <w:rPr>
                <w:sz w:val="16"/>
                <w:szCs w:val="16"/>
                <w:lang w:val="sr-Latn-ME"/>
              </w:rPr>
            </w:pPr>
            <w:r w:rsidRPr="0023595B">
              <w:rPr>
                <w:sz w:val="16"/>
                <w:szCs w:val="16"/>
                <w:lang w:val="sr-Latn-ME"/>
              </w:rPr>
              <w:t>10,45</w:t>
            </w:r>
          </w:p>
          <w:p w14:paraId="2041EF99" w14:textId="77777777" w:rsidR="0075781B" w:rsidRPr="0023595B" w:rsidRDefault="0075781B" w:rsidP="00D55718">
            <w:pPr>
              <w:jc w:val="center"/>
              <w:rPr>
                <w:szCs w:val="22"/>
                <w:lang w:val="sr-Latn-ME"/>
              </w:rPr>
            </w:pPr>
            <w:r w:rsidRPr="0023595B">
              <w:rPr>
                <w:sz w:val="16"/>
                <w:szCs w:val="16"/>
                <w:lang w:val="sr-Latn-ME"/>
              </w:rPr>
              <w:t>(7,7; 13,2)</w:t>
            </w:r>
          </w:p>
        </w:tc>
        <w:tc>
          <w:tcPr>
            <w:tcW w:w="1170" w:type="dxa"/>
            <w:vAlign w:val="center"/>
          </w:tcPr>
          <w:p w14:paraId="1C917316" w14:textId="77777777" w:rsidR="0075781B" w:rsidRPr="0023595B" w:rsidRDefault="0075781B" w:rsidP="00D55718">
            <w:pPr>
              <w:jc w:val="center"/>
              <w:rPr>
                <w:sz w:val="16"/>
                <w:szCs w:val="16"/>
                <w:lang w:val="sr-Latn-ME"/>
              </w:rPr>
            </w:pPr>
            <w:r w:rsidRPr="0023595B">
              <w:rPr>
                <w:sz w:val="16"/>
                <w:szCs w:val="16"/>
                <w:lang w:val="sr-Latn-ME"/>
              </w:rPr>
              <w:t>12,19</w:t>
            </w:r>
          </w:p>
          <w:p w14:paraId="12F8D6CE" w14:textId="77777777" w:rsidR="0075781B" w:rsidRPr="0023595B" w:rsidRDefault="0075781B" w:rsidP="00D55718">
            <w:pPr>
              <w:jc w:val="center"/>
              <w:rPr>
                <w:szCs w:val="22"/>
                <w:lang w:val="sr-Latn-ME"/>
              </w:rPr>
            </w:pPr>
            <w:r w:rsidRPr="0023595B">
              <w:rPr>
                <w:sz w:val="16"/>
                <w:szCs w:val="16"/>
                <w:lang w:val="sr-Latn-ME"/>
              </w:rPr>
              <w:t>(9,4; 15,0)</w:t>
            </w:r>
          </w:p>
        </w:tc>
        <w:tc>
          <w:tcPr>
            <w:tcW w:w="990" w:type="dxa"/>
            <w:vAlign w:val="center"/>
          </w:tcPr>
          <w:p w14:paraId="6F555F12" w14:textId="77777777" w:rsidR="0075781B" w:rsidRPr="0023595B" w:rsidRDefault="0075781B" w:rsidP="00D55718">
            <w:pPr>
              <w:jc w:val="center"/>
              <w:rPr>
                <w:szCs w:val="22"/>
                <w:lang w:val="sr-Latn-ME"/>
              </w:rPr>
            </w:pPr>
          </w:p>
        </w:tc>
        <w:tc>
          <w:tcPr>
            <w:tcW w:w="1080" w:type="dxa"/>
            <w:vAlign w:val="center"/>
          </w:tcPr>
          <w:p w14:paraId="392D2542" w14:textId="77777777" w:rsidR="0075781B" w:rsidRPr="0023595B" w:rsidRDefault="0075781B" w:rsidP="00D55718">
            <w:pPr>
              <w:jc w:val="center"/>
              <w:rPr>
                <w:sz w:val="16"/>
                <w:szCs w:val="16"/>
                <w:lang w:val="sr-Latn-ME"/>
              </w:rPr>
            </w:pPr>
            <w:r w:rsidRPr="0023595B">
              <w:rPr>
                <w:sz w:val="16"/>
                <w:szCs w:val="16"/>
                <w:lang w:val="sr-Latn-ME"/>
              </w:rPr>
              <w:t>10,1</w:t>
            </w:r>
          </w:p>
          <w:p w14:paraId="13FB283A" w14:textId="77777777" w:rsidR="0075781B" w:rsidRPr="0023595B" w:rsidRDefault="0075781B" w:rsidP="00D55718">
            <w:pPr>
              <w:jc w:val="center"/>
              <w:rPr>
                <w:szCs w:val="22"/>
                <w:lang w:val="sr-Latn-ME"/>
              </w:rPr>
            </w:pPr>
            <w:r w:rsidRPr="0023595B">
              <w:rPr>
                <w:sz w:val="16"/>
                <w:szCs w:val="16"/>
                <w:lang w:val="sr-Latn-ME"/>
              </w:rPr>
              <w:t>(7,0; 13,3)</w:t>
            </w:r>
          </w:p>
        </w:tc>
        <w:tc>
          <w:tcPr>
            <w:tcW w:w="1170" w:type="dxa"/>
            <w:vAlign w:val="center"/>
          </w:tcPr>
          <w:p w14:paraId="2542E4FB" w14:textId="77777777" w:rsidR="0075781B" w:rsidRPr="0023595B" w:rsidRDefault="0075781B" w:rsidP="00D55718">
            <w:pPr>
              <w:jc w:val="center"/>
              <w:rPr>
                <w:sz w:val="16"/>
                <w:szCs w:val="16"/>
                <w:lang w:val="sr-Latn-ME"/>
              </w:rPr>
            </w:pPr>
            <w:r w:rsidRPr="0023595B">
              <w:rPr>
                <w:sz w:val="16"/>
                <w:szCs w:val="16"/>
                <w:lang w:val="sr-Latn-ME"/>
              </w:rPr>
              <w:t>10,6</w:t>
            </w:r>
          </w:p>
          <w:p w14:paraId="12573599" w14:textId="77777777" w:rsidR="0075781B" w:rsidRPr="0023595B" w:rsidRDefault="0075781B" w:rsidP="00D55718">
            <w:pPr>
              <w:jc w:val="center"/>
              <w:rPr>
                <w:szCs w:val="22"/>
                <w:lang w:val="sr-Latn-ME"/>
              </w:rPr>
            </w:pPr>
            <w:r w:rsidRPr="0023595B">
              <w:rPr>
                <w:sz w:val="16"/>
                <w:szCs w:val="16"/>
                <w:lang w:val="sr-Latn-ME"/>
              </w:rPr>
              <w:t>(7,1; 14,2)</w:t>
            </w:r>
          </w:p>
        </w:tc>
        <w:tc>
          <w:tcPr>
            <w:tcW w:w="1170" w:type="dxa"/>
            <w:vAlign w:val="center"/>
          </w:tcPr>
          <w:p w14:paraId="36AFDBD7" w14:textId="77777777" w:rsidR="0075781B" w:rsidRPr="0023595B" w:rsidRDefault="0075781B" w:rsidP="00D55718">
            <w:pPr>
              <w:jc w:val="center"/>
              <w:rPr>
                <w:szCs w:val="22"/>
                <w:lang w:val="sr-Latn-ME"/>
              </w:rPr>
            </w:pPr>
          </w:p>
        </w:tc>
      </w:tr>
      <w:tr w:rsidR="0075781B" w:rsidRPr="0023595B" w14:paraId="3ADB0AEA" w14:textId="77777777" w:rsidTr="00D55718">
        <w:tc>
          <w:tcPr>
            <w:tcW w:w="2247" w:type="dxa"/>
          </w:tcPr>
          <w:p w14:paraId="532EC8BA" w14:textId="77777777" w:rsidR="0075781B" w:rsidRPr="0023595B" w:rsidRDefault="0075781B" w:rsidP="00D55718">
            <w:pPr>
              <w:rPr>
                <w:szCs w:val="22"/>
                <w:lang w:val="sr-Latn-ME"/>
              </w:rPr>
            </w:pPr>
            <w:r w:rsidRPr="0023595B">
              <w:rPr>
                <w:sz w:val="16"/>
                <w:szCs w:val="16"/>
                <w:lang w:val="sr-Latn-ME"/>
              </w:rPr>
              <w:t>Udio pacijenata sa poboljšanjem ≥15 slova u odnosu na početnu vrijednost</w:t>
            </w:r>
          </w:p>
        </w:tc>
        <w:tc>
          <w:tcPr>
            <w:tcW w:w="1011" w:type="dxa"/>
            <w:vAlign w:val="center"/>
          </w:tcPr>
          <w:p w14:paraId="44D75D10" w14:textId="77777777" w:rsidR="0075781B" w:rsidRPr="0023595B" w:rsidRDefault="0075781B" w:rsidP="00D55718">
            <w:pPr>
              <w:jc w:val="center"/>
              <w:rPr>
                <w:szCs w:val="22"/>
                <w:lang w:val="sr-Latn-ME"/>
              </w:rPr>
            </w:pPr>
            <w:r w:rsidRPr="0023595B">
              <w:rPr>
                <w:sz w:val="16"/>
                <w:szCs w:val="16"/>
                <w:lang w:val="sr-Latn-ME"/>
              </w:rPr>
              <w:t>33%</w:t>
            </w:r>
          </w:p>
        </w:tc>
        <w:tc>
          <w:tcPr>
            <w:tcW w:w="990" w:type="dxa"/>
            <w:vAlign w:val="center"/>
          </w:tcPr>
          <w:p w14:paraId="151A1252" w14:textId="77777777" w:rsidR="0075781B" w:rsidRPr="0023595B" w:rsidRDefault="0075781B" w:rsidP="00D55718">
            <w:pPr>
              <w:jc w:val="center"/>
              <w:rPr>
                <w:szCs w:val="22"/>
                <w:lang w:val="sr-Latn-ME"/>
              </w:rPr>
            </w:pPr>
            <w:r w:rsidRPr="0023595B">
              <w:rPr>
                <w:sz w:val="16"/>
                <w:szCs w:val="16"/>
                <w:lang w:val="sr-Latn-ME"/>
              </w:rPr>
              <w:t>32%</w:t>
            </w:r>
          </w:p>
        </w:tc>
        <w:tc>
          <w:tcPr>
            <w:tcW w:w="990" w:type="dxa"/>
            <w:vAlign w:val="center"/>
          </w:tcPr>
          <w:p w14:paraId="243D8FA9" w14:textId="77777777" w:rsidR="0075781B" w:rsidRPr="0023595B" w:rsidRDefault="0075781B" w:rsidP="00D55718">
            <w:pPr>
              <w:jc w:val="center"/>
              <w:rPr>
                <w:szCs w:val="22"/>
                <w:lang w:val="sr-Latn-ME"/>
              </w:rPr>
            </w:pPr>
            <w:r w:rsidRPr="0023595B">
              <w:rPr>
                <w:sz w:val="16"/>
                <w:szCs w:val="16"/>
                <w:lang w:val="sr-Latn-ME"/>
              </w:rPr>
              <w:t>9%</w:t>
            </w:r>
          </w:p>
        </w:tc>
        <w:tc>
          <w:tcPr>
            <w:tcW w:w="990" w:type="dxa"/>
            <w:vAlign w:val="center"/>
          </w:tcPr>
          <w:p w14:paraId="68BCFEE3" w14:textId="77777777" w:rsidR="0075781B" w:rsidRPr="0023595B" w:rsidRDefault="0075781B" w:rsidP="00D55718">
            <w:pPr>
              <w:jc w:val="center"/>
              <w:rPr>
                <w:szCs w:val="22"/>
                <w:lang w:val="sr-Latn-ME"/>
              </w:rPr>
            </w:pPr>
            <w:r w:rsidRPr="0023595B">
              <w:rPr>
                <w:sz w:val="16"/>
                <w:szCs w:val="16"/>
                <w:lang w:val="sr-Latn-ME"/>
              </w:rPr>
              <w:t>31,1%</w:t>
            </w:r>
          </w:p>
        </w:tc>
        <w:tc>
          <w:tcPr>
            <w:tcW w:w="1080" w:type="dxa"/>
            <w:vAlign w:val="center"/>
          </w:tcPr>
          <w:p w14:paraId="358B4905" w14:textId="77777777" w:rsidR="0075781B" w:rsidRPr="0023595B" w:rsidRDefault="0075781B" w:rsidP="00D55718">
            <w:pPr>
              <w:jc w:val="center"/>
              <w:rPr>
                <w:szCs w:val="22"/>
                <w:lang w:val="sr-Latn-ME"/>
              </w:rPr>
            </w:pPr>
            <w:r w:rsidRPr="0023595B">
              <w:rPr>
                <w:sz w:val="16"/>
                <w:szCs w:val="16"/>
                <w:lang w:val="sr-Latn-ME"/>
              </w:rPr>
              <w:t>38,2%</w:t>
            </w:r>
          </w:p>
        </w:tc>
        <w:tc>
          <w:tcPr>
            <w:tcW w:w="990" w:type="dxa"/>
            <w:vAlign w:val="center"/>
          </w:tcPr>
          <w:p w14:paraId="3B7D16A4" w14:textId="77777777" w:rsidR="0075781B" w:rsidRPr="0023595B" w:rsidRDefault="0075781B" w:rsidP="00D55718">
            <w:pPr>
              <w:jc w:val="center"/>
              <w:rPr>
                <w:szCs w:val="22"/>
                <w:lang w:val="sr-Latn-ME"/>
              </w:rPr>
            </w:pPr>
            <w:r w:rsidRPr="0023595B">
              <w:rPr>
                <w:sz w:val="16"/>
                <w:szCs w:val="16"/>
                <w:lang w:val="sr-Latn-ME"/>
              </w:rPr>
              <w:t>12,1%</w:t>
            </w:r>
          </w:p>
        </w:tc>
        <w:tc>
          <w:tcPr>
            <w:tcW w:w="1080" w:type="dxa"/>
            <w:vAlign w:val="center"/>
          </w:tcPr>
          <w:p w14:paraId="48DA528A" w14:textId="77777777" w:rsidR="0075781B" w:rsidRPr="0023595B" w:rsidRDefault="0075781B" w:rsidP="00D55718">
            <w:pPr>
              <w:jc w:val="center"/>
              <w:rPr>
                <w:szCs w:val="22"/>
                <w:lang w:val="sr-Latn-ME"/>
              </w:rPr>
            </w:pPr>
            <w:r w:rsidRPr="0023595B">
              <w:rPr>
                <w:sz w:val="16"/>
                <w:szCs w:val="16"/>
                <w:lang w:val="sr-Latn-ME"/>
              </w:rPr>
              <w:t>31%</w:t>
            </w:r>
          </w:p>
        </w:tc>
        <w:tc>
          <w:tcPr>
            <w:tcW w:w="1170" w:type="dxa"/>
            <w:vAlign w:val="center"/>
          </w:tcPr>
          <w:p w14:paraId="7A9D647A" w14:textId="77777777" w:rsidR="0075781B" w:rsidRPr="0023595B" w:rsidRDefault="0075781B" w:rsidP="00D55718">
            <w:pPr>
              <w:jc w:val="center"/>
              <w:rPr>
                <w:szCs w:val="22"/>
                <w:lang w:val="sr-Latn-ME"/>
              </w:rPr>
            </w:pPr>
            <w:r w:rsidRPr="0023595B">
              <w:rPr>
                <w:sz w:val="16"/>
                <w:szCs w:val="16"/>
                <w:lang w:val="sr-Latn-ME"/>
              </w:rPr>
              <w:t>42%</w:t>
            </w:r>
          </w:p>
        </w:tc>
        <w:tc>
          <w:tcPr>
            <w:tcW w:w="990" w:type="dxa"/>
            <w:vAlign w:val="center"/>
          </w:tcPr>
          <w:p w14:paraId="03248F30" w14:textId="77777777" w:rsidR="0075781B" w:rsidRPr="0023595B" w:rsidRDefault="0075781B" w:rsidP="00D55718">
            <w:pPr>
              <w:jc w:val="center"/>
              <w:rPr>
                <w:szCs w:val="22"/>
                <w:lang w:val="sr-Latn-ME"/>
              </w:rPr>
            </w:pPr>
            <w:r w:rsidRPr="0023595B">
              <w:rPr>
                <w:sz w:val="16"/>
                <w:szCs w:val="16"/>
                <w:lang w:val="sr-Latn-ME"/>
              </w:rPr>
              <w:t>8%</w:t>
            </w:r>
          </w:p>
        </w:tc>
        <w:tc>
          <w:tcPr>
            <w:tcW w:w="1080" w:type="dxa"/>
            <w:vAlign w:val="center"/>
          </w:tcPr>
          <w:p w14:paraId="2C95E973" w14:textId="77777777" w:rsidR="0075781B" w:rsidRPr="0023595B" w:rsidRDefault="0075781B" w:rsidP="00D55718">
            <w:pPr>
              <w:jc w:val="center"/>
              <w:rPr>
                <w:szCs w:val="22"/>
                <w:lang w:val="sr-Latn-ME"/>
              </w:rPr>
            </w:pPr>
            <w:r w:rsidRPr="0023595B">
              <w:rPr>
                <w:sz w:val="16"/>
                <w:szCs w:val="16"/>
                <w:lang w:val="sr-Latn-ME"/>
              </w:rPr>
              <w:t>33,1%</w:t>
            </w:r>
          </w:p>
        </w:tc>
        <w:tc>
          <w:tcPr>
            <w:tcW w:w="1170" w:type="dxa"/>
            <w:vAlign w:val="center"/>
          </w:tcPr>
          <w:p w14:paraId="0E299F6C" w14:textId="77777777" w:rsidR="0075781B" w:rsidRPr="0023595B" w:rsidRDefault="0075781B" w:rsidP="00D55718">
            <w:pPr>
              <w:jc w:val="center"/>
              <w:rPr>
                <w:szCs w:val="22"/>
                <w:lang w:val="sr-Latn-ME"/>
              </w:rPr>
            </w:pPr>
            <w:r w:rsidRPr="0023595B">
              <w:rPr>
                <w:sz w:val="16"/>
                <w:szCs w:val="16"/>
                <w:lang w:val="sr-Latn-ME"/>
              </w:rPr>
              <w:t>38,3%</w:t>
            </w:r>
          </w:p>
        </w:tc>
        <w:tc>
          <w:tcPr>
            <w:tcW w:w="1170" w:type="dxa"/>
            <w:vAlign w:val="center"/>
          </w:tcPr>
          <w:p w14:paraId="6DD5B704" w14:textId="77777777" w:rsidR="0075781B" w:rsidRPr="0023595B" w:rsidRDefault="0075781B" w:rsidP="00D55718">
            <w:pPr>
              <w:jc w:val="center"/>
              <w:rPr>
                <w:szCs w:val="22"/>
                <w:lang w:val="sr-Latn-ME"/>
              </w:rPr>
            </w:pPr>
            <w:r w:rsidRPr="0023595B">
              <w:rPr>
                <w:sz w:val="16"/>
                <w:szCs w:val="16"/>
                <w:lang w:val="sr-Latn-ME"/>
              </w:rPr>
              <w:t>13,0%</w:t>
            </w:r>
          </w:p>
        </w:tc>
      </w:tr>
      <w:tr w:rsidR="0075781B" w:rsidRPr="0023595B" w14:paraId="42949082" w14:textId="77777777" w:rsidTr="00D55718">
        <w:tc>
          <w:tcPr>
            <w:tcW w:w="2247" w:type="dxa"/>
          </w:tcPr>
          <w:p w14:paraId="003E9398" w14:textId="77777777" w:rsidR="0075781B" w:rsidRPr="0023595B" w:rsidRDefault="0075781B" w:rsidP="00D55718">
            <w:pPr>
              <w:rPr>
                <w:sz w:val="16"/>
                <w:szCs w:val="16"/>
                <w:lang w:val="sr-Latn-ME"/>
              </w:rPr>
            </w:pPr>
            <w:r w:rsidRPr="0023595B">
              <w:rPr>
                <w:sz w:val="16"/>
                <w:szCs w:val="16"/>
                <w:lang w:val="sr-Latn-ME"/>
              </w:rPr>
              <w:t>Prilagođena razlika</w:t>
            </w:r>
            <w:r w:rsidRPr="0023595B">
              <w:rPr>
                <w:sz w:val="16"/>
                <w:szCs w:val="16"/>
                <w:vertAlign w:val="superscript"/>
                <w:lang w:val="sr-Latn-ME"/>
              </w:rPr>
              <w:t>D,C,E</w:t>
            </w:r>
          </w:p>
          <w:p w14:paraId="7BB0E6DC" w14:textId="77777777" w:rsidR="0075781B" w:rsidRPr="0023595B" w:rsidRDefault="0075781B" w:rsidP="00D55718">
            <w:pPr>
              <w:rPr>
                <w:szCs w:val="22"/>
                <w:lang w:val="sr-Latn-ME"/>
              </w:rPr>
            </w:pPr>
            <w:r w:rsidRPr="0023595B">
              <w:rPr>
                <w:sz w:val="16"/>
                <w:szCs w:val="16"/>
                <w:lang w:val="sr-Latn-ME"/>
              </w:rPr>
              <w:t>(97,5% CI)</w:t>
            </w:r>
            <w:r w:rsidRPr="0023595B">
              <w:rPr>
                <w:sz w:val="16"/>
                <w:szCs w:val="16"/>
                <w:lang w:val="sr-Latn-ME"/>
              </w:rPr>
              <w:tab/>
            </w:r>
          </w:p>
        </w:tc>
        <w:tc>
          <w:tcPr>
            <w:tcW w:w="1011" w:type="dxa"/>
            <w:vAlign w:val="center"/>
          </w:tcPr>
          <w:p w14:paraId="4C95926A" w14:textId="77777777" w:rsidR="0075781B" w:rsidRPr="0023595B" w:rsidRDefault="0075781B" w:rsidP="00D55718">
            <w:pPr>
              <w:jc w:val="center"/>
              <w:rPr>
                <w:sz w:val="16"/>
                <w:szCs w:val="16"/>
                <w:lang w:val="sr-Latn-ME"/>
              </w:rPr>
            </w:pPr>
            <w:r w:rsidRPr="0023595B">
              <w:rPr>
                <w:sz w:val="16"/>
                <w:szCs w:val="16"/>
                <w:lang w:val="sr-Latn-ME"/>
              </w:rPr>
              <w:t>24%</w:t>
            </w:r>
          </w:p>
          <w:p w14:paraId="211EC48D" w14:textId="77777777" w:rsidR="0075781B" w:rsidRPr="0023595B" w:rsidRDefault="0075781B" w:rsidP="00D55718">
            <w:pPr>
              <w:jc w:val="center"/>
              <w:rPr>
                <w:szCs w:val="22"/>
                <w:lang w:val="sr-Latn-ME"/>
              </w:rPr>
            </w:pPr>
            <w:r w:rsidRPr="0023595B">
              <w:rPr>
                <w:sz w:val="16"/>
                <w:szCs w:val="16"/>
                <w:lang w:val="sr-Latn-ME"/>
              </w:rPr>
              <w:t>(13,5; 34,9)</w:t>
            </w:r>
          </w:p>
        </w:tc>
        <w:tc>
          <w:tcPr>
            <w:tcW w:w="990" w:type="dxa"/>
            <w:vAlign w:val="center"/>
          </w:tcPr>
          <w:p w14:paraId="3467191C" w14:textId="77777777" w:rsidR="0075781B" w:rsidRPr="0023595B" w:rsidRDefault="0075781B" w:rsidP="00D55718">
            <w:pPr>
              <w:jc w:val="center"/>
              <w:rPr>
                <w:sz w:val="16"/>
                <w:szCs w:val="16"/>
                <w:lang w:val="sr-Latn-ME"/>
              </w:rPr>
            </w:pPr>
            <w:r w:rsidRPr="0023595B">
              <w:rPr>
                <w:sz w:val="16"/>
                <w:szCs w:val="16"/>
                <w:lang w:val="sr-Latn-ME"/>
              </w:rPr>
              <w:t>23%</w:t>
            </w:r>
          </w:p>
          <w:p w14:paraId="723B1060" w14:textId="77777777" w:rsidR="0075781B" w:rsidRPr="0023595B" w:rsidRDefault="0075781B" w:rsidP="00D55718">
            <w:pPr>
              <w:jc w:val="center"/>
              <w:rPr>
                <w:szCs w:val="22"/>
                <w:lang w:val="sr-Latn-ME"/>
              </w:rPr>
            </w:pPr>
            <w:r w:rsidRPr="0023595B">
              <w:rPr>
                <w:sz w:val="16"/>
                <w:szCs w:val="16"/>
                <w:lang w:val="sr-Latn-ME"/>
              </w:rPr>
              <w:t>(12,6; 33,9)</w:t>
            </w:r>
          </w:p>
        </w:tc>
        <w:tc>
          <w:tcPr>
            <w:tcW w:w="990" w:type="dxa"/>
            <w:vAlign w:val="center"/>
          </w:tcPr>
          <w:p w14:paraId="5EF01E78" w14:textId="77777777" w:rsidR="0075781B" w:rsidRPr="0023595B" w:rsidRDefault="0075781B" w:rsidP="00D55718">
            <w:pPr>
              <w:jc w:val="center"/>
              <w:rPr>
                <w:szCs w:val="22"/>
                <w:lang w:val="sr-Latn-ME"/>
              </w:rPr>
            </w:pPr>
          </w:p>
        </w:tc>
        <w:tc>
          <w:tcPr>
            <w:tcW w:w="990" w:type="dxa"/>
            <w:vAlign w:val="center"/>
          </w:tcPr>
          <w:p w14:paraId="3CCDDB81" w14:textId="77777777" w:rsidR="0075781B" w:rsidRPr="0023595B" w:rsidRDefault="0075781B" w:rsidP="00D55718">
            <w:pPr>
              <w:jc w:val="center"/>
              <w:rPr>
                <w:sz w:val="16"/>
                <w:szCs w:val="16"/>
                <w:lang w:val="sr-Latn-ME"/>
              </w:rPr>
            </w:pPr>
            <w:r w:rsidRPr="0023595B">
              <w:rPr>
                <w:sz w:val="16"/>
                <w:szCs w:val="16"/>
                <w:lang w:val="sr-Latn-ME"/>
              </w:rPr>
              <w:t>19,0%</w:t>
            </w:r>
          </w:p>
          <w:p w14:paraId="406AABA5" w14:textId="77777777" w:rsidR="0075781B" w:rsidRPr="0023595B" w:rsidRDefault="0075781B" w:rsidP="00D55718">
            <w:pPr>
              <w:jc w:val="center"/>
              <w:rPr>
                <w:szCs w:val="22"/>
                <w:lang w:val="sr-Latn-ME"/>
              </w:rPr>
            </w:pPr>
            <w:r w:rsidRPr="0023595B">
              <w:rPr>
                <w:sz w:val="16"/>
                <w:szCs w:val="16"/>
                <w:lang w:val="sr-Latn-ME"/>
              </w:rPr>
              <w:t>(8,0; 29,9)</w:t>
            </w:r>
          </w:p>
        </w:tc>
        <w:tc>
          <w:tcPr>
            <w:tcW w:w="1080" w:type="dxa"/>
            <w:vAlign w:val="center"/>
          </w:tcPr>
          <w:p w14:paraId="5747B33B" w14:textId="77777777" w:rsidR="0075781B" w:rsidRPr="0023595B" w:rsidRDefault="0075781B" w:rsidP="00D55718">
            <w:pPr>
              <w:jc w:val="center"/>
              <w:rPr>
                <w:sz w:val="16"/>
                <w:szCs w:val="16"/>
                <w:lang w:val="sr-Latn-ME"/>
              </w:rPr>
            </w:pPr>
            <w:r w:rsidRPr="0023595B">
              <w:rPr>
                <w:sz w:val="16"/>
                <w:szCs w:val="16"/>
                <w:lang w:val="sr-Latn-ME"/>
              </w:rPr>
              <w:t>26,1%</w:t>
            </w:r>
          </w:p>
          <w:p w14:paraId="74B3B38D" w14:textId="77777777" w:rsidR="0075781B" w:rsidRPr="0023595B" w:rsidRDefault="0075781B" w:rsidP="00D55718">
            <w:pPr>
              <w:jc w:val="center"/>
              <w:rPr>
                <w:szCs w:val="22"/>
                <w:lang w:val="sr-Latn-ME"/>
              </w:rPr>
            </w:pPr>
            <w:r w:rsidRPr="0023595B">
              <w:rPr>
                <w:sz w:val="16"/>
                <w:szCs w:val="16"/>
                <w:lang w:val="sr-Latn-ME"/>
              </w:rPr>
              <w:t>(14,8; 37,5)</w:t>
            </w:r>
          </w:p>
        </w:tc>
        <w:tc>
          <w:tcPr>
            <w:tcW w:w="990" w:type="dxa"/>
            <w:vAlign w:val="center"/>
          </w:tcPr>
          <w:p w14:paraId="2CFC0F40" w14:textId="77777777" w:rsidR="0075781B" w:rsidRPr="0023595B" w:rsidRDefault="0075781B" w:rsidP="00D55718">
            <w:pPr>
              <w:jc w:val="center"/>
              <w:rPr>
                <w:szCs w:val="22"/>
                <w:lang w:val="sr-Latn-ME"/>
              </w:rPr>
            </w:pPr>
          </w:p>
        </w:tc>
        <w:tc>
          <w:tcPr>
            <w:tcW w:w="1080" w:type="dxa"/>
            <w:vAlign w:val="center"/>
          </w:tcPr>
          <w:p w14:paraId="5CE1DACC" w14:textId="77777777" w:rsidR="0075781B" w:rsidRPr="0023595B" w:rsidRDefault="0075781B" w:rsidP="00D55718">
            <w:pPr>
              <w:jc w:val="center"/>
              <w:rPr>
                <w:sz w:val="16"/>
                <w:szCs w:val="16"/>
                <w:lang w:val="sr-Latn-ME"/>
              </w:rPr>
            </w:pPr>
            <w:r w:rsidRPr="0023595B">
              <w:rPr>
                <w:sz w:val="16"/>
                <w:szCs w:val="16"/>
                <w:lang w:val="sr-Latn-ME"/>
              </w:rPr>
              <w:t>23%</w:t>
            </w:r>
          </w:p>
          <w:p w14:paraId="5F93A810" w14:textId="77777777" w:rsidR="0075781B" w:rsidRPr="0023595B" w:rsidRDefault="0075781B" w:rsidP="00D55718">
            <w:pPr>
              <w:jc w:val="center"/>
              <w:rPr>
                <w:szCs w:val="22"/>
                <w:lang w:val="sr-Latn-ME"/>
              </w:rPr>
            </w:pPr>
            <w:r w:rsidRPr="0023595B">
              <w:rPr>
                <w:sz w:val="16"/>
                <w:szCs w:val="16"/>
                <w:lang w:val="sr-Latn-ME"/>
              </w:rPr>
              <w:t>(13,5; 33,1)</w:t>
            </w:r>
          </w:p>
        </w:tc>
        <w:tc>
          <w:tcPr>
            <w:tcW w:w="1170" w:type="dxa"/>
            <w:vAlign w:val="center"/>
          </w:tcPr>
          <w:p w14:paraId="3EA3537E" w14:textId="77777777" w:rsidR="0075781B" w:rsidRPr="0023595B" w:rsidRDefault="0075781B" w:rsidP="00D55718">
            <w:pPr>
              <w:jc w:val="center"/>
              <w:rPr>
                <w:sz w:val="16"/>
                <w:szCs w:val="16"/>
                <w:lang w:val="sr-Latn-ME"/>
              </w:rPr>
            </w:pPr>
            <w:r w:rsidRPr="0023595B">
              <w:rPr>
                <w:sz w:val="16"/>
                <w:szCs w:val="16"/>
                <w:lang w:val="sr-Latn-ME"/>
              </w:rPr>
              <w:t>34%</w:t>
            </w:r>
          </w:p>
          <w:p w14:paraId="1AC6CEE9" w14:textId="77777777" w:rsidR="0075781B" w:rsidRPr="0023595B" w:rsidRDefault="0075781B" w:rsidP="00D55718">
            <w:pPr>
              <w:jc w:val="center"/>
              <w:rPr>
                <w:szCs w:val="22"/>
                <w:lang w:val="sr-Latn-ME"/>
              </w:rPr>
            </w:pPr>
            <w:r w:rsidRPr="0023595B">
              <w:rPr>
                <w:sz w:val="16"/>
                <w:szCs w:val="16"/>
                <w:lang w:val="sr-Latn-ME"/>
              </w:rPr>
              <w:t>(24,1; 44,4)</w:t>
            </w:r>
          </w:p>
        </w:tc>
        <w:tc>
          <w:tcPr>
            <w:tcW w:w="990" w:type="dxa"/>
            <w:vAlign w:val="center"/>
          </w:tcPr>
          <w:p w14:paraId="57FC74B8" w14:textId="77777777" w:rsidR="0075781B" w:rsidRPr="0023595B" w:rsidRDefault="0075781B" w:rsidP="00D55718">
            <w:pPr>
              <w:jc w:val="center"/>
              <w:rPr>
                <w:szCs w:val="22"/>
                <w:lang w:val="sr-Latn-ME"/>
              </w:rPr>
            </w:pPr>
          </w:p>
        </w:tc>
        <w:tc>
          <w:tcPr>
            <w:tcW w:w="1080" w:type="dxa"/>
            <w:vAlign w:val="center"/>
          </w:tcPr>
          <w:p w14:paraId="0B1699E7" w14:textId="77777777" w:rsidR="0075781B" w:rsidRPr="0023595B" w:rsidRDefault="0075781B" w:rsidP="00D55718">
            <w:pPr>
              <w:jc w:val="center"/>
              <w:rPr>
                <w:sz w:val="16"/>
                <w:szCs w:val="16"/>
                <w:lang w:val="sr-Latn-ME"/>
              </w:rPr>
            </w:pPr>
            <w:r w:rsidRPr="0023595B">
              <w:rPr>
                <w:sz w:val="16"/>
                <w:szCs w:val="16"/>
                <w:lang w:val="sr-Latn-ME"/>
              </w:rPr>
              <w:t>20,1%</w:t>
            </w:r>
          </w:p>
          <w:p w14:paraId="7D1AEB56" w14:textId="77777777" w:rsidR="0075781B" w:rsidRPr="0023595B" w:rsidRDefault="0075781B" w:rsidP="00D55718">
            <w:pPr>
              <w:jc w:val="center"/>
              <w:rPr>
                <w:szCs w:val="22"/>
                <w:lang w:val="sr-Latn-ME"/>
              </w:rPr>
            </w:pPr>
            <w:r w:rsidRPr="0023595B">
              <w:rPr>
                <w:sz w:val="16"/>
                <w:szCs w:val="16"/>
                <w:lang w:val="sr-Latn-ME"/>
              </w:rPr>
              <w:t>(9,6; 30,6)</w:t>
            </w:r>
          </w:p>
        </w:tc>
        <w:tc>
          <w:tcPr>
            <w:tcW w:w="1170" w:type="dxa"/>
            <w:vAlign w:val="center"/>
          </w:tcPr>
          <w:p w14:paraId="0CC339D5" w14:textId="77777777" w:rsidR="0075781B" w:rsidRPr="0023595B" w:rsidRDefault="0075781B" w:rsidP="00D55718">
            <w:pPr>
              <w:jc w:val="center"/>
              <w:rPr>
                <w:sz w:val="16"/>
                <w:szCs w:val="16"/>
                <w:lang w:val="sr-Latn-ME"/>
              </w:rPr>
            </w:pPr>
            <w:r w:rsidRPr="0023595B">
              <w:rPr>
                <w:sz w:val="16"/>
                <w:szCs w:val="16"/>
                <w:lang w:val="sr-Latn-ME"/>
              </w:rPr>
              <w:t>25,8%</w:t>
            </w:r>
          </w:p>
          <w:p w14:paraId="388E4FF6" w14:textId="77777777" w:rsidR="0075781B" w:rsidRPr="0023595B" w:rsidRDefault="0075781B" w:rsidP="00D55718">
            <w:pPr>
              <w:jc w:val="center"/>
              <w:rPr>
                <w:szCs w:val="22"/>
                <w:lang w:val="sr-Latn-ME"/>
              </w:rPr>
            </w:pPr>
            <w:r w:rsidRPr="0023595B">
              <w:rPr>
                <w:sz w:val="16"/>
                <w:szCs w:val="16"/>
                <w:lang w:val="sr-Latn-ME"/>
              </w:rPr>
              <w:t>(15,1; 36,6)</w:t>
            </w:r>
          </w:p>
        </w:tc>
        <w:tc>
          <w:tcPr>
            <w:tcW w:w="1170" w:type="dxa"/>
            <w:vAlign w:val="center"/>
          </w:tcPr>
          <w:p w14:paraId="469E50F5" w14:textId="77777777" w:rsidR="0075781B" w:rsidRPr="0023595B" w:rsidRDefault="0075781B" w:rsidP="00D55718">
            <w:pPr>
              <w:jc w:val="center"/>
              <w:rPr>
                <w:szCs w:val="22"/>
                <w:lang w:val="sr-Latn-ME"/>
              </w:rPr>
            </w:pPr>
          </w:p>
        </w:tc>
      </w:tr>
    </w:tbl>
    <w:p w14:paraId="5878AC55" w14:textId="77777777" w:rsidR="0075781B" w:rsidRPr="0023595B" w:rsidRDefault="0075781B" w:rsidP="0075781B">
      <w:pPr>
        <w:rPr>
          <w:sz w:val="20"/>
          <w:szCs w:val="20"/>
          <w:lang w:val="sr-Latn-ME"/>
        </w:rPr>
      </w:pPr>
      <w:r w:rsidRPr="0023595B">
        <w:rPr>
          <w:sz w:val="20"/>
          <w:szCs w:val="20"/>
          <w:vertAlign w:val="superscript"/>
          <w:lang w:val="sr-Latn-ME"/>
        </w:rPr>
        <w:t>A</w:t>
      </w:r>
      <w:r w:rsidRPr="0023595B">
        <w:rPr>
          <w:sz w:val="20"/>
          <w:szCs w:val="20"/>
          <w:lang w:val="sr-Latn-ME"/>
        </w:rPr>
        <w:t xml:space="preserve">   Poslije početne terapije od 5 mjesečnih doza</w:t>
      </w:r>
    </w:p>
    <w:p w14:paraId="2878224E" w14:textId="77777777" w:rsidR="0075781B" w:rsidRPr="0023595B" w:rsidRDefault="0075781B" w:rsidP="0075781B">
      <w:pPr>
        <w:ind w:left="270" w:hanging="270"/>
        <w:rPr>
          <w:sz w:val="20"/>
          <w:szCs w:val="20"/>
          <w:lang w:val="sr-Latn-ME"/>
        </w:rPr>
      </w:pPr>
      <w:r w:rsidRPr="0023595B">
        <w:rPr>
          <w:sz w:val="20"/>
          <w:szCs w:val="20"/>
          <w:vertAlign w:val="superscript"/>
          <w:lang w:val="sr-Latn-ME"/>
        </w:rPr>
        <w:t>B</w:t>
      </w:r>
      <w:r w:rsidRPr="0023595B">
        <w:rPr>
          <w:sz w:val="20"/>
          <w:szCs w:val="20"/>
          <w:lang w:val="sr-Latn-ME"/>
        </w:rPr>
        <w:tab/>
        <w:t>LS srednja vrijednost intervala pouzdanosti na osnovu ANCOVA modela sa početnim BCVA mjerenjima kao kovarijabilom i faktorom u terapijskoj grupi. Dodatno, regija (Evropa/Australija u odnosu na Japan) je bila uključena kao faktor u VIVID</w:t>
      </w:r>
      <w:r w:rsidRPr="0023595B">
        <w:rPr>
          <w:sz w:val="20"/>
          <w:szCs w:val="20"/>
          <w:vertAlign w:val="superscript"/>
          <w:lang w:val="sr-Latn-ME"/>
        </w:rPr>
        <w:t>DME</w:t>
      </w:r>
      <w:r w:rsidRPr="0023595B">
        <w:rPr>
          <w:sz w:val="20"/>
          <w:szCs w:val="20"/>
          <w:lang w:val="sr-Latn-ME"/>
        </w:rPr>
        <w:t xml:space="preserve"> ispitivanju, a postojanje u anamnezi MI i/ili CVA kao faktor u VISTA</w:t>
      </w:r>
      <w:r w:rsidRPr="0023595B">
        <w:rPr>
          <w:sz w:val="20"/>
          <w:szCs w:val="20"/>
          <w:vertAlign w:val="superscript"/>
          <w:lang w:val="sr-Latn-ME"/>
        </w:rPr>
        <w:t>DME</w:t>
      </w:r>
      <w:r w:rsidRPr="0023595B">
        <w:rPr>
          <w:sz w:val="20"/>
          <w:szCs w:val="20"/>
          <w:lang w:val="sr-Latn-ME"/>
        </w:rPr>
        <w:t xml:space="preserve"> ispitivanju. </w:t>
      </w:r>
    </w:p>
    <w:p w14:paraId="23C8D39E" w14:textId="77777777" w:rsidR="0075781B" w:rsidRPr="0023595B" w:rsidRDefault="0075781B" w:rsidP="0075781B">
      <w:pPr>
        <w:rPr>
          <w:sz w:val="20"/>
          <w:szCs w:val="20"/>
          <w:lang w:val="sr-Latn-ME"/>
        </w:rPr>
      </w:pPr>
      <w:r w:rsidRPr="0023595B">
        <w:rPr>
          <w:sz w:val="20"/>
          <w:szCs w:val="20"/>
          <w:vertAlign w:val="superscript"/>
          <w:lang w:val="sr-Latn-ME"/>
        </w:rPr>
        <w:t>C</w:t>
      </w:r>
      <w:r w:rsidRPr="0023595B">
        <w:rPr>
          <w:sz w:val="20"/>
          <w:szCs w:val="20"/>
          <w:lang w:val="sr-Latn-ME"/>
        </w:rPr>
        <w:t xml:space="preserve">   Razlika je Eylea grupa od 2mg minus kontrolna (laser) grupa</w:t>
      </w:r>
    </w:p>
    <w:p w14:paraId="6A6B2099" w14:textId="77777777" w:rsidR="0075781B" w:rsidRPr="0023595B" w:rsidRDefault="0075781B" w:rsidP="0075781B">
      <w:pPr>
        <w:ind w:left="270" w:hanging="270"/>
        <w:rPr>
          <w:sz w:val="20"/>
          <w:szCs w:val="20"/>
          <w:lang w:val="sr-Latn-ME"/>
        </w:rPr>
      </w:pPr>
      <w:r w:rsidRPr="0023595B">
        <w:rPr>
          <w:sz w:val="20"/>
          <w:szCs w:val="20"/>
          <w:vertAlign w:val="superscript"/>
          <w:lang w:val="sr-Latn-ME"/>
        </w:rPr>
        <w:t>D</w:t>
      </w:r>
      <w:r w:rsidRPr="0023595B">
        <w:rPr>
          <w:sz w:val="20"/>
          <w:szCs w:val="20"/>
          <w:lang w:val="sr-Latn-ME"/>
        </w:rPr>
        <w:tab/>
        <w:t xml:space="preserve">Razlika i interval pouzdanosti (CI) izračunati su pomoću </w:t>
      </w:r>
      <w:r w:rsidRPr="0023595B">
        <w:rPr>
          <w:i/>
          <w:sz w:val="20"/>
          <w:szCs w:val="20"/>
          <w:lang w:val="sr-Latn-ME"/>
        </w:rPr>
        <w:t>Cochran-Mantel-Haenszel</w:t>
      </w:r>
      <w:r w:rsidRPr="0023595B">
        <w:rPr>
          <w:sz w:val="20"/>
          <w:szCs w:val="20"/>
          <w:lang w:val="sr-Latn-ME"/>
        </w:rPr>
        <w:t>-ovog (CMH) testa prilagođenog za regiju (Evropa /Australija u odnosu na Japan) za VIVID</w:t>
      </w:r>
      <w:r w:rsidRPr="0023595B">
        <w:rPr>
          <w:sz w:val="20"/>
          <w:szCs w:val="20"/>
          <w:vertAlign w:val="superscript"/>
          <w:lang w:val="sr-Latn-ME"/>
        </w:rPr>
        <w:t>DME</w:t>
      </w:r>
      <w:r w:rsidRPr="0023595B">
        <w:rPr>
          <w:sz w:val="20"/>
          <w:szCs w:val="20"/>
          <w:lang w:val="sr-Latn-ME"/>
        </w:rPr>
        <w:t xml:space="preserve"> ispitivanje a postojanje u anamnezi MI ili CVA za VISTA</w:t>
      </w:r>
      <w:r w:rsidRPr="0023595B">
        <w:rPr>
          <w:sz w:val="20"/>
          <w:szCs w:val="20"/>
          <w:vertAlign w:val="superscript"/>
          <w:lang w:val="sr-Latn-ME"/>
        </w:rPr>
        <w:t>DME</w:t>
      </w:r>
      <w:r w:rsidRPr="0023595B">
        <w:rPr>
          <w:sz w:val="20"/>
          <w:szCs w:val="20"/>
          <w:lang w:val="sr-Latn-ME"/>
        </w:rPr>
        <w:t xml:space="preserve"> ispitivanje</w:t>
      </w:r>
    </w:p>
    <w:p w14:paraId="2ACE835F" w14:textId="77777777" w:rsidR="0075781B" w:rsidRPr="0023595B" w:rsidRDefault="0075781B" w:rsidP="0075781B">
      <w:pPr>
        <w:rPr>
          <w:sz w:val="20"/>
          <w:szCs w:val="20"/>
          <w:lang w:val="sr-Latn-ME"/>
        </w:rPr>
      </w:pPr>
      <w:r w:rsidRPr="0023595B">
        <w:rPr>
          <w:sz w:val="20"/>
          <w:szCs w:val="20"/>
          <w:vertAlign w:val="superscript"/>
          <w:lang w:val="sr-Latn-ME"/>
        </w:rPr>
        <w:t>E</w:t>
      </w:r>
      <w:r w:rsidRPr="0023595B">
        <w:rPr>
          <w:sz w:val="20"/>
          <w:szCs w:val="20"/>
          <w:lang w:val="sr-Latn-ME"/>
        </w:rPr>
        <w:t xml:space="preserve">   BCVA: najbolje korigovana oštrina vida (engl. </w:t>
      </w:r>
      <w:r w:rsidRPr="0023595B">
        <w:rPr>
          <w:i/>
          <w:sz w:val="20"/>
          <w:szCs w:val="20"/>
          <w:lang w:val="sr-Latn-ME"/>
        </w:rPr>
        <w:t>Best Corrected Visual Acuity</w:t>
      </w:r>
      <w:r w:rsidRPr="0023595B">
        <w:rPr>
          <w:sz w:val="20"/>
          <w:szCs w:val="20"/>
          <w:lang w:val="sr-Latn-ME"/>
        </w:rPr>
        <w:t>)</w:t>
      </w:r>
    </w:p>
    <w:p w14:paraId="4F929BAB" w14:textId="77777777" w:rsidR="0075781B" w:rsidRPr="0023595B" w:rsidRDefault="0075781B" w:rsidP="0075781B">
      <w:pPr>
        <w:ind w:left="270"/>
        <w:rPr>
          <w:sz w:val="20"/>
          <w:szCs w:val="20"/>
          <w:lang w:val="sr-Latn-ME"/>
        </w:rPr>
      </w:pPr>
      <w:r w:rsidRPr="0023595B">
        <w:rPr>
          <w:sz w:val="20"/>
          <w:szCs w:val="20"/>
          <w:lang w:val="sr-Latn-ME"/>
        </w:rPr>
        <w:t xml:space="preserve">ETDRS: ispitivanje rane terapije u dijabetičnoj retinopatiji (engl. </w:t>
      </w:r>
      <w:r w:rsidRPr="0023595B">
        <w:rPr>
          <w:i/>
          <w:sz w:val="20"/>
          <w:szCs w:val="20"/>
          <w:lang w:val="sr-Latn-ME"/>
        </w:rPr>
        <w:t>Early Treatement Diabetic Retinopathy Study</w:t>
      </w:r>
      <w:r w:rsidRPr="0023595B">
        <w:rPr>
          <w:sz w:val="20"/>
          <w:szCs w:val="20"/>
          <w:lang w:val="sr-Latn-ME"/>
        </w:rPr>
        <w:t>)</w:t>
      </w:r>
    </w:p>
    <w:p w14:paraId="466AC5E3" w14:textId="77777777" w:rsidR="0075781B" w:rsidRPr="0023595B" w:rsidRDefault="0075781B" w:rsidP="0075781B">
      <w:pPr>
        <w:ind w:left="270"/>
        <w:rPr>
          <w:sz w:val="20"/>
          <w:szCs w:val="20"/>
          <w:lang w:val="sr-Latn-ME"/>
        </w:rPr>
      </w:pPr>
      <w:r w:rsidRPr="0023595B">
        <w:rPr>
          <w:sz w:val="20"/>
          <w:szCs w:val="20"/>
          <w:lang w:val="sr-Latn-ME"/>
        </w:rPr>
        <w:t xml:space="preserve">LOCF: Posljednje mjerenje preneseno dalje (engl. </w:t>
      </w:r>
      <w:r w:rsidRPr="0023595B">
        <w:rPr>
          <w:i/>
          <w:sz w:val="20"/>
          <w:szCs w:val="20"/>
          <w:lang w:val="sr-Latn-ME"/>
        </w:rPr>
        <w:t>Last Observation Carried Forward</w:t>
      </w:r>
      <w:r w:rsidRPr="0023595B">
        <w:rPr>
          <w:sz w:val="20"/>
          <w:szCs w:val="20"/>
          <w:lang w:val="sr-Latn-ME"/>
        </w:rPr>
        <w:t>)</w:t>
      </w:r>
    </w:p>
    <w:p w14:paraId="09367C58" w14:textId="77777777" w:rsidR="0075781B" w:rsidRPr="0023595B" w:rsidRDefault="0075781B" w:rsidP="0075781B">
      <w:pPr>
        <w:ind w:left="270"/>
        <w:rPr>
          <w:sz w:val="20"/>
          <w:szCs w:val="20"/>
          <w:lang w:val="sr-Latn-ME"/>
        </w:rPr>
      </w:pPr>
      <w:r w:rsidRPr="0023595B">
        <w:rPr>
          <w:sz w:val="20"/>
          <w:szCs w:val="20"/>
          <w:lang w:val="sr-Latn-ME"/>
        </w:rPr>
        <w:t xml:space="preserve">LS: Najmanji kvadrat prosjeka izveden iz ANCOVA-e </w:t>
      </w:r>
    </w:p>
    <w:p w14:paraId="0A4CFE82" w14:textId="77777777" w:rsidR="0075781B" w:rsidRPr="0023595B" w:rsidRDefault="0075781B" w:rsidP="0075781B">
      <w:pPr>
        <w:ind w:left="270"/>
        <w:rPr>
          <w:sz w:val="20"/>
          <w:szCs w:val="20"/>
          <w:lang w:val="sr-Latn-ME"/>
        </w:rPr>
      </w:pPr>
      <w:r w:rsidRPr="0023595B">
        <w:rPr>
          <w:sz w:val="20"/>
          <w:szCs w:val="20"/>
          <w:lang w:val="sr-Latn-ME"/>
        </w:rPr>
        <w:t>CI: Interval pouzdanosti</w:t>
      </w:r>
    </w:p>
    <w:p w14:paraId="46CC8017" w14:textId="77777777" w:rsidR="0075781B" w:rsidRPr="0023595B" w:rsidRDefault="0075781B" w:rsidP="0075781B">
      <w:pPr>
        <w:rPr>
          <w:szCs w:val="22"/>
          <w:lang w:val="sr-Latn-ME"/>
        </w:rPr>
        <w:sectPr w:rsidR="0075781B" w:rsidRPr="0023595B" w:rsidSect="00630E8F">
          <w:pgSz w:w="16840" w:h="11907" w:orient="landscape" w:code="9"/>
          <w:pgMar w:top="1138" w:right="907" w:bottom="1138" w:left="993" w:header="360" w:footer="806" w:gutter="0"/>
          <w:pgNumType w:start="19"/>
          <w:cols w:space="720"/>
          <w:docGrid w:linePitch="360"/>
        </w:sectPr>
      </w:pPr>
    </w:p>
    <w:p w14:paraId="2E5ADB68" w14:textId="77777777" w:rsidR="0075781B" w:rsidRPr="0023595B" w:rsidRDefault="0075781B" w:rsidP="0075781B">
      <w:pPr>
        <w:ind w:left="709" w:hanging="709"/>
        <w:jc w:val="both"/>
        <w:rPr>
          <w:sz w:val="22"/>
          <w:szCs w:val="22"/>
          <w:lang w:val="sr-Latn-ME"/>
        </w:rPr>
      </w:pPr>
      <w:r w:rsidRPr="0023595B">
        <w:rPr>
          <w:b/>
          <w:sz w:val="22"/>
          <w:szCs w:val="22"/>
          <w:lang w:val="sr-Latn-ME"/>
        </w:rPr>
        <w:lastRenderedPageBreak/>
        <w:t>Slika 4</w:t>
      </w:r>
      <w:r w:rsidRPr="0023595B">
        <w:rPr>
          <w:sz w:val="22"/>
          <w:szCs w:val="22"/>
          <w:lang w:val="sr-Latn-ME"/>
        </w:rPr>
        <w:t>: Srednja vrijednost promjene BCVA mjereno pomoću ETDRS slovnog rezultata u 100. nedjelji u odnosu na početnu vrijednost u ispitivanjima VIVID</w:t>
      </w:r>
      <w:r w:rsidRPr="0023595B">
        <w:rPr>
          <w:sz w:val="22"/>
          <w:szCs w:val="22"/>
          <w:vertAlign w:val="superscript"/>
          <w:lang w:val="sr-Latn-ME"/>
        </w:rPr>
        <w:t>DME</w:t>
      </w:r>
      <w:r w:rsidRPr="0023595B">
        <w:rPr>
          <w:sz w:val="22"/>
          <w:szCs w:val="22"/>
          <w:lang w:val="sr-Latn-ME"/>
        </w:rPr>
        <w:t xml:space="preserve"> i VISTA</w:t>
      </w:r>
      <w:r w:rsidRPr="0023595B">
        <w:rPr>
          <w:sz w:val="22"/>
          <w:szCs w:val="22"/>
          <w:vertAlign w:val="superscript"/>
          <w:lang w:val="sr-Latn-ME"/>
        </w:rPr>
        <w:t>DME</w:t>
      </w:r>
    </w:p>
    <w:p w14:paraId="6E9FF195" w14:textId="77777777" w:rsidR="0075781B" w:rsidRPr="0023595B" w:rsidRDefault="0075781B" w:rsidP="0075781B">
      <w:pPr>
        <w:rPr>
          <w:szCs w:val="22"/>
          <w:lang w:val="sr-Latn-ME"/>
        </w:rPr>
      </w:pPr>
      <w:r w:rsidRPr="0023595B">
        <w:rPr>
          <w:i/>
          <w:noProof/>
          <w:szCs w:val="22"/>
        </w:rPr>
        <mc:AlternateContent>
          <mc:Choice Requires="wps">
            <w:drawing>
              <wp:anchor distT="0" distB="0" distL="114300" distR="114300" simplePos="0" relativeHeight="251668480" behindDoc="0" locked="0" layoutInCell="1" allowOverlap="1" wp14:anchorId="0E03CA2B" wp14:editId="426F8081">
                <wp:simplePos x="0" y="0"/>
                <wp:positionH relativeFrom="column">
                  <wp:posOffset>2261946</wp:posOffset>
                </wp:positionH>
                <wp:positionV relativeFrom="paragraph">
                  <wp:posOffset>4798250</wp:posOffset>
                </wp:positionV>
                <wp:extent cx="393851" cy="136477"/>
                <wp:effectExtent l="0" t="0" r="635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51" cy="136477"/>
                        </a:xfrm>
                        <a:prstGeom prst="rect">
                          <a:avLst/>
                        </a:prstGeom>
                        <a:solidFill>
                          <a:srgbClr val="FFFFFF"/>
                        </a:solidFill>
                        <a:ln w="9525">
                          <a:noFill/>
                          <a:miter lim="800000"/>
                          <a:headEnd/>
                          <a:tailEnd/>
                        </a:ln>
                      </wps:spPr>
                      <wps:txbx>
                        <w:txbxContent>
                          <w:p w14:paraId="1167E96D" w14:textId="77777777" w:rsidR="00DA4990" w:rsidRPr="003C7519" w:rsidRDefault="00DA4990" w:rsidP="0075781B">
                            <w:pPr>
                              <w:rPr>
                                <w:sz w:val="18"/>
                                <w:szCs w:val="18"/>
                              </w:rPr>
                            </w:pPr>
                            <w:proofErr w:type="spellStart"/>
                            <w:r>
                              <w:rPr>
                                <w:sz w:val="18"/>
                                <w:szCs w:val="18"/>
                              </w:rPr>
                              <w:t>nedjelj</w:t>
                            </w:r>
                            <w:r w:rsidRPr="003C7519">
                              <w:rPr>
                                <w:sz w:val="18"/>
                                <w:szCs w:val="18"/>
                              </w:rPr>
                              <w:t>a</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3CA2B" id="_x0000_s1038" type="#_x0000_t202" style="position:absolute;margin-left:178.1pt;margin-top:377.8pt;width:31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" stroked="f">
                <v:textbox inset="0,0,0,0">
                  <w:txbxContent>
                    <w:p w14:paraId="1167E96D" w14:textId="77777777" w:rsidR="00DA4990" w:rsidRPr="003C7519" w:rsidRDefault="00DA4990" w:rsidP="0075781B">
                      <w:pPr>
                        <w:rPr>
                          <w:sz w:val="18"/>
                          <w:szCs w:val="18"/>
                        </w:rPr>
                      </w:pPr>
                      <w:proofErr w:type="spellStart"/>
                      <w:r>
                        <w:rPr>
                          <w:sz w:val="18"/>
                          <w:szCs w:val="18"/>
                        </w:rPr>
                        <w:t>nedjelj</w:t>
                      </w:r>
                      <w:r w:rsidRPr="003C7519">
                        <w:rPr>
                          <w:sz w:val="18"/>
                          <w:szCs w:val="18"/>
                        </w:rPr>
                        <w:t>a</w:t>
                      </w:r>
                      <w:proofErr w:type="spellEnd"/>
                    </w:p>
                  </w:txbxContent>
                </v:textbox>
              </v:shape>
            </w:pict>
          </mc:Fallback>
        </mc:AlternateContent>
      </w:r>
      <w:r w:rsidRPr="0023595B">
        <w:rPr>
          <w:i/>
          <w:noProof/>
          <w:szCs w:val="22"/>
        </w:rPr>
        <mc:AlternateContent>
          <mc:Choice Requires="wps">
            <w:drawing>
              <wp:anchor distT="0" distB="0" distL="114300" distR="114300" simplePos="0" relativeHeight="251669504" behindDoc="0" locked="0" layoutInCell="1" allowOverlap="1" wp14:anchorId="4AA1A722" wp14:editId="3695AE20">
                <wp:simplePos x="0" y="0"/>
                <wp:positionH relativeFrom="column">
                  <wp:posOffset>3764280</wp:posOffset>
                </wp:positionH>
                <wp:positionV relativeFrom="paragraph">
                  <wp:posOffset>4790602</wp:posOffset>
                </wp:positionV>
                <wp:extent cx="373380" cy="118745"/>
                <wp:effectExtent l="0" t="0" r="762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18745"/>
                        </a:xfrm>
                        <a:prstGeom prst="rect">
                          <a:avLst/>
                        </a:prstGeom>
                        <a:solidFill>
                          <a:srgbClr val="FFFFFF"/>
                        </a:solidFill>
                        <a:ln w="9525">
                          <a:noFill/>
                          <a:miter lim="800000"/>
                          <a:headEnd/>
                          <a:tailEnd/>
                        </a:ln>
                      </wps:spPr>
                      <wps:txbx>
                        <w:txbxContent>
                          <w:p w14:paraId="29614EAE" w14:textId="77777777" w:rsidR="00DA4990" w:rsidRPr="003C7519" w:rsidRDefault="00DA4990" w:rsidP="0075781B">
                            <w:pPr>
                              <w:rPr>
                                <w:sz w:val="18"/>
                                <w:szCs w:val="18"/>
                              </w:rPr>
                            </w:pPr>
                            <w:proofErr w:type="spellStart"/>
                            <w:r>
                              <w:rPr>
                                <w:sz w:val="18"/>
                                <w:szCs w:val="18"/>
                              </w:rPr>
                              <w:t>nedjelj</w:t>
                            </w:r>
                            <w:r w:rsidRPr="003C7519">
                              <w:rPr>
                                <w:sz w:val="18"/>
                                <w:szCs w:val="18"/>
                              </w:rPr>
                              <w:t>a</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1A722" id="_x0000_s1039" type="#_x0000_t202" style="position:absolute;margin-left:296.4pt;margin-top:377.2pt;width:29.4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" stroked="f">
                <v:textbox inset="0,0,0,0">
                  <w:txbxContent>
                    <w:p w14:paraId="29614EAE" w14:textId="77777777" w:rsidR="00DA4990" w:rsidRPr="003C7519" w:rsidRDefault="00DA4990" w:rsidP="0075781B">
                      <w:pPr>
                        <w:rPr>
                          <w:sz w:val="18"/>
                          <w:szCs w:val="18"/>
                        </w:rPr>
                      </w:pPr>
                      <w:proofErr w:type="spellStart"/>
                      <w:r>
                        <w:rPr>
                          <w:sz w:val="18"/>
                          <w:szCs w:val="18"/>
                        </w:rPr>
                        <w:t>nedjelj</w:t>
                      </w:r>
                      <w:r w:rsidRPr="003C7519">
                        <w:rPr>
                          <w:sz w:val="18"/>
                          <w:szCs w:val="18"/>
                        </w:rPr>
                        <w:t>a</w:t>
                      </w:r>
                      <w:proofErr w:type="spellEnd"/>
                    </w:p>
                  </w:txbxContent>
                </v:textbox>
              </v:shape>
            </w:pict>
          </mc:Fallback>
        </mc:AlternateContent>
      </w:r>
      <w:r w:rsidRPr="0023595B">
        <w:rPr>
          <w:i/>
          <w:noProof/>
          <w:szCs w:val="22"/>
        </w:rPr>
        <mc:AlternateContent>
          <mc:Choice Requires="wps">
            <w:drawing>
              <wp:anchor distT="0" distB="0" distL="114300" distR="114300" simplePos="0" relativeHeight="251666432" behindDoc="0" locked="0" layoutInCell="1" allowOverlap="1" wp14:anchorId="2745D53F" wp14:editId="3D12A0A3">
                <wp:simplePos x="0" y="0"/>
                <wp:positionH relativeFrom="column">
                  <wp:posOffset>2277745</wp:posOffset>
                </wp:positionH>
                <wp:positionV relativeFrom="paragraph">
                  <wp:posOffset>2108997</wp:posOffset>
                </wp:positionV>
                <wp:extent cx="809625" cy="258445"/>
                <wp:effectExtent l="0" t="0" r="9525" b="825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8445"/>
                        </a:xfrm>
                        <a:prstGeom prst="rect">
                          <a:avLst/>
                        </a:prstGeom>
                        <a:solidFill>
                          <a:srgbClr val="FFFFFF"/>
                        </a:solidFill>
                        <a:ln w="9525">
                          <a:noFill/>
                          <a:miter lim="800000"/>
                          <a:headEnd/>
                          <a:tailEnd/>
                        </a:ln>
                      </wps:spPr>
                      <wps:txbx>
                        <w:txbxContent>
                          <w:p w14:paraId="33F3C3DE" w14:textId="77777777" w:rsidR="00DA4990" w:rsidRPr="00C123A1" w:rsidRDefault="00DA4990" w:rsidP="0075781B">
                            <w:pPr>
                              <w:jc w:val="center"/>
                              <w:rPr>
                                <w:sz w:val="20"/>
                                <w:szCs w:val="20"/>
                              </w:rPr>
                            </w:pPr>
                            <w:proofErr w:type="spellStart"/>
                            <w:r>
                              <w:rPr>
                                <w:sz w:val="20"/>
                                <w:szCs w:val="20"/>
                              </w:rPr>
                              <w:t>Nedjelj</w:t>
                            </w:r>
                            <w:r w:rsidRPr="00C123A1">
                              <w:rPr>
                                <w:sz w:val="20"/>
                                <w:szCs w:val="20"/>
                              </w:rPr>
                              <w:t>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5D53F" id="_x0000_s1040" type="#_x0000_t202" style="position:absolute;margin-left:179.35pt;margin-top:166.05pt;width:63.75pt;height:2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" stroked="f">
                <v:textbox inset="0,0,0,0">
                  <w:txbxContent>
                    <w:p w14:paraId="33F3C3DE" w14:textId="77777777" w:rsidR="00DA4990" w:rsidRPr="00C123A1" w:rsidRDefault="00DA4990" w:rsidP="0075781B">
                      <w:pPr>
                        <w:jc w:val="center"/>
                        <w:rPr>
                          <w:sz w:val="20"/>
                          <w:szCs w:val="20"/>
                        </w:rPr>
                      </w:pPr>
                      <w:proofErr w:type="spellStart"/>
                      <w:r>
                        <w:rPr>
                          <w:sz w:val="20"/>
                          <w:szCs w:val="20"/>
                        </w:rPr>
                        <w:t>Nedjelj</w:t>
                      </w:r>
                      <w:r w:rsidRPr="00C123A1">
                        <w:rPr>
                          <w:sz w:val="20"/>
                          <w:szCs w:val="20"/>
                        </w:rPr>
                        <w:t>e</w:t>
                      </w:r>
                      <w:proofErr w:type="spellEnd"/>
                    </w:p>
                  </w:txbxContent>
                </v:textbox>
              </v:shape>
            </w:pict>
          </mc:Fallback>
        </mc:AlternateContent>
      </w:r>
      <w:r w:rsidRPr="0023595B">
        <w:rPr>
          <w:i/>
          <w:noProof/>
          <w:szCs w:val="22"/>
        </w:rPr>
        <mc:AlternateContent>
          <mc:Choice Requires="wps">
            <w:drawing>
              <wp:anchor distT="0" distB="0" distL="114300" distR="114300" simplePos="0" relativeHeight="251667456" behindDoc="0" locked="0" layoutInCell="1" allowOverlap="1" wp14:anchorId="0EA96363" wp14:editId="13567C19">
                <wp:simplePos x="0" y="0"/>
                <wp:positionH relativeFrom="column">
                  <wp:posOffset>2279650</wp:posOffset>
                </wp:positionH>
                <wp:positionV relativeFrom="paragraph">
                  <wp:posOffset>4493733</wp:posOffset>
                </wp:positionV>
                <wp:extent cx="809625" cy="258445"/>
                <wp:effectExtent l="0" t="0" r="9525" b="825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8445"/>
                        </a:xfrm>
                        <a:prstGeom prst="rect">
                          <a:avLst/>
                        </a:prstGeom>
                        <a:solidFill>
                          <a:srgbClr val="FFFFFF"/>
                        </a:solidFill>
                        <a:ln w="9525">
                          <a:noFill/>
                          <a:miter lim="800000"/>
                          <a:headEnd/>
                          <a:tailEnd/>
                        </a:ln>
                      </wps:spPr>
                      <wps:txbx>
                        <w:txbxContent>
                          <w:p w14:paraId="4C367474" w14:textId="77777777" w:rsidR="00DA4990" w:rsidRPr="00C123A1" w:rsidRDefault="00DA4990" w:rsidP="0075781B">
                            <w:pPr>
                              <w:jc w:val="center"/>
                              <w:rPr>
                                <w:sz w:val="20"/>
                                <w:szCs w:val="20"/>
                              </w:rPr>
                            </w:pPr>
                            <w:proofErr w:type="spellStart"/>
                            <w:r>
                              <w:rPr>
                                <w:sz w:val="20"/>
                                <w:szCs w:val="20"/>
                              </w:rPr>
                              <w:t>Nedjelj</w:t>
                            </w:r>
                            <w:r w:rsidRPr="00C123A1">
                              <w:rPr>
                                <w:sz w:val="20"/>
                                <w:szCs w:val="20"/>
                              </w:rPr>
                              <w:t>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96363" id="_x0000_s1041" type="#_x0000_t202" style="position:absolute;margin-left:179.5pt;margin-top:353.85pt;width:63.75pt;height:2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" stroked="f">
                <v:textbox inset="0,0,0,0">
                  <w:txbxContent>
                    <w:p w14:paraId="4C367474" w14:textId="77777777" w:rsidR="00DA4990" w:rsidRPr="00C123A1" w:rsidRDefault="00DA4990" w:rsidP="0075781B">
                      <w:pPr>
                        <w:jc w:val="center"/>
                        <w:rPr>
                          <w:sz w:val="20"/>
                          <w:szCs w:val="20"/>
                        </w:rPr>
                      </w:pPr>
                      <w:proofErr w:type="spellStart"/>
                      <w:r>
                        <w:rPr>
                          <w:sz w:val="20"/>
                          <w:szCs w:val="20"/>
                        </w:rPr>
                        <w:t>Nedjelj</w:t>
                      </w:r>
                      <w:r w:rsidRPr="00C123A1">
                        <w:rPr>
                          <w:sz w:val="20"/>
                          <w:szCs w:val="20"/>
                        </w:rPr>
                        <w:t>e</w:t>
                      </w:r>
                      <w:proofErr w:type="spellEnd"/>
                    </w:p>
                  </w:txbxContent>
                </v:textbox>
              </v:shape>
            </w:pict>
          </mc:Fallback>
        </mc:AlternateContent>
      </w:r>
      <w:r w:rsidRPr="0023595B">
        <w:rPr>
          <w:i/>
          <w:noProof/>
          <w:szCs w:val="22"/>
        </w:rPr>
        <mc:AlternateContent>
          <mc:Choice Requires="wps">
            <w:drawing>
              <wp:anchor distT="0" distB="0" distL="114300" distR="114300" simplePos="0" relativeHeight="251664384" behindDoc="0" locked="0" layoutInCell="1" allowOverlap="1" wp14:anchorId="77E38838" wp14:editId="6EEDD4EF">
                <wp:simplePos x="0" y="0"/>
                <wp:positionH relativeFrom="column">
                  <wp:posOffset>73187</wp:posOffset>
                </wp:positionH>
                <wp:positionV relativeFrom="paragraph">
                  <wp:posOffset>123825</wp:posOffset>
                </wp:positionV>
                <wp:extent cx="370840" cy="18891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889125"/>
                        </a:xfrm>
                        <a:prstGeom prst="rect">
                          <a:avLst/>
                        </a:prstGeom>
                        <a:solidFill>
                          <a:srgbClr val="FFFFFF"/>
                        </a:solidFill>
                        <a:ln w="9525">
                          <a:noFill/>
                          <a:miter lim="800000"/>
                          <a:headEnd/>
                          <a:tailEnd/>
                        </a:ln>
                      </wps:spPr>
                      <wps:txbx>
                        <w:txbxContent>
                          <w:p w14:paraId="107C4018"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09B386F4"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38838" id="_x0000_s1042" type="#_x0000_t202" style="position:absolute;margin-left:5.75pt;margin-top:9.75pt;width:29.2pt;height:1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" stroked="f">
                <v:textbox style="layout-flow:vertical;mso-layout-flow-alt:bottom-to-top" inset="0,0,0,0">
                  <w:txbxContent>
                    <w:p w14:paraId="107C4018"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09B386F4"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v:textbox>
              </v:shape>
            </w:pict>
          </mc:Fallback>
        </mc:AlternateContent>
      </w:r>
      <w:r w:rsidRPr="0023595B">
        <w:rPr>
          <w:i/>
          <w:noProof/>
          <w:szCs w:val="22"/>
        </w:rPr>
        <mc:AlternateContent>
          <mc:Choice Requires="wps">
            <w:drawing>
              <wp:anchor distT="0" distB="0" distL="114300" distR="114300" simplePos="0" relativeHeight="251665408" behindDoc="0" locked="0" layoutInCell="1" allowOverlap="1" wp14:anchorId="350EDA1F" wp14:editId="15D2B680">
                <wp:simplePos x="0" y="0"/>
                <wp:positionH relativeFrom="column">
                  <wp:posOffset>63662</wp:posOffset>
                </wp:positionH>
                <wp:positionV relativeFrom="paragraph">
                  <wp:posOffset>2389505</wp:posOffset>
                </wp:positionV>
                <wp:extent cx="370840" cy="18891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889125"/>
                        </a:xfrm>
                        <a:prstGeom prst="rect">
                          <a:avLst/>
                        </a:prstGeom>
                        <a:solidFill>
                          <a:srgbClr val="FFFFFF"/>
                        </a:solidFill>
                        <a:ln w="9525">
                          <a:noFill/>
                          <a:miter lim="800000"/>
                          <a:headEnd/>
                          <a:tailEnd/>
                        </a:ln>
                      </wps:spPr>
                      <wps:txbx>
                        <w:txbxContent>
                          <w:p w14:paraId="4A8E1A62"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4896FDD7"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EDA1F" id="_x0000_s1043" type="#_x0000_t202" style="position:absolute;margin-left:5pt;margin-top:188.15pt;width:29.2pt;height:1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" stroked="f">
                <v:textbox style="layout-flow:vertical;mso-layout-flow-alt:bottom-to-top" inset="0,0,0,0">
                  <w:txbxContent>
                    <w:p w14:paraId="4A8E1A62"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w:t>
                      </w:r>
                      <w:proofErr w:type="spellStart"/>
                      <w:r w:rsidRPr="00C123A1">
                        <w:rPr>
                          <w:sz w:val="20"/>
                          <w:szCs w:val="20"/>
                        </w:rPr>
                        <w:t>oštrine</w:t>
                      </w:r>
                      <w:proofErr w:type="spellEnd"/>
                      <w:r w:rsidRPr="00C123A1">
                        <w:rPr>
                          <w:sz w:val="20"/>
                          <w:szCs w:val="20"/>
                        </w:rPr>
                        <w:t xml:space="preserve"> </w:t>
                      </w:r>
                      <w:proofErr w:type="spellStart"/>
                      <w:r w:rsidRPr="00C123A1">
                        <w:rPr>
                          <w:sz w:val="20"/>
                          <w:szCs w:val="20"/>
                        </w:rPr>
                        <w:t>vida</w:t>
                      </w:r>
                      <w:proofErr w:type="spellEnd"/>
                    </w:p>
                    <w:p w14:paraId="4896FDD7"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v:textbox>
              </v:shape>
            </w:pict>
          </mc:Fallback>
        </mc:AlternateContent>
      </w:r>
      <w:r w:rsidRPr="0023595B">
        <w:rPr>
          <w:noProof/>
          <w:szCs w:val="22"/>
        </w:rPr>
        <w:drawing>
          <wp:inline distT="0" distB="0" distL="0" distR="0" wp14:anchorId="4FAFFACE" wp14:editId="2D35946B">
            <wp:extent cx="5038090" cy="52952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8090" cy="5295265"/>
                    </a:xfrm>
                    <a:prstGeom prst="rect">
                      <a:avLst/>
                    </a:prstGeom>
                    <a:noFill/>
                  </pic:spPr>
                </pic:pic>
              </a:graphicData>
            </a:graphic>
          </wp:inline>
        </w:drawing>
      </w:r>
      <w:r w:rsidRPr="0023595B">
        <w:rPr>
          <w:szCs w:val="22"/>
          <w:lang w:val="sr-Latn-ME"/>
        </w:rPr>
        <w:t xml:space="preserve"> </w:t>
      </w:r>
    </w:p>
    <w:p w14:paraId="6394EB95" w14:textId="1E36C4AE"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Terapijska dejstva u svim dostupnim podgrupama (npr. starost, pol, rasa, početna HbA1c, početna oštrina vida, prethodna anti-VEGF ter</w:t>
      </w:r>
      <w:r w:rsidR="00BA6BF2">
        <w:rPr>
          <w:sz w:val="22"/>
          <w:szCs w:val="22"/>
          <w:lang w:val="sr-Latn-ME"/>
        </w:rPr>
        <w:t>a</w:t>
      </w:r>
      <w:r w:rsidRPr="0023595B">
        <w:rPr>
          <w:sz w:val="22"/>
          <w:szCs w:val="22"/>
          <w:lang w:val="sr-Latn-ME"/>
        </w:rPr>
        <w:t>pija) u pojedinačnim i</w:t>
      </w:r>
      <w:r w:rsidR="000C0F75" w:rsidRPr="0023595B">
        <w:rPr>
          <w:sz w:val="22"/>
          <w:szCs w:val="22"/>
          <w:lang w:val="sr-Latn-ME"/>
        </w:rPr>
        <w:t>s</w:t>
      </w:r>
      <w:r w:rsidRPr="0023595B">
        <w:rPr>
          <w:sz w:val="22"/>
          <w:szCs w:val="22"/>
          <w:lang w:val="sr-Latn-ME"/>
        </w:rPr>
        <w:t>pitivanjima i u kombinovanoj analizi bila su konzistentna sa rezultatima cjelokupne populacije.</w:t>
      </w:r>
    </w:p>
    <w:p w14:paraId="631EA219" w14:textId="77777777" w:rsidR="0075781B" w:rsidRPr="0023595B" w:rsidRDefault="0075781B" w:rsidP="0075781B">
      <w:pPr>
        <w:tabs>
          <w:tab w:val="center" w:pos="4536"/>
          <w:tab w:val="right" w:pos="9072"/>
        </w:tabs>
        <w:jc w:val="both"/>
        <w:rPr>
          <w:sz w:val="22"/>
          <w:szCs w:val="22"/>
          <w:lang w:val="sr-Latn-ME"/>
        </w:rPr>
      </w:pPr>
    </w:p>
    <w:p w14:paraId="293D734C" w14:textId="4CEB1366"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ispitivanjima VIVID</w:t>
      </w:r>
      <w:r w:rsidRPr="0023595B">
        <w:rPr>
          <w:sz w:val="22"/>
          <w:szCs w:val="22"/>
          <w:vertAlign w:val="superscript"/>
          <w:lang w:val="sr-Latn-ME"/>
        </w:rPr>
        <w:t>DME</w:t>
      </w:r>
      <w:r w:rsidRPr="0023595B">
        <w:rPr>
          <w:sz w:val="22"/>
          <w:szCs w:val="22"/>
          <w:lang w:val="sr-Latn-ME"/>
        </w:rPr>
        <w:t xml:space="preserve"> i VISTA</w:t>
      </w:r>
      <w:r w:rsidRPr="0023595B">
        <w:rPr>
          <w:sz w:val="22"/>
          <w:szCs w:val="22"/>
          <w:vertAlign w:val="superscript"/>
          <w:lang w:val="sr-Latn-ME"/>
        </w:rPr>
        <w:t>DME</w:t>
      </w:r>
      <w:r w:rsidRPr="0023595B">
        <w:rPr>
          <w:sz w:val="22"/>
          <w:szCs w:val="22"/>
          <w:lang w:val="sr-Latn-ME"/>
        </w:rPr>
        <w:t>, 36 (9%) pacijenata, odnosno 197 (43%) koji su pre</w:t>
      </w:r>
      <w:r w:rsidR="00BA6BF2">
        <w:rPr>
          <w:sz w:val="22"/>
          <w:szCs w:val="22"/>
          <w:lang w:val="sr-Latn-ME"/>
        </w:rPr>
        <w:t>t</w:t>
      </w:r>
      <w:r w:rsidRPr="0023595B">
        <w:rPr>
          <w:sz w:val="22"/>
          <w:szCs w:val="22"/>
          <w:lang w:val="sr-Latn-ME"/>
        </w:rPr>
        <w:t>hodno primali anti-VEGF terapiju, bili su najmanje 3 mjeseca, prije uključivanja u ispitivanje, bez anti-VEGF terapije. Terapijska dejstva u podgrupi pacijenata koji su prije ispitivanja liječeni VEGF inhibitorima, bila su slična rezultatima pacijenata koji nikada nijesu koristili VEGF inhibitore prije ispitivanja.</w:t>
      </w:r>
    </w:p>
    <w:p w14:paraId="357CF8C3" w14:textId="77777777" w:rsidR="0075781B" w:rsidRPr="0023595B" w:rsidRDefault="0075781B" w:rsidP="0075781B">
      <w:pPr>
        <w:tabs>
          <w:tab w:val="center" w:pos="4536"/>
          <w:tab w:val="right" w:pos="9072"/>
        </w:tabs>
        <w:jc w:val="both"/>
        <w:rPr>
          <w:sz w:val="22"/>
          <w:szCs w:val="22"/>
          <w:lang w:val="sr-Latn-ME"/>
        </w:rPr>
      </w:pPr>
    </w:p>
    <w:p w14:paraId="166015A0" w14:textId="57EF4BC6"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Pacijenti koji su imali bolest oba oka, mogli su da primaju anti-VEGF terapiju u oba oka, ukoliko je ljekar procijenio da je to neophodno. U ispitivanju VISTA</w:t>
      </w:r>
      <w:r w:rsidRPr="0023595B">
        <w:rPr>
          <w:sz w:val="22"/>
          <w:szCs w:val="22"/>
          <w:vertAlign w:val="superscript"/>
          <w:lang w:val="sr-Latn-ME"/>
        </w:rPr>
        <w:t>DME</w:t>
      </w:r>
      <w:r w:rsidRPr="0023595B">
        <w:rPr>
          <w:sz w:val="22"/>
          <w:szCs w:val="22"/>
          <w:lang w:val="sr-Latn-ME"/>
        </w:rPr>
        <w:t>, 217 (70,7%) pacijenata liječenih lijekom Eylea su primali injekciju lijeka Eylea u oba oka do 100. nedjelje; u VIVID</w:t>
      </w:r>
      <w:r w:rsidRPr="0023595B">
        <w:rPr>
          <w:sz w:val="22"/>
          <w:szCs w:val="22"/>
          <w:vertAlign w:val="superscript"/>
          <w:lang w:val="sr-Latn-ME"/>
        </w:rPr>
        <w:t>DME</w:t>
      </w:r>
      <w:r w:rsidRPr="0023595B">
        <w:rPr>
          <w:sz w:val="22"/>
          <w:szCs w:val="22"/>
          <w:lang w:val="sr-Latn-ME"/>
        </w:rPr>
        <w:t xml:space="preserve"> ispitivanju, 97 (35,8%) pacijenata liječenih lijekom Eylea su primali drugu anti-VEGF ter</w:t>
      </w:r>
      <w:r w:rsidR="00BA6BF2">
        <w:rPr>
          <w:sz w:val="22"/>
          <w:szCs w:val="22"/>
          <w:lang w:val="sr-Latn-ME"/>
        </w:rPr>
        <w:t>a</w:t>
      </w:r>
      <w:r w:rsidRPr="0023595B">
        <w:rPr>
          <w:sz w:val="22"/>
          <w:szCs w:val="22"/>
          <w:lang w:val="sr-Latn-ME"/>
        </w:rPr>
        <w:t>piju za drugo oko.</w:t>
      </w:r>
    </w:p>
    <w:p w14:paraId="7F2A6B38" w14:textId="77777777" w:rsidR="0075781B" w:rsidRPr="0023595B" w:rsidRDefault="0075781B" w:rsidP="0075781B">
      <w:pPr>
        <w:tabs>
          <w:tab w:val="center" w:pos="4536"/>
          <w:tab w:val="right" w:pos="9072"/>
        </w:tabs>
        <w:jc w:val="both"/>
        <w:rPr>
          <w:sz w:val="22"/>
          <w:szCs w:val="22"/>
          <w:lang w:val="sr-Latn-ME"/>
        </w:rPr>
      </w:pPr>
    </w:p>
    <w:p w14:paraId="19604A38" w14:textId="2AF06E66" w:rsidR="0075781B" w:rsidRPr="0023595B" w:rsidRDefault="0075781B" w:rsidP="0075781B">
      <w:pPr>
        <w:tabs>
          <w:tab w:val="center" w:pos="4536"/>
          <w:tab w:val="right" w:pos="9072"/>
        </w:tabs>
        <w:jc w:val="both"/>
        <w:rPr>
          <w:sz w:val="22"/>
          <w:szCs w:val="22"/>
          <w:lang w:val="sr-Latn-ME"/>
        </w:rPr>
      </w:pPr>
      <w:r w:rsidRPr="0023595B">
        <w:rPr>
          <w:sz w:val="22"/>
          <w:szCs w:val="22"/>
          <w:lang w:val="sr-Latn-ME"/>
        </w:rPr>
        <w:t>U nezavisnom komparativnom ispitivanju (DRCR.net Protocol T) prim</w:t>
      </w:r>
      <w:r w:rsidR="00BA6BF2">
        <w:rPr>
          <w:sz w:val="22"/>
          <w:szCs w:val="22"/>
          <w:lang w:val="sr-Latn-ME"/>
        </w:rPr>
        <w:t>i</w:t>
      </w:r>
      <w:r w:rsidRPr="0023595B">
        <w:rPr>
          <w:sz w:val="22"/>
          <w:szCs w:val="22"/>
          <w:lang w:val="sr-Latn-ME"/>
        </w:rPr>
        <w:t xml:space="preserve">jenjen je </w:t>
      </w:r>
      <w:r w:rsidR="00A82E54" w:rsidRPr="0023595B">
        <w:rPr>
          <w:sz w:val="22"/>
          <w:szCs w:val="22"/>
          <w:lang w:val="sr-Latn-ME"/>
        </w:rPr>
        <w:t xml:space="preserve">fleksibilan </w:t>
      </w:r>
      <w:r w:rsidRPr="0023595B">
        <w:rPr>
          <w:sz w:val="22"/>
          <w:szCs w:val="22"/>
          <w:lang w:val="sr-Latn-ME"/>
        </w:rPr>
        <w:t>režim doziranja koji se zasnivao na strogim OCT i vizuelnim kriterijumima za ponovno liječenje. U grupi koja je liječena afliberceptom (n=224) u 52. nedjelji, ovaj režim liječenja rezultovao je prosječnom primjenom 9,2 injekcije kod pacijenata, što je slično prim</w:t>
      </w:r>
      <w:r w:rsidR="00BA6BF2">
        <w:rPr>
          <w:sz w:val="22"/>
          <w:szCs w:val="22"/>
          <w:lang w:val="sr-Latn-ME"/>
        </w:rPr>
        <w:t>i</w:t>
      </w:r>
      <w:r w:rsidRPr="0023595B">
        <w:rPr>
          <w:sz w:val="22"/>
          <w:szCs w:val="22"/>
          <w:lang w:val="sr-Latn-ME"/>
        </w:rPr>
        <w:t>jenjenom broju doza u grupi na režimu lijeka Eylea 2Q8 u ispitivanjima VIVID</w:t>
      </w:r>
      <w:r w:rsidRPr="0023595B">
        <w:rPr>
          <w:sz w:val="22"/>
          <w:szCs w:val="22"/>
          <w:vertAlign w:val="superscript"/>
          <w:lang w:val="sr-Latn-ME"/>
        </w:rPr>
        <w:t>DME</w:t>
      </w:r>
      <w:r w:rsidRPr="0023595B">
        <w:rPr>
          <w:sz w:val="22"/>
          <w:szCs w:val="22"/>
          <w:lang w:val="sr-Latn-ME"/>
        </w:rPr>
        <w:t xml:space="preserve"> i VISTA</w:t>
      </w:r>
      <w:r w:rsidRPr="0023595B">
        <w:rPr>
          <w:sz w:val="22"/>
          <w:szCs w:val="22"/>
          <w:vertAlign w:val="superscript"/>
          <w:lang w:val="sr-Latn-ME"/>
        </w:rPr>
        <w:t>DME</w:t>
      </w:r>
      <w:r w:rsidRPr="0023595B">
        <w:rPr>
          <w:sz w:val="22"/>
          <w:szCs w:val="22"/>
          <w:lang w:val="sr-Latn-ME"/>
        </w:rPr>
        <w:t>, dok je ukupna efikasnost u grupi liječenoj afliberceptom u Protokolu T bila uporediva sa primjenom lijeka Eylea u režimu 2Q8 u ispitivanjima VIVID</w:t>
      </w:r>
      <w:r w:rsidRPr="0023595B">
        <w:rPr>
          <w:sz w:val="22"/>
          <w:szCs w:val="22"/>
          <w:vertAlign w:val="superscript"/>
          <w:lang w:val="sr-Latn-ME"/>
        </w:rPr>
        <w:t>DME</w:t>
      </w:r>
      <w:r w:rsidRPr="0023595B">
        <w:rPr>
          <w:sz w:val="22"/>
          <w:szCs w:val="22"/>
          <w:lang w:val="sr-Latn-ME"/>
        </w:rPr>
        <w:t xml:space="preserve"> i VISTA</w:t>
      </w:r>
      <w:r w:rsidRPr="0023595B">
        <w:rPr>
          <w:sz w:val="22"/>
          <w:szCs w:val="22"/>
          <w:vertAlign w:val="superscript"/>
          <w:lang w:val="sr-Latn-ME"/>
        </w:rPr>
        <w:t>DME</w:t>
      </w:r>
      <w:r w:rsidRPr="0023595B">
        <w:rPr>
          <w:sz w:val="22"/>
          <w:szCs w:val="22"/>
          <w:lang w:val="sr-Latn-ME"/>
        </w:rPr>
        <w:t xml:space="preserve">. U Protokolu T zabilježeno je prosječno povećanje od 13,3 slova, sa 42% pacijenata kojima se povećao broj vidljivih slova za najmanje 15 od početne vrijednosti. </w:t>
      </w:r>
      <w:r w:rsidR="00A82E54" w:rsidRPr="0023595B">
        <w:rPr>
          <w:sz w:val="22"/>
          <w:szCs w:val="22"/>
          <w:lang w:val="sr-Latn-ME"/>
        </w:rPr>
        <w:t xml:space="preserve">Ishodi </w:t>
      </w:r>
      <w:r w:rsidR="00A82E54" w:rsidRPr="0023595B">
        <w:rPr>
          <w:sz w:val="22"/>
          <w:szCs w:val="22"/>
          <w:lang w:val="sr-Latn-ME"/>
        </w:rPr>
        <w:lastRenderedPageBreak/>
        <w:t>bezbjednosti pokazali su da je ukupna incidenca okularnih i neokularnih neželjenih događaja (uključujući arterijske tromboembolijske događaje) bila uporediva u svim terapijskim grupama u svakom od ispitivanja, kao i među ispitivanjima</w:t>
      </w:r>
      <w:r w:rsidRPr="0023595B">
        <w:rPr>
          <w:sz w:val="22"/>
          <w:szCs w:val="22"/>
          <w:lang w:val="sr-Latn-ME"/>
        </w:rPr>
        <w:t>.</w:t>
      </w:r>
    </w:p>
    <w:p w14:paraId="0C43BC17" w14:textId="1D937F9F" w:rsidR="003111A4" w:rsidRPr="0023595B" w:rsidRDefault="003111A4" w:rsidP="0075781B">
      <w:pPr>
        <w:tabs>
          <w:tab w:val="center" w:pos="4536"/>
          <w:tab w:val="right" w:pos="9072"/>
        </w:tabs>
        <w:jc w:val="both"/>
        <w:rPr>
          <w:sz w:val="22"/>
          <w:szCs w:val="22"/>
          <w:lang w:val="sr-Latn-ME"/>
        </w:rPr>
      </w:pPr>
    </w:p>
    <w:p w14:paraId="3BC9D6F2" w14:textId="0D7FD4D0" w:rsidR="003111A4" w:rsidRPr="0023595B" w:rsidRDefault="003111A4" w:rsidP="003111A4">
      <w:pPr>
        <w:tabs>
          <w:tab w:val="center" w:pos="4536"/>
          <w:tab w:val="right" w:pos="9072"/>
        </w:tabs>
        <w:jc w:val="both"/>
        <w:rPr>
          <w:sz w:val="22"/>
          <w:szCs w:val="22"/>
          <w:lang w:val="sr-Latn-ME"/>
        </w:rPr>
      </w:pPr>
      <w:r w:rsidRPr="0023595B">
        <w:rPr>
          <w:sz w:val="22"/>
          <w:szCs w:val="22"/>
          <w:lang w:val="sr-Latn-ME"/>
        </w:rPr>
        <w:t xml:space="preserve">Ispitivanje VIOLET, 100-nedjeljno multicentrično, randomizovano, otvoreno ispitivanje s aktivnom kontrolom kod pacijenata sa DME, upoređivalo je tri različita režima doziranja lijekom Eylea u dozi od 2 mg u liječenju DME, a nakon najmanje godinu dana liječenja u fiksnim intervalima, kada je liječenje započinjano sa 5 uzastopnih mjesečnih doza, nakon kojih su slijedile doze na svaka 2 mjeseca. Ispitivanje je procijenjivalo neinferiornost lijeka Eylea 2 mg u režimu doziranja “liječi i produži” (režim 2T&amp;E, kod kojeg su intervali injekcija zadržani na minimalno 8 nedjelja i postepeno povećavani na osnovu kliničkih i anatomskih ishoda), zatim lijeka Eylea 2 mg doziranog prema potrebi (režim 2 mg </w:t>
      </w:r>
      <w:r w:rsidRPr="0023595B">
        <w:rPr>
          <w:i/>
          <w:iCs/>
          <w:sz w:val="22"/>
          <w:szCs w:val="22"/>
          <w:lang w:val="sr-Latn-ME"/>
        </w:rPr>
        <w:t>pro re nata</w:t>
      </w:r>
      <w:r w:rsidRPr="0023595B">
        <w:rPr>
          <w:sz w:val="22"/>
          <w:szCs w:val="22"/>
          <w:lang w:val="sr-Latn-ME"/>
        </w:rPr>
        <w:t>, 2PRN, kada su pacijenti posmatrani svake 4 nedjelje i primali su injekciju kada je bilo potrebno prema kliničkim i anatomskim ishodima), u poređenju sa lijekom Eylea 2 mg doziranim svakih 8 nedjelja (režim 2Q8), tokom druge i treće godine liječenja.</w:t>
      </w:r>
    </w:p>
    <w:p w14:paraId="4947CA85" w14:textId="77777777" w:rsidR="003111A4" w:rsidRPr="0023595B" w:rsidRDefault="003111A4" w:rsidP="003111A4">
      <w:pPr>
        <w:tabs>
          <w:tab w:val="center" w:pos="4536"/>
          <w:tab w:val="right" w:pos="9072"/>
        </w:tabs>
        <w:jc w:val="both"/>
        <w:rPr>
          <w:sz w:val="22"/>
          <w:szCs w:val="22"/>
          <w:lang w:val="sr-Latn-ME"/>
        </w:rPr>
      </w:pPr>
    </w:p>
    <w:p w14:paraId="62312A87" w14:textId="372DF1C3" w:rsidR="003111A4" w:rsidRPr="0023595B" w:rsidRDefault="003111A4" w:rsidP="003111A4">
      <w:pPr>
        <w:tabs>
          <w:tab w:val="center" w:pos="4536"/>
          <w:tab w:val="right" w:pos="9072"/>
        </w:tabs>
        <w:jc w:val="both"/>
        <w:rPr>
          <w:sz w:val="22"/>
          <w:szCs w:val="22"/>
          <w:lang w:val="sr-Latn-ME"/>
        </w:rPr>
      </w:pPr>
      <w:r w:rsidRPr="0023595B">
        <w:rPr>
          <w:sz w:val="22"/>
          <w:szCs w:val="22"/>
          <w:lang w:val="sr-Latn-ME"/>
        </w:rPr>
        <w:t>Primarni ishod efikasnosti (prom</w:t>
      </w:r>
      <w:r w:rsidR="000C0F75" w:rsidRPr="0023595B">
        <w:rPr>
          <w:sz w:val="22"/>
          <w:szCs w:val="22"/>
          <w:lang w:val="sr-Latn-ME"/>
        </w:rPr>
        <w:t>j</w:t>
      </w:r>
      <w:r w:rsidRPr="0023595B">
        <w:rPr>
          <w:sz w:val="22"/>
          <w:szCs w:val="22"/>
          <w:lang w:val="sr-Latn-ME"/>
        </w:rPr>
        <w:t xml:space="preserve">ena BCVA od početne do vrijednosti u 52. nedjelji) bio je 0,5 ± 6,7 slova u 2T&amp;E grupi, 1,7 ± 6,8 slova u 2PRN grupi, u poređenju sa 0,4 ± 6,7 slova u 2Q8 grupi, postižući statističku neinferiornost (p&lt;0.0001 u oba poređenja; NI granica 4 slova). Promjene BCVA od početne do vrijednosti u 100. nedjelji bile su u skladu sa rezultatima iz 52. nedjelje: -0,1 ± 9,1 slova u 2T&amp;E grupi i 1,8 ± 9,0 slova u 2PRN grupi, a u poređenju sa </w:t>
      </w:r>
      <w:r w:rsidR="00A82E54" w:rsidRPr="0023595B">
        <w:rPr>
          <w:sz w:val="22"/>
          <w:szCs w:val="22"/>
          <w:lang w:val="sr-Latn-ME"/>
        </w:rPr>
        <w:t>0,1</w:t>
      </w:r>
      <w:r w:rsidRPr="0023595B">
        <w:rPr>
          <w:sz w:val="22"/>
          <w:szCs w:val="22"/>
          <w:lang w:val="sr-Latn-ME"/>
        </w:rPr>
        <w:t xml:space="preserve"> ± </w:t>
      </w:r>
      <w:r w:rsidR="00A82E54" w:rsidRPr="0023595B">
        <w:rPr>
          <w:sz w:val="22"/>
          <w:szCs w:val="22"/>
          <w:lang w:val="sr-Latn-ME"/>
        </w:rPr>
        <w:t>7,2</w:t>
      </w:r>
      <w:r w:rsidRPr="0023595B">
        <w:rPr>
          <w:sz w:val="22"/>
          <w:szCs w:val="22"/>
          <w:lang w:val="sr-Latn-ME"/>
        </w:rPr>
        <w:t xml:space="preserve"> slova u 2Q8 grupi. Srednja vrijednost broja injekcija tokom 100 nedjelja bila je 12</w:t>
      </w:r>
      <w:r w:rsidR="004833BF" w:rsidRPr="0023595B">
        <w:rPr>
          <w:sz w:val="22"/>
          <w:szCs w:val="22"/>
          <w:lang w:val="sr-Latn-ME"/>
        </w:rPr>
        <w:t>,</w:t>
      </w:r>
      <w:r w:rsidRPr="0023595B">
        <w:rPr>
          <w:sz w:val="22"/>
          <w:szCs w:val="22"/>
          <w:lang w:val="sr-Latn-ME"/>
        </w:rPr>
        <w:t>3, 10</w:t>
      </w:r>
      <w:r w:rsidR="004833BF" w:rsidRPr="0023595B">
        <w:rPr>
          <w:sz w:val="22"/>
          <w:szCs w:val="22"/>
          <w:lang w:val="sr-Latn-ME"/>
        </w:rPr>
        <w:t>,</w:t>
      </w:r>
      <w:r w:rsidRPr="0023595B">
        <w:rPr>
          <w:sz w:val="22"/>
          <w:szCs w:val="22"/>
          <w:lang w:val="sr-Latn-ME"/>
        </w:rPr>
        <w:t>0 i 11</w:t>
      </w:r>
      <w:r w:rsidR="004833BF" w:rsidRPr="0023595B">
        <w:rPr>
          <w:sz w:val="22"/>
          <w:szCs w:val="22"/>
          <w:lang w:val="sr-Latn-ME"/>
        </w:rPr>
        <w:t>,</w:t>
      </w:r>
      <w:r w:rsidRPr="0023595B">
        <w:rPr>
          <w:sz w:val="22"/>
          <w:szCs w:val="22"/>
          <w:lang w:val="sr-Latn-ME"/>
        </w:rPr>
        <w:t>5 kod 2Q8, 2T&amp;E i 2PRN, pojedinačno.</w:t>
      </w:r>
    </w:p>
    <w:p w14:paraId="1339718F" w14:textId="77777777" w:rsidR="003111A4" w:rsidRPr="0023595B" w:rsidRDefault="003111A4" w:rsidP="003111A4">
      <w:pPr>
        <w:tabs>
          <w:tab w:val="center" w:pos="4536"/>
          <w:tab w:val="right" w:pos="9072"/>
        </w:tabs>
        <w:jc w:val="both"/>
        <w:rPr>
          <w:sz w:val="22"/>
          <w:szCs w:val="22"/>
          <w:lang w:val="sr-Latn-ME"/>
        </w:rPr>
      </w:pPr>
    </w:p>
    <w:p w14:paraId="1DC63FBC" w14:textId="29E56E0A" w:rsidR="003111A4" w:rsidRPr="0023595B" w:rsidRDefault="003111A4" w:rsidP="003111A4">
      <w:pPr>
        <w:tabs>
          <w:tab w:val="center" w:pos="4536"/>
          <w:tab w:val="right" w:pos="9072"/>
        </w:tabs>
        <w:jc w:val="both"/>
        <w:rPr>
          <w:sz w:val="22"/>
          <w:szCs w:val="22"/>
          <w:lang w:val="sr-Latn-ME"/>
        </w:rPr>
      </w:pPr>
      <w:r w:rsidRPr="0023595B">
        <w:rPr>
          <w:sz w:val="22"/>
          <w:szCs w:val="22"/>
          <w:lang w:val="sr-Latn-ME"/>
        </w:rPr>
        <w:t>Okularni i sistemski bezbjednosni profili kod sve 3 terapijske grupe bili su slični onim uočenim u pivotalnim ispitivanjima VIVID i VISTA.</w:t>
      </w:r>
    </w:p>
    <w:p w14:paraId="5987DF65" w14:textId="77777777" w:rsidR="003111A4" w:rsidRPr="0023595B" w:rsidRDefault="003111A4" w:rsidP="003111A4">
      <w:pPr>
        <w:tabs>
          <w:tab w:val="center" w:pos="4536"/>
          <w:tab w:val="right" w:pos="9072"/>
        </w:tabs>
        <w:jc w:val="both"/>
        <w:rPr>
          <w:sz w:val="22"/>
          <w:szCs w:val="22"/>
          <w:lang w:val="sr-Latn-ME"/>
        </w:rPr>
      </w:pPr>
    </w:p>
    <w:p w14:paraId="3E93B241" w14:textId="42E748B4" w:rsidR="003111A4" w:rsidRPr="0023595B" w:rsidRDefault="003111A4" w:rsidP="003111A4">
      <w:pPr>
        <w:tabs>
          <w:tab w:val="center" w:pos="4536"/>
          <w:tab w:val="right" w:pos="9072"/>
        </w:tabs>
        <w:jc w:val="both"/>
        <w:rPr>
          <w:sz w:val="22"/>
          <w:szCs w:val="22"/>
          <w:lang w:val="sr-Latn-ME"/>
        </w:rPr>
      </w:pPr>
      <w:r w:rsidRPr="0023595B">
        <w:rPr>
          <w:sz w:val="22"/>
          <w:szCs w:val="22"/>
          <w:lang w:val="sr-Latn-ME"/>
        </w:rPr>
        <w:t>U 2T&amp;E grupi, produženje i skraćivanje intervala između injekcija zasnivalo se na procjeni ispitivača; u ispitivanju su bila preporučena produženja u koracima od 2 nedjelje.</w:t>
      </w:r>
    </w:p>
    <w:p w14:paraId="1E0BF806" w14:textId="77777777" w:rsidR="0075781B" w:rsidRPr="0023595B" w:rsidRDefault="0075781B" w:rsidP="0075781B">
      <w:pPr>
        <w:tabs>
          <w:tab w:val="center" w:pos="4536"/>
          <w:tab w:val="right" w:pos="9072"/>
        </w:tabs>
        <w:jc w:val="both"/>
        <w:rPr>
          <w:sz w:val="22"/>
          <w:szCs w:val="22"/>
          <w:lang w:val="sr-Latn-ME"/>
        </w:rPr>
      </w:pPr>
    </w:p>
    <w:p w14:paraId="4C36C210" w14:textId="77777777" w:rsidR="0075781B" w:rsidRPr="0023595B" w:rsidRDefault="0075781B" w:rsidP="0075781B">
      <w:pPr>
        <w:tabs>
          <w:tab w:val="center" w:pos="4536"/>
          <w:tab w:val="right" w:pos="9072"/>
        </w:tabs>
        <w:jc w:val="both"/>
        <w:rPr>
          <w:sz w:val="22"/>
          <w:szCs w:val="22"/>
          <w:lang w:val="sr-Latn-ME"/>
        </w:rPr>
      </w:pPr>
      <w:r w:rsidRPr="0023595B">
        <w:rPr>
          <w:i/>
          <w:sz w:val="22"/>
          <w:szCs w:val="22"/>
          <w:lang w:val="sr-Latn-ME"/>
        </w:rPr>
        <w:t>Horoidalna neovaskularizacija</w:t>
      </w:r>
      <w:r w:rsidRPr="0023595B">
        <w:rPr>
          <w:sz w:val="22"/>
          <w:szCs w:val="22"/>
          <w:lang w:val="sr-Latn-ME"/>
        </w:rPr>
        <w:t xml:space="preserve"> </w:t>
      </w:r>
      <w:r w:rsidRPr="0023595B">
        <w:rPr>
          <w:i/>
          <w:sz w:val="22"/>
          <w:szCs w:val="22"/>
          <w:lang w:val="sr-Latn-ME"/>
        </w:rPr>
        <w:t>uzrokovana miopijom</w:t>
      </w:r>
    </w:p>
    <w:p w14:paraId="6BBFCF61" w14:textId="77777777" w:rsidR="0075781B" w:rsidRPr="0023595B" w:rsidRDefault="0075781B" w:rsidP="0075781B">
      <w:pPr>
        <w:tabs>
          <w:tab w:val="center" w:pos="4536"/>
          <w:tab w:val="right" w:pos="9072"/>
        </w:tabs>
        <w:jc w:val="both"/>
        <w:rPr>
          <w:i/>
          <w:sz w:val="22"/>
          <w:szCs w:val="22"/>
          <w:lang w:val="sr-Latn-ME"/>
        </w:rPr>
      </w:pPr>
    </w:p>
    <w:p w14:paraId="3883A7D6" w14:textId="77777777" w:rsidR="0075781B" w:rsidRPr="0023595B" w:rsidRDefault="0075781B" w:rsidP="0075781B">
      <w:pPr>
        <w:tabs>
          <w:tab w:val="center" w:pos="4536"/>
          <w:tab w:val="right" w:pos="9072"/>
        </w:tabs>
        <w:jc w:val="both"/>
        <w:rPr>
          <w:color w:val="000000"/>
          <w:sz w:val="22"/>
          <w:szCs w:val="22"/>
          <w:lang w:val="sr-Latn-ME"/>
        </w:rPr>
      </w:pPr>
      <w:r w:rsidRPr="0023595B">
        <w:rPr>
          <w:sz w:val="22"/>
          <w:szCs w:val="22"/>
          <w:lang w:val="sr-Latn-ME"/>
        </w:rPr>
        <w:t>Bezbjednost i efikasnost lijeka Eylea su procijenjene u randomizovanom, multicentičnom, dvostruko maskiranom, placebo postupkom kontrolisanom ispitivanju, kod pacijenata azijskog porijekla sa miopnom CNV, koji nijesu prethodno bili na terapiji. Ukupno 121 pacijent je podvrgnut terapiji i kod svih pacijenata se mogla procijeniti efikasnost (90 pacijenata u grupi sa lijekom Eylea). Njihova starost je varirala od 27 do 83 godine sa srednjom vrijednosti od 58 godina.</w:t>
      </w:r>
      <w:r w:rsidRPr="0023595B">
        <w:rPr>
          <w:color w:val="000000"/>
          <w:sz w:val="22"/>
          <w:szCs w:val="22"/>
          <w:lang w:val="sr-Latn-ME"/>
        </w:rPr>
        <w:t xml:space="preserve"> U ispitivanju sprovedenom kod CNV</w:t>
      </w:r>
      <w:r w:rsidRPr="0023595B">
        <w:rPr>
          <w:sz w:val="22"/>
          <w:szCs w:val="22"/>
          <w:lang w:val="sr-Latn-ME"/>
        </w:rPr>
        <w:t xml:space="preserve"> uzrokovane miopijom</w:t>
      </w:r>
      <w:r w:rsidRPr="0023595B">
        <w:rPr>
          <w:color w:val="000000"/>
          <w:sz w:val="22"/>
          <w:szCs w:val="22"/>
          <w:lang w:val="sr-Latn-ME"/>
        </w:rPr>
        <w:t>, približno 36% (33/91) pacijenata randomizovanih u grupu koja je primala terapiju lijekom Eylea su bili starosti 65 godina ili stariji, a približno 10% (9/91) su bili starosti 75 godina ili stariji.</w:t>
      </w:r>
    </w:p>
    <w:p w14:paraId="2DCA904A" w14:textId="77777777" w:rsidR="0075781B" w:rsidRPr="0023595B" w:rsidRDefault="0075781B" w:rsidP="0075781B">
      <w:pPr>
        <w:jc w:val="both"/>
        <w:rPr>
          <w:sz w:val="22"/>
          <w:szCs w:val="22"/>
          <w:lang w:val="sr-Latn-ME"/>
        </w:rPr>
      </w:pPr>
    </w:p>
    <w:p w14:paraId="4F0E2EAA" w14:textId="77777777" w:rsidR="0075781B" w:rsidRPr="0023595B" w:rsidRDefault="0075781B" w:rsidP="0075781B">
      <w:pPr>
        <w:jc w:val="both"/>
        <w:rPr>
          <w:sz w:val="22"/>
          <w:szCs w:val="22"/>
          <w:lang w:val="sr-Latn-ME"/>
        </w:rPr>
      </w:pPr>
      <w:r w:rsidRPr="0023595B">
        <w:rPr>
          <w:sz w:val="22"/>
          <w:szCs w:val="22"/>
          <w:lang w:val="sr-Latn-ME"/>
        </w:rPr>
        <w:t>Pacijenti su randomizovani u odnosu 3:1, tako da su primili ili 2 mg lijeka Eylea intravitrealno, ili su pak prividno primili injekciju (placebo injekcija), jednom na početku ispitivanja, a potom dodatne injekcije na mjesečnom nivou u slučaju perzistiranja ili ponovnog javljanja bolesti, zaključno sa 24. nedjeljom, kada je izvršena prva procjena. U 24. nedjelji, pacijenti koji su inicijalno raspoređeni u grupu koja je primala placebo injekciju, smatrali su se pogodnim da prime prvu dozu lijeka Eylea. Nakon toga su se pacijenti iz obje grupe smatrali pogodnim da prime dodatne injekcije u slučaju perzistiranja ili ponovnog javljanja bolesti.</w:t>
      </w:r>
    </w:p>
    <w:p w14:paraId="6E210A0B" w14:textId="77777777" w:rsidR="0075781B" w:rsidRPr="0023595B" w:rsidRDefault="0075781B" w:rsidP="0075781B">
      <w:pPr>
        <w:jc w:val="both"/>
        <w:rPr>
          <w:sz w:val="22"/>
          <w:szCs w:val="22"/>
          <w:lang w:val="sr-Latn-ME"/>
        </w:rPr>
      </w:pPr>
    </w:p>
    <w:p w14:paraId="048B437B" w14:textId="77777777" w:rsidR="0075781B" w:rsidRPr="0023595B" w:rsidRDefault="0075781B" w:rsidP="0075781B">
      <w:pPr>
        <w:jc w:val="both"/>
        <w:rPr>
          <w:sz w:val="22"/>
          <w:szCs w:val="22"/>
          <w:lang w:val="sr-Latn-ME"/>
        </w:rPr>
      </w:pPr>
      <w:r w:rsidRPr="0023595B">
        <w:rPr>
          <w:sz w:val="22"/>
          <w:szCs w:val="22"/>
          <w:lang w:val="sr-Latn-ME"/>
        </w:rPr>
        <w:t>Razlika u efikasnosti između terapijskih grupa je statistički značajno bila u korist lijeka Eylea u odnosu na primarni parametar praćenja (promjena u BCVA) kao i u odnosi na konfirmatorni sekundarni parametar praćenja (odnos pacijenata kod kojih se BCVA povećao za 15 slova) u 24. nedjelji u poređenju sa početnim vrijednostima. Razlike u oba parametra praćenja su održane do 48. nedjelje.</w:t>
      </w:r>
    </w:p>
    <w:p w14:paraId="6DA88658" w14:textId="77777777" w:rsidR="0075781B" w:rsidRPr="0023595B" w:rsidRDefault="0075781B" w:rsidP="0075781B">
      <w:pPr>
        <w:jc w:val="both"/>
        <w:rPr>
          <w:sz w:val="22"/>
          <w:szCs w:val="22"/>
          <w:lang w:val="sr-Latn-ME"/>
        </w:rPr>
      </w:pPr>
    </w:p>
    <w:p w14:paraId="7536D4CD" w14:textId="77777777" w:rsidR="0075781B" w:rsidRPr="0023595B" w:rsidRDefault="0075781B" w:rsidP="0075781B">
      <w:pPr>
        <w:jc w:val="both"/>
        <w:rPr>
          <w:sz w:val="22"/>
          <w:szCs w:val="22"/>
          <w:lang w:val="sr-Latn-ME"/>
        </w:rPr>
      </w:pPr>
      <w:r w:rsidRPr="0023595B">
        <w:rPr>
          <w:sz w:val="22"/>
          <w:szCs w:val="22"/>
          <w:lang w:val="sr-Latn-ME"/>
        </w:rPr>
        <w:t>Detaljni rezultati analize MYRROR ispitivanja su prikazani ispod u Tabeli 6 i Slici 5.</w:t>
      </w:r>
    </w:p>
    <w:p w14:paraId="538EBFF9" w14:textId="77777777" w:rsidR="0075781B" w:rsidRPr="0023595B" w:rsidRDefault="0075781B" w:rsidP="0075781B">
      <w:pPr>
        <w:jc w:val="both"/>
        <w:rPr>
          <w:sz w:val="22"/>
          <w:szCs w:val="22"/>
          <w:lang w:val="sr-Latn-ME"/>
        </w:rPr>
      </w:pPr>
    </w:p>
    <w:p w14:paraId="266784E8" w14:textId="77777777" w:rsidR="0075781B" w:rsidRPr="0023595B" w:rsidRDefault="0075781B" w:rsidP="0075781B">
      <w:pPr>
        <w:jc w:val="both"/>
        <w:rPr>
          <w:sz w:val="22"/>
          <w:szCs w:val="22"/>
          <w:lang w:val="sr-Latn-ME"/>
        </w:rPr>
      </w:pPr>
      <w:r w:rsidRPr="0023595B">
        <w:rPr>
          <w:b/>
          <w:sz w:val="22"/>
          <w:szCs w:val="22"/>
          <w:lang w:val="sr-Latn-ME"/>
        </w:rPr>
        <w:t>Tabela 6</w:t>
      </w:r>
      <w:r w:rsidRPr="0023595B">
        <w:rPr>
          <w:sz w:val="22"/>
          <w:szCs w:val="22"/>
          <w:lang w:val="sr-Latn-ME"/>
        </w:rPr>
        <w:t>: Ishodi efikasnosti na kraju 24. nedjelje (primarna analiza) i 48. nedjelje u MYRROR ispitivanju (kompletna analiza sa LOCF</w:t>
      </w:r>
      <w:r w:rsidRPr="0023595B">
        <w:rPr>
          <w:sz w:val="22"/>
          <w:szCs w:val="22"/>
          <w:vertAlign w:val="superscript"/>
          <w:lang w:val="sr-Latn-ME"/>
        </w:rPr>
        <w:t>A)</w:t>
      </w:r>
      <w:r w:rsidRPr="0023595B">
        <w:rPr>
          <w:sz w:val="22"/>
          <w:szCs w:val="22"/>
          <w:lang w:val="sr-Latn-ME"/>
        </w:rPr>
        <w:t>)</w:t>
      </w:r>
    </w:p>
    <w:tbl>
      <w:tblPr>
        <w:tblStyle w:val="TableGrid"/>
        <w:tblW w:w="0" w:type="auto"/>
        <w:tblLook w:val="04A0" w:firstRow="1" w:lastRow="0" w:firstColumn="1" w:lastColumn="0" w:noHBand="0" w:noVBand="1"/>
      </w:tblPr>
      <w:tblGrid>
        <w:gridCol w:w="2547"/>
        <w:gridCol w:w="1559"/>
        <w:gridCol w:w="1559"/>
        <w:gridCol w:w="1529"/>
        <w:gridCol w:w="1881"/>
      </w:tblGrid>
      <w:tr w:rsidR="0075781B" w:rsidRPr="0023595B" w14:paraId="10D74774" w14:textId="77777777" w:rsidTr="005C0F74">
        <w:tc>
          <w:tcPr>
            <w:tcW w:w="2547" w:type="dxa"/>
            <w:vMerge w:val="restart"/>
            <w:tcBorders>
              <w:top w:val="single" w:sz="4" w:space="0" w:color="auto"/>
              <w:left w:val="single" w:sz="4" w:space="0" w:color="auto"/>
              <w:bottom w:val="single" w:sz="4" w:space="0" w:color="auto"/>
              <w:right w:val="single" w:sz="4" w:space="0" w:color="auto"/>
            </w:tcBorders>
            <w:hideMark/>
          </w:tcPr>
          <w:p w14:paraId="6C627CC3" w14:textId="77777777" w:rsidR="0075781B" w:rsidRPr="0023595B" w:rsidRDefault="0075781B" w:rsidP="00D55718">
            <w:pPr>
              <w:rPr>
                <w:b/>
                <w:szCs w:val="22"/>
                <w:lang w:val="sr-Latn-ME"/>
              </w:rPr>
            </w:pPr>
            <w:r w:rsidRPr="0023595B">
              <w:rPr>
                <w:b/>
                <w:sz w:val="20"/>
                <w:szCs w:val="20"/>
                <w:lang w:val="sr-Latn-ME"/>
              </w:rPr>
              <w:t>Ishodi efikasnosti</w:t>
            </w:r>
          </w:p>
        </w:tc>
        <w:tc>
          <w:tcPr>
            <w:tcW w:w="6528" w:type="dxa"/>
            <w:gridSpan w:val="4"/>
            <w:tcBorders>
              <w:top w:val="single" w:sz="4" w:space="0" w:color="auto"/>
              <w:left w:val="single" w:sz="4" w:space="0" w:color="auto"/>
              <w:bottom w:val="single" w:sz="4" w:space="0" w:color="auto"/>
              <w:right w:val="single" w:sz="4" w:space="0" w:color="auto"/>
            </w:tcBorders>
            <w:hideMark/>
          </w:tcPr>
          <w:p w14:paraId="195945CB" w14:textId="77777777" w:rsidR="0075781B" w:rsidRPr="0023595B" w:rsidRDefault="0075781B" w:rsidP="00D55718">
            <w:pPr>
              <w:jc w:val="center"/>
              <w:rPr>
                <w:b/>
                <w:szCs w:val="22"/>
                <w:lang w:val="sr-Latn-ME"/>
              </w:rPr>
            </w:pPr>
            <w:r w:rsidRPr="0023595B">
              <w:rPr>
                <w:b/>
                <w:sz w:val="20"/>
                <w:szCs w:val="20"/>
                <w:lang w:val="sr-Latn-ME"/>
              </w:rPr>
              <w:t>MYRROR</w:t>
            </w:r>
          </w:p>
        </w:tc>
      </w:tr>
      <w:tr w:rsidR="0075781B" w:rsidRPr="0023595B" w14:paraId="76CE689E" w14:textId="77777777" w:rsidTr="005C0F74">
        <w:tc>
          <w:tcPr>
            <w:tcW w:w="2547" w:type="dxa"/>
            <w:vMerge/>
            <w:tcBorders>
              <w:top w:val="single" w:sz="4" w:space="0" w:color="auto"/>
              <w:left w:val="single" w:sz="4" w:space="0" w:color="auto"/>
              <w:bottom w:val="single" w:sz="4" w:space="0" w:color="auto"/>
              <w:right w:val="single" w:sz="4" w:space="0" w:color="auto"/>
            </w:tcBorders>
            <w:vAlign w:val="center"/>
            <w:hideMark/>
          </w:tcPr>
          <w:p w14:paraId="2DDCE44A" w14:textId="77777777" w:rsidR="0075781B" w:rsidRPr="0023595B" w:rsidRDefault="0075781B" w:rsidP="00D55718">
            <w:pPr>
              <w:rPr>
                <w:b/>
                <w:szCs w:val="22"/>
                <w:lang w:val="sr-Latn-ME"/>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0E2EB8BD" w14:textId="77777777" w:rsidR="0075781B" w:rsidRPr="0023595B" w:rsidRDefault="0075781B" w:rsidP="00D55718">
            <w:pPr>
              <w:jc w:val="center"/>
              <w:rPr>
                <w:b/>
                <w:szCs w:val="22"/>
                <w:lang w:val="sr-Latn-ME"/>
              </w:rPr>
            </w:pPr>
            <w:r w:rsidRPr="0023595B">
              <w:rPr>
                <w:b/>
                <w:sz w:val="20"/>
                <w:szCs w:val="20"/>
                <w:lang w:val="sr-Latn-ME"/>
              </w:rPr>
              <w:t>24. nedjelja</w:t>
            </w:r>
          </w:p>
        </w:tc>
        <w:tc>
          <w:tcPr>
            <w:tcW w:w="3410" w:type="dxa"/>
            <w:gridSpan w:val="2"/>
            <w:tcBorders>
              <w:top w:val="single" w:sz="4" w:space="0" w:color="auto"/>
              <w:left w:val="single" w:sz="4" w:space="0" w:color="auto"/>
              <w:bottom w:val="single" w:sz="4" w:space="0" w:color="auto"/>
              <w:right w:val="single" w:sz="4" w:space="0" w:color="auto"/>
            </w:tcBorders>
            <w:hideMark/>
          </w:tcPr>
          <w:p w14:paraId="3171D392" w14:textId="77777777" w:rsidR="0075781B" w:rsidRPr="0023595B" w:rsidRDefault="0075781B" w:rsidP="00D55718">
            <w:pPr>
              <w:jc w:val="center"/>
              <w:rPr>
                <w:b/>
                <w:szCs w:val="22"/>
                <w:lang w:val="sr-Latn-ME"/>
              </w:rPr>
            </w:pPr>
            <w:r w:rsidRPr="0023595B">
              <w:rPr>
                <w:b/>
                <w:sz w:val="20"/>
                <w:szCs w:val="20"/>
                <w:lang w:val="sr-Latn-ME"/>
              </w:rPr>
              <w:t>48. nedjelja</w:t>
            </w:r>
          </w:p>
        </w:tc>
      </w:tr>
      <w:tr w:rsidR="0075781B" w:rsidRPr="0023595B" w14:paraId="3AD74DAD" w14:textId="77777777" w:rsidTr="005C0F74">
        <w:tc>
          <w:tcPr>
            <w:tcW w:w="2547" w:type="dxa"/>
            <w:vMerge/>
            <w:tcBorders>
              <w:top w:val="single" w:sz="4" w:space="0" w:color="auto"/>
              <w:left w:val="single" w:sz="4" w:space="0" w:color="auto"/>
              <w:bottom w:val="single" w:sz="4" w:space="0" w:color="auto"/>
              <w:right w:val="single" w:sz="4" w:space="0" w:color="auto"/>
            </w:tcBorders>
            <w:vAlign w:val="center"/>
            <w:hideMark/>
          </w:tcPr>
          <w:p w14:paraId="67907AC5" w14:textId="77777777" w:rsidR="0075781B" w:rsidRPr="0023595B" w:rsidRDefault="0075781B" w:rsidP="00D55718">
            <w:pPr>
              <w:rPr>
                <w:b/>
                <w:szCs w:val="22"/>
                <w:lang w:val="sr-Latn-ME"/>
              </w:rPr>
            </w:pPr>
          </w:p>
        </w:tc>
        <w:tc>
          <w:tcPr>
            <w:tcW w:w="1559" w:type="dxa"/>
            <w:tcBorders>
              <w:top w:val="single" w:sz="4" w:space="0" w:color="auto"/>
              <w:left w:val="single" w:sz="4" w:space="0" w:color="auto"/>
              <w:bottom w:val="single" w:sz="4" w:space="0" w:color="auto"/>
              <w:right w:val="single" w:sz="4" w:space="0" w:color="auto"/>
            </w:tcBorders>
            <w:hideMark/>
          </w:tcPr>
          <w:p w14:paraId="2CC2BDB2" w14:textId="77777777" w:rsidR="0075781B" w:rsidRPr="0023595B" w:rsidRDefault="0075781B" w:rsidP="00D55718">
            <w:pPr>
              <w:jc w:val="center"/>
              <w:rPr>
                <w:b/>
                <w:sz w:val="20"/>
                <w:szCs w:val="20"/>
                <w:lang w:val="sr-Latn-ME"/>
              </w:rPr>
            </w:pPr>
            <w:r w:rsidRPr="0023595B">
              <w:rPr>
                <w:b/>
                <w:sz w:val="20"/>
                <w:szCs w:val="20"/>
                <w:lang w:val="sr-Latn-ME"/>
              </w:rPr>
              <w:t>Eylea 2mg</w:t>
            </w:r>
          </w:p>
          <w:p w14:paraId="45F41F3E" w14:textId="77777777" w:rsidR="0075781B" w:rsidRPr="0023595B" w:rsidRDefault="0075781B" w:rsidP="00D55718">
            <w:pPr>
              <w:jc w:val="center"/>
              <w:rPr>
                <w:b/>
                <w:szCs w:val="22"/>
                <w:lang w:val="sr-Latn-ME"/>
              </w:rPr>
            </w:pPr>
            <w:r w:rsidRPr="0023595B">
              <w:rPr>
                <w:b/>
                <w:sz w:val="20"/>
                <w:szCs w:val="20"/>
                <w:lang w:val="sr-Latn-ME"/>
              </w:rPr>
              <w:t>(N = 90)</w:t>
            </w:r>
          </w:p>
        </w:tc>
        <w:tc>
          <w:tcPr>
            <w:tcW w:w="1559" w:type="dxa"/>
            <w:tcBorders>
              <w:top w:val="single" w:sz="4" w:space="0" w:color="auto"/>
              <w:left w:val="single" w:sz="4" w:space="0" w:color="auto"/>
              <w:bottom w:val="single" w:sz="4" w:space="0" w:color="auto"/>
              <w:right w:val="single" w:sz="4" w:space="0" w:color="auto"/>
            </w:tcBorders>
            <w:hideMark/>
          </w:tcPr>
          <w:p w14:paraId="415F7599" w14:textId="77777777" w:rsidR="0075781B" w:rsidRPr="0023595B" w:rsidRDefault="0075781B" w:rsidP="00D55718">
            <w:pPr>
              <w:jc w:val="center"/>
              <w:rPr>
                <w:b/>
                <w:sz w:val="20"/>
                <w:szCs w:val="20"/>
                <w:lang w:val="sr-Latn-ME"/>
              </w:rPr>
            </w:pPr>
            <w:r w:rsidRPr="0023595B">
              <w:rPr>
                <w:b/>
                <w:sz w:val="20"/>
                <w:szCs w:val="20"/>
                <w:lang w:val="sr-Latn-ME"/>
              </w:rPr>
              <w:t>Placebo</w:t>
            </w:r>
          </w:p>
          <w:p w14:paraId="062F53E4" w14:textId="77777777" w:rsidR="0075781B" w:rsidRPr="0023595B" w:rsidRDefault="0075781B" w:rsidP="00D55718">
            <w:pPr>
              <w:jc w:val="center"/>
              <w:rPr>
                <w:b/>
                <w:szCs w:val="22"/>
                <w:lang w:val="sr-Latn-ME"/>
              </w:rPr>
            </w:pPr>
            <w:r w:rsidRPr="0023595B">
              <w:rPr>
                <w:b/>
                <w:sz w:val="20"/>
                <w:szCs w:val="20"/>
                <w:lang w:val="sr-Latn-ME"/>
              </w:rPr>
              <w:t>(N = 31)</w:t>
            </w:r>
          </w:p>
        </w:tc>
        <w:tc>
          <w:tcPr>
            <w:tcW w:w="1529" w:type="dxa"/>
            <w:tcBorders>
              <w:top w:val="single" w:sz="4" w:space="0" w:color="auto"/>
              <w:left w:val="single" w:sz="4" w:space="0" w:color="auto"/>
              <w:bottom w:val="single" w:sz="4" w:space="0" w:color="auto"/>
              <w:right w:val="single" w:sz="4" w:space="0" w:color="auto"/>
            </w:tcBorders>
            <w:hideMark/>
          </w:tcPr>
          <w:p w14:paraId="60B1F51E" w14:textId="77777777" w:rsidR="0075781B" w:rsidRPr="0023595B" w:rsidRDefault="0075781B" w:rsidP="00D55718">
            <w:pPr>
              <w:jc w:val="center"/>
              <w:rPr>
                <w:b/>
                <w:sz w:val="20"/>
                <w:szCs w:val="20"/>
                <w:lang w:val="sr-Latn-ME"/>
              </w:rPr>
            </w:pPr>
            <w:r w:rsidRPr="0023595B">
              <w:rPr>
                <w:b/>
                <w:sz w:val="20"/>
                <w:szCs w:val="20"/>
                <w:lang w:val="sr-Latn-ME"/>
              </w:rPr>
              <w:t>Eylea 2mg</w:t>
            </w:r>
          </w:p>
          <w:p w14:paraId="26156EF2" w14:textId="77777777" w:rsidR="0075781B" w:rsidRPr="0023595B" w:rsidRDefault="0075781B" w:rsidP="00D55718">
            <w:pPr>
              <w:jc w:val="center"/>
              <w:rPr>
                <w:b/>
                <w:szCs w:val="22"/>
                <w:lang w:val="sr-Latn-ME"/>
              </w:rPr>
            </w:pPr>
            <w:r w:rsidRPr="0023595B">
              <w:rPr>
                <w:b/>
                <w:sz w:val="20"/>
                <w:szCs w:val="20"/>
                <w:lang w:val="sr-Latn-ME"/>
              </w:rPr>
              <w:t>(N = 90)</w:t>
            </w:r>
          </w:p>
        </w:tc>
        <w:tc>
          <w:tcPr>
            <w:tcW w:w="1881" w:type="dxa"/>
            <w:tcBorders>
              <w:top w:val="single" w:sz="4" w:space="0" w:color="auto"/>
              <w:left w:val="single" w:sz="4" w:space="0" w:color="auto"/>
              <w:bottom w:val="single" w:sz="4" w:space="0" w:color="auto"/>
              <w:right w:val="single" w:sz="4" w:space="0" w:color="auto"/>
            </w:tcBorders>
            <w:hideMark/>
          </w:tcPr>
          <w:p w14:paraId="1F4DF4BC" w14:textId="77777777" w:rsidR="0075781B" w:rsidRPr="0023595B" w:rsidRDefault="0075781B" w:rsidP="00D55718">
            <w:pPr>
              <w:jc w:val="center"/>
              <w:rPr>
                <w:b/>
                <w:sz w:val="20"/>
                <w:szCs w:val="20"/>
                <w:lang w:val="sr-Latn-ME"/>
              </w:rPr>
            </w:pPr>
            <w:r w:rsidRPr="0023595B">
              <w:rPr>
                <w:b/>
                <w:sz w:val="20"/>
                <w:szCs w:val="20"/>
                <w:lang w:val="sr-Latn-ME"/>
              </w:rPr>
              <w:t>Placebo/Eylea 2mg</w:t>
            </w:r>
          </w:p>
          <w:p w14:paraId="0CB29A54" w14:textId="77777777" w:rsidR="0075781B" w:rsidRPr="0023595B" w:rsidRDefault="0075781B" w:rsidP="00D55718">
            <w:pPr>
              <w:jc w:val="center"/>
              <w:rPr>
                <w:b/>
                <w:szCs w:val="22"/>
                <w:lang w:val="sr-Latn-ME"/>
              </w:rPr>
            </w:pPr>
            <w:r w:rsidRPr="0023595B">
              <w:rPr>
                <w:b/>
                <w:sz w:val="20"/>
                <w:szCs w:val="20"/>
                <w:lang w:val="sr-Latn-ME"/>
              </w:rPr>
              <w:t>(N = 31)</w:t>
            </w:r>
          </w:p>
        </w:tc>
      </w:tr>
      <w:tr w:rsidR="0075781B" w:rsidRPr="0023595B" w14:paraId="258555BD" w14:textId="77777777" w:rsidTr="005C0F74">
        <w:tc>
          <w:tcPr>
            <w:tcW w:w="2547" w:type="dxa"/>
            <w:tcBorders>
              <w:top w:val="single" w:sz="4" w:space="0" w:color="auto"/>
              <w:left w:val="single" w:sz="4" w:space="0" w:color="auto"/>
              <w:bottom w:val="single" w:sz="4" w:space="0" w:color="auto"/>
              <w:right w:val="single" w:sz="4" w:space="0" w:color="auto"/>
            </w:tcBorders>
            <w:hideMark/>
          </w:tcPr>
          <w:p w14:paraId="70CBB26C" w14:textId="77777777" w:rsidR="0075781B" w:rsidRPr="0023595B" w:rsidRDefault="0075781B" w:rsidP="00D55718">
            <w:pPr>
              <w:rPr>
                <w:szCs w:val="22"/>
                <w:lang w:val="sr-Latn-ME"/>
              </w:rPr>
            </w:pPr>
            <w:r w:rsidRPr="0023595B">
              <w:rPr>
                <w:sz w:val="20"/>
                <w:szCs w:val="20"/>
                <w:lang w:val="sr-Latn-ME"/>
              </w:rPr>
              <w:t>Srednja vrijednost promjene BCVA</w:t>
            </w:r>
            <w:r w:rsidRPr="0023595B">
              <w:rPr>
                <w:sz w:val="20"/>
                <w:szCs w:val="20"/>
                <w:vertAlign w:val="superscript"/>
                <w:lang w:val="sr-Latn-ME"/>
              </w:rPr>
              <w:t>B</w:t>
            </w:r>
            <w:r w:rsidRPr="0023595B">
              <w:rPr>
                <w:sz w:val="20"/>
                <w:szCs w:val="20"/>
                <w:lang w:val="sr-Latn-ME"/>
              </w:rPr>
              <w:t xml:space="preserve"> u broju slova mjereno prema ETDRS u odnosu na početne vrijednosti (SD)</w:t>
            </w:r>
            <w:r w:rsidRPr="0023595B">
              <w:rPr>
                <w:sz w:val="20"/>
                <w:szCs w:val="20"/>
                <w:vertAlign w:val="superscript"/>
                <w:lang w:val="sr-Latn-ME"/>
              </w:rPr>
              <w:t>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88CB80" w14:textId="77777777" w:rsidR="0075781B" w:rsidRPr="0023595B" w:rsidRDefault="0075781B" w:rsidP="00D55718">
            <w:pPr>
              <w:jc w:val="center"/>
              <w:rPr>
                <w:sz w:val="20"/>
                <w:szCs w:val="20"/>
                <w:lang w:val="sr-Latn-ME"/>
              </w:rPr>
            </w:pPr>
            <w:r w:rsidRPr="0023595B">
              <w:rPr>
                <w:sz w:val="20"/>
                <w:szCs w:val="20"/>
                <w:lang w:val="sr-Latn-ME"/>
              </w:rPr>
              <w:t>12,1</w:t>
            </w:r>
          </w:p>
          <w:p w14:paraId="07F3C77E" w14:textId="77777777" w:rsidR="0075781B" w:rsidRPr="0023595B" w:rsidRDefault="0075781B" w:rsidP="00D55718">
            <w:pPr>
              <w:jc w:val="center"/>
              <w:rPr>
                <w:szCs w:val="22"/>
                <w:lang w:val="sr-Latn-ME"/>
              </w:rPr>
            </w:pPr>
            <w:r w:rsidRPr="0023595B">
              <w:rPr>
                <w:sz w:val="20"/>
                <w:szCs w:val="20"/>
                <w:lang w:val="sr-Latn-ME"/>
              </w:rPr>
              <w:t>(8,3)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38E605" w14:textId="77777777" w:rsidR="0075781B" w:rsidRPr="0023595B" w:rsidRDefault="0075781B" w:rsidP="00D55718">
            <w:pPr>
              <w:jc w:val="center"/>
              <w:rPr>
                <w:sz w:val="20"/>
                <w:szCs w:val="20"/>
                <w:lang w:val="sr-Latn-ME"/>
              </w:rPr>
            </w:pPr>
            <w:r w:rsidRPr="0023595B">
              <w:rPr>
                <w:sz w:val="20"/>
                <w:szCs w:val="20"/>
                <w:lang w:val="sr-Latn-ME"/>
              </w:rPr>
              <w:t>-2,0</w:t>
            </w:r>
          </w:p>
          <w:p w14:paraId="57DD1EF6" w14:textId="77777777" w:rsidR="0075781B" w:rsidRPr="0023595B" w:rsidRDefault="0075781B" w:rsidP="00D55718">
            <w:pPr>
              <w:jc w:val="center"/>
              <w:rPr>
                <w:szCs w:val="22"/>
                <w:lang w:val="sr-Latn-ME"/>
              </w:rPr>
            </w:pPr>
            <w:r w:rsidRPr="0023595B">
              <w:rPr>
                <w:sz w:val="20"/>
                <w:szCs w:val="20"/>
                <w:lang w:val="sr-Latn-ME"/>
              </w:rPr>
              <w:t>(9,7)</w:t>
            </w:r>
          </w:p>
        </w:tc>
        <w:tc>
          <w:tcPr>
            <w:tcW w:w="1529" w:type="dxa"/>
            <w:tcBorders>
              <w:top w:val="single" w:sz="4" w:space="0" w:color="auto"/>
              <w:left w:val="single" w:sz="4" w:space="0" w:color="auto"/>
              <w:bottom w:val="single" w:sz="4" w:space="0" w:color="auto"/>
              <w:right w:val="single" w:sz="4" w:space="0" w:color="auto"/>
            </w:tcBorders>
            <w:vAlign w:val="center"/>
            <w:hideMark/>
          </w:tcPr>
          <w:p w14:paraId="58F9B8B4" w14:textId="77777777" w:rsidR="0075781B" w:rsidRPr="0023595B" w:rsidRDefault="0075781B" w:rsidP="00D55718">
            <w:pPr>
              <w:jc w:val="center"/>
              <w:rPr>
                <w:sz w:val="20"/>
                <w:szCs w:val="20"/>
                <w:lang w:val="sr-Latn-ME"/>
              </w:rPr>
            </w:pPr>
            <w:r w:rsidRPr="0023595B">
              <w:rPr>
                <w:sz w:val="20"/>
                <w:szCs w:val="20"/>
                <w:lang w:val="sr-Latn-ME"/>
              </w:rPr>
              <w:t>13,5</w:t>
            </w:r>
          </w:p>
          <w:p w14:paraId="7F2FBC76" w14:textId="77777777" w:rsidR="0075781B" w:rsidRPr="0023595B" w:rsidRDefault="0075781B" w:rsidP="00D55718">
            <w:pPr>
              <w:jc w:val="center"/>
              <w:rPr>
                <w:szCs w:val="22"/>
                <w:lang w:val="sr-Latn-ME"/>
              </w:rPr>
            </w:pPr>
            <w:r w:rsidRPr="0023595B">
              <w:rPr>
                <w:sz w:val="20"/>
                <w:szCs w:val="20"/>
                <w:lang w:val="sr-Latn-ME"/>
              </w:rPr>
              <w:t>(8,8)</w:t>
            </w:r>
          </w:p>
        </w:tc>
        <w:tc>
          <w:tcPr>
            <w:tcW w:w="1881" w:type="dxa"/>
            <w:tcBorders>
              <w:top w:val="single" w:sz="4" w:space="0" w:color="auto"/>
              <w:left w:val="single" w:sz="4" w:space="0" w:color="auto"/>
              <w:bottom w:val="single" w:sz="4" w:space="0" w:color="auto"/>
              <w:right w:val="single" w:sz="4" w:space="0" w:color="auto"/>
            </w:tcBorders>
            <w:vAlign w:val="center"/>
          </w:tcPr>
          <w:p w14:paraId="655DEA5C" w14:textId="77777777" w:rsidR="0075781B" w:rsidRPr="0023595B" w:rsidRDefault="0075781B" w:rsidP="00D55718">
            <w:pPr>
              <w:jc w:val="center"/>
              <w:rPr>
                <w:sz w:val="20"/>
                <w:szCs w:val="20"/>
                <w:lang w:val="sr-Latn-ME"/>
              </w:rPr>
            </w:pPr>
            <w:r w:rsidRPr="0023595B">
              <w:rPr>
                <w:sz w:val="20"/>
                <w:szCs w:val="20"/>
                <w:lang w:val="sr-Latn-ME"/>
              </w:rPr>
              <w:t>3,9</w:t>
            </w:r>
          </w:p>
          <w:p w14:paraId="5EF4B00D" w14:textId="77777777" w:rsidR="0075781B" w:rsidRPr="0023595B" w:rsidRDefault="0075781B" w:rsidP="00D55718">
            <w:pPr>
              <w:jc w:val="center"/>
              <w:rPr>
                <w:sz w:val="20"/>
                <w:szCs w:val="20"/>
                <w:lang w:val="sr-Latn-ME"/>
              </w:rPr>
            </w:pPr>
            <w:r w:rsidRPr="0023595B">
              <w:rPr>
                <w:sz w:val="20"/>
                <w:szCs w:val="20"/>
                <w:lang w:val="sr-Latn-ME"/>
              </w:rPr>
              <w:t>(14,3)</w:t>
            </w:r>
          </w:p>
          <w:p w14:paraId="6C12BA63" w14:textId="77777777" w:rsidR="0075781B" w:rsidRPr="0023595B" w:rsidRDefault="0075781B" w:rsidP="00D55718">
            <w:pPr>
              <w:jc w:val="center"/>
              <w:rPr>
                <w:szCs w:val="22"/>
                <w:lang w:val="sr-Latn-ME"/>
              </w:rPr>
            </w:pPr>
          </w:p>
        </w:tc>
      </w:tr>
      <w:tr w:rsidR="0075781B" w:rsidRPr="0023595B" w14:paraId="139CD143" w14:textId="77777777" w:rsidTr="005C0F74">
        <w:tc>
          <w:tcPr>
            <w:tcW w:w="2547" w:type="dxa"/>
            <w:tcBorders>
              <w:top w:val="single" w:sz="4" w:space="0" w:color="auto"/>
              <w:left w:val="single" w:sz="4" w:space="0" w:color="auto"/>
              <w:bottom w:val="single" w:sz="4" w:space="0" w:color="auto"/>
              <w:right w:val="single" w:sz="4" w:space="0" w:color="auto"/>
            </w:tcBorders>
            <w:hideMark/>
          </w:tcPr>
          <w:p w14:paraId="0736EB30" w14:textId="77777777" w:rsidR="0075781B" w:rsidRPr="0023595B" w:rsidRDefault="0075781B" w:rsidP="00D55718">
            <w:pPr>
              <w:rPr>
                <w:sz w:val="20"/>
                <w:szCs w:val="20"/>
                <w:lang w:val="sr-Latn-ME"/>
              </w:rPr>
            </w:pPr>
            <w:r w:rsidRPr="0023595B">
              <w:rPr>
                <w:sz w:val="20"/>
                <w:szCs w:val="20"/>
                <w:lang w:val="sr-Latn-ME"/>
              </w:rPr>
              <w:t xml:space="preserve">Razlika u LS srednjoj vrijednosti </w:t>
            </w:r>
            <w:r w:rsidRPr="0023595B">
              <w:rPr>
                <w:sz w:val="20"/>
                <w:szCs w:val="20"/>
                <w:vertAlign w:val="superscript"/>
                <w:lang w:val="sr-Latn-ME"/>
              </w:rPr>
              <w:t>C,D,E)</w:t>
            </w:r>
          </w:p>
          <w:p w14:paraId="60E93467" w14:textId="77777777" w:rsidR="0075781B" w:rsidRPr="0023595B" w:rsidRDefault="0075781B" w:rsidP="00D55718">
            <w:pPr>
              <w:rPr>
                <w:szCs w:val="22"/>
                <w:lang w:val="sr-Latn-ME"/>
              </w:rPr>
            </w:pPr>
            <w:r w:rsidRPr="0023595B">
              <w:rPr>
                <w:sz w:val="20"/>
                <w:szCs w:val="20"/>
                <w:lang w:val="sr-Latn-ME"/>
              </w:rPr>
              <w:t>(95% 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8C3473" w14:textId="77777777" w:rsidR="0075781B" w:rsidRPr="0023595B" w:rsidRDefault="0075781B" w:rsidP="00D55718">
            <w:pPr>
              <w:jc w:val="center"/>
              <w:rPr>
                <w:sz w:val="20"/>
                <w:szCs w:val="20"/>
                <w:lang w:val="sr-Latn-ME"/>
              </w:rPr>
            </w:pPr>
            <w:r w:rsidRPr="0023595B">
              <w:rPr>
                <w:sz w:val="20"/>
                <w:szCs w:val="20"/>
                <w:lang w:val="sr-Latn-ME"/>
              </w:rPr>
              <w:t>14,1</w:t>
            </w:r>
          </w:p>
          <w:p w14:paraId="36C5023C" w14:textId="77777777" w:rsidR="0075781B" w:rsidRPr="0023595B" w:rsidRDefault="0075781B" w:rsidP="00D55718">
            <w:pPr>
              <w:jc w:val="center"/>
              <w:rPr>
                <w:szCs w:val="22"/>
                <w:lang w:val="sr-Latn-ME"/>
              </w:rPr>
            </w:pPr>
            <w:r w:rsidRPr="0023595B">
              <w:rPr>
                <w:sz w:val="20"/>
                <w:szCs w:val="20"/>
                <w:lang w:val="sr-Latn-ME"/>
              </w:rPr>
              <w:t>(10,8; 17,4)</w:t>
            </w:r>
          </w:p>
        </w:tc>
        <w:tc>
          <w:tcPr>
            <w:tcW w:w="1559" w:type="dxa"/>
            <w:tcBorders>
              <w:top w:val="single" w:sz="4" w:space="0" w:color="auto"/>
              <w:left w:val="single" w:sz="4" w:space="0" w:color="auto"/>
              <w:bottom w:val="single" w:sz="4" w:space="0" w:color="auto"/>
              <w:right w:val="single" w:sz="4" w:space="0" w:color="auto"/>
            </w:tcBorders>
            <w:vAlign w:val="center"/>
          </w:tcPr>
          <w:p w14:paraId="3EF38559" w14:textId="77777777" w:rsidR="0075781B" w:rsidRPr="0023595B" w:rsidRDefault="0075781B" w:rsidP="00D55718">
            <w:pPr>
              <w:jc w:val="center"/>
              <w:rPr>
                <w:szCs w:val="22"/>
                <w:lang w:val="sr-Latn-ME"/>
              </w:rPr>
            </w:pPr>
          </w:p>
        </w:tc>
        <w:tc>
          <w:tcPr>
            <w:tcW w:w="1529" w:type="dxa"/>
            <w:tcBorders>
              <w:top w:val="single" w:sz="4" w:space="0" w:color="auto"/>
              <w:left w:val="single" w:sz="4" w:space="0" w:color="auto"/>
              <w:bottom w:val="single" w:sz="4" w:space="0" w:color="auto"/>
              <w:right w:val="single" w:sz="4" w:space="0" w:color="auto"/>
            </w:tcBorders>
            <w:vAlign w:val="center"/>
            <w:hideMark/>
          </w:tcPr>
          <w:p w14:paraId="1F4F8119" w14:textId="77777777" w:rsidR="0075781B" w:rsidRPr="0023595B" w:rsidRDefault="0075781B" w:rsidP="00D55718">
            <w:pPr>
              <w:jc w:val="center"/>
              <w:rPr>
                <w:sz w:val="20"/>
                <w:szCs w:val="20"/>
                <w:lang w:val="sr-Latn-ME"/>
              </w:rPr>
            </w:pPr>
            <w:r w:rsidRPr="0023595B">
              <w:rPr>
                <w:sz w:val="20"/>
                <w:szCs w:val="20"/>
                <w:lang w:val="sr-Latn-ME"/>
              </w:rPr>
              <w:t>9,5</w:t>
            </w:r>
          </w:p>
          <w:p w14:paraId="481866C9" w14:textId="77777777" w:rsidR="0075781B" w:rsidRPr="0023595B" w:rsidRDefault="0075781B" w:rsidP="00D55718">
            <w:pPr>
              <w:jc w:val="center"/>
              <w:rPr>
                <w:szCs w:val="22"/>
                <w:lang w:val="sr-Latn-ME"/>
              </w:rPr>
            </w:pPr>
            <w:r w:rsidRPr="0023595B">
              <w:rPr>
                <w:sz w:val="20"/>
                <w:szCs w:val="20"/>
                <w:lang w:val="sr-Latn-ME"/>
              </w:rPr>
              <w:t>(5,4; 13.7)</w:t>
            </w:r>
          </w:p>
        </w:tc>
        <w:tc>
          <w:tcPr>
            <w:tcW w:w="1881" w:type="dxa"/>
            <w:tcBorders>
              <w:top w:val="single" w:sz="4" w:space="0" w:color="auto"/>
              <w:left w:val="single" w:sz="4" w:space="0" w:color="auto"/>
              <w:bottom w:val="single" w:sz="4" w:space="0" w:color="auto"/>
              <w:right w:val="single" w:sz="4" w:space="0" w:color="auto"/>
            </w:tcBorders>
            <w:vAlign w:val="center"/>
          </w:tcPr>
          <w:p w14:paraId="6B2C0A87" w14:textId="77777777" w:rsidR="0075781B" w:rsidRPr="0023595B" w:rsidRDefault="0075781B" w:rsidP="00D55718">
            <w:pPr>
              <w:jc w:val="center"/>
              <w:rPr>
                <w:szCs w:val="22"/>
                <w:lang w:val="sr-Latn-ME"/>
              </w:rPr>
            </w:pPr>
          </w:p>
        </w:tc>
      </w:tr>
      <w:tr w:rsidR="0075781B" w:rsidRPr="0023595B" w14:paraId="4984D9E5" w14:textId="77777777" w:rsidTr="005C0F74">
        <w:tc>
          <w:tcPr>
            <w:tcW w:w="2547" w:type="dxa"/>
            <w:tcBorders>
              <w:top w:val="single" w:sz="4" w:space="0" w:color="auto"/>
              <w:left w:val="single" w:sz="4" w:space="0" w:color="auto"/>
              <w:bottom w:val="single" w:sz="4" w:space="0" w:color="auto"/>
              <w:right w:val="single" w:sz="4" w:space="0" w:color="auto"/>
            </w:tcBorders>
            <w:hideMark/>
          </w:tcPr>
          <w:p w14:paraId="0214A054" w14:textId="77777777" w:rsidR="0075781B" w:rsidRPr="0023595B" w:rsidRDefault="0075781B" w:rsidP="00D55718">
            <w:pPr>
              <w:rPr>
                <w:szCs w:val="22"/>
                <w:lang w:val="sr-Latn-ME"/>
              </w:rPr>
            </w:pPr>
            <w:r w:rsidRPr="0023595B">
              <w:rPr>
                <w:sz w:val="20"/>
                <w:szCs w:val="20"/>
                <w:lang w:val="sr-Latn-ME"/>
              </w:rPr>
              <w:t>Procenat pacijenata sa poboljšanjem ≥15 slova u odnosu na početnu vrijednost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5777B3" w14:textId="77777777" w:rsidR="0075781B" w:rsidRPr="0023595B" w:rsidRDefault="0075781B" w:rsidP="00D55718">
            <w:pPr>
              <w:jc w:val="center"/>
              <w:rPr>
                <w:szCs w:val="22"/>
                <w:lang w:val="sr-Latn-ME"/>
              </w:rPr>
            </w:pPr>
            <w:r w:rsidRPr="0023595B">
              <w:rPr>
                <w:sz w:val="20"/>
                <w:szCs w:val="20"/>
                <w:lang w:val="sr-Latn-ME"/>
              </w:rPr>
              <w:t>38,9%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980F47" w14:textId="77777777" w:rsidR="0075781B" w:rsidRPr="0023595B" w:rsidRDefault="0075781B" w:rsidP="00D55718">
            <w:pPr>
              <w:jc w:val="center"/>
              <w:rPr>
                <w:szCs w:val="22"/>
                <w:lang w:val="sr-Latn-ME"/>
              </w:rPr>
            </w:pPr>
            <w:r w:rsidRPr="0023595B">
              <w:rPr>
                <w:sz w:val="20"/>
                <w:szCs w:val="20"/>
                <w:lang w:val="sr-Latn-ME"/>
              </w:rPr>
              <w:t>9,7%</w:t>
            </w:r>
          </w:p>
        </w:tc>
        <w:tc>
          <w:tcPr>
            <w:tcW w:w="1529" w:type="dxa"/>
            <w:tcBorders>
              <w:top w:val="single" w:sz="4" w:space="0" w:color="auto"/>
              <w:left w:val="single" w:sz="4" w:space="0" w:color="auto"/>
              <w:bottom w:val="single" w:sz="4" w:space="0" w:color="auto"/>
              <w:right w:val="single" w:sz="4" w:space="0" w:color="auto"/>
            </w:tcBorders>
            <w:vAlign w:val="center"/>
            <w:hideMark/>
          </w:tcPr>
          <w:p w14:paraId="4E8F144C" w14:textId="77777777" w:rsidR="0075781B" w:rsidRPr="0023595B" w:rsidRDefault="0075781B" w:rsidP="00D55718">
            <w:pPr>
              <w:jc w:val="center"/>
              <w:rPr>
                <w:szCs w:val="22"/>
                <w:lang w:val="sr-Latn-ME"/>
              </w:rPr>
            </w:pPr>
            <w:r w:rsidRPr="0023595B">
              <w:rPr>
                <w:sz w:val="20"/>
                <w:szCs w:val="20"/>
                <w:lang w:val="sr-Latn-ME"/>
              </w:rPr>
              <w:t>50,0%</w:t>
            </w:r>
          </w:p>
        </w:tc>
        <w:tc>
          <w:tcPr>
            <w:tcW w:w="1881" w:type="dxa"/>
            <w:tcBorders>
              <w:top w:val="single" w:sz="4" w:space="0" w:color="auto"/>
              <w:left w:val="single" w:sz="4" w:space="0" w:color="auto"/>
              <w:bottom w:val="single" w:sz="4" w:space="0" w:color="auto"/>
              <w:right w:val="single" w:sz="4" w:space="0" w:color="auto"/>
            </w:tcBorders>
            <w:vAlign w:val="center"/>
            <w:hideMark/>
          </w:tcPr>
          <w:p w14:paraId="620A8B0A" w14:textId="77777777" w:rsidR="0075781B" w:rsidRPr="0023595B" w:rsidRDefault="0075781B" w:rsidP="00D55718">
            <w:pPr>
              <w:jc w:val="center"/>
              <w:rPr>
                <w:szCs w:val="22"/>
                <w:lang w:val="sr-Latn-ME"/>
              </w:rPr>
            </w:pPr>
            <w:r w:rsidRPr="0023595B">
              <w:rPr>
                <w:sz w:val="20"/>
                <w:szCs w:val="20"/>
                <w:lang w:val="sr-Latn-ME"/>
              </w:rPr>
              <w:t>29,0%</w:t>
            </w:r>
          </w:p>
        </w:tc>
      </w:tr>
      <w:tr w:rsidR="0075781B" w:rsidRPr="0023595B" w14:paraId="36C70CCB" w14:textId="77777777" w:rsidTr="005C0F74">
        <w:tc>
          <w:tcPr>
            <w:tcW w:w="2547" w:type="dxa"/>
            <w:tcBorders>
              <w:top w:val="single" w:sz="4" w:space="0" w:color="auto"/>
              <w:left w:val="single" w:sz="4" w:space="0" w:color="auto"/>
              <w:bottom w:val="single" w:sz="4" w:space="0" w:color="auto"/>
              <w:right w:val="single" w:sz="4" w:space="0" w:color="auto"/>
            </w:tcBorders>
            <w:hideMark/>
          </w:tcPr>
          <w:p w14:paraId="08A8092D" w14:textId="77777777" w:rsidR="0075781B" w:rsidRPr="0023595B" w:rsidRDefault="0075781B" w:rsidP="00D55718">
            <w:pPr>
              <w:rPr>
                <w:sz w:val="20"/>
                <w:szCs w:val="20"/>
                <w:lang w:val="sr-Latn-ME"/>
              </w:rPr>
            </w:pPr>
            <w:r w:rsidRPr="0023595B">
              <w:rPr>
                <w:sz w:val="20"/>
                <w:szCs w:val="20"/>
                <w:lang w:val="sr-Latn-ME"/>
              </w:rPr>
              <w:t>Procijenjena razlika</w:t>
            </w:r>
            <w:r w:rsidRPr="0023595B">
              <w:rPr>
                <w:sz w:val="20"/>
                <w:szCs w:val="20"/>
                <w:vertAlign w:val="superscript"/>
                <w:lang w:val="sr-Latn-ME"/>
              </w:rPr>
              <w:t>D,F)</w:t>
            </w:r>
          </w:p>
          <w:p w14:paraId="3174B4CD" w14:textId="77777777" w:rsidR="0075781B" w:rsidRPr="0023595B" w:rsidRDefault="0075781B" w:rsidP="00D55718">
            <w:pPr>
              <w:rPr>
                <w:szCs w:val="22"/>
                <w:lang w:val="sr-Latn-ME"/>
              </w:rPr>
            </w:pPr>
            <w:r w:rsidRPr="0023595B">
              <w:rPr>
                <w:sz w:val="20"/>
                <w:szCs w:val="20"/>
                <w:lang w:val="sr-Latn-ME"/>
              </w:rPr>
              <w:t>(97.5% 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48F1D0" w14:textId="77777777" w:rsidR="0075781B" w:rsidRPr="0023595B" w:rsidRDefault="0075781B" w:rsidP="00D55718">
            <w:pPr>
              <w:jc w:val="center"/>
              <w:rPr>
                <w:sz w:val="20"/>
                <w:szCs w:val="20"/>
                <w:lang w:val="sr-Latn-ME"/>
              </w:rPr>
            </w:pPr>
            <w:r w:rsidRPr="0023595B">
              <w:rPr>
                <w:sz w:val="20"/>
                <w:szCs w:val="20"/>
                <w:lang w:val="sr-Latn-ME"/>
              </w:rPr>
              <w:t>29,2%</w:t>
            </w:r>
          </w:p>
          <w:p w14:paraId="3A71B47F" w14:textId="77777777" w:rsidR="0075781B" w:rsidRPr="0023595B" w:rsidRDefault="0075781B" w:rsidP="00D55718">
            <w:pPr>
              <w:jc w:val="center"/>
              <w:rPr>
                <w:szCs w:val="22"/>
                <w:lang w:val="sr-Latn-ME"/>
              </w:rPr>
            </w:pPr>
            <w:r w:rsidRPr="0023595B">
              <w:rPr>
                <w:sz w:val="20"/>
                <w:szCs w:val="20"/>
                <w:lang w:val="sr-Latn-ME"/>
              </w:rPr>
              <w:t>(14,4; 44,0)</w:t>
            </w:r>
          </w:p>
        </w:tc>
        <w:tc>
          <w:tcPr>
            <w:tcW w:w="1559" w:type="dxa"/>
            <w:tcBorders>
              <w:top w:val="single" w:sz="4" w:space="0" w:color="auto"/>
              <w:left w:val="single" w:sz="4" w:space="0" w:color="auto"/>
              <w:bottom w:val="single" w:sz="4" w:space="0" w:color="auto"/>
              <w:right w:val="single" w:sz="4" w:space="0" w:color="auto"/>
            </w:tcBorders>
            <w:vAlign w:val="center"/>
          </w:tcPr>
          <w:p w14:paraId="3726303F" w14:textId="77777777" w:rsidR="0075781B" w:rsidRPr="0023595B" w:rsidRDefault="0075781B" w:rsidP="00D55718">
            <w:pPr>
              <w:jc w:val="center"/>
              <w:rPr>
                <w:szCs w:val="22"/>
                <w:lang w:val="sr-Latn-ME"/>
              </w:rPr>
            </w:pPr>
          </w:p>
        </w:tc>
        <w:tc>
          <w:tcPr>
            <w:tcW w:w="1529" w:type="dxa"/>
            <w:tcBorders>
              <w:top w:val="single" w:sz="4" w:space="0" w:color="auto"/>
              <w:left w:val="single" w:sz="4" w:space="0" w:color="auto"/>
              <w:bottom w:val="single" w:sz="4" w:space="0" w:color="auto"/>
              <w:right w:val="single" w:sz="4" w:space="0" w:color="auto"/>
            </w:tcBorders>
            <w:vAlign w:val="center"/>
            <w:hideMark/>
          </w:tcPr>
          <w:p w14:paraId="4F15BEFF" w14:textId="77777777" w:rsidR="0075781B" w:rsidRPr="0023595B" w:rsidRDefault="0075781B" w:rsidP="00D55718">
            <w:pPr>
              <w:jc w:val="center"/>
              <w:rPr>
                <w:sz w:val="20"/>
                <w:szCs w:val="20"/>
                <w:lang w:val="sr-Latn-ME"/>
              </w:rPr>
            </w:pPr>
            <w:r w:rsidRPr="0023595B">
              <w:rPr>
                <w:sz w:val="20"/>
                <w:szCs w:val="20"/>
                <w:lang w:val="sr-Latn-ME"/>
              </w:rPr>
              <w:t>21,0%</w:t>
            </w:r>
          </w:p>
          <w:p w14:paraId="104D1BE0" w14:textId="77777777" w:rsidR="0075781B" w:rsidRPr="0023595B" w:rsidRDefault="0075781B" w:rsidP="00D55718">
            <w:pPr>
              <w:jc w:val="center"/>
              <w:rPr>
                <w:szCs w:val="22"/>
                <w:lang w:val="sr-Latn-ME"/>
              </w:rPr>
            </w:pPr>
            <w:r w:rsidRPr="0023595B">
              <w:rPr>
                <w:sz w:val="20"/>
                <w:szCs w:val="20"/>
                <w:lang w:val="sr-Latn-ME"/>
              </w:rPr>
              <w:t>(1,9; 40,1)</w:t>
            </w:r>
          </w:p>
        </w:tc>
        <w:tc>
          <w:tcPr>
            <w:tcW w:w="1881" w:type="dxa"/>
            <w:tcBorders>
              <w:top w:val="single" w:sz="4" w:space="0" w:color="auto"/>
              <w:left w:val="single" w:sz="4" w:space="0" w:color="auto"/>
              <w:bottom w:val="single" w:sz="4" w:space="0" w:color="auto"/>
              <w:right w:val="single" w:sz="4" w:space="0" w:color="auto"/>
            </w:tcBorders>
            <w:vAlign w:val="center"/>
          </w:tcPr>
          <w:p w14:paraId="79330EAD" w14:textId="77777777" w:rsidR="0075781B" w:rsidRPr="0023595B" w:rsidRDefault="0075781B" w:rsidP="00D55718">
            <w:pPr>
              <w:jc w:val="center"/>
              <w:rPr>
                <w:szCs w:val="22"/>
                <w:lang w:val="sr-Latn-ME"/>
              </w:rPr>
            </w:pPr>
          </w:p>
        </w:tc>
      </w:tr>
    </w:tbl>
    <w:p w14:paraId="0D428AA9" w14:textId="77777777" w:rsidR="0075781B" w:rsidRPr="0023595B" w:rsidRDefault="0075781B" w:rsidP="0075781B">
      <w:pPr>
        <w:rPr>
          <w:sz w:val="20"/>
          <w:szCs w:val="20"/>
          <w:lang w:val="sr-Latn-ME"/>
        </w:rPr>
      </w:pPr>
      <w:r w:rsidRPr="0023595B">
        <w:rPr>
          <w:sz w:val="20"/>
          <w:szCs w:val="20"/>
          <w:vertAlign w:val="superscript"/>
          <w:lang w:val="sr-Latn-ME"/>
        </w:rPr>
        <w:t>A)</w:t>
      </w:r>
      <w:r w:rsidR="005C0F74" w:rsidRPr="0023595B">
        <w:rPr>
          <w:sz w:val="20"/>
          <w:szCs w:val="20"/>
          <w:lang w:val="sr-Latn-ME"/>
        </w:rPr>
        <w:t xml:space="preserve">   </w:t>
      </w:r>
      <w:r w:rsidRPr="0023595B">
        <w:rPr>
          <w:sz w:val="20"/>
          <w:szCs w:val="20"/>
          <w:lang w:val="sr-Latn-ME"/>
        </w:rPr>
        <w:t xml:space="preserve">LOCF: Posljednje mjerenje preneseno dalje (engl. </w:t>
      </w:r>
      <w:r w:rsidRPr="0023595B">
        <w:rPr>
          <w:i/>
          <w:sz w:val="20"/>
          <w:szCs w:val="20"/>
          <w:lang w:val="sr-Latn-ME"/>
        </w:rPr>
        <w:t>Last Observation Carried Forward</w:t>
      </w:r>
      <w:r w:rsidRPr="0023595B">
        <w:rPr>
          <w:sz w:val="20"/>
          <w:szCs w:val="20"/>
          <w:lang w:val="sr-Latn-ME"/>
        </w:rPr>
        <w:t>)</w:t>
      </w:r>
    </w:p>
    <w:p w14:paraId="4CCE30BD" w14:textId="77777777" w:rsidR="0075781B" w:rsidRPr="0023595B" w:rsidRDefault="0075781B" w:rsidP="0075781B">
      <w:pPr>
        <w:ind w:left="270" w:hanging="270"/>
        <w:rPr>
          <w:sz w:val="20"/>
          <w:szCs w:val="20"/>
          <w:lang w:val="sr-Latn-ME"/>
        </w:rPr>
      </w:pPr>
      <w:r w:rsidRPr="0023595B">
        <w:rPr>
          <w:sz w:val="20"/>
          <w:szCs w:val="20"/>
          <w:vertAlign w:val="superscript"/>
          <w:lang w:val="sr-Latn-ME"/>
        </w:rPr>
        <w:t>B)</w:t>
      </w:r>
      <w:r w:rsidRPr="0023595B">
        <w:rPr>
          <w:sz w:val="20"/>
          <w:szCs w:val="20"/>
          <w:lang w:val="sr-Latn-ME"/>
        </w:rPr>
        <w:tab/>
        <w:t xml:space="preserve">BCVA: Najbolje korigovana oštrina vida (engl. </w:t>
      </w:r>
      <w:r w:rsidRPr="0023595B">
        <w:rPr>
          <w:i/>
          <w:sz w:val="20"/>
          <w:szCs w:val="20"/>
          <w:lang w:val="sr-Latn-ME"/>
        </w:rPr>
        <w:t>Best Corrected Visual Acuity</w:t>
      </w:r>
      <w:r w:rsidRPr="0023595B">
        <w:rPr>
          <w:sz w:val="20"/>
          <w:szCs w:val="20"/>
          <w:lang w:val="sr-Latn-ME"/>
        </w:rPr>
        <w:t>)</w:t>
      </w:r>
    </w:p>
    <w:p w14:paraId="1D30971B" w14:textId="77777777" w:rsidR="0075781B" w:rsidRPr="0023595B" w:rsidRDefault="0075781B" w:rsidP="0075781B">
      <w:pPr>
        <w:ind w:left="270"/>
        <w:rPr>
          <w:sz w:val="20"/>
          <w:szCs w:val="20"/>
          <w:lang w:val="sr-Latn-ME"/>
        </w:rPr>
      </w:pPr>
      <w:r w:rsidRPr="0023595B">
        <w:rPr>
          <w:sz w:val="20"/>
          <w:szCs w:val="20"/>
          <w:lang w:val="sr-Latn-ME"/>
        </w:rPr>
        <w:t xml:space="preserve">ETDRS: Ispitivanje rane terapije u dijabetičnoj retinopatiji (engl. </w:t>
      </w:r>
      <w:r w:rsidRPr="0023595B">
        <w:rPr>
          <w:i/>
          <w:sz w:val="20"/>
          <w:szCs w:val="20"/>
          <w:lang w:val="sr-Latn-ME"/>
        </w:rPr>
        <w:t>Early Treatement Diabetic Retinopathy Study</w:t>
      </w:r>
      <w:r w:rsidRPr="0023595B">
        <w:rPr>
          <w:sz w:val="20"/>
          <w:szCs w:val="20"/>
          <w:lang w:val="sr-Latn-ME"/>
        </w:rPr>
        <w:t>)</w:t>
      </w:r>
    </w:p>
    <w:p w14:paraId="6C21B57B" w14:textId="12100300" w:rsidR="0075781B" w:rsidRPr="0023595B" w:rsidRDefault="0075781B" w:rsidP="0075781B">
      <w:pPr>
        <w:ind w:left="270"/>
        <w:rPr>
          <w:sz w:val="20"/>
          <w:szCs w:val="20"/>
          <w:lang w:val="sr-Latn-ME"/>
        </w:rPr>
      </w:pPr>
      <w:r w:rsidRPr="0023595B">
        <w:rPr>
          <w:sz w:val="20"/>
          <w:szCs w:val="20"/>
          <w:lang w:val="sr-Latn-ME"/>
        </w:rPr>
        <w:t>SD; S</w:t>
      </w:r>
      <w:r w:rsidR="000C0F75" w:rsidRPr="0023595B">
        <w:rPr>
          <w:sz w:val="20"/>
          <w:szCs w:val="20"/>
          <w:lang w:val="sr-Latn-ME"/>
        </w:rPr>
        <w:t>ta</w:t>
      </w:r>
      <w:r w:rsidRPr="0023595B">
        <w:rPr>
          <w:sz w:val="20"/>
          <w:szCs w:val="20"/>
          <w:lang w:val="sr-Latn-ME"/>
        </w:rPr>
        <w:t>ndardna devijacija</w:t>
      </w:r>
    </w:p>
    <w:p w14:paraId="643C253F" w14:textId="77777777" w:rsidR="0075781B" w:rsidRPr="0023595B" w:rsidRDefault="0075781B" w:rsidP="0075781B">
      <w:pPr>
        <w:ind w:left="270" w:hanging="270"/>
        <w:rPr>
          <w:sz w:val="20"/>
          <w:szCs w:val="20"/>
          <w:lang w:val="sr-Latn-ME"/>
        </w:rPr>
      </w:pPr>
      <w:r w:rsidRPr="0023595B">
        <w:rPr>
          <w:sz w:val="20"/>
          <w:szCs w:val="20"/>
          <w:vertAlign w:val="superscript"/>
          <w:lang w:val="sr-Latn-ME"/>
        </w:rPr>
        <w:t>C)</w:t>
      </w:r>
      <w:r w:rsidRPr="0023595B">
        <w:rPr>
          <w:sz w:val="20"/>
          <w:szCs w:val="20"/>
          <w:lang w:val="sr-Latn-ME"/>
        </w:rPr>
        <w:tab/>
        <w:t>srednja vrijednost LS: srednja vrijednost dobijena metodom najmanjih kvadrata iz ANCOVA metode</w:t>
      </w:r>
    </w:p>
    <w:p w14:paraId="726DBB93" w14:textId="77777777" w:rsidR="0075781B" w:rsidRPr="0023595B" w:rsidRDefault="0075781B" w:rsidP="0075781B">
      <w:pPr>
        <w:ind w:left="270" w:hanging="270"/>
        <w:rPr>
          <w:sz w:val="20"/>
          <w:szCs w:val="20"/>
          <w:lang w:val="sr-Latn-ME"/>
        </w:rPr>
      </w:pPr>
      <w:r w:rsidRPr="0023595B">
        <w:rPr>
          <w:sz w:val="20"/>
          <w:szCs w:val="20"/>
          <w:vertAlign w:val="superscript"/>
          <w:lang w:val="sr-Latn-ME"/>
        </w:rPr>
        <w:t>D)</w:t>
      </w:r>
      <w:r w:rsidRPr="0023595B">
        <w:rPr>
          <w:sz w:val="20"/>
          <w:szCs w:val="20"/>
          <w:lang w:val="sr-Latn-ME"/>
        </w:rPr>
        <w:tab/>
        <w:t>CI: Interval pouzdanosti</w:t>
      </w:r>
    </w:p>
    <w:p w14:paraId="76C1E07F" w14:textId="77777777" w:rsidR="0075781B" w:rsidRPr="0023595B" w:rsidRDefault="0075781B" w:rsidP="0075781B">
      <w:pPr>
        <w:ind w:left="270" w:hanging="270"/>
        <w:rPr>
          <w:sz w:val="20"/>
          <w:szCs w:val="20"/>
          <w:lang w:val="sr-Latn-ME"/>
        </w:rPr>
      </w:pPr>
      <w:r w:rsidRPr="0023595B">
        <w:rPr>
          <w:sz w:val="20"/>
          <w:szCs w:val="20"/>
          <w:vertAlign w:val="superscript"/>
          <w:lang w:val="sr-Latn-ME"/>
        </w:rPr>
        <w:t>E)</w:t>
      </w:r>
      <w:r w:rsidRPr="0023595B">
        <w:rPr>
          <w:sz w:val="20"/>
          <w:szCs w:val="20"/>
          <w:lang w:val="sr-Latn-ME"/>
        </w:rPr>
        <w:tab/>
        <w:t>Razlika LS srednje vrijednosti i intervala pouzdanosti (95% CI) na osnovu ANCOVA modela u kom su terapijska grupa i zemlja (oznake zemalja) bile fiksni efekti, a početni BCVA kovarijabila.</w:t>
      </w:r>
    </w:p>
    <w:p w14:paraId="06CE7023" w14:textId="43E7F422" w:rsidR="0075781B" w:rsidRPr="0023595B" w:rsidRDefault="0075781B" w:rsidP="0075781B">
      <w:pPr>
        <w:ind w:left="270" w:hanging="270"/>
        <w:rPr>
          <w:sz w:val="20"/>
          <w:szCs w:val="20"/>
          <w:lang w:val="sr-Latn-ME"/>
        </w:rPr>
      </w:pPr>
      <w:r w:rsidRPr="0023595B">
        <w:rPr>
          <w:sz w:val="20"/>
          <w:szCs w:val="20"/>
          <w:vertAlign w:val="superscript"/>
          <w:lang w:val="sr-Latn-ME"/>
        </w:rPr>
        <w:t>F)</w:t>
      </w:r>
      <w:r w:rsidRPr="0023595B">
        <w:rPr>
          <w:sz w:val="20"/>
          <w:szCs w:val="20"/>
          <w:lang w:val="sr-Latn-ME"/>
        </w:rPr>
        <w:tab/>
        <w:t xml:space="preserve">Razlika i interval pouzdanosti (95% CI) izračunati su pomoću </w:t>
      </w:r>
      <w:r w:rsidRPr="0023595B">
        <w:rPr>
          <w:i/>
          <w:sz w:val="20"/>
          <w:szCs w:val="20"/>
          <w:lang w:val="sr-Latn-ME"/>
        </w:rPr>
        <w:t>Cochran-Mantel-Haenszel</w:t>
      </w:r>
      <w:r w:rsidRPr="0023595B">
        <w:rPr>
          <w:sz w:val="20"/>
          <w:szCs w:val="20"/>
          <w:lang w:val="sr-Latn-ME"/>
        </w:rPr>
        <w:t>-ovog (CMH) testa prilagođenog za z</w:t>
      </w:r>
      <w:r w:rsidR="000C0F75" w:rsidRPr="0023595B">
        <w:rPr>
          <w:sz w:val="20"/>
          <w:szCs w:val="20"/>
          <w:lang w:val="sr-Latn-ME"/>
        </w:rPr>
        <w:t>e</w:t>
      </w:r>
      <w:r w:rsidRPr="0023595B">
        <w:rPr>
          <w:sz w:val="20"/>
          <w:szCs w:val="20"/>
          <w:lang w:val="sr-Latn-ME"/>
        </w:rPr>
        <w:t>mlju (oznaka zemlje)</w:t>
      </w:r>
    </w:p>
    <w:p w14:paraId="38B095E7" w14:textId="77777777" w:rsidR="0075781B" w:rsidRPr="0023595B" w:rsidRDefault="0075781B" w:rsidP="0075781B">
      <w:pPr>
        <w:jc w:val="both"/>
        <w:rPr>
          <w:sz w:val="22"/>
          <w:szCs w:val="22"/>
          <w:lang w:val="sr-Latn-ME"/>
        </w:rPr>
      </w:pPr>
    </w:p>
    <w:p w14:paraId="697398AE" w14:textId="77777777" w:rsidR="0075781B" w:rsidRPr="0023595B" w:rsidRDefault="0075781B" w:rsidP="0075781B">
      <w:pPr>
        <w:jc w:val="both"/>
        <w:rPr>
          <w:sz w:val="22"/>
          <w:szCs w:val="22"/>
          <w:lang w:val="sr-Latn-ME"/>
        </w:rPr>
      </w:pPr>
      <w:r w:rsidRPr="0023595B">
        <w:rPr>
          <w:b/>
          <w:sz w:val="22"/>
          <w:szCs w:val="22"/>
          <w:lang w:val="sr-Latn-ME"/>
        </w:rPr>
        <w:t>Slika 5</w:t>
      </w:r>
      <w:r w:rsidRPr="0023595B">
        <w:rPr>
          <w:sz w:val="22"/>
          <w:szCs w:val="22"/>
          <w:lang w:val="sr-Latn-ME"/>
        </w:rPr>
        <w:t>: Srednja vrijednost promjene oštrine vida terapijske grupe od početka do 48. nedjelje u okviru MYRROR ispitivanja (kompletna analiza, LOCF)</w:t>
      </w:r>
    </w:p>
    <w:p w14:paraId="12B53C48" w14:textId="77777777" w:rsidR="0075781B" w:rsidRPr="0023595B" w:rsidRDefault="0075781B" w:rsidP="0075781B">
      <w:pPr>
        <w:rPr>
          <w:sz w:val="22"/>
          <w:szCs w:val="22"/>
          <w:lang w:val="sr-Latn-ME"/>
        </w:rPr>
      </w:pPr>
      <w:r w:rsidRPr="0023595B">
        <w:rPr>
          <w:i/>
          <w:noProof/>
          <w:sz w:val="22"/>
          <w:szCs w:val="22"/>
        </w:rPr>
        <mc:AlternateContent>
          <mc:Choice Requires="wps">
            <w:drawing>
              <wp:anchor distT="0" distB="0" distL="114300" distR="114300" simplePos="0" relativeHeight="251662336" behindDoc="0" locked="0" layoutInCell="1" allowOverlap="1" wp14:anchorId="7B8B8FB4" wp14:editId="3414ED7E">
                <wp:simplePos x="0" y="0"/>
                <wp:positionH relativeFrom="column">
                  <wp:posOffset>1198719</wp:posOffset>
                </wp:positionH>
                <wp:positionV relativeFrom="paragraph">
                  <wp:posOffset>109855</wp:posOffset>
                </wp:positionV>
                <wp:extent cx="370840" cy="18891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889125"/>
                        </a:xfrm>
                        <a:prstGeom prst="rect">
                          <a:avLst/>
                        </a:prstGeom>
                        <a:solidFill>
                          <a:srgbClr val="FFFFFF"/>
                        </a:solidFill>
                        <a:ln w="9525">
                          <a:noFill/>
                          <a:miter lim="800000"/>
                          <a:headEnd/>
                          <a:tailEnd/>
                        </a:ln>
                      </wps:spPr>
                      <wps:txbx>
                        <w:txbxContent>
                          <w:p w14:paraId="5CC93BB6"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u </w:t>
                            </w:r>
                            <w:proofErr w:type="spellStart"/>
                            <w:r w:rsidRPr="00C123A1">
                              <w:rPr>
                                <w:sz w:val="20"/>
                                <w:szCs w:val="20"/>
                              </w:rPr>
                              <w:t>oštrini</w:t>
                            </w:r>
                            <w:proofErr w:type="spellEnd"/>
                            <w:r w:rsidRPr="00C123A1">
                              <w:rPr>
                                <w:sz w:val="20"/>
                                <w:szCs w:val="20"/>
                              </w:rPr>
                              <w:t xml:space="preserve"> </w:t>
                            </w:r>
                            <w:proofErr w:type="spellStart"/>
                            <w:r w:rsidRPr="00C123A1">
                              <w:rPr>
                                <w:sz w:val="20"/>
                                <w:szCs w:val="20"/>
                              </w:rPr>
                              <w:t>vida</w:t>
                            </w:r>
                            <w:proofErr w:type="spellEnd"/>
                          </w:p>
                          <w:p w14:paraId="2F0495B3"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B8FB4" id="_x0000_s1044" type="#_x0000_t202" style="position:absolute;margin-left:94.4pt;margin-top:8.65pt;width:29.2pt;height:1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" stroked="f">
                <v:textbox style="layout-flow:vertical;mso-layout-flow-alt:bottom-to-top" inset="0,0,0,0">
                  <w:txbxContent>
                    <w:p w14:paraId="5CC93BB6" w14:textId="77777777" w:rsidR="00DA4990" w:rsidRPr="00C123A1" w:rsidRDefault="00DA4990" w:rsidP="0075781B">
                      <w:pPr>
                        <w:jc w:val="center"/>
                        <w:rPr>
                          <w:sz w:val="20"/>
                          <w:szCs w:val="20"/>
                        </w:rPr>
                      </w:pPr>
                      <w:proofErr w:type="spellStart"/>
                      <w:r w:rsidRPr="00C123A1">
                        <w:rPr>
                          <w:sz w:val="20"/>
                          <w:szCs w:val="20"/>
                        </w:rPr>
                        <w:t>Srednja</w:t>
                      </w:r>
                      <w:proofErr w:type="spellEnd"/>
                      <w:r w:rsidRPr="00C123A1">
                        <w:rPr>
                          <w:sz w:val="20"/>
                          <w:szCs w:val="20"/>
                        </w:rPr>
                        <w:t xml:space="preserve"> </w:t>
                      </w:r>
                      <w:proofErr w:type="spellStart"/>
                      <w:r w:rsidRPr="00C123A1">
                        <w:rPr>
                          <w:sz w:val="20"/>
                          <w:szCs w:val="20"/>
                        </w:rPr>
                        <w:t>prom</w:t>
                      </w:r>
                      <w:r>
                        <w:rPr>
                          <w:sz w:val="20"/>
                          <w:szCs w:val="20"/>
                        </w:rPr>
                        <w:t>j</w:t>
                      </w:r>
                      <w:r w:rsidRPr="00C123A1">
                        <w:rPr>
                          <w:sz w:val="20"/>
                          <w:szCs w:val="20"/>
                        </w:rPr>
                        <w:t>ena</w:t>
                      </w:r>
                      <w:proofErr w:type="spellEnd"/>
                      <w:r w:rsidRPr="00C123A1">
                        <w:rPr>
                          <w:sz w:val="20"/>
                          <w:szCs w:val="20"/>
                        </w:rPr>
                        <w:t xml:space="preserve"> u </w:t>
                      </w:r>
                      <w:proofErr w:type="spellStart"/>
                      <w:r w:rsidRPr="00C123A1">
                        <w:rPr>
                          <w:sz w:val="20"/>
                          <w:szCs w:val="20"/>
                        </w:rPr>
                        <w:t>oštrini</w:t>
                      </w:r>
                      <w:proofErr w:type="spellEnd"/>
                      <w:r w:rsidRPr="00C123A1">
                        <w:rPr>
                          <w:sz w:val="20"/>
                          <w:szCs w:val="20"/>
                        </w:rPr>
                        <w:t xml:space="preserve"> </w:t>
                      </w:r>
                      <w:proofErr w:type="spellStart"/>
                      <w:r w:rsidRPr="00C123A1">
                        <w:rPr>
                          <w:sz w:val="20"/>
                          <w:szCs w:val="20"/>
                        </w:rPr>
                        <w:t>vida</w:t>
                      </w:r>
                      <w:proofErr w:type="spellEnd"/>
                    </w:p>
                    <w:p w14:paraId="2F0495B3" w14:textId="77777777" w:rsidR="00DA4990" w:rsidRPr="00C123A1" w:rsidRDefault="00DA4990" w:rsidP="0075781B">
                      <w:pPr>
                        <w:jc w:val="center"/>
                        <w:rPr>
                          <w:sz w:val="20"/>
                          <w:szCs w:val="20"/>
                        </w:rPr>
                      </w:pPr>
                      <w:r w:rsidRPr="00C123A1">
                        <w:rPr>
                          <w:sz w:val="20"/>
                          <w:szCs w:val="20"/>
                        </w:rPr>
                        <w:t>(</w:t>
                      </w:r>
                      <w:proofErr w:type="spellStart"/>
                      <w:r w:rsidRPr="00C123A1">
                        <w:rPr>
                          <w:sz w:val="20"/>
                          <w:szCs w:val="20"/>
                        </w:rPr>
                        <w:t>slova</w:t>
                      </w:r>
                      <w:proofErr w:type="spellEnd"/>
                      <w:r w:rsidRPr="00C123A1">
                        <w:rPr>
                          <w:sz w:val="20"/>
                          <w:szCs w:val="20"/>
                        </w:rPr>
                        <w:t>)</w:t>
                      </w:r>
                    </w:p>
                  </w:txbxContent>
                </v:textbox>
              </v:shape>
            </w:pict>
          </mc:Fallback>
        </mc:AlternateContent>
      </w:r>
    </w:p>
    <w:p w14:paraId="5DEFD309" w14:textId="77777777" w:rsidR="0075781B" w:rsidRPr="0023595B" w:rsidRDefault="0075781B" w:rsidP="0075781B">
      <w:pPr>
        <w:jc w:val="center"/>
        <w:rPr>
          <w:szCs w:val="22"/>
          <w:lang w:val="sr-Latn-ME"/>
        </w:rPr>
      </w:pPr>
      <w:r w:rsidRPr="0023595B">
        <w:rPr>
          <w:i/>
          <w:noProof/>
          <w:szCs w:val="22"/>
        </w:rPr>
        <mc:AlternateContent>
          <mc:Choice Requires="wps">
            <w:drawing>
              <wp:anchor distT="0" distB="0" distL="114300" distR="114300" simplePos="0" relativeHeight="251663360" behindDoc="0" locked="0" layoutInCell="1" allowOverlap="1" wp14:anchorId="21E7D36A" wp14:editId="55A65EC6">
                <wp:simplePos x="0" y="0"/>
                <wp:positionH relativeFrom="column">
                  <wp:posOffset>1527175</wp:posOffset>
                </wp:positionH>
                <wp:positionV relativeFrom="paragraph">
                  <wp:posOffset>2007235</wp:posOffset>
                </wp:positionV>
                <wp:extent cx="2893060" cy="149860"/>
                <wp:effectExtent l="0" t="0" r="2540" b="25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49860"/>
                        </a:xfrm>
                        <a:prstGeom prst="rect">
                          <a:avLst/>
                        </a:prstGeom>
                        <a:solidFill>
                          <a:srgbClr val="FFFFFF"/>
                        </a:solidFill>
                        <a:ln w="9525">
                          <a:noFill/>
                          <a:miter lim="800000"/>
                          <a:headEnd/>
                          <a:tailEnd/>
                        </a:ln>
                      </wps:spPr>
                      <wps:txbx>
                        <w:txbxContent>
                          <w:p w14:paraId="7E3D4EEC" w14:textId="77777777" w:rsidR="00DA4990" w:rsidRPr="00C123A1" w:rsidRDefault="00DA4990" w:rsidP="0075781B">
                            <w:pPr>
                              <w:jc w:val="center"/>
                              <w:rPr>
                                <w:sz w:val="20"/>
                                <w:szCs w:val="20"/>
                              </w:rPr>
                            </w:pPr>
                            <w:proofErr w:type="spellStart"/>
                            <w:r w:rsidRPr="00C123A1">
                              <w:rPr>
                                <w:sz w:val="20"/>
                                <w:szCs w:val="20"/>
                              </w:rPr>
                              <w:t>Eylea</w:t>
                            </w:r>
                            <w:proofErr w:type="spellEnd"/>
                            <w:r w:rsidRPr="00C123A1">
                              <w:rPr>
                                <w:sz w:val="20"/>
                                <w:szCs w:val="20"/>
                              </w:rPr>
                              <w:t xml:space="preserve"> 2 mg</w:t>
                            </w:r>
                            <w:r w:rsidRPr="00C123A1">
                              <w:rPr>
                                <w:sz w:val="20"/>
                                <w:szCs w:val="20"/>
                              </w:rPr>
                              <w:tab/>
                              <w:t xml:space="preserve">     </w:t>
                            </w:r>
                            <w:proofErr w:type="spellStart"/>
                            <w:r w:rsidRPr="00C123A1">
                              <w:rPr>
                                <w:sz w:val="20"/>
                                <w:szCs w:val="20"/>
                              </w:rPr>
                              <w:t>Kontrolna</w:t>
                            </w:r>
                            <w:proofErr w:type="spellEnd"/>
                            <w:r w:rsidRPr="00C123A1">
                              <w:rPr>
                                <w:sz w:val="20"/>
                                <w:szCs w:val="20"/>
                              </w:rPr>
                              <w:t xml:space="preserve"> </w:t>
                            </w:r>
                            <w:proofErr w:type="spellStart"/>
                            <w:r w:rsidRPr="00C123A1">
                              <w:rPr>
                                <w:sz w:val="20"/>
                                <w:szCs w:val="20"/>
                              </w:rPr>
                              <w:t>grupa</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7D36A" id="_x0000_s1045" type="#_x0000_t202" style="position:absolute;left:0;text-align:left;margin-left:120.25pt;margin-top:158.05pt;width:227.8pt;height: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" stroked="f">
                <v:textbox inset="0,0,0,0">
                  <w:txbxContent>
                    <w:p w14:paraId="7E3D4EEC" w14:textId="77777777" w:rsidR="00DA4990" w:rsidRPr="00C123A1" w:rsidRDefault="00DA4990" w:rsidP="0075781B">
                      <w:pPr>
                        <w:jc w:val="center"/>
                        <w:rPr>
                          <w:sz w:val="20"/>
                          <w:szCs w:val="20"/>
                        </w:rPr>
                      </w:pPr>
                      <w:proofErr w:type="spellStart"/>
                      <w:r w:rsidRPr="00C123A1">
                        <w:rPr>
                          <w:sz w:val="20"/>
                          <w:szCs w:val="20"/>
                        </w:rPr>
                        <w:t>Eylea</w:t>
                      </w:r>
                      <w:proofErr w:type="spellEnd"/>
                      <w:r w:rsidRPr="00C123A1">
                        <w:rPr>
                          <w:sz w:val="20"/>
                          <w:szCs w:val="20"/>
                        </w:rPr>
                        <w:t xml:space="preserve"> 2 mg</w:t>
                      </w:r>
                      <w:r w:rsidRPr="00C123A1">
                        <w:rPr>
                          <w:sz w:val="20"/>
                          <w:szCs w:val="20"/>
                        </w:rPr>
                        <w:tab/>
                        <w:t xml:space="preserve">     </w:t>
                      </w:r>
                      <w:proofErr w:type="spellStart"/>
                      <w:r w:rsidRPr="00C123A1">
                        <w:rPr>
                          <w:sz w:val="20"/>
                          <w:szCs w:val="20"/>
                        </w:rPr>
                        <w:t>Kontrolna</w:t>
                      </w:r>
                      <w:proofErr w:type="spellEnd"/>
                      <w:r w:rsidRPr="00C123A1">
                        <w:rPr>
                          <w:sz w:val="20"/>
                          <w:szCs w:val="20"/>
                        </w:rPr>
                        <w:t xml:space="preserve"> </w:t>
                      </w:r>
                      <w:proofErr w:type="spellStart"/>
                      <w:r w:rsidRPr="00C123A1">
                        <w:rPr>
                          <w:sz w:val="20"/>
                          <w:szCs w:val="20"/>
                        </w:rPr>
                        <w:t>grupa</w:t>
                      </w:r>
                      <w:proofErr w:type="spellEnd"/>
                    </w:p>
                  </w:txbxContent>
                </v:textbox>
              </v:shape>
            </w:pict>
          </mc:Fallback>
        </mc:AlternateContent>
      </w:r>
      <w:r w:rsidRPr="0023595B">
        <w:rPr>
          <w:noProof/>
          <w:szCs w:val="22"/>
        </w:rPr>
        <w:drawing>
          <wp:inline distT="0" distB="0" distL="0" distR="0" wp14:anchorId="6A8EC6E4" wp14:editId="0271076D">
            <wp:extent cx="3101645" cy="2012960"/>
            <wp:effectExtent l="0" t="0" r="381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04370" cy="2014729"/>
                    </a:xfrm>
                    <a:prstGeom prst="rect">
                      <a:avLst/>
                    </a:prstGeom>
                    <a:noFill/>
                  </pic:spPr>
                </pic:pic>
              </a:graphicData>
            </a:graphic>
          </wp:inline>
        </w:drawing>
      </w:r>
    </w:p>
    <w:p w14:paraId="1109BF67" w14:textId="77777777" w:rsidR="0075781B" w:rsidRPr="0023595B" w:rsidRDefault="0075781B" w:rsidP="0075781B">
      <w:pPr>
        <w:jc w:val="both"/>
        <w:rPr>
          <w:sz w:val="22"/>
          <w:szCs w:val="22"/>
          <w:lang w:val="sr-Latn-ME"/>
        </w:rPr>
      </w:pPr>
    </w:p>
    <w:p w14:paraId="3E009C13" w14:textId="77777777" w:rsidR="0075781B" w:rsidRPr="0023595B" w:rsidRDefault="0075781B" w:rsidP="0075781B">
      <w:pPr>
        <w:tabs>
          <w:tab w:val="center" w:pos="4536"/>
          <w:tab w:val="right" w:pos="9072"/>
        </w:tabs>
        <w:jc w:val="both"/>
        <w:rPr>
          <w:bCs/>
          <w:sz w:val="22"/>
          <w:szCs w:val="22"/>
          <w:u w:val="single"/>
          <w:lang w:val="sr-Latn-ME" w:eastAsia="sr-Latn-RS"/>
        </w:rPr>
      </w:pPr>
      <w:r w:rsidRPr="0023595B">
        <w:rPr>
          <w:bCs/>
          <w:sz w:val="22"/>
          <w:szCs w:val="22"/>
          <w:u w:val="single"/>
          <w:lang w:val="sr-Latn-ME" w:eastAsia="sr-Latn-RS"/>
        </w:rPr>
        <w:t>Pedijatrijska populacija</w:t>
      </w:r>
    </w:p>
    <w:p w14:paraId="38704D95" w14:textId="348D906C" w:rsidR="0075781B" w:rsidRPr="0023595B" w:rsidRDefault="0075781B" w:rsidP="0075781B">
      <w:pPr>
        <w:tabs>
          <w:tab w:val="center" w:pos="4536"/>
          <w:tab w:val="right" w:pos="9072"/>
        </w:tabs>
        <w:jc w:val="both"/>
        <w:rPr>
          <w:bCs/>
          <w:sz w:val="22"/>
          <w:szCs w:val="22"/>
          <w:lang w:val="sr-Latn-ME" w:eastAsia="sr-Latn-RS"/>
        </w:rPr>
      </w:pPr>
      <w:r w:rsidRPr="0023595B">
        <w:rPr>
          <w:bCs/>
          <w:sz w:val="22"/>
          <w:szCs w:val="22"/>
          <w:lang w:val="sr-Latn-ME" w:eastAsia="sr-Latn-RS"/>
        </w:rPr>
        <w:t>Evropska agencija za ljekove je izuzela obavezu podnošenja rezultata ispitivanja sa lijekom Eylea za vlažnu AMD, CRVO, BRVO, DME i CNV</w:t>
      </w:r>
      <w:r w:rsidRPr="0023595B">
        <w:rPr>
          <w:sz w:val="22"/>
          <w:szCs w:val="22"/>
          <w:lang w:val="sr-Latn-ME"/>
        </w:rPr>
        <w:t xml:space="preserve"> uzrokovanu miopijom </w:t>
      </w:r>
      <w:r w:rsidRPr="0023595B">
        <w:rPr>
          <w:bCs/>
          <w:sz w:val="22"/>
          <w:szCs w:val="22"/>
          <w:lang w:val="sr-Latn-ME" w:eastAsia="sr-Latn-RS"/>
        </w:rPr>
        <w:t xml:space="preserve">u svim podgrupama pedijatrijske populacije (za informacije o upotrebi u pedijatrijskoj populaciji vidjeti </w:t>
      </w:r>
      <w:r w:rsidR="004D7C5D" w:rsidRPr="0023595B">
        <w:rPr>
          <w:bCs/>
          <w:sz w:val="22"/>
          <w:szCs w:val="22"/>
          <w:lang w:val="sr-Latn-ME" w:eastAsia="sr-Latn-RS"/>
        </w:rPr>
        <w:t xml:space="preserve">dio </w:t>
      </w:r>
      <w:r w:rsidRPr="0023595B">
        <w:rPr>
          <w:bCs/>
          <w:sz w:val="22"/>
          <w:szCs w:val="22"/>
          <w:lang w:val="sr-Latn-ME" w:eastAsia="sr-Latn-RS"/>
        </w:rPr>
        <w:t>4.2).</w:t>
      </w:r>
    </w:p>
    <w:p w14:paraId="475D2E50" w14:textId="77777777" w:rsidR="0075781B" w:rsidRPr="0023595B" w:rsidRDefault="0075781B" w:rsidP="0075781B">
      <w:pPr>
        <w:tabs>
          <w:tab w:val="left" w:pos="540"/>
          <w:tab w:val="left" w:pos="569"/>
        </w:tabs>
        <w:jc w:val="both"/>
        <w:rPr>
          <w:bCs/>
          <w:sz w:val="22"/>
          <w:szCs w:val="22"/>
          <w:lang w:val="sr-Latn-ME"/>
        </w:rPr>
      </w:pPr>
    </w:p>
    <w:p w14:paraId="5CC67D17"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5.2. </w:t>
      </w:r>
      <w:r w:rsidR="00480FB1" w:rsidRPr="0023595B">
        <w:rPr>
          <w:b/>
          <w:bCs/>
          <w:sz w:val="22"/>
          <w:szCs w:val="22"/>
          <w:lang w:val="sr-Latn-ME"/>
        </w:rPr>
        <w:tab/>
      </w:r>
      <w:r w:rsidRPr="0023595B">
        <w:rPr>
          <w:b/>
          <w:bCs/>
          <w:sz w:val="22"/>
          <w:szCs w:val="22"/>
          <w:lang w:val="sr-Latn-ME"/>
        </w:rPr>
        <w:t>Farmakokinetički podaci</w:t>
      </w:r>
      <w:r w:rsidR="003A7059" w:rsidRPr="0023595B">
        <w:rPr>
          <w:b/>
          <w:bCs/>
          <w:sz w:val="22"/>
          <w:szCs w:val="22"/>
          <w:lang w:val="sr-Latn-ME"/>
        </w:rPr>
        <w:t xml:space="preserve"> </w:t>
      </w:r>
    </w:p>
    <w:p w14:paraId="45B9C6E1" w14:textId="77777777" w:rsidR="0072020E" w:rsidRPr="0023595B" w:rsidRDefault="0072020E" w:rsidP="005C0F74">
      <w:pPr>
        <w:tabs>
          <w:tab w:val="left" w:pos="540"/>
          <w:tab w:val="left" w:pos="569"/>
        </w:tabs>
        <w:jc w:val="both"/>
        <w:rPr>
          <w:bCs/>
          <w:sz w:val="22"/>
          <w:szCs w:val="22"/>
          <w:lang w:val="sr-Latn-ME"/>
        </w:rPr>
      </w:pPr>
    </w:p>
    <w:p w14:paraId="030F7252"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Lijek Eylea se primjenjuje direktno u staklasto tijelo da bi ispoljio lokalno dejstvo u oku.</w:t>
      </w:r>
    </w:p>
    <w:p w14:paraId="02A15955" w14:textId="77777777" w:rsidR="005C0F74" w:rsidRPr="0023595B" w:rsidRDefault="005C0F74" w:rsidP="005C0F74">
      <w:pPr>
        <w:tabs>
          <w:tab w:val="center" w:pos="4536"/>
          <w:tab w:val="right" w:pos="9072"/>
        </w:tabs>
        <w:jc w:val="both"/>
        <w:rPr>
          <w:sz w:val="22"/>
          <w:szCs w:val="22"/>
          <w:lang w:val="sr-Latn-ME"/>
        </w:rPr>
      </w:pPr>
    </w:p>
    <w:p w14:paraId="02ECC570" w14:textId="77777777" w:rsidR="005C0F74" w:rsidRPr="0023595B" w:rsidRDefault="005C0F74" w:rsidP="005C0F74">
      <w:pPr>
        <w:tabs>
          <w:tab w:val="center" w:pos="4536"/>
          <w:tab w:val="right" w:pos="9072"/>
        </w:tabs>
        <w:jc w:val="both"/>
        <w:rPr>
          <w:sz w:val="22"/>
          <w:szCs w:val="22"/>
          <w:u w:val="single"/>
          <w:lang w:val="sr-Latn-ME"/>
        </w:rPr>
      </w:pPr>
      <w:r w:rsidRPr="0023595B">
        <w:rPr>
          <w:sz w:val="22"/>
          <w:szCs w:val="22"/>
          <w:u w:val="single"/>
          <w:lang w:val="sr-Latn-ME"/>
        </w:rPr>
        <w:t>Resorpcija/distribucija</w:t>
      </w:r>
    </w:p>
    <w:p w14:paraId="505EFC99"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Aflibercept se nakon intravitrealne primjene polako resorbuje iz oka u sistemsku cirkulaciju i u njoj se uglavnom opaža kao stabilan, neaktivan kompleks sa VEGF; međutim samo je „slobodan aflibercept“ sposoban da veže endogeni VEGF.</w:t>
      </w:r>
    </w:p>
    <w:p w14:paraId="670D6485" w14:textId="77777777" w:rsidR="005C0F74" w:rsidRPr="0023595B" w:rsidRDefault="005C0F74" w:rsidP="005C0F74">
      <w:pPr>
        <w:tabs>
          <w:tab w:val="center" w:pos="4536"/>
          <w:tab w:val="right" w:pos="9072"/>
        </w:tabs>
        <w:jc w:val="both"/>
        <w:rPr>
          <w:sz w:val="22"/>
          <w:szCs w:val="22"/>
          <w:lang w:val="sr-Latn-ME"/>
        </w:rPr>
      </w:pPr>
    </w:p>
    <w:p w14:paraId="07D62B5F" w14:textId="56517163"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lastRenderedPageBreak/>
        <w:t>U farmakokinetičkom podispitivanju kod 6 pacijenata sa neovaskularnom vlažnom AMD sa čestim uzorkovanjem, maksimalne plazma koncentracije slobodnog aflibercepta (sistemski C</w:t>
      </w:r>
      <w:r w:rsidRPr="0023595B">
        <w:rPr>
          <w:sz w:val="22"/>
          <w:szCs w:val="22"/>
          <w:vertAlign w:val="subscript"/>
          <w:lang w:val="sr-Latn-ME"/>
        </w:rPr>
        <w:t>max</w:t>
      </w:r>
      <w:r w:rsidRPr="0023595B">
        <w:rPr>
          <w:sz w:val="22"/>
          <w:szCs w:val="22"/>
          <w:lang w:val="sr-Latn-ME"/>
        </w:rPr>
        <w:t>) bile su niske, uz srednju vrijednost od približno 0,02 mikrograma/</w:t>
      </w:r>
      <w:r w:rsidR="005D3145" w:rsidRPr="0023595B">
        <w:rPr>
          <w:sz w:val="22"/>
          <w:szCs w:val="22"/>
          <w:lang w:val="sr-Latn-ME"/>
        </w:rPr>
        <w:t>m</w:t>
      </w:r>
      <w:r w:rsidR="004D7C5D" w:rsidRPr="0023595B">
        <w:rPr>
          <w:sz w:val="22"/>
          <w:szCs w:val="22"/>
          <w:lang w:val="sr-Latn-ME"/>
        </w:rPr>
        <w:t>l</w:t>
      </w:r>
      <w:r w:rsidR="005D3145" w:rsidRPr="0023595B">
        <w:rPr>
          <w:sz w:val="22"/>
          <w:szCs w:val="22"/>
          <w:lang w:val="sr-Latn-ME"/>
        </w:rPr>
        <w:t xml:space="preserve"> </w:t>
      </w:r>
      <w:r w:rsidRPr="0023595B">
        <w:rPr>
          <w:sz w:val="22"/>
          <w:szCs w:val="22"/>
          <w:lang w:val="sr-Latn-ME"/>
        </w:rPr>
        <w:t>(raspon 0 do 0,054) u periodu između prvog i trećeg dana nakon intravitrealne injekcije od 2 mg, i bile su nedetektabilne nakon dvije nedjelje od davanja doze, kod skoro svih pacijenata. Aflibercept se ne akumulira u plazmi kada se primjenjuje intravitrealno na svake 4 nedjelje.</w:t>
      </w:r>
    </w:p>
    <w:p w14:paraId="3E4A81F3" w14:textId="77777777" w:rsidR="005C0F74" w:rsidRPr="0023595B" w:rsidRDefault="005C0F74" w:rsidP="005C0F74">
      <w:pPr>
        <w:tabs>
          <w:tab w:val="center" w:pos="4536"/>
          <w:tab w:val="right" w:pos="9072"/>
        </w:tabs>
        <w:jc w:val="both"/>
        <w:rPr>
          <w:sz w:val="22"/>
          <w:szCs w:val="22"/>
          <w:lang w:val="sr-Latn-ME"/>
        </w:rPr>
      </w:pPr>
    </w:p>
    <w:p w14:paraId="4B682816" w14:textId="234593B0"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Srednja vrijednost maksimalnih koncentracija slobodnog aflibercepta u plazmi je približno 50 do 500 puta ispod koncentracije aflibercepta potrebne da za 50% inhibira biološku aktivnost sistemskog VEGF u modelima na životinjama, kod kojih su promjene krvnog pritiska bile zapažene nakon što je nivo aflibercepta u cirkulaciji dostizao približno 10 mikrograma/</w:t>
      </w:r>
      <w:r w:rsidR="005D3145" w:rsidRPr="0023595B">
        <w:rPr>
          <w:sz w:val="22"/>
          <w:szCs w:val="22"/>
          <w:lang w:val="sr-Latn-ME"/>
        </w:rPr>
        <w:t>m</w:t>
      </w:r>
      <w:r w:rsidR="000C0F75" w:rsidRPr="0023595B">
        <w:rPr>
          <w:sz w:val="22"/>
          <w:szCs w:val="22"/>
          <w:lang w:val="sr-Latn-ME"/>
        </w:rPr>
        <w:t>l</w:t>
      </w:r>
      <w:r w:rsidRPr="0023595B">
        <w:rPr>
          <w:sz w:val="22"/>
          <w:szCs w:val="22"/>
          <w:lang w:val="sr-Latn-ME"/>
        </w:rPr>
        <w:t>, a vraćale su se na početne vrijednosti kada bi nivo pao ispod približno 1 mikrogram/</w:t>
      </w:r>
      <w:r w:rsidR="005D3145" w:rsidRPr="0023595B">
        <w:rPr>
          <w:sz w:val="22"/>
          <w:szCs w:val="22"/>
          <w:lang w:val="sr-Latn-ME"/>
        </w:rPr>
        <w:t>m</w:t>
      </w:r>
      <w:r w:rsidR="000C0F75" w:rsidRPr="0023595B">
        <w:rPr>
          <w:sz w:val="22"/>
          <w:szCs w:val="22"/>
          <w:lang w:val="sr-Latn-ME"/>
        </w:rPr>
        <w:t>l</w:t>
      </w:r>
      <w:r w:rsidRPr="0023595B">
        <w:rPr>
          <w:sz w:val="22"/>
          <w:szCs w:val="22"/>
          <w:lang w:val="sr-Latn-ME"/>
        </w:rPr>
        <w:t>. Procijenjuje se da je nakon intravitrealne primjene 2 mg pacijentima, srednja vrijednost maksimalne plazma koncentracije slobodnog aflibercepta niža za više od 100 puta od koncentracije aflibercepta potrebne da upola-maksimalno veže sistemski VEGF (2,91 mikrogram/</w:t>
      </w:r>
      <w:r w:rsidR="005D3145" w:rsidRPr="0023595B">
        <w:rPr>
          <w:sz w:val="22"/>
          <w:szCs w:val="22"/>
          <w:lang w:val="sr-Latn-ME"/>
        </w:rPr>
        <w:t>m</w:t>
      </w:r>
      <w:r w:rsidR="000C0F75" w:rsidRPr="0023595B">
        <w:rPr>
          <w:sz w:val="22"/>
          <w:szCs w:val="22"/>
          <w:lang w:val="sr-Latn-ME"/>
        </w:rPr>
        <w:t>l</w:t>
      </w:r>
      <w:r w:rsidRPr="0023595B">
        <w:rPr>
          <w:sz w:val="22"/>
          <w:szCs w:val="22"/>
          <w:lang w:val="sr-Latn-ME"/>
        </w:rPr>
        <w:t>) u ispitivanju na zdravim dobrovoljcima. Zbog toga su sistemski farmakodinamski efekti, kao što je promjena krvnog pritiska, malo v</w:t>
      </w:r>
      <w:r w:rsidR="000C0F75" w:rsidRPr="0023595B">
        <w:rPr>
          <w:sz w:val="22"/>
          <w:szCs w:val="22"/>
          <w:lang w:val="sr-Latn-ME"/>
        </w:rPr>
        <w:t>j</w:t>
      </w:r>
      <w:r w:rsidRPr="0023595B">
        <w:rPr>
          <w:sz w:val="22"/>
          <w:szCs w:val="22"/>
          <w:lang w:val="sr-Latn-ME"/>
        </w:rPr>
        <w:t>erovatni.</w:t>
      </w:r>
    </w:p>
    <w:p w14:paraId="75D6A18A" w14:textId="77777777" w:rsidR="005C0F74" w:rsidRPr="0023595B" w:rsidRDefault="005C0F74" w:rsidP="005C0F74">
      <w:pPr>
        <w:tabs>
          <w:tab w:val="center" w:pos="4536"/>
          <w:tab w:val="right" w:pos="9072"/>
        </w:tabs>
        <w:jc w:val="both"/>
        <w:rPr>
          <w:sz w:val="22"/>
          <w:szCs w:val="22"/>
          <w:lang w:val="sr-Latn-ME"/>
        </w:rPr>
      </w:pPr>
    </w:p>
    <w:p w14:paraId="46002B43" w14:textId="5A5846E6" w:rsidR="005C0F74" w:rsidRPr="0023595B" w:rsidRDefault="005C0F74" w:rsidP="005C0F74">
      <w:pPr>
        <w:jc w:val="both"/>
        <w:rPr>
          <w:sz w:val="22"/>
          <w:szCs w:val="22"/>
          <w:lang w:val="sr-Latn-ME"/>
        </w:rPr>
      </w:pPr>
      <w:r w:rsidRPr="0023595B">
        <w:rPr>
          <w:sz w:val="22"/>
          <w:szCs w:val="22"/>
          <w:lang w:val="sr-Latn-ME"/>
        </w:rPr>
        <w:t>Ovi farmakokinetički rezultati bili su potvrđeni u farmakokinetičkim podispitivanjima kod pacijenata sa CRVO, BRVO, DME ili CNV uzrokovanom miopijom srednja vrijednost C</w:t>
      </w:r>
      <w:r w:rsidRPr="0023595B">
        <w:rPr>
          <w:sz w:val="22"/>
          <w:szCs w:val="22"/>
          <w:vertAlign w:val="subscript"/>
          <w:lang w:val="sr-Latn-ME"/>
        </w:rPr>
        <w:t>max</w:t>
      </w:r>
      <w:r w:rsidRPr="0023595B">
        <w:rPr>
          <w:sz w:val="22"/>
          <w:szCs w:val="22"/>
          <w:lang w:val="sr-Latn-ME"/>
        </w:rPr>
        <w:t xml:space="preserve"> slobodnog aflibercepta u plazmi je bila slična vrijednostima u rasponu: 0,03 do 0,05 mikrograma/</w:t>
      </w:r>
      <w:r w:rsidR="005D3145" w:rsidRPr="0023595B">
        <w:rPr>
          <w:sz w:val="22"/>
          <w:szCs w:val="22"/>
          <w:lang w:val="sr-Latn-ME"/>
        </w:rPr>
        <w:t>m</w:t>
      </w:r>
      <w:r w:rsidR="000C0F75" w:rsidRPr="0023595B">
        <w:rPr>
          <w:sz w:val="22"/>
          <w:szCs w:val="22"/>
          <w:lang w:val="sr-Latn-ME"/>
        </w:rPr>
        <w:t>l</w:t>
      </w:r>
      <w:r w:rsidRPr="0023595B">
        <w:rPr>
          <w:sz w:val="22"/>
          <w:szCs w:val="22"/>
          <w:lang w:val="sr-Latn-ME"/>
        </w:rPr>
        <w:t>, dok pojedinačne vrijednosti ne prevazilaze 0,14 mikrograma/</w:t>
      </w:r>
      <w:r w:rsidR="005D3145" w:rsidRPr="0023595B">
        <w:rPr>
          <w:sz w:val="22"/>
          <w:szCs w:val="22"/>
          <w:lang w:val="sr-Latn-ME"/>
        </w:rPr>
        <w:t>m</w:t>
      </w:r>
      <w:r w:rsidR="000C0F75" w:rsidRPr="0023595B">
        <w:rPr>
          <w:sz w:val="22"/>
          <w:szCs w:val="22"/>
          <w:lang w:val="sr-Latn-ME"/>
        </w:rPr>
        <w:t>l</w:t>
      </w:r>
      <w:r w:rsidRPr="0023595B">
        <w:rPr>
          <w:sz w:val="22"/>
          <w:szCs w:val="22"/>
          <w:lang w:val="sr-Latn-ME"/>
        </w:rPr>
        <w:t>. Nakon toga, koncentracije slobodnog af</w:t>
      </w:r>
      <w:r w:rsidR="00BA6BF2">
        <w:rPr>
          <w:sz w:val="22"/>
          <w:szCs w:val="22"/>
          <w:lang w:val="sr-Latn-ME"/>
        </w:rPr>
        <w:t>l</w:t>
      </w:r>
      <w:r w:rsidRPr="0023595B">
        <w:rPr>
          <w:sz w:val="22"/>
          <w:szCs w:val="22"/>
          <w:lang w:val="sr-Latn-ME"/>
        </w:rPr>
        <w:t>ibercepta u plazmi su obično u roku od nedjelju dana pale do vrijednosti koje su bile blizu ili niže od donje granice kvantifikacije, koncentracije koje nije moguće odrediti dostignute su prije sljedeće primjene nakon 4 nedjelje kod svih pacijenata.</w:t>
      </w:r>
    </w:p>
    <w:p w14:paraId="0F887432" w14:textId="77777777" w:rsidR="005C0F74" w:rsidRPr="0023595B" w:rsidRDefault="005C0F74" w:rsidP="005C0F74">
      <w:pPr>
        <w:tabs>
          <w:tab w:val="center" w:pos="4536"/>
          <w:tab w:val="right" w:pos="9072"/>
        </w:tabs>
        <w:jc w:val="both"/>
        <w:rPr>
          <w:sz w:val="22"/>
          <w:szCs w:val="22"/>
          <w:lang w:val="sr-Latn-ME"/>
        </w:rPr>
      </w:pPr>
    </w:p>
    <w:p w14:paraId="00DE6741" w14:textId="77777777" w:rsidR="005C0F74" w:rsidRPr="0023595B" w:rsidRDefault="005C0F74" w:rsidP="005C0F74">
      <w:pPr>
        <w:tabs>
          <w:tab w:val="center" w:pos="4536"/>
          <w:tab w:val="right" w:pos="9072"/>
        </w:tabs>
        <w:jc w:val="both"/>
        <w:rPr>
          <w:sz w:val="22"/>
          <w:szCs w:val="22"/>
          <w:u w:val="single"/>
          <w:lang w:val="sr-Latn-ME"/>
        </w:rPr>
      </w:pPr>
      <w:r w:rsidRPr="0023595B">
        <w:rPr>
          <w:sz w:val="22"/>
          <w:szCs w:val="22"/>
          <w:u w:val="single"/>
          <w:lang w:val="sr-Latn-ME"/>
        </w:rPr>
        <w:t xml:space="preserve">Eliminacija </w:t>
      </w:r>
    </w:p>
    <w:p w14:paraId="6F2BC7DB"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Kako je lijek Eylea u osnovi protein, ispitivanja metabolizma nijesu sprovođena.</w:t>
      </w:r>
    </w:p>
    <w:p w14:paraId="7D9F12F1" w14:textId="77777777" w:rsidR="005C0F74" w:rsidRPr="0023595B" w:rsidRDefault="005C0F74" w:rsidP="005C0F74">
      <w:pPr>
        <w:tabs>
          <w:tab w:val="center" w:pos="4536"/>
          <w:tab w:val="right" w:pos="9072"/>
        </w:tabs>
        <w:jc w:val="both"/>
        <w:rPr>
          <w:sz w:val="22"/>
          <w:szCs w:val="22"/>
          <w:lang w:val="sr-Latn-ME"/>
        </w:rPr>
      </w:pPr>
    </w:p>
    <w:p w14:paraId="5AA6B2FE"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Slobodni aflibercept vezuje VEGF formirajući stabilan, neaktivan kompleks. Kao i kod drugih velikih proteina, za oba, i slobodni i vezani aflibercept, se pretpostavlja da se eliminišu proteolitičkim katabolizmom.</w:t>
      </w:r>
    </w:p>
    <w:p w14:paraId="482D9576" w14:textId="77777777" w:rsidR="005C0F74" w:rsidRPr="0023595B" w:rsidRDefault="005C0F74" w:rsidP="005C0F74">
      <w:pPr>
        <w:jc w:val="both"/>
        <w:rPr>
          <w:sz w:val="22"/>
          <w:szCs w:val="22"/>
          <w:lang w:val="sr-Latn-ME"/>
        </w:rPr>
      </w:pPr>
    </w:p>
    <w:p w14:paraId="17CBABE2" w14:textId="77777777" w:rsidR="005C0F74" w:rsidRPr="0023595B" w:rsidRDefault="005C0F74" w:rsidP="005C0F74">
      <w:pPr>
        <w:tabs>
          <w:tab w:val="center" w:pos="4536"/>
          <w:tab w:val="right" w:pos="9072"/>
        </w:tabs>
        <w:jc w:val="both"/>
        <w:rPr>
          <w:sz w:val="22"/>
          <w:szCs w:val="22"/>
          <w:u w:val="single"/>
          <w:lang w:val="sr-Latn-ME"/>
        </w:rPr>
      </w:pPr>
      <w:r w:rsidRPr="0023595B">
        <w:rPr>
          <w:sz w:val="22"/>
          <w:szCs w:val="22"/>
          <w:u w:val="single"/>
          <w:lang w:val="sr-Latn-ME"/>
        </w:rPr>
        <w:t>Oštećenje funkcije bubrega</w:t>
      </w:r>
    </w:p>
    <w:p w14:paraId="7B8DB2AC"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Nijesu sprovođena posebna ispitivanja sa lijekom Eylea kod pacijenata sa oštećenom funkcijom bubrega.</w:t>
      </w:r>
    </w:p>
    <w:p w14:paraId="060C6BD2" w14:textId="77777777" w:rsidR="005C0F74" w:rsidRPr="0023595B" w:rsidRDefault="005C0F74" w:rsidP="005C0F74">
      <w:pPr>
        <w:tabs>
          <w:tab w:val="center" w:pos="4536"/>
          <w:tab w:val="right" w:pos="9072"/>
        </w:tabs>
        <w:jc w:val="both"/>
        <w:rPr>
          <w:sz w:val="22"/>
          <w:szCs w:val="22"/>
          <w:lang w:val="sr-Latn-ME"/>
        </w:rPr>
      </w:pPr>
    </w:p>
    <w:p w14:paraId="25910A2B" w14:textId="64CBD676"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Farmakokinetička analiza kod pacijenata u VIEW2 ispitivanju, od kojih je 40% imalo oštećenje funkcije bubrega (24% blago, 15% umjereno i 1% teško) nije otkrila razlike u o</w:t>
      </w:r>
      <w:r w:rsidR="00BA6BF2">
        <w:rPr>
          <w:sz w:val="22"/>
          <w:szCs w:val="22"/>
          <w:lang w:val="sr-Latn-ME"/>
        </w:rPr>
        <w:t>d</w:t>
      </w:r>
      <w:r w:rsidRPr="0023595B">
        <w:rPr>
          <w:sz w:val="22"/>
          <w:szCs w:val="22"/>
          <w:lang w:val="sr-Latn-ME"/>
        </w:rPr>
        <w:t>nosu na koncentracije aktivnog lijeka u plazmi nakon intravitrealne primjene na svakih 4 ili 8 nedjelja.</w:t>
      </w:r>
    </w:p>
    <w:p w14:paraId="483FD3E9" w14:textId="77777777" w:rsidR="005C0F74" w:rsidRPr="0023595B" w:rsidRDefault="005C0F74" w:rsidP="005C0F74">
      <w:pPr>
        <w:tabs>
          <w:tab w:val="center" w:pos="4536"/>
          <w:tab w:val="right" w:pos="9072"/>
        </w:tabs>
        <w:jc w:val="both"/>
        <w:rPr>
          <w:sz w:val="22"/>
          <w:szCs w:val="22"/>
          <w:lang w:val="sr-Latn-ME"/>
        </w:rPr>
      </w:pPr>
    </w:p>
    <w:p w14:paraId="53B165A3"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Slični rezultati su bili zapaženi kod pacijenata sa CRVO u ispitivanju GALILEO, kod pacijenata sa DME u VIVID</w:t>
      </w:r>
      <w:r w:rsidRPr="0023595B">
        <w:rPr>
          <w:sz w:val="22"/>
          <w:szCs w:val="22"/>
          <w:vertAlign w:val="superscript"/>
          <w:lang w:val="sr-Latn-ME"/>
        </w:rPr>
        <w:t>DME</w:t>
      </w:r>
      <w:r w:rsidRPr="0023595B">
        <w:rPr>
          <w:sz w:val="22"/>
          <w:szCs w:val="22"/>
          <w:lang w:val="sr-Latn-ME"/>
        </w:rPr>
        <w:t xml:space="preserve"> ispitivanju i kod pacijenata sa CNV uzrokovanom miopijom u MYRROR ispitivanju.</w:t>
      </w:r>
    </w:p>
    <w:p w14:paraId="57950FCE" w14:textId="77777777" w:rsidR="005C0F74" w:rsidRPr="0023595B" w:rsidRDefault="005C0F74" w:rsidP="00480FB1">
      <w:pPr>
        <w:tabs>
          <w:tab w:val="left" w:pos="540"/>
          <w:tab w:val="left" w:pos="569"/>
        </w:tabs>
        <w:rPr>
          <w:bCs/>
          <w:sz w:val="22"/>
          <w:szCs w:val="22"/>
          <w:lang w:val="sr-Latn-ME"/>
        </w:rPr>
      </w:pPr>
    </w:p>
    <w:p w14:paraId="0C8C39C4"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5.3. </w:t>
      </w:r>
      <w:r w:rsidR="00480FB1" w:rsidRPr="0023595B">
        <w:rPr>
          <w:b/>
          <w:bCs/>
          <w:sz w:val="22"/>
          <w:szCs w:val="22"/>
          <w:lang w:val="sr-Latn-ME"/>
        </w:rPr>
        <w:tab/>
      </w:r>
      <w:r w:rsidRPr="0023595B">
        <w:rPr>
          <w:b/>
          <w:bCs/>
          <w:sz w:val="22"/>
          <w:szCs w:val="22"/>
          <w:lang w:val="sr-Latn-ME"/>
        </w:rPr>
        <w:t xml:space="preserve">Pretklinički podaci o bezbjednosti </w:t>
      </w:r>
    </w:p>
    <w:p w14:paraId="7A90C534" w14:textId="77777777" w:rsidR="00836B35" w:rsidRPr="0023595B" w:rsidRDefault="00836B35" w:rsidP="005C0F74">
      <w:pPr>
        <w:tabs>
          <w:tab w:val="left" w:pos="540"/>
          <w:tab w:val="left" w:pos="569"/>
        </w:tabs>
        <w:jc w:val="both"/>
        <w:rPr>
          <w:bCs/>
          <w:sz w:val="22"/>
          <w:szCs w:val="22"/>
          <w:lang w:val="sr-Latn-ME"/>
        </w:rPr>
      </w:pPr>
    </w:p>
    <w:p w14:paraId="1EEA5427"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U pretkliničkim ispitivanjima, uticaji ponovljenih doza na toksičnost, koji su bili uočeni samo pri sistemskoj izloženosti, imaju mali značaj za kliničku upotrebu jer se smatra da značajno premašuju maksimalnu izloženost nakon intravitrealne primjene predviđene kliničke doze kod ljudi.</w:t>
      </w:r>
    </w:p>
    <w:p w14:paraId="1EAB242D" w14:textId="77777777" w:rsidR="005C0F74" w:rsidRPr="0023595B" w:rsidRDefault="005C0F74" w:rsidP="005C0F74">
      <w:pPr>
        <w:tabs>
          <w:tab w:val="center" w:pos="4536"/>
          <w:tab w:val="right" w:pos="9072"/>
        </w:tabs>
        <w:jc w:val="both"/>
        <w:rPr>
          <w:sz w:val="22"/>
          <w:szCs w:val="22"/>
          <w:lang w:val="sr-Latn-ME"/>
        </w:rPr>
      </w:pPr>
    </w:p>
    <w:p w14:paraId="26979B2E"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Erozije i ulceracije respiratornog epitela nozdrva kod majmuna liječenih afliberceptom intravitrealno bile su uočene kod sistemske izloženosti koja premašuje maksimalnu izloženost kod ljudi. Sistemska izloženost za slobodni aflibercept je bila približno 200 puta viša na osnovu C</w:t>
      </w:r>
      <w:r w:rsidRPr="0023595B">
        <w:rPr>
          <w:sz w:val="22"/>
          <w:szCs w:val="22"/>
          <w:vertAlign w:val="subscript"/>
          <w:lang w:val="sr-Latn-ME"/>
        </w:rPr>
        <w:t>max</w:t>
      </w:r>
      <w:r w:rsidRPr="0023595B">
        <w:rPr>
          <w:sz w:val="22"/>
          <w:szCs w:val="22"/>
          <w:lang w:val="sr-Latn-ME"/>
        </w:rPr>
        <w:t xml:space="preserve"> i 700 puta viša na osnovu PIK-a, kada se uporedi sa odgovarajućim vrijednostima uočenim kod ljudi nakon intravitrealne doze od 2 mg. Na nivou na kome se ne uočavaju neželjeni efekti (NOAEL) od 0,5mg/oku kod majmuna, sistemska izloženost je bila 42 puta veća na osnovu C</w:t>
      </w:r>
      <w:r w:rsidRPr="0023595B">
        <w:rPr>
          <w:sz w:val="22"/>
          <w:szCs w:val="22"/>
          <w:vertAlign w:val="subscript"/>
          <w:lang w:val="sr-Latn-ME"/>
        </w:rPr>
        <w:t>max</w:t>
      </w:r>
      <w:r w:rsidRPr="0023595B">
        <w:rPr>
          <w:sz w:val="22"/>
          <w:szCs w:val="22"/>
          <w:lang w:val="sr-Latn-ME"/>
        </w:rPr>
        <w:t xml:space="preserve"> i 56 puta viša na osnovu PIK-a.</w:t>
      </w:r>
    </w:p>
    <w:p w14:paraId="2128FC78" w14:textId="77777777" w:rsidR="005C0F74" w:rsidRPr="0023595B" w:rsidRDefault="005C0F74" w:rsidP="005C0F74">
      <w:pPr>
        <w:tabs>
          <w:tab w:val="center" w:pos="4536"/>
          <w:tab w:val="right" w:pos="9072"/>
        </w:tabs>
        <w:jc w:val="both"/>
        <w:rPr>
          <w:sz w:val="22"/>
          <w:szCs w:val="22"/>
          <w:lang w:val="sr-Latn-ME"/>
        </w:rPr>
      </w:pPr>
    </w:p>
    <w:p w14:paraId="3C6A4962"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Ispitivanja o mutagenom i karcinogenom potencijalu aflibercepta nijesu sprovedena.</w:t>
      </w:r>
    </w:p>
    <w:p w14:paraId="548DFA82" w14:textId="77777777" w:rsidR="005C0F74" w:rsidRPr="0023595B" w:rsidRDefault="005C0F74" w:rsidP="005C0F74">
      <w:pPr>
        <w:tabs>
          <w:tab w:val="center" w:pos="4536"/>
          <w:tab w:val="right" w:pos="9072"/>
        </w:tabs>
        <w:jc w:val="both"/>
        <w:rPr>
          <w:sz w:val="22"/>
          <w:szCs w:val="22"/>
          <w:lang w:val="sr-Latn-ME"/>
        </w:rPr>
      </w:pPr>
    </w:p>
    <w:p w14:paraId="65D0391F" w14:textId="322A4EE5"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Uticaj aflibercepta na intrauterini razvoj pokazan je u ispitivanjima uticaja na embriofetalni razvoj kod skotnih ženki kunića pri intravenskoj (3 do 60 mg/kg) kao i su</w:t>
      </w:r>
      <w:r w:rsidR="00BA6BF2">
        <w:rPr>
          <w:sz w:val="22"/>
          <w:szCs w:val="22"/>
          <w:lang w:val="sr-Latn-ME"/>
        </w:rPr>
        <w:t>b</w:t>
      </w:r>
      <w:r w:rsidRPr="0023595B">
        <w:rPr>
          <w:sz w:val="22"/>
          <w:szCs w:val="22"/>
          <w:lang w:val="sr-Latn-ME"/>
        </w:rPr>
        <w:t>kutanoj (0,1 do 1 mg/kg) primjeni. NOAEL za skotne ženke bila je doza od 3 mg/kg odnosno 1 mg/kg. Razvojni NOAEL nije bio utvrđen. Pri dozi od 0,1 mg/kg, sistemska izloženost na osnovu C</w:t>
      </w:r>
      <w:r w:rsidRPr="0023595B">
        <w:rPr>
          <w:sz w:val="22"/>
          <w:szCs w:val="22"/>
          <w:vertAlign w:val="subscript"/>
          <w:lang w:val="sr-Latn-ME"/>
        </w:rPr>
        <w:t>max</w:t>
      </w:r>
      <w:r w:rsidRPr="0023595B">
        <w:rPr>
          <w:sz w:val="22"/>
          <w:szCs w:val="22"/>
          <w:lang w:val="sr-Latn-ME"/>
        </w:rPr>
        <w:t xml:space="preserve"> slobodnog aflibercepta bila je 17 puta, a kumulativnog PIK-a slobodnog aflibercepta 10 puta veća kad se uporedi sa odgovarajućim vrijednostima uočenim kod ljudi nakon intravitrealne doze od 2 mg.</w:t>
      </w:r>
    </w:p>
    <w:p w14:paraId="002C49AF" w14:textId="77777777" w:rsidR="005C0F74" w:rsidRPr="0023595B" w:rsidRDefault="005C0F74" w:rsidP="005C0F74">
      <w:pPr>
        <w:tabs>
          <w:tab w:val="center" w:pos="4536"/>
          <w:tab w:val="right" w:pos="9072"/>
        </w:tabs>
        <w:jc w:val="both"/>
        <w:rPr>
          <w:sz w:val="22"/>
          <w:szCs w:val="22"/>
          <w:lang w:val="sr-Latn-ME"/>
        </w:rPr>
      </w:pPr>
    </w:p>
    <w:p w14:paraId="3E1375DF"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Uticaj na mušku i žensku plodnost je bio procijenjen na osnovu šestomjesečnog ispitivanja na majmunima, intravitrealnom primjenom aflibercepta u dozama od 3 do 30 mg/kg. Odsustvo ili iregularni mjesečni ciklusi bili su udruženi sa izmjenama nivoa ženskih polnih hormona, kao i promjenama u morfologiji i motilitetu sperme, što je bilo uočeno kod svih nivoa doze. Na osnovu C</w:t>
      </w:r>
      <w:r w:rsidRPr="0023595B">
        <w:rPr>
          <w:sz w:val="22"/>
          <w:szCs w:val="22"/>
          <w:vertAlign w:val="subscript"/>
          <w:lang w:val="sr-Latn-ME"/>
        </w:rPr>
        <w:t>max</w:t>
      </w:r>
      <w:r w:rsidRPr="0023595B">
        <w:rPr>
          <w:sz w:val="22"/>
          <w:szCs w:val="22"/>
          <w:lang w:val="sr-Latn-ME"/>
        </w:rPr>
        <w:t xml:space="preserve"> i PIK-a za slobodni aflibercept i intravensku dozu od 3 mg/kg uočena je sistemska izloženost približno 4900-puta odnosno 1500-puta viša od izloženosti uočene kod ljudi nakon intravitrealne doze od 2 mg. Sve promjene su bile reverzibilne.</w:t>
      </w:r>
    </w:p>
    <w:p w14:paraId="0B9DC7CE" w14:textId="77777777" w:rsidR="005C0F74" w:rsidRPr="0023595B" w:rsidRDefault="005C0F74" w:rsidP="005C0F74">
      <w:pPr>
        <w:tabs>
          <w:tab w:val="left" w:pos="540"/>
          <w:tab w:val="left" w:pos="569"/>
        </w:tabs>
        <w:jc w:val="both"/>
        <w:rPr>
          <w:bCs/>
          <w:sz w:val="22"/>
          <w:szCs w:val="22"/>
          <w:lang w:val="sr-Latn-ME"/>
        </w:rPr>
      </w:pPr>
    </w:p>
    <w:p w14:paraId="3F06D8E4" w14:textId="77777777" w:rsidR="00396DFD" w:rsidRPr="0023595B" w:rsidRDefault="00396DFD" w:rsidP="005C0F74">
      <w:pPr>
        <w:tabs>
          <w:tab w:val="left" w:pos="540"/>
          <w:tab w:val="left" w:pos="569"/>
        </w:tabs>
        <w:jc w:val="both"/>
        <w:rPr>
          <w:b/>
          <w:bCs/>
          <w:sz w:val="22"/>
          <w:szCs w:val="22"/>
          <w:lang w:val="sr-Latn-ME"/>
        </w:rPr>
      </w:pPr>
    </w:p>
    <w:p w14:paraId="04BB7F5E"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6. </w:t>
      </w:r>
      <w:r w:rsidR="00480FB1" w:rsidRPr="0023595B">
        <w:rPr>
          <w:b/>
          <w:bCs/>
          <w:sz w:val="22"/>
          <w:szCs w:val="22"/>
          <w:lang w:val="sr-Latn-ME"/>
        </w:rPr>
        <w:tab/>
      </w:r>
      <w:r w:rsidRPr="0023595B">
        <w:rPr>
          <w:b/>
          <w:bCs/>
          <w:sz w:val="22"/>
          <w:szCs w:val="22"/>
          <w:lang w:val="sr-Latn-ME"/>
        </w:rPr>
        <w:t>FARMACEUTSKI PODACI</w:t>
      </w:r>
    </w:p>
    <w:p w14:paraId="2811F924" w14:textId="77777777" w:rsidR="005C0F74" w:rsidRPr="0023595B" w:rsidRDefault="005C0F74" w:rsidP="005C0F74">
      <w:pPr>
        <w:tabs>
          <w:tab w:val="center" w:pos="4536"/>
          <w:tab w:val="right" w:pos="9072"/>
        </w:tabs>
        <w:rPr>
          <w:sz w:val="22"/>
          <w:szCs w:val="22"/>
          <w:lang w:val="sr-Latn-ME"/>
        </w:rPr>
      </w:pPr>
    </w:p>
    <w:p w14:paraId="548F9233"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6.1. </w:t>
      </w:r>
      <w:r w:rsidR="00480FB1" w:rsidRPr="0023595B">
        <w:rPr>
          <w:b/>
          <w:bCs/>
          <w:sz w:val="22"/>
          <w:szCs w:val="22"/>
          <w:lang w:val="sr-Latn-ME"/>
        </w:rPr>
        <w:tab/>
      </w:r>
      <w:r w:rsidRPr="0023595B">
        <w:rPr>
          <w:b/>
          <w:bCs/>
          <w:sz w:val="22"/>
          <w:szCs w:val="22"/>
          <w:lang w:val="sr-Latn-ME"/>
        </w:rPr>
        <w:t>Lista pomoćnih supstanci</w:t>
      </w:r>
      <w:r w:rsidR="002E0135" w:rsidRPr="0023595B">
        <w:rPr>
          <w:b/>
          <w:bCs/>
          <w:sz w:val="22"/>
          <w:szCs w:val="22"/>
          <w:lang w:val="sr-Latn-ME"/>
        </w:rPr>
        <w:t xml:space="preserve"> (ekscipijenasa)</w:t>
      </w:r>
    </w:p>
    <w:p w14:paraId="22E88A3E" w14:textId="77777777" w:rsidR="005C0F74" w:rsidRPr="0023595B" w:rsidRDefault="005C0F74" w:rsidP="005C0F74">
      <w:pPr>
        <w:tabs>
          <w:tab w:val="center" w:pos="4536"/>
          <w:tab w:val="right" w:pos="9072"/>
        </w:tabs>
        <w:rPr>
          <w:sz w:val="22"/>
          <w:szCs w:val="22"/>
          <w:lang w:val="sr-Latn-ME"/>
        </w:rPr>
      </w:pPr>
    </w:p>
    <w:p w14:paraId="4E0C2C96" w14:textId="1E327E13" w:rsidR="005C0F74" w:rsidRPr="0023595B" w:rsidRDefault="005C0F74" w:rsidP="005C0F74">
      <w:pPr>
        <w:tabs>
          <w:tab w:val="center" w:pos="4536"/>
          <w:tab w:val="right" w:pos="9072"/>
        </w:tabs>
        <w:rPr>
          <w:sz w:val="22"/>
          <w:szCs w:val="22"/>
          <w:lang w:val="sr-Latn-ME"/>
        </w:rPr>
      </w:pPr>
      <w:r w:rsidRPr="0023595B">
        <w:rPr>
          <w:sz w:val="22"/>
          <w:szCs w:val="22"/>
          <w:lang w:val="sr-Latn-ME"/>
        </w:rPr>
        <w:t>Polisorbat 20</w:t>
      </w:r>
      <w:r w:rsidR="00854488" w:rsidRPr="0023595B">
        <w:rPr>
          <w:sz w:val="22"/>
          <w:szCs w:val="22"/>
          <w:lang w:val="sr-Latn-ME"/>
        </w:rPr>
        <w:t xml:space="preserve"> (E432)</w:t>
      </w:r>
      <w:r w:rsidRPr="0023595B">
        <w:rPr>
          <w:sz w:val="22"/>
          <w:szCs w:val="22"/>
          <w:lang w:val="sr-Latn-ME"/>
        </w:rPr>
        <w:t>;</w:t>
      </w:r>
    </w:p>
    <w:p w14:paraId="44175BF2" w14:textId="28C3AA16" w:rsidR="005C0F74" w:rsidRPr="0023595B" w:rsidRDefault="005C0F74" w:rsidP="005C0F74">
      <w:pPr>
        <w:tabs>
          <w:tab w:val="center" w:pos="4536"/>
          <w:tab w:val="right" w:pos="9072"/>
        </w:tabs>
        <w:rPr>
          <w:sz w:val="22"/>
          <w:szCs w:val="22"/>
          <w:lang w:val="sr-Latn-ME"/>
        </w:rPr>
      </w:pPr>
      <w:r w:rsidRPr="0023595B">
        <w:rPr>
          <w:sz w:val="22"/>
          <w:szCs w:val="22"/>
          <w:lang w:val="sr-Latn-ME"/>
        </w:rPr>
        <w:t>Natrijum</w:t>
      </w:r>
      <w:r w:rsidR="00BA6BF2">
        <w:rPr>
          <w:sz w:val="22"/>
          <w:szCs w:val="22"/>
          <w:lang w:val="sr-Latn-ME"/>
        </w:rPr>
        <w:t xml:space="preserve"> </w:t>
      </w:r>
      <w:r w:rsidRPr="0023595B">
        <w:rPr>
          <w:sz w:val="22"/>
          <w:szCs w:val="22"/>
          <w:lang w:val="sr-Latn-ME"/>
        </w:rPr>
        <w:t>dihidrogen</w:t>
      </w:r>
      <w:r w:rsidR="00BA6BF2">
        <w:rPr>
          <w:sz w:val="22"/>
          <w:szCs w:val="22"/>
          <w:lang w:val="sr-Latn-ME"/>
        </w:rPr>
        <w:t xml:space="preserve"> </w:t>
      </w:r>
      <w:r w:rsidRPr="0023595B">
        <w:rPr>
          <w:sz w:val="22"/>
          <w:szCs w:val="22"/>
          <w:lang w:val="sr-Latn-ME"/>
        </w:rPr>
        <w:t>fosfat, monohidrat (za podešavanje pH);</w:t>
      </w:r>
    </w:p>
    <w:p w14:paraId="4F2F2A81" w14:textId="4E4E907D" w:rsidR="005C0F74" w:rsidRPr="0023595B" w:rsidRDefault="005C0F74" w:rsidP="005C0F74">
      <w:pPr>
        <w:tabs>
          <w:tab w:val="center" w:pos="4536"/>
          <w:tab w:val="right" w:pos="9072"/>
        </w:tabs>
        <w:rPr>
          <w:sz w:val="22"/>
          <w:szCs w:val="22"/>
          <w:lang w:val="sr-Latn-ME"/>
        </w:rPr>
      </w:pPr>
      <w:r w:rsidRPr="0023595B">
        <w:rPr>
          <w:sz w:val="22"/>
          <w:szCs w:val="22"/>
          <w:lang w:val="sr-Latn-ME"/>
        </w:rPr>
        <w:t>Dinatrijum</w:t>
      </w:r>
      <w:r w:rsidR="00BA6BF2">
        <w:rPr>
          <w:sz w:val="22"/>
          <w:szCs w:val="22"/>
          <w:lang w:val="sr-Latn-ME"/>
        </w:rPr>
        <w:t xml:space="preserve"> </w:t>
      </w:r>
      <w:r w:rsidRPr="0023595B">
        <w:rPr>
          <w:sz w:val="22"/>
          <w:szCs w:val="22"/>
          <w:lang w:val="sr-Latn-ME"/>
        </w:rPr>
        <w:t>hidrogen</w:t>
      </w:r>
      <w:r w:rsidR="00BA6BF2">
        <w:rPr>
          <w:sz w:val="22"/>
          <w:szCs w:val="22"/>
          <w:lang w:val="sr-Latn-ME"/>
        </w:rPr>
        <w:t xml:space="preserve"> </w:t>
      </w:r>
      <w:r w:rsidRPr="0023595B">
        <w:rPr>
          <w:sz w:val="22"/>
          <w:szCs w:val="22"/>
          <w:lang w:val="sr-Latn-ME"/>
        </w:rPr>
        <w:t>fosfat, heptahidrat (za podešavanje pH);</w:t>
      </w:r>
    </w:p>
    <w:p w14:paraId="5F7E7DAA" w14:textId="3C6F0F03" w:rsidR="005C0F74" w:rsidRPr="0023595B" w:rsidRDefault="005C0F74" w:rsidP="005C0F74">
      <w:pPr>
        <w:tabs>
          <w:tab w:val="center" w:pos="4536"/>
          <w:tab w:val="right" w:pos="9072"/>
        </w:tabs>
        <w:rPr>
          <w:sz w:val="22"/>
          <w:szCs w:val="22"/>
          <w:lang w:val="sr-Latn-ME"/>
        </w:rPr>
      </w:pPr>
      <w:r w:rsidRPr="0023595B">
        <w:rPr>
          <w:sz w:val="22"/>
          <w:szCs w:val="22"/>
          <w:lang w:val="sr-Latn-ME"/>
        </w:rPr>
        <w:t>Natrijum</w:t>
      </w:r>
      <w:r w:rsidR="00BA6BF2">
        <w:rPr>
          <w:sz w:val="22"/>
          <w:szCs w:val="22"/>
          <w:lang w:val="sr-Latn-ME"/>
        </w:rPr>
        <w:t xml:space="preserve"> </w:t>
      </w:r>
      <w:r w:rsidRPr="0023595B">
        <w:rPr>
          <w:sz w:val="22"/>
          <w:szCs w:val="22"/>
          <w:lang w:val="sr-Latn-ME"/>
        </w:rPr>
        <w:t>hlorid;</w:t>
      </w:r>
    </w:p>
    <w:p w14:paraId="12A7C4B1" w14:textId="779F05BD" w:rsidR="005C0F74" w:rsidRPr="0023595B" w:rsidRDefault="005C0F74" w:rsidP="005C0F74">
      <w:pPr>
        <w:tabs>
          <w:tab w:val="center" w:pos="4536"/>
          <w:tab w:val="right" w:pos="9072"/>
        </w:tabs>
        <w:rPr>
          <w:sz w:val="22"/>
          <w:szCs w:val="22"/>
          <w:lang w:val="sr-Latn-ME"/>
        </w:rPr>
      </w:pPr>
      <w:r w:rsidRPr="0023595B">
        <w:rPr>
          <w:sz w:val="22"/>
          <w:szCs w:val="22"/>
          <w:lang w:val="sr-Latn-ME"/>
        </w:rPr>
        <w:t>Saharoza;</w:t>
      </w:r>
    </w:p>
    <w:p w14:paraId="49317D49" w14:textId="7B3F7B03" w:rsidR="005C0F74" w:rsidRPr="0023595B" w:rsidRDefault="005C0F74" w:rsidP="005C0F74">
      <w:pPr>
        <w:tabs>
          <w:tab w:val="center" w:pos="4536"/>
          <w:tab w:val="right" w:pos="9072"/>
        </w:tabs>
        <w:rPr>
          <w:sz w:val="22"/>
          <w:szCs w:val="22"/>
          <w:lang w:val="sr-Latn-ME"/>
        </w:rPr>
      </w:pPr>
      <w:r w:rsidRPr="0023595B">
        <w:rPr>
          <w:sz w:val="22"/>
          <w:szCs w:val="22"/>
          <w:lang w:val="sr-Latn-ME"/>
        </w:rPr>
        <w:t>Voda za injekcije.</w:t>
      </w:r>
    </w:p>
    <w:p w14:paraId="0AA04233" w14:textId="77777777" w:rsidR="0072020E" w:rsidRPr="0023595B" w:rsidRDefault="0072020E" w:rsidP="00480FB1">
      <w:pPr>
        <w:tabs>
          <w:tab w:val="left" w:pos="540"/>
          <w:tab w:val="left" w:pos="569"/>
        </w:tabs>
        <w:rPr>
          <w:bCs/>
          <w:sz w:val="22"/>
          <w:szCs w:val="22"/>
          <w:lang w:val="sr-Latn-ME"/>
        </w:rPr>
      </w:pPr>
    </w:p>
    <w:p w14:paraId="4118487D"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6.2. </w:t>
      </w:r>
      <w:r w:rsidR="00480FB1" w:rsidRPr="0023595B">
        <w:rPr>
          <w:b/>
          <w:bCs/>
          <w:sz w:val="22"/>
          <w:szCs w:val="22"/>
          <w:lang w:val="sr-Latn-ME"/>
        </w:rPr>
        <w:tab/>
      </w:r>
      <w:r w:rsidRPr="0023595B">
        <w:rPr>
          <w:b/>
          <w:bCs/>
          <w:sz w:val="22"/>
          <w:szCs w:val="22"/>
          <w:lang w:val="sr-Latn-ME"/>
        </w:rPr>
        <w:t>Inkompatibilnost</w:t>
      </w:r>
      <w:r w:rsidR="002846DB" w:rsidRPr="0023595B">
        <w:rPr>
          <w:b/>
          <w:bCs/>
          <w:sz w:val="22"/>
          <w:szCs w:val="22"/>
          <w:lang w:val="sr-Latn-ME"/>
        </w:rPr>
        <w:t>i</w:t>
      </w:r>
    </w:p>
    <w:p w14:paraId="5BA1B275" w14:textId="6291B6D3" w:rsidR="005C0F74" w:rsidRPr="0023595B" w:rsidRDefault="005C0F74" w:rsidP="005C0F74">
      <w:pPr>
        <w:rPr>
          <w:sz w:val="22"/>
          <w:szCs w:val="22"/>
          <w:lang w:val="sr-Latn-ME"/>
        </w:rPr>
      </w:pPr>
    </w:p>
    <w:p w14:paraId="6548248B" w14:textId="090CD84F" w:rsidR="005C0F74" w:rsidRPr="0023595B" w:rsidRDefault="00BA6BF2" w:rsidP="005C0F74">
      <w:pPr>
        <w:rPr>
          <w:sz w:val="22"/>
          <w:szCs w:val="22"/>
          <w:lang w:val="sr-Latn-ME"/>
        </w:rPr>
      </w:pPr>
      <w:r>
        <w:rPr>
          <w:sz w:val="22"/>
          <w:szCs w:val="22"/>
          <w:lang w:val="sr-Latn-ME"/>
        </w:rPr>
        <w:t>U</w:t>
      </w:r>
      <w:r w:rsidRPr="0023595B">
        <w:rPr>
          <w:sz w:val="22"/>
          <w:szCs w:val="22"/>
          <w:lang w:val="sr-Latn-ME"/>
        </w:rPr>
        <w:t xml:space="preserve"> </w:t>
      </w:r>
      <w:r w:rsidR="005C0F74" w:rsidRPr="0023595B">
        <w:rPr>
          <w:sz w:val="22"/>
          <w:szCs w:val="22"/>
          <w:lang w:val="sr-Latn-ME"/>
        </w:rPr>
        <w:t>nedostatk</w:t>
      </w:r>
      <w:r>
        <w:rPr>
          <w:sz w:val="22"/>
          <w:szCs w:val="22"/>
          <w:lang w:val="sr-Latn-ME"/>
        </w:rPr>
        <w:t>u</w:t>
      </w:r>
      <w:r w:rsidR="005C0F74" w:rsidRPr="0023595B">
        <w:rPr>
          <w:sz w:val="22"/>
          <w:szCs w:val="22"/>
          <w:lang w:val="sr-Latn-ME"/>
        </w:rPr>
        <w:t xml:space="preserve"> ispitivanja kompatibilnosti, ovaj lijek se ne smije miješati sa drugim ljekovima.</w:t>
      </w:r>
    </w:p>
    <w:p w14:paraId="1BAED3DF" w14:textId="307AA879" w:rsidR="005C0F74" w:rsidRPr="0023595B" w:rsidRDefault="005C0F74" w:rsidP="005C0F74">
      <w:pPr>
        <w:rPr>
          <w:sz w:val="22"/>
          <w:szCs w:val="22"/>
          <w:lang w:val="sr-Latn-ME"/>
        </w:rPr>
      </w:pPr>
    </w:p>
    <w:p w14:paraId="1D02D0A7"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6.3.</w:t>
      </w:r>
      <w:r w:rsidR="00C05DF8" w:rsidRPr="0023595B">
        <w:rPr>
          <w:b/>
          <w:bCs/>
          <w:sz w:val="22"/>
          <w:szCs w:val="22"/>
          <w:lang w:val="sr-Latn-ME"/>
        </w:rPr>
        <w:t xml:space="preserve"> </w:t>
      </w:r>
      <w:r w:rsidR="00480FB1" w:rsidRPr="0023595B">
        <w:rPr>
          <w:b/>
          <w:bCs/>
          <w:sz w:val="22"/>
          <w:szCs w:val="22"/>
          <w:lang w:val="sr-Latn-ME"/>
        </w:rPr>
        <w:tab/>
      </w:r>
      <w:r w:rsidRPr="0023595B">
        <w:rPr>
          <w:b/>
          <w:bCs/>
          <w:sz w:val="22"/>
          <w:szCs w:val="22"/>
          <w:lang w:val="sr-Latn-ME"/>
        </w:rPr>
        <w:t>Rok upotrebe</w:t>
      </w:r>
    </w:p>
    <w:p w14:paraId="100B6AD1" w14:textId="77777777" w:rsidR="0072020E" w:rsidRPr="0023595B" w:rsidRDefault="0072020E" w:rsidP="00480FB1">
      <w:pPr>
        <w:tabs>
          <w:tab w:val="left" w:pos="540"/>
          <w:tab w:val="left" w:pos="569"/>
        </w:tabs>
        <w:rPr>
          <w:bCs/>
          <w:sz w:val="22"/>
          <w:szCs w:val="22"/>
          <w:lang w:val="sr-Latn-ME"/>
        </w:rPr>
      </w:pPr>
    </w:p>
    <w:p w14:paraId="210D86BB" w14:textId="0F918FE1" w:rsidR="005C0F74" w:rsidRPr="0023595B" w:rsidRDefault="005C0F74" w:rsidP="00480FB1">
      <w:pPr>
        <w:tabs>
          <w:tab w:val="left" w:pos="540"/>
          <w:tab w:val="left" w:pos="569"/>
        </w:tabs>
        <w:rPr>
          <w:bCs/>
          <w:sz w:val="22"/>
          <w:szCs w:val="22"/>
          <w:lang w:val="sr-Latn-ME"/>
        </w:rPr>
      </w:pPr>
      <w:r w:rsidRPr="0023595B">
        <w:rPr>
          <w:bCs/>
          <w:sz w:val="22"/>
          <w:szCs w:val="22"/>
          <w:lang w:val="sr-Latn-ME"/>
        </w:rPr>
        <w:t>2 godine.</w:t>
      </w:r>
    </w:p>
    <w:p w14:paraId="1EF66D42" w14:textId="165ED184" w:rsidR="005C0F74" w:rsidRPr="0023595B" w:rsidRDefault="005C0F74" w:rsidP="00480FB1">
      <w:pPr>
        <w:tabs>
          <w:tab w:val="left" w:pos="540"/>
          <w:tab w:val="left" w:pos="569"/>
        </w:tabs>
        <w:rPr>
          <w:bCs/>
          <w:sz w:val="22"/>
          <w:szCs w:val="22"/>
          <w:lang w:val="sr-Latn-ME"/>
        </w:rPr>
      </w:pPr>
    </w:p>
    <w:p w14:paraId="6ECA2EBA" w14:textId="45B78129"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6.4. </w:t>
      </w:r>
      <w:r w:rsidR="00480FB1" w:rsidRPr="0023595B">
        <w:rPr>
          <w:b/>
          <w:bCs/>
          <w:sz w:val="22"/>
          <w:szCs w:val="22"/>
          <w:lang w:val="sr-Latn-ME"/>
        </w:rPr>
        <w:tab/>
      </w:r>
      <w:r w:rsidRPr="0023595B">
        <w:rPr>
          <w:b/>
          <w:bCs/>
          <w:sz w:val="22"/>
          <w:szCs w:val="22"/>
          <w:lang w:val="sr-Latn-ME"/>
        </w:rPr>
        <w:t>Posebne mjere upozorenja pri čuvanju</w:t>
      </w:r>
      <w:r w:rsidR="00F8570A" w:rsidRPr="0023595B">
        <w:rPr>
          <w:b/>
          <w:bCs/>
          <w:sz w:val="22"/>
          <w:szCs w:val="22"/>
          <w:lang w:val="sr-Latn-ME"/>
        </w:rPr>
        <w:t xml:space="preserve"> lijeka</w:t>
      </w:r>
    </w:p>
    <w:p w14:paraId="5D6F86C9" w14:textId="2CCB8F78" w:rsidR="005C0F74" w:rsidRPr="0023595B" w:rsidRDefault="005C0F74" w:rsidP="005C0F74">
      <w:pPr>
        <w:tabs>
          <w:tab w:val="center" w:pos="4536"/>
          <w:tab w:val="right" w:pos="9072"/>
        </w:tabs>
        <w:jc w:val="both"/>
        <w:rPr>
          <w:sz w:val="22"/>
          <w:szCs w:val="22"/>
          <w:lang w:val="sr-Latn-ME"/>
        </w:rPr>
      </w:pPr>
    </w:p>
    <w:p w14:paraId="1A92B88B" w14:textId="6EF888D0"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Čuvati u frižideru (na temperaturi od 2°C do 8°C).</w:t>
      </w:r>
    </w:p>
    <w:p w14:paraId="09BE7914" w14:textId="77777777"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Ne zamrzavati.</w:t>
      </w:r>
    </w:p>
    <w:p w14:paraId="4F144DC0" w14:textId="6D83CFD8"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 xml:space="preserve">Čuvati bočicu u </w:t>
      </w:r>
      <w:r w:rsidR="00854488" w:rsidRPr="0023595B">
        <w:rPr>
          <w:sz w:val="22"/>
          <w:szCs w:val="22"/>
          <w:lang w:val="sr-Latn-ME"/>
        </w:rPr>
        <w:t>originalnom pakovanju</w:t>
      </w:r>
      <w:r w:rsidRPr="0023595B">
        <w:rPr>
          <w:sz w:val="22"/>
          <w:szCs w:val="22"/>
          <w:lang w:val="sr-Latn-ME"/>
        </w:rPr>
        <w:t xml:space="preserve"> radi zaštite od svjetlosti.</w:t>
      </w:r>
    </w:p>
    <w:p w14:paraId="58F79764" w14:textId="1C5DE610" w:rsidR="005C0F74" w:rsidRPr="0023595B" w:rsidRDefault="005C0F74" w:rsidP="005C0F74">
      <w:pPr>
        <w:tabs>
          <w:tab w:val="center" w:pos="4536"/>
          <w:tab w:val="right" w:pos="9072"/>
        </w:tabs>
        <w:jc w:val="both"/>
        <w:rPr>
          <w:sz w:val="22"/>
          <w:szCs w:val="22"/>
          <w:lang w:val="sr-Latn-ME"/>
        </w:rPr>
      </w:pPr>
    </w:p>
    <w:p w14:paraId="2D77AC99" w14:textId="6DE51713" w:rsidR="005C0F74" w:rsidRPr="0023595B" w:rsidRDefault="00854488" w:rsidP="005C0F74">
      <w:pPr>
        <w:tabs>
          <w:tab w:val="center" w:pos="4536"/>
          <w:tab w:val="right" w:pos="9072"/>
        </w:tabs>
        <w:jc w:val="both"/>
        <w:rPr>
          <w:sz w:val="22"/>
          <w:szCs w:val="22"/>
          <w:lang w:val="sr-Latn-ME"/>
        </w:rPr>
      </w:pPr>
      <w:r w:rsidRPr="0023595B">
        <w:rPr>
          <w:sz w:val="22"/>
          <w:szCs w:val="22"/>
          <w:lang w:val="sr-Latn-ME"/>
        </w:rPr>
        <w:t>N</w:t>
      </w:r>
      <w:r w:rsidR="005C0F74" w:rsidRPr="0023595B">
        <w:rPr>
          <w:sz w:val="22"/>
          <w:szCs w:val="22"/>
          <w:lang w:val="sr-Latn-ME"/>
        </w:rPr>
        <w:t>eotvorena bočica može se čuvati</w:t>
      </w:r>
      <w:r w:rsidRPr="0023595B">
        <w:rPr>
          <w:sz w:val="22"/>
          <w:szCs w:val="22"/>
          <w:lang w:val="sr-Latn-ME"/>
        </w:rPr>
        <w:t xml:space="preserve"> van frižidera</w:t>
      </w:r>
      <w:r w:rsidR="005C0F74" w:rsidRPr="0023595B">
        <w:rPr>
          <w:sz w:val="22"/>
          <w:szCs w:val="22"/>
          <w:lang w:val="sr-Latn-ME"/>
        </w:rPr>
        <w:t xml:space="preserve"> na temperaturi do 25°C do 24 časa. </w:t>
      </w:r>
      <w:r w:rsidR="00F06C59" w:rsidRPr="0056668C">
        <w:rPr>
          <w:sz w:val="22"/>
          <w:szCs w:val="22"/>
          <w:lang w:val="sr-Latn-ME"/>
        </w:rPr>
        <w:t>Nakon otvaranja bočice</w:t>
      </w:r>
      <w:r w:rsidR="005C0F74" w:rsidRPr="0023595B">
        <w:rPr>
          <w:sz w:val="22"/>
          <w:szCs w:val="22"/>
          <w:lang w:val="sr-Latn-ME"/>
        </w:rPr>
        <w:t xml:space="preserve">, </w:t>
      </w:r>
      <w:r w:rsidR="00872FD6">
        <w:rPr>
          <w:sz w:val="22"/>
          <w:szCs w:val="22"/>
          <w:lang w:val="sr-Latn-ME"/>
        </w:rPr>
        <w:t xml:space="preserve">postupak treba </w:t>
      </w:r>
      <w:r w:rsidR="005C0F74" w:rsidRPr="0023595B">
        <w:rPr>
          <w:sz w:val="22"/>
          <w:szCs w:val="22"/>
          <w:lang w:val="sr-Latn-ME"/>
        </w:rPr>
        <w:t>nastaviti pod aseptičnim uslovima.</w:t>
      </w:r>
    </w:p>
    <w:p w14:paraId="6325382E" w14:textId="77777777" w:rsidR="00EC2532" w:rsidRPr="0023595B" w:rsidRDefault="00EC2532" w:rsidP="005C0F74">
      <w:pPr>
        <w:tabs>
          <w:tab w:val="left" w:pos="540"/>
          <w:tab w:val="left" w:pos="569"/>
        </w:tabs>
        <w:jc w:val="both"/>
        <w:rPr>
          <w:bCs/>
          <w:sz w:val="22"/>
          <w:szCs w:val="22"/>
          <w:lang w:val="sr-Latn-ME"/>
        </w:rPr>
      </w:pPr>
    </w:p>
    <w:p w14:paraId="25E92B4F" w14:textId="5BB7272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6.5. </w:t>
      </w:r>
      <w:r w:rsidR="00480FB1" w:rsidRPr="0023595B">
        <w:rPr>
          <w:b/>
          <w:bCs/>
          <w:sz w:val="22"/>
          <w:szCs w:val="22"/>
          <w:lang w:val="sr-Latn-ME"/>
        </w:rPr>
        <w:tab/>
      </w:r>
      <w:r w:rsidR="002846DB" w:rsidRPr="0023595B">
        <w:rPr>
          <w:b/>
          <w:bCs/>
          <w:sz w:val="22"/>
          <w:szCs w:val="22"/>
          <w:lang w:val="sr-Latn-ME"/>
        </w:rPr>
        <w:t xml:space="preserve">Vrsta i sadržaj </w:t>
      </w:r>
      <w:r w:rsidR="00F8570A" w:rsidRPr="0023595B">
        <w:rPr>
          <w:b/>
          <w:bCs/>
          <w:sz w:val="22"/>
          <w:szCs w:val="22"/>
          <w:lang w:val="sr-Latn-ME"/>
        </w:rPr>
        <w:t>pakovanja</w:t>
      </w:r>
      <w:r w:rsidR="00C06864" w:rsidRPr="0023595B">
        <w:rPr>
          <w:b/>
          <w:bCs/>
          <w:sz w:val="22"/>
          <w:szCs w:val="22"/>
          <w:lang w:val="sr-Latn-ME"/>
        </w:rPr>
        <w:t xml:space="preserve"> </w:t>
      </w:r>
    </w:p>
    <w:p w14:paraId="7D2F2D11" w14:textId="29FC34A2" w:rsidR="005C0F74" w:rsidRPr="0023595B" w:rsidRDefault="005C0F74" w:rsidP="005C0F74">
      <w:pPr>
        <w:tabs>
          <w:tab w:val="center" w:pos="4536"/>
          <w:tab w:val="right" w:pos="9072"/>
        </w:tabs>
        <w:jc w:val="both"/>
        <w:rPr>
          <w:sz w:val="22"/>
          <w:szCs w:val="22"/>
          <w:lang w:val="sr-Latn-ME"/>
        </w:rPr>
      </w:pPr>
    </w:p>
    <w:p w14:paraId="15E0EE4C" w14:textId="02ABEA00"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 xml:space="preserve">Unutrašnje pakovanje </w:t>
      </w:r>
      <w:r w:rsidR="00B407EE">
        <w:rPr>
          <w:sz w:val="22"/>
          <w:szCs w:val="22"/>
          <w:lang w:val="sr-Latn-ME"/>
        </w:rPr>
        <w:t xml:space="preserve">lijeka </w:t>
      </w:r>
      <w:r w:rsidRPr="0023595B">
        <w:rPr>
          <w:sz w:val="22"/>
          <w:szCs w:val="22"/>
          <w:lang w:val="sr-Latn-ME"/>
        </w:rPr>
        <w:t xml:space="preserve">je </w:t>
      </w:r>
      <w:r w:rsidR="00B407EE">
        <w:rPr>
          <w:sz w:val="22"/>
          <w:szCs w:val="22"/>
          <w:lang w:val="sr-Latn-ME"/>
        </w:rPr>
        <w:t xml:space="preserve">staklena </w:t>
      </w:r>
      <w:r w:rsidRPr="0023595B">
        <w:rPr>
          <w:sz w:val="22"/>
          <w:szCs w:val="22"/>
          <w:lang w:val="sr-Latn-ME"/>
        </w:rPr>
        <w:t>bočica (</w:t>
      </w:r>
      <w:r w:rsidR="00B407EE">
        <w:rPr>
          <w:sz w:val="22"/>
          <w:szCs w:val="22"/>
          <w:lang w:val="sr-Latn-ME"/>
        </w:rPr>
        <w:t xml:space="preserve">staklo </w:t>
      </w:r>
      <w:r w:rsidRPr="0023595B">
        <w:rPr>
          <w:sz w:val="22"/>
          <w:szCs w:val="22"/>
          <w:lang w:val="sr-Latn-ME"/>
        </w:rPr>
        <w:t xml:space="preserve">tip I) sa zatvaračem </w:t>
      </w:r>
      <w:r w:rsidR="00B407EE">
        <w:rPr>
          <w:sz w:val="22"/>
          <w:szCs w:val="22"/>
          <w:lang w:val="sr-Latn-ME"/>
        </w:rPr>
        <w:t xml:space="preserve">od </w:t>
      </w:r>
      <w:r w:rsidRPr="0023595B">
        <w:rPr>
          <w:sz w:val="22"/>
          <w:szCs w:val="22"/>
          <w:lang w:val="sr-Latn-ME"/>
        </w:rPr>
        <w:t>elastomer gum</w:t>
      </w:r>
      <w:r w:rsidR="00B407EE">
        <w:rPr>
          <w:sz w:val="22"/>
          <w:szCs w:val="22"/>
          <w:lang w:val="sr-Latn-ME"/>
        </w:rPr>
        <w:t>e</w:t>
      </w:r>
      <w:r w:rsidRPr="0023595B">
        <w:rPr>
          <w:sz w:val="22"/>
          <w:szCs w:val="22"/>
          <w:lang w:val="sr-Latn-ME"/>
        </w:rPr>
        <w:t xml:space="preserve"> u kojoj se nalazi </w:t>
      </w:r>
      <w:r w:rsidR="00470456" w:rsidRPr="0023595B">
        <w:rPr>
          <w:sz w:val="22"/>
          <w:szCs w:val="22"/>
          <w:lang w:val="sr-Latn-ME"/>
        </w:rPr>
        <w:t xml:space="preserve">iskoristiva </w:t>
      </w:r>
      <w:r w:rsidR="00B407EE">
        <w:rPr>
          <w:sz w:val="22"/>
          <w:szCs w:val="22"/>
          <w:lang w:val="sr-Latn-ME"/>
        </w:rPr>
        <w:t>zapremina</w:t>
      </w:r>
      <w:r w:rsidR="00B407EE" w:rsidRPr="0023595B">
        <w:rPr>
          <w:sz w:val="22"/>
          <w:szCs w:val="22"/>
          <w:lang w:val="sr-Latn-ME"/>
        </w:rPr>
        <w:t xml:space="preserve"> </w:t>
      </w:r>
      <w:r w:rsidR="00470456" w:rsidRPr="0023595B">
        <w:rPr>
          <w:sz w:val="22"/>
          <w:szCs w:val="22"/>
          <w:lang w:val="sr-Latn-ME"/>
        </w:rPr>
        <w:t>od najmanje 0,1 m</w:t>
      </w:r>
      <w:r w:rsidR="004D7C5D" w:rsidRPr="0023595B">
        <w:rPr>
          <w:sz w:val="22"/>
          <w:szCs w:val="22"/>
          <w:lang w:val="sr-Latn-ME"/>
        </w:rPr>
        <w:t>l</w:t>
      </w:r>
      <w:r w:rsidRPr="0023595B">
        <w:rPr>
          <w:sz w:val="22"/>
          <w:szCs w:val="22"/>
          <w:lang w:val="sr-Latn-ME"/>
        </w:rPr>
        <w:t xml:space="preserve"> rastvora za injekciju.</w:t>
      </w:r>
    </w:p>
    <w:p w14:paraId="05323B55" w14:textId="77777777" w:rsidR="00B407EE" w:rsidRDefault="00B407EE" w:rsidP="005C0F74">
      <w:pPr>
        <w:jc w:val="both"/>
        <w:rPr>
          <w:sz w:val="22"/>
          <w:szCs w:val="22"/>
          <w:lang w:val="sr-Latn-ME"/>
        </w:rPr>
      </w:pPr>
    </w:p>
    <w:p w14:paraId="71229CAB" w14:textId="384D368B" w:rsidR="005C0F74" w:rsidRPr="0023595B" w:rsidRDefault="005C0F74" w:rsidP="005C0F74">
      <w:pPr>
        <w:jc w:val="both"/>
        <w:rPr>
          <w:sz w:val="22"/>
          <w:szCs w:val="22"/>
          <w:lang w:val="sr-Latn-ME"/>
        </w:rPr>
      </w:pPr>
      <w:r w:rsidRPr="0023595B">
        <w:rPr>
          <w:sz w:val="22"/>
          <w:szCs w:val="22"/>
          <w:lang w:val="sr-Latn-ME"/>
        </w:rPr>
        <w:t>Spoljašnje pakovanje lijeka je složiva kartonska kutija u kojoj se nalazi 1 bočica, jedna 18 G filter igla i Uputstvo za lijek.</w:t>
      </w:r>
    </w:p>
    <w:p w14:paraId="57E13BC3" w14:textId="025684F4" w:rsidR="005C0F74" w:rsidRPr="0023595B" w:rsidRDefault="005C0F74" w:rsidP="005C0F74">
      <w:pPr>
        <w:jc w:val="both"/>
        <w:rPr>
          <w:sz w:val="22"/>
          <w:szCs w:val="22"/>
          <w:lang w:val="sr-Latn-ME"/>
        </w:rPr>
      </w:pPr>
    </w:p>
    <w:p w14:paraId="76BE9A8D" w14:textId="23B525FE" w:rsidR="002846DB"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6.6. </w:t>
      </w:r>
      <w:r w:rsidR="00480FB1" w:rsidRPr="0023595B">
        <w:rPr>
          <w:b/>
          <w:bCs/>
          <w:sz w:val="22"/>
          <w:szCs w:val="22"/>
          <w:lang w:val="sr-Latn-ME"/>
        </w:rPr>
        <w:tab/>
      </w:r>
      <w:r w:rsidRPr="0023595B">
        <w:rPr>
          <w:b/>
          <w:bCs/>
          <w:color w:val="000000"/>
          <w:sz w:val="22"/>
          <w:szCs w:val="22"/>
          <w:lang w:val="sr-Latn-ME"/>
        </w:rPr>
        <w:t>Posebne mjere opreza pri odlaganju materijala koji treba odbaciti nakon primjene lijeka</w:t>
      </w:r>
      <w:r w:rsidRPr="0023595B">
        <w:rPr>
          <w:b/>
          <w:bCs/>
          <w:sz w:val="22"/>
          <w:szCs w:val="22"/>
          <w:lang w:val="sr-Latn-ME"/>
        </w:rPr>
        <w:t xml:space="preserve"> </w:t>
      </w:r>
      <w:r w:rsidR="00310F03" w:rsidRPr="0023595B">
        <w:rPr>
          <w:b/>
          <w:bCs/>
          <w:sz w:val="22"/>
          <w:szCs w:val="22"/>
          <w:lang w:val="sr-Latn-ME"/>
        </w:rPr>
        <w:t>(i druga uputs</w:t>
      </w:r>
      <w:r w:rsidR="00B407EE">
        <w:rPr>
          <w:b/>
          <w:bCs/>
          <w:sz w:val="22"/>
          <w:szCs w:val="22"/>
          <w:lang w:val="sr-Latn-ME"/>
        </w:rPr>
        <w:t>t</w:t>
      </w:r>
      <w:r w:rsidR="00310F03" w:rsidRPr="0023595B">
        <w:rPr>
          <w:b/>
          <w:bCs/>
          <w:sz w:val="22"/>
          <w:szCs w:val="22"/>
          <w:lang w:val="sr-Latn-ME"/>
        </w:rPr>
        <w:t xml:space="preserve">va za rukovanje lijekom) </w:t>
      </w:r>
    </w:p>
    <w:p w14:paraId="093C16F3" w14:textId="77777777" w:rsidR="005C0F74" w:rsidRPr="0023595B" w:rsidRDefault="005C0F74" w:rsidP="005C0F74">
      <w:pPr>
        <w:tabs>
          <w:tab w:val="center" w:pos="4536"/>
          <w:tab w:val="right" w:pos="9072"/>
        </w:tabs>
        <w:jc w:val="both"/>
        <w:rPr>
          <w:sz w:val="22"/>
          <w:szCs w:val="22"/>
          <w:lang w:val="sr-Latn-ME"/>
        </w:rPr>
      </w:pPr>
    </w:p>
    <w:p w14:paraId="61492857" w14:textId="6288BBB2"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 xml:space="preserve">Bočica je </w:t>
      </w:r>
      <w:r w:rsidR="00B407EE">
        <w:rPr>
          <w:sz w:val="22"/>
          <w:szCs w:val="22"/>
          <w:lang w:val="sr-Latn-ME"/>
        </w:rPr>
        <w:t xml:space="preserve">namijenjena </w:t>
      </w:r>
      <w:r w:rsidRPr="0023595B">
        <w:rPr>
          <w:sz w:val="22"/>
          <w:szCs w:val="22"/>
          <w:lang w:val="sr-Latn-ME"/>
        </w:rPr>
        <w:t>isključivo za jednokratnu upotrebu u jedno oko.</w:t>
      </w:r>
    </w:p>
    <w:p w14:paraId="4E9D770F" w14:textId="3664A1AB" w:rsidR="005C0F74" w:rsidRPr="0023595B" w:rsidRDefault="00470456" w:rsidP="005C0F74">
      <w:pPr>
        <w:tabs>
          <w:tab w:val="center" w:pos="4536"/>
          <w:tab w:val="right" w:pos="9072"/>
        </w:tabs>
        <w:jc w:val="both"/>
        <w:rPr>
          <w:sz w:val="22"/>
          <w:szCs w:val="22"/>
          <w:lang w:val="sr-Latn-ME"/>
        </w:rPr>
      </w:pPr>
      <w:r w:rsidRPr="0023595B">
        <w:rPr>
          <w:sz w:val="22"/>
          <w:szCs w:val="22"/>
          <w:lang w:val="sr-Latn-ME"/>
        </w:rPr>
        <w:lastRenderedPageBreak/>
        <w:t>Bočica sadrži više od preporučene doze od 2 mg aflibercepta (što odgovara 0,05 m</w:t>
      </w:r>
      <w:r w:rsidR="000C0F75" w:rsidRPr="0023595B">
        <w:rPr>
          <w:sz w:val="22"/>
          <w:szCs w:val="22"/>
          <w:lang w:val="sr-Latn-ME"/>
        </w:rPr>
        <w:t>l</w:t>
      </w:r>
      <w:r w:rsidR="00B407EE">
        <w:rPr>
          <w:sz w:val="22"/>
          <w:szCs w:val="22"/>
          <w:lang w:val="sr-Latn-ME"/>
        </w:rPr>
        <w:t xml:space="preserve"> rastvora za injekciju</w:t>
      </w:r>
      <w:r w:rsidRPr="0023595B">
        <w:rPr>
          <w:sz w:val="22"/>
          <w:szCs w:val="22"/>
          <w:lang w:val="sr-Latn-ME"/>
        </w:rPr>
        <w:t>). Višak zapremine tečnosti mora se istisnuti prije primjene lijeka</w:t>
      </w:r>
      <w:r w:rsidR="005C0F74" w:rsidRPr="0023595B">
        <w:rPr>
          <w:sz w:val="22"/>
          <w:szCs w:val="22"/>
          <w:lang w:val="sr-Latn-ME"/>
        </w:rPr>
        <w:t>.</w:t>
      </w:r>
    </w:p>
    <w:p w14:paraId="09ED520B" w14:textId="77777777" w:rsidR="005C0F74" w:rsidRPr="0023595B" w:rsidRDefault="005C0F74" w:rsidP="005C0F74">
      <w:pPr>
        <w:tabs>
          <w:tab w:val="center" w:pos="4536"/>
          <w:tab w:val="right" w:pos="9072"/>
        </w:tabs>
        <w:jc w:val="both"/>
        <w:rPr>
          <w:sz w:val="22"/>
          <w:szCs w:val="22"/>
          <w:lang w:val="sr-Latn-ME"/>
        </w:rPr>
      </w:pPr>
    </w:p>
    <w:p w14:paraId="7071306F" w14:textId="2A50B7F5"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 xml:space="preserve">Rastvor prije primjene </w:t>
      </w:r>
      <w:r w:rsidR="00B407EE" w:rsidRPr="0023595B">
        <w:rPr>
          <w:sz w:val="22"/>
          <w:szCs w:val="22"/>
          <w:lang w:val="sr-Latn-ME"/>
        </w:rPr>
        <w:t xml:space="preserve">treba </w:t>
      </w:r>
      <w:r w:rsidRPr="0023595B">
        <w:rPr>
          <w:sz w:val="22"/>
          <w:szCs w:val="22"/>
          <w:lang w:val="sr-Latn-ME"/>
        </w:rPr>
        <w:t xml:space="preserve">vizuelno pregledati </w:t>
      </w:r>
      <w:r w:rsidR="00B407EE">
        <w:rPr>
          <w:sz w:val="22"/>
          <w:szCs w:val="22"/>
          <w:lang w:val="sr-Latn-ME"/>
        </w:rPr>
        <w:t>na</w:t>
      </w:r>
      <w:r w:rsidRPr="0023595B">
        <w:rPr>
          <w:sz w:val="22"/>
          <w:szCs w:val="22"/>
          <w:lang w:val="sr-Latn-ME"/>
        </w:rPr>
        <w:t xml:space="preserve"> </w:t>
      </w:r>
      <w:r w:rsidR="00B407EE" w:rsidRPr="0023595B">
        <w:rPr>
          <w:sz w:val="22"/>
          <w:szCs w:val="22"/>
          <w:lang w:val="sr-Latn-ME"/>
        </w:rPr>
        <w:t>prisus</w:t>
      </w:r>
      <w:r w:rsidR="00B407EE">
        <w:rPr>
          <w:sz w:val="22"/>
          <w:szCs w:val="22"/>
          <w:lang w:val="sr-Latn-ME"/>
        </w:rPr>
        <w:t>tvo</w:t>
      </w:r>
      <w:r w:rsidR="00B407EE" w:rsidRPr="0023595B">
        <w:rPr>
          <w:sz w:val="22"/>
          <w:szCs w:val="22"/>
          <w:lang w:val="sr-Latn-ME"/>
        </w:rPr>
        <w:t xml:space="preserve"> </w:t>
      </w:r>
      <w:r w:rsidR="00B407EE">
        <w:rPr>
          <w:sz w:val="22"/>
          <w:szCs w:val="22"/>
          <w:lang w:val="sr-Latn-ME"/>
        </w:rPr>
        <w:t>stranih čestica,</w:t>
      </w:r>
      <w:r w:rsidRPr="0023595B">
        <w:rPr>
          <w:sz w:val="22"/>
          <w:szCs w:val="22"/>
          <w:lang w:val="sr-Latn-ME"/>
        </w:rPr>
        <w:t xml:space="preserve"> promjen</w:t>
      </w:r>
      <w:r w:rsidR="00B407EE">
        <w:rPr>
          <w:sz w:val="22"/>
          <w:szCs w:val="22"/>
          <w:lang w:val="sr-Latn-ME"/>
        </w:rPr>
        <w:t>u</w:t>
      </w:r>
      <w:r w:rsidRPr="0023595B">
        <w:rPr>
          <w:sz w:val="22"/>
          <w:szCs w:val="22"/>
          <w:lang w:val="sr-Latn-ME"/>
        </w:rPr>
        <w:t xml:space="preserve"> boje ili </w:t>
      </w:r>
      <w:r w:rsidR="00B407EE" w:rsidRPr="0023595B">
        <w:rPr>
          <w:sz w:val="22"/>
          <w:szCs w:val="22"/>
          <w:lang w:val="sr-Latn-ME"/>
        </w:rPr>
        <w:t>nek</w:t>
      </w:r>
      <w:r w:rsidR="00B407EE">
        <w:rPr>
          <w:sz w:val="22"/>
          <w:szCs w:val="22"/>
          <w:lang w:val="sr-Latn-ME"/>
        </w:rPr>
        <w:t>u</w:t>
      </w:r>
      <w:r w:rsidR="00B407EE" w:rsidRPr="0023595B">
        <w:rPr>
          <w:sz w:val="22"/>
          <w:szCs w:val="22"/>
          <w:lang w:val="sr-Latn-ME"/>
        </w:rPr>
        <w:t xml:space="preserve"> </w:t>
      </w:r>
      <w:r w:rsidRPr="0023595B">
        <w:rPr>
          <w:sz w:val="22"/>
          <w:szCs w:val="22"/>
          <w:lang w:val="sr-Latn-ME"/>
        </w:rPr>
        <w:t>promjen</w:t>
      </w:r>
      <w:r w:rsidR="00B407EE">
        <w:rPr>
          <w:sz w:val="22"/>
          <w:szCs w:val="22"/>
          <w:lang w:val="sr-Latn-ME"/>
        </w:rPr>
        <w:t>u</w:t>
      </w:r>
      <w:r w:rsidRPr="0023595B">
        <w:rPr>
          <w:sz w:val="22"/>
          <w:szCs w:val="22"/>
          <w:lang w:val="sr-Latn-ME"/>
        </w:rPr>
        <w:t xml:space="preserve"> fizičkog izgleda. U slučaju da se prim</w:t>
      </w:r>
      <w:r w:rsidR="00B407EE">
        <w:rPr>
          <w:sz w:val="22"/>
          <w:szCs w:val="22"/>
          <w:lang w:val="sr-Latn-ME"/>
        </w:rPr>
        <w:t>i</w:t>
      </w:r>
      <w:r w:rsidRPr="0023595B">
        <w:rPr>
          <w:sz w:val="22"/>
          <w:szCs w:val="22"/>
          <w:lang w:val="sr-Latn-ME"/>
        </w:rPr>
        <w:t>jeti bilo šta od navedenog</w:t>
      </w:r>
      <w:r w:rsidR="00872FD6">
        <w:rPr>
          <w:sz w:val="22"/>
          <w:szCs w:val="22"/>
          <w:lang w:val="sr-Latn-ME"/>
        </w:rPr>
        <w:t>,</w:t>
      </w:r>
      <w:r w:rsidRPr="0023595B">
        <w:rPr>
          <w:sz w:val="22"/>
          <w:szCs w:val="22"/>
          <w:lang w:val="sr-Latn-ME"/>
        </w:rPr>
        <w:t xml:space="preserve"> lijek treba </w:t>
      </w:r>
      <w:r w:rsidR="00B407EE">
        <w:rPr>
          <w:sz w:val="22"/>
          <w:szCs w:val="22"/>
          <w:lang w:val="sr-Latn-ME"/>
        </w:rPr>
        <w:t>od</w:t>
      </w:r>
      <w:r w:rsidRPr="0023595B">
        <w:rPr>
          <w:sz w:val="22"/>
          <w:szCs w:val="22"/>
          <w:lang w:val="sr-Latn-ME"/>
        </w:rPr>
        <w:t>baciti.</w:t>
      </w:r>
    </w:p>
    <w:p w14:paraId="4AAA3DE4" w14:textId="54B396B3" w:rsidR="00645A8A" w:rsidRPr="0023595B" w:rsidRDefault="00645A8A" w:rsidP="00645A8A">
      <w:pPr>
        <w:tabs>
          <w:tab w:val="center" w:pos="4536"/>
          <w:tab w:val="right" w:pos="9072"/>
        </w:tabs>
        <w:rPr>
          <w:sz w:val="22"/>
          <w:szCs w:val="22"/>
          <w:lang w:val="sr-Latn-ME"/>
        </w:rPr>
      </w:pPr>
    </w:p>
    <w:p w14:paraId="00152BCC" w14:textId="19DF6376" w:rsidR="00645A8A" w:rsidRPr="00587D79" w:rsidRDefault="00645A8A" w:rsidP="00645A8A">
      <w:pPr>
        <w:tabs>
          <w:tab w:val="center" w:pos="4536"/>
          <w:tab w:val="right" w:pos="9072"/>
        </w:tabs>
        <w:rPr>
          <w:sz w:val="22"/>
          <w:szCs w:val="22"/>
          <w:u w:val="single"/>
          <w:lang w:val="sr-Latn-ME"/>
        </w:rPr>
      </w:pPr>
      <w:bookmarkStart w:id="1" w:name="_Hlk67470247"/>
      <w:r w:rsidRPr="00587D79">
        <w:rPr>
          <w:sz w:val="22"/>
          <w:szCs w:val="22"/>
          <w:u w:val="single"/>
          <w:lang w:val="sr-Latn-ME"/>
        </w:rPr>
        <w:t>Filter igla:</w:t>
      </w:r>
    </w:p>
    <w:p w14:paraId="473DEE07" w14:textId="2B4BA9A3" w:rsidR="00645A8A" w:rsidRPr="0023595B" w:rsidRDefault="0001118D" w:rsidP="00645A8A">
      <w:pPr>
        <w:tabs>
          <w:tab w:val="center" w:pos="4536"/>
          <w:tab w:val="right" w:pos="9072"/>
        </w:tabs>
        <w:rPr>
          <w:sz w:val="22"/>
          <w:szCs w:val="22"/>
          <w:lang w:val="sr-Latn-ME"/>
        </w:rPr>
      </w:pPr>
      <w:r>
        <w:rPr>
          <w:sz w:val="22"/>
          <w:szCs w:val="22"/>
          <w:lang w:val="sr-Latn-ME"/>
        </w:rPr>
        <w:t>T</w:t>
      </w:r>
      <w:r w:rsidR="00645A8A" w:rsidRPr="0023595B">
        <w:rPr>
          <w:sz w:val="22"/>
          <w:szCs w:val="22"/>
          <w:lang w:val="sr-Latn-ME"/>
        </w:rPr>
        <w:t>upa filter igla (igla za izvlačenje lijeka iz bočice), nije za injekcij</w:t>
      </w:r>
      <w:r w:rsidR="00B407EE">
        <w:rPr>
          <w:sz w:val="22"/>
          <w:szCs w:val="22"/>
          <w:lang w:val="sr-Latn-ME"/>
        </w:rPr>
        <w:t>u</w:t>
      </w:r>
      <w:r w:rsidR="00645A8A" w:rsidRPr="0023595B">
        <w:rPr>
          <w:sz w:val="22"/>
          <w:szCs w:val="22"/>
          <w:lang w:val="sr-Latn-ME"/>
        </w:rPr>
        <w:t xml:space="preserve"> na koži.</w:t>
      </w:r>
    </w:p>
    <w:p w14:paraId="2DE14FDF" w14:textId="10B78EC3" w:rsidR="00645A8A" w:rsidRPr="0023595B" w:rsidRDefault="00645A8A" w:rsidP="00645A8A">
      <w:pPr>
        <w:tabs>
          <w:tab w:val="center" w:pos="4536"/>
          <w:tab w:val="right" w:pos="9072"/>
        </w:tabs>
        <w:rPr>
          <w:sz w:val="22"/>
          <w:szCs w:val="22"/>
          <w:lang w:val="sr-Latn-ME"/>
        </w:rPr>
      </w:pPr>
      <w:r w:rsidRPr="0023595B">
        <w:rPr>
          <w:sz w:val="22"/>
          <w:szCs w:val="22"/>
          <w:lang w:val="sr-Latn-ME"/>
        </w:rPr>
        <w:t>Nemojte sterilisati u aut</w:t>
      </w:r>
      <w:r w:rsidR="000C0F75" w:rsidRPr="0023595B">
        <w:rPr>
          <w:sz w:val="22"/>
          <w:szCs w:val="22"/>
          <w:lang w:val="sr-Latn-ME"/>
        </w:rPr>
        <w:t>o</w:t>
      </w:r>
      <w:r w:rsidRPr="0023595B">
        <w:rPr>
          <w:sz w:val="22"/>
          <w:szCs w:val="22"/>
          <w:lang w:val="sr-Latn-ME"/>
        </w:rPr>
        <w:t>klavu tupu filter iglu (iglu za izvlačenje lijeka iz bočice).</w:t>
      </w:r>
    </w:p>
    <w:p w14:paraId="37C1F082" w14:textId="7ADD5B69" w:rsidR="00645A8A" w:rsidRPr="0023595B" w:rsidRDefault="00645A8A" w:rsidP="00645A8A">
      <w:pPr>
        <w:tabs>
          <w:tab w:val="center" w:pos="4536"/>
          <w:tab w:val="right" w:pos="9072"/>
        </w:tabs>
        <w:rPr>
          <w:sz w:val="22"/>
          <w:szCs w:val="22"/>
          <w:lang w:val="sr-Latn-ME"/>
        </w:rPr>
      </w:pPr>
      <w:r w:rsidRPr="0023595B">
        <w:rPr>
          <w:sz w:val="22"/>
          <w:szCs w:val="22"/>
          <w:lang w:val="sr-Latn-ME"/>
        </w:rPr>
        <w:t>Filter igla je apirogena. Nemojte koristiti filter iglu ako je pojedinačno pakovanje oštećeno.</w:t>
      </w:r>
    </w:p>
    <w:p w14:paraId="2634848B" w14:textId="6CEC7952" w:rsidR="00645A8A" w:rsidRPr="0023595B" w:rsidRDefault="00645A8A" w:rsidP="004327D6">
      <w:pPr>
        <w:tabs>
          <w:tab w:val="center" w:pos="4536"/>
          <w:tab w:val="right" w:pos="9072"/>
        </w:tabs>
        <w:jc w:val="both"/>
        <w:rPr>
          <w:sz w:val="22"/>
          <w:szCs w:val="22"/>
          <w:lang w:val="sr-Latn-ME"/>
        </w:rPr>
      </w:pPr>
      <w:r w:rsidRPr="0023595B">
        <w:rPr>
          <w:sz w:val="22"/>
          <w:szCs w:val="22"/>
          <w:lang w:val="sr-Latn-ME"/>
        </w:rPr>
        <w:t>Odbacite iskorišćenu tupu filter iglu (iglu za izvlačenje lijeka iz bočice) u odobrenu posudu za sakupljanje oštrih predmeta.</w:t>
      </w:r>
    </w:p>
    <w:p w14:paraId="47CD8FC1" w14:textId="6EB11511" w:rsidR="00645A8A" w:rsidRPr="0023595B" w:rsidRDefault="00645A8A" w:rsidP="00645A8A">
      <w:pPr>
        <w:tabs>
          <w:tab w:val="center" w:pos="4536"/>
          <w:tab w:val="right" w:pos="9072"/>
        </w:tabs>
        <w:rPr>
          <w:sz w:val="22"/>
          <w:szCs w:val="22"/>
          <w:lang w:val="sr-Latn-ME"/>
        </w:rPr>
      </w:pPr>
      <w:r w:rsidRPr="0023595B">
        <w:rPr>
          <w:sz w:val="22"/>
          <w:szCs w:val="22"/>
          <w:lang w:val="sr-Latn-ME"/>
        </w:rPr>
        <w:t>Oprez: Ponovna upotreba filter igle može dovesti do infekcije ili druge bolesti/povrede.</w:t>
      </w:r>
    </w:p>
    <w:bookmarkEnd w:id="1"/>
    <w:p w14:paraId="415BF441" w14:textId="7C9782CC" w:rsidR="005C0F74" w:rsidRPr="0023595B" w:rsidRDefault="005C0F74" w:rsidP="005C0F74">
      <w:pPr>
        <w:tabs>
          <w:tab w:val="center" w:pos="4536"/>
          <w:tab w:val="right" w:pos="9072"/>
        </w:tabs>
        <w:jc w:val="both"/>
        <w:rPr>
          <w:sz w:val="22"/>
          <w:szCs w:val="22"/>
          <w:lang w:val="sr-Latn-ME"/>
        </w:rPr>
      </w:pPr>
    </w:p>
    <w:p w14:paraId="7FB64B09" w14:textId="1437542A"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 xml:space="preserve">Za intravitrealnu injekciju treba koristiti injekcionu iglu od 30 G x </w:t>
      </w:r>
      <w:r w:rsidR="00BE4DA2">
        <w:rPr>
          <w:sz w:val="22"/>
          <w:szCs w:val="22"/>
          <w:lang w:val="sr-Latn-ME"/>
        </w:rPr>
        <w:t>12,7 mm (</w:t>
      </w:r>
      <w:r w:rsidRPr="0023595B">
        <w:rPr>
          <w:sz w:val="22"/>
          <w:szCs w:val="22"/>
          <w:lang w:val="sr-Latn-ME"/>
        </w:rPr>
        <w:t>½ inča</w:t>
      </w:r>
      <w:r w:rsidR="00BE4DA2">
        <w:rPr>
          <w:sz w:val="22"/>
          <w:szCs w:val="22"/>
          <w:lang w:val="sr-Latn-ME"/>
        </w:rPr>
        <w:t>)</w:t>
      </w:r>
      <w:r w:rsidRPr="0023595B">
        <w:rPr>
          <w:sz w:val="22"/>
          <w:szCs w:val="22"/>
          <w:lang w:val="sr-Latn-ME"/>
        </w:rPr>
        <w:t>.</w:t>
      </w:r>
    </w:p>
    <w:p w14:paraId="67401BCC" w14:textId="5408474B" w:rsidR="00645A8A" w:rsidRPr="0023595B" w:rsidRDefault="00645A8A" w:rsidP="005C0F74">
      <w:pPr>
        <w:jc w:val="both"/>
        <w:rPr>
          <w:sz w:val="22"/>
          <w:szCs w:val="22"/>
          <w:lang w:val="sr-Latn-ME"/>
        </w:rPr>
      </w:pPr>
    </w:p>
    <w:p w14:paraId="5E8FE85C" w14:textId="7659658E" w:rsidR="005C0F74" w:rsidRPr="0023595B" w:rsidRDefault="005C0F74" w:rsidP="005C0F74">
      <w:pPr>
        <w:tabs>
          <w:tab w:val="center" w:pos="4536"/>
          <w:tab w:val="right" w:pos="9072"/>
        </w:tabs>
        <w:jc w:val="both"/>
        <w:rPr>
          <w:b/>
          <w:bCs/>
          <w:i/>
          <w:iCs/>
          <w:sz w:val="22"/>
          <w:szCs w:val="22"/>
          <w:lang w:val="sr-Latn-ME"/>
        </w:rPr>
      </w:pPr>
      <w:r w:rsidRPr="0023595B">
        <w:rPr>
          <w:b/>
          <w:bCs/>
          <w:i/>
          <w:iCs/>
          <w:sz w:val="22"/>
          <w:szCs w:val="22"/>
          <w:lang w:val="sr-Latn-ME"/>
        </w:rPr>
        <w:t>Uputstvo za upotrebu bočice:</w:t>
      </w:r>
    </w:p>
    <w:p w14:paraId="51D1EEC8" w14:textId="21F321CC" w:rsidR="005C0F74" w:rsidRPr="0023595B" w:rsidRDefault="005C0F74" w:rsidP="005C0F74">
      <w:pPr>
        <w:jc w:val="both"/>
        <w:rPr>
          <w:sz w:val="22"/>
          <w:szCs w:val="22"/>
          <w:lang w:val="sr-Latn-ME"/>
        </w:rPr>
      </w:pPr>
    </w:p>
    <w:p w14:paraId="7DC254EE" w14:textId="2B5CBDC2" w:rsidR="005C0F74" w:rsidRPr="0023595B" w:rsidRDefault="0045313E" w:rsidP="005C0F74">
      <w:pPr>
        <w:ind w:left="270" w:hanging="270"/>
        <w:jc w:val="both"/>
        <w:rPr>
          <w:sz w:val="22"/>
          <w:szCs w:val="22"/>
          <w:lang w:val="sr-Latn-ME"/>
        </w:rPr>
      </w:pPr>
      <w:r w:rsidRPr="0023595B">
        <w:rPr>
          <w:noProof/>
        </w:rPr>
        <w:drawing>
          <wp:anchor distT="0" distB="0" distL="114300" distR="114300" simplePos="0" relativeHeight="251699200" behindDoc="0" locked="0" layoutInCell="1" allowOverlap="1" wp14:anchorId="0DE6DD28" wp14:editId="5CBD083B">
            <wp:simplePos x="0" y="0"/>
            <wp:positionH relativeFrom="margin">
              <wp:posOffset>4151630</wp:posOffset>
            </wp:positionH>
            <wp:positionV relativeFrom="margin">
              <wp:posOffset>3105150</wp:posOffset>
            </wp:positionV>
            <wp:extent cx="1619885" cy="1448435"/>
            <wp:effectExtent l="19050" t="19050" r="18415" b="18415"/>
            <wp:wrapSquare wrapText="bothSides"/>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885" cy="1448435"/>
                    </a:xfrm>
                    <a:prstGeom prst="rect">
                      <a:avLst/>
                    </a:prstGeom>
                    <a:noFill/>
                    <a:ln w="9525"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5C0F74" w:rsidRPr="0023595B">
        <w:rPr>
          <w:sz w:val="22"/>
          <w:szCs w:val="22"/>
          <w:lang w:val="sr-Latn-ME"/>
        </w:rPr>
        <w:t>1.</w:t>
      </w:r>
      <w:r w:rsidR="005C0F74" w:rsidRPr="0023595B">
        <w:rPr>
          <w:sz w:val="22"/>
          <w:szCs w:val="22"/>
          <w:lang w:val="sr-Latn-ME"/>
        </w:rPr>
        <w:tab/>
        <w:t>Uklonite plastični poklopac i dezinfikujte spoljašnju površinu gumenog zatvarača bočice</w:t>
      </w:r>
      <w:r w:rsidR="00EC190B">
        <w:rPr>
          <w:sz w:val="22"/>
          <w:szCs w:val="22"/>
          <w:lang w:val="sr-Latn-ME"/>
        </w:rPr>
        <w:t>.</w:t>
      </w:r>
      <w:r w:rsidR="005C0F74" w:rsidRPr="0023595B">
        <w:rPr>
          <w:sz w:val="22"/>
          <w:szCs w:val="22"/>
          <w:lang w:val="sr-Latn-ME"/>
        </w:rPr>
        <w:t xml:space="preserve"> </w:t>
      </w:r>
    </w:p>
    <w:p w14:paraId="23412C58" w14:textId="00BD75AF" w:rsidR="005C0F74" w:rsidRPr="0023595B" w:rsidRDefault="005C0F74" w:rsidP="005C0F74">
      <w:pPr>
        <w:ind w:left="270" w:hanging="270"/>
        <w:jc w:val="both"/>
        <w:rPr>
          <w:sz w:val="22"/>
          <w:szCs w:val="22"/>
          <w:lang w:val="sr-Latn-ME"/>
        </w:rPr>
      </w:pPr>
    </w:p>
    <w:p w14:paraId="164EE571" w14:textId="31F9D2A2" w:rsidR="005C0F74" w:rsidRPr="0023595B" w:rsidRDefault="005C0F74" w:rsidP="005C0F74">
      <w:pPr>
        <w:ind w:left="270" w:hanging="270"/>
        <w:jc w:val="both"/>
        <w:rPr>
          <w:sz w:val="22"/>
          <w:szCs w:val="22"/>
          <w:lang w:val="sr-Latn-ME"/>
        </w:rPr>
      </w:pPr>
    </w:p>
    <w:p w14:paraId="58126F2F" w14:textId="77777777" w:rsidR="0045313E" w:rsidRPr="0023595B" w:rsidRDefault="0045313E" w:rsidP="005C0F74">
      <w:pPr>
        <w:ind w:left="270" w:hanging="270"/>
        <w:jc w:val="both"/>
        <w:rPr>
          <w:sz w:val="22"/>
          <w:szCs w:val="22"/>
          <w:lang w:val="sr-Latn-ME"/>
        </w:rPr>
      </w:pPr>
    </w:p>
    <w:p w14:paraId="0F68AF6B" w14:textId="59FD27E7" w:rsidR="00645A8A" w:rsidRPr="0023595B" w:rsidRDefault="00645A8A" w:rsidP="005C0F74">
      <w:pPr>
        <w:ind w:left="270" w:hanging="270"/>
        <w:jc w:val="both"/>
        <w:rPr>
          <w:sz w:val="22"/>
          <w:szCs w:val="22"/>
          <w:lang w:val="sr-Latn-ME"/>
        </w:rPr>
      </w:pPr>
    </w:p>
    <w:p w14:paraId="7AC83EA2" w14:textId="010C70D7" w:rsidR="005C0F74" w:rsidRPr="0023595B" w:rsidRDefault="005C0F74" w:rsidP="005C0F74">
      <w:pPr>
        <w:ind w:left="270" w:hanging="270"/>
        <w:jc w:val="both"/>
        <w:rPr>
          <w:sz w:val="22"/>
          <w:szCs w:val="22"/>
          <w:lang w:val="sr-Latn-ME"/>
        </w:rPr>
      </w:pPr>
    </w:p>
    <w:p w14:paraId="6F17B91F" w14:textId="2EFDA706" w:rsidR="005C0F74" w:rsidRPr="0023595B" w:rsidRDefault="005C0F74" w:rsidP="005C0F74">
      <w:pPr>
        <w:ind w:left="270" w:hanging="270"/>
        <w:jc w:val="both"/>
        <w:rPr>
          <w:sz w:val="22"/>
          <w:szCs w:val="22"/>
          <w:lang w:val="sr-Latn-ME"/>
        </w:rPr>
      </w:pPr>
    </w:p>
    <w:p w14:paraId="7C25C63B" w14:textId="22CE2179" w:rsidR="005C0F74" w:rsidRPr="0023595B" w:rsidRDefault="005C0F74" w:rsidP="005C0F74">
      <w:pPr>
        <w:ind w:left="270" w:hanging="270"/>
        <w:jc w:val="both"/>
        <w:rPr>
          <w:sz w:val="22"/>
          <w:szCs w:val="22"/>
          <w:lang w:val="sr-Latn-ME"/>
        </w:rPr>
      </w:pPr>
    </w:p>
    <w:p w14:paraId="5032BBE5" w14:textId="3FB40A8D" w:rsidR="005C0F74" w:rsidRPr="0023595B" w:rsidRDefault="005C0F74" w:rsidP="005C0F74">
      <w:pPr>
        <w:ind w:left="270" w:hanging="270"/>
        <w:jc w:val="both"/>
        <w:rPr>
          <w:sz w:val="22"/>
          <w:szCs w:val="22"/>
          <w:lang w:val="sr-Latn-ME"/>
        </w:rPr>
      </w:pPr>
    </w:p>
    <w:p w14:paraId="455F20C6" w14:textId="4346856B" w:rsidR="005C0F74" w:rsidRPr="0023595B" w:rsidRDefault="0045313E" w:rsidP="005C0F74">
      <w:pPr>
        <w:ind w:left="270" w:hanging="270"/>
        <w:jc w:val="both"/>
        <w:rPr>
          <w:sz w:val="22"/>
          <w:szCs w:val="22"/>
          <w:lang w:val="sr-Latn-ME"/>
        </w:rPr>
      </w:pPr>
      <w:r w:rsidRPr="0023595B">
        <w:rPr>
          <w:noProof/>
        </w:rPr>
        <w:drawing>
          <wp:anchor distT="0" distB="0" distL="114300" distR="114300" simplePos="0" relativeHeight="251701248" behindDoc="0" locked="0" layoutInCell="1" allowOverlap="1" wp14:anchorId="2D4B0DCA" wp14:editId="5A42C23B">
            <wp:simplePos x="0" y="0"/>
            <wp:positionH relativeFrom="margin">
              <wp:posOffset>4152900</wp:posOffset>
            </wp:positionH>
            <wp:positionV relativeFrom="margin">
              <wp:posOffset>4718685</wp:posOffset>
            </wp:positionV>
            <wp:extent cx="1619885" cy="1573530"/>
            <wp:effectExtent l="19050" t="19050" r="18415" b="26670"/>
            <wp:wrapSquare wrapText="bothSides"/>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885" cy="1573530"/>
                    </a:xfrm>
                    <a:prstGeom prst="rect">
                      <a:avLst/>
                    </a:prstGeom>
                    <a:noFill/>
                    <a:ln w="9525"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5C0F74" w:rsidRPr="0023595B">
        <w:rPr>
          <w:sz w:val="22"/>
          <w:szCs w:val="22"/>
          <w:lang w:val="sr-Latn-ME"/>
        </w:rPr>
        <w:t>2.</w:t>
      </w:r>
      <w:r w:rsidR="005C0F74" w:rsidRPr="0023595B">
        <w:rPr>
          <w:sz w:val="22"/>
          <w:szCs w:val="22"/>
          <w:lang w:val="sr-Latn-ME"/>
        </w:rPr>
        <w:tab/>
        <w:t xml:space="preserve">Pričvrstite 18 G 5-mikronsku filter-iglu priloženu u kartonskom pakovanju na sterilni </w:t>
      </w:r>
      <w:r w:rsidR="00B407EE">
        <w:rPr>
          <w:sz w:val="22"/>
          <w:szCs w:val="22"/>
          <w:lang w:val="sr-Latn-ME"/>
        </w:rPr>
        <w:t>Luer-lock</w:t>
      </w:r>
      <w:r w:rsidR="005C0F74" w:rsidRPr="0023595B">
        <w:rPr>
          <w:sz w:val="22"/>
          <w:szCs w:val="22"/>
          <w:lang w:val="sr-Latn-ME"/>
        </w:rPr>
        <w:t xml:space="preserve"> špric </w:t>
      </w:r>
      <w:r w:rsidR="00B407EE">
        <w:rPr>
          <w:sz w:val="22"/>
          <w:szCs w:val="22"/>
          <w:lang w:val="sr-Latn-ME"/>
        </w:rPr>
        <w:t>zapremine</w:t>
      </w:r>
      <w:r w:rsidR="00B407EE" w:rsidRPr="0023595B">
        <w:rPr>
          <w:sz w:val="22"/>
          <w:szCs w:val="22"/>
          <w:lang w:val="sr-Latn-ME"/>
        </w:rPr>
        <w:t xml:space="preserve"> </w:t>
      </w:r>
      <w:r w:rsidR="005C0F74" w:rsidRPr="0023595B">
        <w:rPr>
          <w:sz w:val="22"/>
          <w:szCs w:val="22"/>
          <w:lang w:val="sr-Latn-ME"/>
        </w:rPr>
        <w:t>1</w:t>
      </w:r>
      <w:r w:rsidR="00B407EE">
        <w:rPr>
          <w:sz w:val="22"/>
          <w:szCs w:val="22"/>
          <w:lang w:val="sr-Latn-ME"/>
        </w:rPr>
        <w:t xml:space="preserve"> </w:t>
      </w:r>
      <w:r w:rsidR="005C0F74" w:rsidRPr="0023595B">
        <w:rPr>
          <w:sz w:val="22"/>
          <w:szCs w:val="22"/>
          <w:lang w:val="sr-Latn-ME"/>
        </w:rPr>
        <w:t>m</w:t>
      </w:r>
      <w:r w:rsidR="000C0F75" w:rsidRPr="0023595B">
        <w:rPr>
          <w:sz w:val="22"/>
          <w:szCs w:val="22"/>
          <w:lang w:val="sr-Latn-ME"/>
        </w:rPr>
        <w:t>l</w:t>
      </w:r>
      <w:r w:rsidR="005C0F74" w:rsidRPr="0023595B">
        <w:rPr>
          <w:sz w:val="22"/>
          <w:szCs w:val="22"/>
          <w:lang w:val="sr-Latn-ME"/>
        </w:rPr>
        <w:t>.</w:t>
      </w:r>
    </w:p>
    <w:p w14:paraId="6D792AF0" w14:textId="4BD023DD" w:rsidR="005C0F74" w:rsidRPr="0023595B" w:rsidRDefault="005C0F74" w:rsidP="005C0F74">
      <w:pPr>
        <w:ind w:left="270" w:hanging="270"/>
        <w:jc w:val="both"/>
        <w:rPr>
          <w:sz w:val="22"/>
          <w:szCs w:val="22"/>
          <w:lang w:val="sr-Latn-ME"/>
        </w:rPr>
      </w:pPr>
    </w:p>
    <w:p w14:paraId="5C711F50" w14:textId="78412568" w:rsidR="005C0F74" w:rsidRPr="0023595B" w:rsidRDefault="005C0F74" w:rsidP="005C0F74">
      <w:pPr>
        <w:ind w:left="270" w:hanging="270"/>
        <w:jc w:val="both"/>
        <w:rPr>
          <w:sz w:val="22"/>
          <w:szCs w:val="22"/>
          <w:lang w:val="sr-Latn-ME"/>
        </w:rPr>
      </w:pPr>
    </w:p>
    <w:p w14:paraId="7ACB3014" w14:textId="37A78328" w:rsidR="005C0F74" w:rsidRPr="0023595B" w:rsidRDefault="005C0F74" w:rsidP="005C0F74">
      <w:pPr>
        <w:ind w:left="270" w:hanging="270"/>
        <w:jc w:val="both"/>
        <w:rPr>
          <w:sz w:val="22"/>
          <w:szCs w:val="22"/>
          <w:lang w:val="sr-Latn-ME"/>
        </w:rPr>
      </w:pPr>
    </w:p>
    <w:p w14:paraId="60005E4F" w14:textId="7A53C85A" w:rsidR="005C0F74" w:rsidRPr="0023595B" w:rsidRDefault="005C0F74" w:rsidP="005C0F74">
      <w:pPr>
        <w:ind w:left="270" w:hanging="270"/>
        <w:jc w:val="both"/>
        <w:rPr>
          <w:sz w:val="22"/>
          <w:szCs w:val="22"/>
          <w:lang w:val="sr-Latn-ME"/>
        </w:rPr>
      </w:pPr>
    </w:p>
    <w:p w14:paraId="7B3A19CE" w14:textId="77777777" w:rsidR="0045313E" w:rsidRPr="0023595B" w:rsidRDefault="0045313E" w:rsidP="005C0F74">
      <w:pPr>
        <w:ind w:left="270" w:hanging="270"/>
        <w:jc w:val="both"/>
        <w:rPr>
          <w:sz w:val="22"/>
          <w:szCs w:val="22"/>
          <w:lang w:val="sr-Latn-ME"/>
        </w:rPr>
      </w:pPr>
    </w:p>
    <w:p w14:paraId="092EDE09" w14:textId="77777777" w:rsidR="005C0F74" w:rsidRPr="0023595B" w:rsidRDefault="005C0F74" w:rsidP="005C0F74">
      <w:pPr>
        <w:ind w:left="270" w:hanging="270"/>
        <w:jc w:val="both"/>
        <w:rPr>
          <w:sz w:val="22"/>
          <w:szCs w:val="22"/>
          <w:lang w:val="sr-Latn-ME"/>
        </w:rPr>
      </w:pPr>
    </w:p>
    <w:p w14:paraId="6608B0DF" w14:textId="2280592F" w:rsidR="005C0F74" w:rsidRPr="0023595B" w:rsidRDefault="005C0F74" w:rsidP="005C0F74">
      <w:pPr>
        <w:ind w:left="270" w:hanging="270"/>
        <w:jc w:val="both"/>
        <w:rPr>
          <w:sz w:val="22"/>
          <w:szCs w:val="22"/>
          <w:lang w:val="sr-Latn-ME"/>
        </w:rPr>
      </w:pPr>
    </w:p>
    <w:p w14:paraId="76763E4A" w14:textId="56B3D529" w:rsidR="005C0F74" w:rsidRPr="0023595B" w:rsidRDefault="005C0F74" w:rsidP="005C0F74">
      <w:pPr>
        <w:ind w:left="270" w:hanging="270"/>
        <w:jc w:val="both"/>
        <w:rPr>
          <w:sz w:val="22"/>
          <w:szCs w:val="22"/>
          <w:lang w:val="sr-Latn-ME"/>
        </w:rPr>
      </w:pPr>
    </w:p>
    <w:p w14:paraId="31409093" w14:textId="77777777" w:rsidR="005C0F74" w:rsidRPr="0023595B" w:rsidRDefault="005C0F74" w:rsidP="005C0F74">
      <w:pPr>
        <w:ind w:left="270" w:hanging="270"/>
        <w:jc w:val="both"/>
        <w:rPr>
          <w:sz w:val="22"/>
          <w:szCs w:val="22"/>
          <w:lang w:val="sr-Latn-ME"/>
        </w:rPr>
      </w:pPr>
    </w:p>
    <w:p w14:paraId="14F71C44" w14:textId="556A38FB" w:rsidR="005C0F74" w:rsidRPr="0023595B" w:rsidRDefault="005C0F74" w:rsidP="005C0F74">
      <w:pPr>
        <w:ind w:left="270" w:hanging="270"/>
        <w:jc w:val="both"/>
        <w:rPr>
          <w:sz w:val="22"/>
          <w:szCs w:val="22"/>
          <w:lang w:val="sr-Latn-ME"/>
        </w:rPr>
      </w:pPr>
      <w:r w:rsidRPr="0023595B">
        <w:rPr>
          <w:sz w:val="22"/>
          <w:szCs w:val="22"/>
          <w:lang w:val="sr-Latn-ME"/>
        </w:rPr>
        <w:t>3.</w:t>
      </w:r>
      <w:r w:rsidRPr="0023595B">
        <w:rPr>
          <w:sz w:val="22"/>
          <w:szCs w:val="22"/>
          <w:lang w:val="sr-Latn-ME"/>
        </w:rPr>
        <w:tab/>
        <w:t xml:space="preserve">Gurajte filter-iglu </w:t>
      </w:r>
      <w:r w:rsidR="00872FD6">
        <w:rPr>
          <w:sz w:val="22"/>
          <w:szCs w:val="22"/>
          <w:lang w:val="sr-Latn-ME"/>
        </w:rPr>
        <w:t>kroz</w:t>
      </w:r>
      <w:r w:rsidR="00872FD6" w:rsidRPr="0023595B">
        <w:rPr>
          <w:sz w:val="22"/>
          <w:szCs w:val="22"/>
          <w:lang w:val="sr-Latn-ME"/>
        </w:rPr>
        <w:t xml:space="preserve"> </w:t>
      </w:r>
      <w:r w:rsidRPr="0023595B">
        <w:rPr>
          <w:sz w:val="22"/>
          <w:szCs w:val="22"/>
          <w:lang w:val="sr-Latn-ME"/>
        </w:rPr>
        <w:t xml:space="preserve">centar zatvarača bočice sve dok </w:t>
      </w:r>
      <w:r w:rsidR="00872FD6">
        <w:rPr>
          <w:sz w:val="22"/>
          <w:szCs w:val="22"/>
          <w:lang w:val="sr-Latn-ME"/>
        </w:rPr>
        <w:t>cijela igla ne bude u</w:t>
      </w:r>
      <w:r w:rsidRPr="0023595B">
        <w:rPr>
          <w:sz w:val="22"/>
          <w:szCs w:val="22"/>
          <w:lang w:val="sr-Latn-ME"/>
        </w:rPr>
        <w:t xml:space="preserve"> bočic</w:t>
      </w:r>
      <w:r w:rsidR="00872FD6">
        <w:rPr>
          <w:sz w:val="22"/>
          <w:szCs w:val="22"/>
          <w:lang w:val="sr-Latn-ME"/>
        </w:rPr>
        <w:t>i</w:t>
      </w:r>
      <w:r w:rsidRPr="0023595B">
        <w:rPr>
          <w:sz w:val="22"/>
          <w:szCs w:val="22"/>
          <w:lang w:val="sr-Latn-ME"/>
        </w:rPr>
        <w:t xml:space="preserve">, </w:t>
      </w:r>
      <w:r w:rsidR="00872FD6">
        <w:rPr>
          <w:sz w:val="22"/>
          <w:szCs w:val="22"/>
          <w:lang w:val="sr-Latn-ME"/>
        </w:rPr>
        <w:t>tako da joj</w:t>
      </w:r>
      <w:r w:rsidR="00872FD6" w:rsidRPr="0023595B">
        <w:rPr>
          <w:sz w:val="22"/>
          <w:szCs w:val="22"/>
          <w:lang w:val="sr-Latn-ME"/>
        </w:rPr>
        <w:t xml:space="preserve"> </w:t>
      </w:r>
      <w:r w:rsidRPr="0023595B">
        <w:rPr>
          <w:sz w:val="22"/>
          <w:szCs w:val="22"/>
          <w:lang w:val="sr-Latn-ME"/>
        </w:rPr>
        <w:t xml:space="preserve">vrh </w:t>
      </w:r>
      <w:r w:rsidR="00872FD6">
        <w:rPr>
          <w:sz w:val="22"/>
          <w:szCs w:val="22"/>
          <w:lang w:val="sr-Latn-ME"/>
        </w:rPr>
        <w:t>dodiruje</w:t>
      </w:r>
      <w:r w:rsidRPr="0023595B">
        <w:rPr>
          <w:sz w:val="22"/>
          <w:szCs w:val="22"/>
          <w:lang w:val="sr-Latn-ME"/>
        </w:rPr>
        <w:t xml:space="preserve"> dno ili donju ivicu bočice.</w:t>
      </w:r>
    </w:p>
    <w:p w14:paraId="67040D68" w14:textId="77777777" w:rsidR="005C0F74" w:rsidRPr="0023595B" w:rsidRDefault="005C0F74" w:rsidP="005C0F74">
      <w:pPr>
        <w:ind w:left="270" w:hanging="270"/>
        <w:jc w:val="both"/>
        <w:rPr>
          <w:sz w:val="22"/>
          <w:szCs w:val="22"/>
          <w:lang w:val="sr-Latn-ME"/>
        </w:rPr>
      </w:pPr>
    </w:p>
    <w:p w14:paraId="21832B2C" w14:textId="18420296" w:rsidR="005C0F74" w:rsidRPr="0023595B" w:rsidRDefault="005C0F74" w:rsidP="005C0F74">
      <w:pPr>
        <w:ind w:left="270" w:hanging="270"/>
        <w:jc w:val="both"/>
        <w:rPr>
          <w:sz w:val="22"/>
          <w:szCs w:val="22"/>
          <w:lang w:val="sr-Latn-ME"/>
        </w:rPr>
      </w:pPr>
      <w:r w:rsidRPr="0023595B">
        <w:rPr>
          <w:sz w:val="22"/>
          <w:szCs w:val="22"/>
          <w:lang w:val="sr-Latn-ME"/>
        </w:rPr>
        <w:t>4.</w:t>
      </w:r>
      <w:r w:rsidRPr="0023595B">
        <w:rPr>
          <w:sz w:val="22"/>
          <w:szCs w:val="22"/>
          <w:lang w:val="sr-Latn-ME"/>
        </w:rPr>
        <w:tab/>
        <w:t xml:space="preserve">Koristeći aseptičnu tehniku </w:t>
      </w:r>
      <w:r w:rsidR="006839E0">
        <w:rPr>
          <w:sz w:val="22"/>
          <w:szCs w:val="22"/>
          <w:lang w:val="sr-Latn-ME"/>
        </w:rPr>
        <w:t>iz</w:t>
      </w:r>
      <w:r w:rsidR="006839E0" w:rsidRPr="0023595B">
        <w:rPr>
          <w:sz w:val="22"/>
          <w:szCs w:val="22"/>
          <w:lang w:val="sr-Latn-ME"/>
        </w:rPr>
        <w:t xml:space="preserve">vucite </w:t>
      </w:r>
      <w:r w:rsidRPr="0023595B">
        <w:rPr>
          <w:sz w:val="22"/>
          <w:szCs w:val="22"/>
          <w:lang w:val="sr-Latn-ME"/>
        </w:rPr>
        <w:t>cjelokupni sadržaj bočice lijeka Eylea u špric držeći bočicu u uspravnom položaju</w:t>
      </w:r>
      <w:r w:rsidR="006839E0">
        <w:rPr>
          <w:sz w:val="22"/>
          <w:szCs w:val="22"/>
          <w:lang w:val="sr-Latn-ME"/>
        </w:rPr>
        <w:t xml:space="preserve"> i</w:t>
      </w:r>
      <w:r w:rsidRPr="0023595B">
        <w:rPr>
          <w:sz w:val="22"/>
          <w:szCs w:val="22"/>
          <w:lang w:val="sr-Latn-ME"/>
        </w:rPr>
        <w:t xml:space="preserve"> blago nagnutu kako bi se olakšalo potpuno </w:t>
      </w:r>
      <w:r w:rsidR="006839E0">
        <w:rPr>
          <w:sz w:val="22"/>
          <w:szCs w:val="22"/>
          <w:lang w:val="sr-Latn-ME"/>
        </w:rPr>
        <w:t>iz</w:t>
      </w:r>
      <w:r w:rsidR="006839E0" w:rsidRPr="0023595B">
        <w:rPr>
          <w:sz w:val="22"/>
          <w:szCs w:val="22"/>
          <w:lang w:val="sr-Latn-ME"/>
        </w:rPr>
        <w:t>vlačenje</w:t>
      </w:r>
      <w:r w:rsidR="006839E0">
        <w:rPr>
          <w:sz w:val="22"/>
          <w:szCs w:val="22"/>
          <w:lang w:val="sr-Latn-ME"/>
        </w:rPr>
        <w:t xml:space="preserve"> sadržaja</w:t>
      </w:r>
      <w:r w:rsidRPr="0023595B">
        <w:rPr>
          <w:sz w:val="22"/>
          <w:szCs w:val="22"/>
          <w:lang w:val="sr-Latn-ME"/>
        </w:rPr>
        <w:t xml:space="preserve">. </w:t>
      </w:r>
      <w:r w:rsidR="006839E0">
        <w:rPr>
          <w:sz w:val="22"/>
          <w:szCs w:val="22"/>
          <w:lang w:val="sr-Latn-ME"/>
        </w:rPr>
        <w:t>Kako</w:t>
      </w:r>
      <w:r w:rsidR="006839E0" w:rsidRPr="0023595B">
        <w:rPr>
          <w:sz w:val="22"/>
          <w:szCs w:val="22"/>
          <w:lang w:val="sr-Latn-ME"/>
        </w:rPr>
        <w:t xml:space="preserve"> </w:t>
      </w:r>
      <w:r w:rsidRPr="0023595B">
        <w:rPr>
          <w:sz w:val="22"/>
          <w:szCs w:val="22"/>
          <w:lang w:val="sr-Latn-ME"/>
        </w:rPr>
        <w:t xml:space="preserve">biste spriječili uvlačenje vazduha obezbijedite da zakošeni vrh filter-igle bude uronjen u tečnost. Nastavite da naginjete bočicu tokom </w:t>
      </w:r>
      <w:r w:rsidR="006839E0">
        <w:rPr>
          <w:sz w:val="22"/>
          <w:szCs w:val="22"/>
          <w:lang w:val="sr-Latn-ME"/>
        </w:rPr>
        <w:t>iz</w:t>
      </w:r>
      <w:r w:rsidR="006839E0" w:rsidRPr="0023595B">
        <w:rPr>
          <w:sz w:val="22"/>
          <w:szCs w:val="22"/>
          <w:lang w:val="sr-Latn-ME"/>
        </w:rPr>
        <w:t>vlačenja</w:t>
      </w:r>
      <w:r w:rsidR="006839E0">
        <w:rPr>
          <w:sz w:val="22"/>
          <w:szCs w:val="22"/>
          <w:lang w:val="sr-Latn-ME"/>
        </w:rPr>
        <w:t xml:space="preserve"> rastvora</w:t>
      </w:r>
      <w:r w:rsidR="006839E0" w:rsidRPr="0023595B">
        <w:rPr>
          <w:sz w:val="22"/>
          <w:szCs w:val="22"/>
          <w:lang w:val="sr-Latn-ME"/>
        </w:rPr>
        <w:t xml:space="preserve"> </w:t>
      </w:r>
      <w:r w:rsidRPr="0023595B">
        <w:rPr>
          <w:sz w:val="22"/>
          <w:szCs w:val="22"/>
          <w:lang w:val="sr-Latn-ME"/>
        </w:rPr>
        <w:t>držeći zakošen vrh filter-igle potopljen u tečnost.</w:t>
      </w:r>
    </w:p>
    <w:p w14:paraId="401BE909" w14:textId="77777777" w:rsidR="005C0F74" w:rsidRPr="0023595B" w:rsidRDefault="005C0F74" w:rsidP="005C0F74">
      <w:pPr>
        <w:ind w:left="270" w:hanging="270"/>
        <w:jc w:val="both"/>
        <w:rPr>
          <w:sz w:val="22"/>
          <w:szCs w:val="22"/>
          <w:lang w:val="sr-Latn-ME"/>
        </w:rPr>
      </w:pPr>
    </w:p>
    <w:p w14:paraId="09C7E500" w14:textId="65B0E339" w:rsidR="00584A94" w:rsidRPr="0023595B" w:rsidRDefault="005B5796" w:rsidP="00584A94">
      <w:pPr>
        <w:ind w:left="270" w:hanging="270"/>
        <w:jc w:val="center"/>
        <w:rPr>
          <w:noProof/>
          <w:sz w:val="22"/>
          <w:szCs w:val="22"/>
          <w:lang w:val="sr-Latn-ME"/>
        </w:rPr>
      </w:pPr>
      <w:r w:rsidRPr="0023595B">
        <w:rPr>
          <w:noProof/>
          <w:sz w:val="22"/>
          <w:szCs w:val="22"/>
        </w:rPr>
        <mc:AlternateContent>
          <mc:Choice Requires="wps">
            <w:drawing>
              <wp:anchor distT="0" distB="0" distL="114300" distR="114300" simplePos="0" relativeHeight="251678720" behindDoc="0" locked="0" layoutInCell="1" allowOverlap="1" wp14:anchorId="0ACDFA81" wp14:editId="70851E7D">
                <wp:simplePos x="0" y="0"/>
                <wp:positionH relativeFrom="column">
                  <wp:posOffset>4427855</wp:posOffset>
                </wp:positionH>
                <wp:positionV relativeFrom="paragraph">
                  <wp:posOffset>1272540</wp:posOffset>
                </wp:positionV>
                <wp:extent cx="643890" cy="355600"/>
                <wp:effectExtent l="0" t="0" r="3810" b="63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55600"/>
                        </a:xfrm>
                        <a:prstGeom prst="rect">
                          <a:avLst/>
                        </a:prstGeom>
                        <a:solidFill>
                          <a:schemeClr val="bg1"/>
                        </a:solidFill>
                        <a:ln w="9525">
                          <a:noFill/>
                          <a:miter lim="800000"/>
                          <a:headEnd/>
                          <a:tailEnd/>
                        </a:ln>
                      </wps:spPr>
                      <wps:txbx>
                        <w:txbxContent>
                          <w:p w14:paraId="4E443706" w14:textId="77777777" w:rsidR="00DA4990" w:rsidRPr="00584A94" w:rsidRDefault="00DA4990" w:rsidP="00584A94">
                            <w:pPr>
                              <w:spacing w:line="180" w:lineRule="exact"/>
                              <w:rPr>
                                <w:rFonts w:asciiTheme="minorHAnsi" w:hAnsiTheme="minorHAnsi" w:cstheme="minorHAnsi"/>
                                <w:sz w:val="18"/>
                                <w:szCs w:val="18"/>
                              </w:rPr>
                            </w:pPr>
                            <w:proofErr w:type="spellStart"/>
                            <w:r w:rsidRPr="00584A94">
                              <w:rPr>
                                <w:rFonts w:asciiTheme="minorHAnsi" w:hAnsiTheme="minorHAnsi" w:cstheme="minorHAnsi"/>
                                <w:sz w:val="18"/>
                                <w:szCs w:val="18"/>
                              </w:rPr>
                              <w:t>Kosi</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vrh</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igle</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usmjeren</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na</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dolje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DFA81" id="_x0000_s1046" type="#_x0000_t202" style="position:absolute;left:0;text-align:left;margin-left:348.65pt;margin-top:100.2pt;width:50.7pt;height: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" fillcolor="white [3212]" stroked="f">
                <v:textbox inset="0,0,0,0">
                  <w:txbxContent>
                    <w:p w14:paraId="4E443706" w14:textId="77777777" w:rsidR="00DA4990" w:rsidRPr="00584A94" w:rsidRDefault="00DA4990" w:rsidP="00584A94">
                      <w:pPr>
                        <w:spacing w:line="180" w:lineRule="exact"/>
                        <w:rPr>
                          <w:rFonts w:asciiTheme="minorHAnsi" w:hAnsiTheme="minorHAnsi" w:cstheme="minorHAnsi"/>
                          <w:sz w:val="18"/>
                          <w:szCs w:val="18"/>
                        </w:rPr>
                      </w:pPr>
                      <w:proofErr w:type="spellStart"/>
                      <w:r w:rsidRPr="00584A94">
                        <w:rPr>
                          <w:rFonts w:asciiTheme="minorHAnsi" w:hAnsiTheme="minorHAnsi" w:cstheme="minorHAnsi"/>
                          <w:sz w:val="18"/>
                          <w:szCs w:val="18"/>
                        </w:rPr>
                        <w:t>Kosi</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vrh</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igle</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usmjeren</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na</w:t>
                      </w:r>
                      <w:proofErr w:type="spellEnd"/>
                      <w:r w:rsidRPr="00584A94">
                        <w:rPr>
                          <w:rFonts w:asciiTheme="minorHAnsi" w:hAnsiTheme="minorHAnsi" w:cstheme="minorHAnsi"/>
                          <w:sz w:val="18"/>
                          <w:szCs w:val="18"/>
                        </w:rPr>
                        <w:t xml:space="preserve"> </w:t>
                      </w:r>
                      <w:proofErr w:type="spellStart"/>
                      <w:r w:rsidRPr="00584A94">
                        <w:rPr>
                          <w:rFonts w:asciiTheme="minorHAnsi" w:hAnsiTheme="minorHAnsi" w:cstheme="minorHAnsi"/>
                          <w:sz w:val="18"/>
                          <w:szCs w:val="18"/>
                        </w:rPr>
                        <w:t>dolje</w:t>
                      </w:r>
                      <w:proofErr w:type="spellEnd"/>
                    </w:p>
                  </w:txbxContent>
                </v:textbox>
              </v:shape>
            </w:pict>
          </mc:Fallback>
        </mc:AlternateContent>
      </w:r>
      <w:r w:rsidRPr="0023595B">
        <w:rPr>
          <w:noProof/>
          <w:sz w:val="22"/>
          <w:szCs w:val="22"/>
        </w:rPr>
        <mc:AlternateContent>
          <mc:Choice Requires="wps">
            <w:drawing>
              <wp:anchor distT="0" distB="0" distL="114300" distR="114300" simplePos="0" relativeHeight="251679744" behindDoc="0" locked="0" layoutInCell="1" allowOverlap="1" wp14:anchorId="4B1E02EE" wp14:editId="6FE63664">
                <wp:simplePos x="0" y="0"/>
                <wp:positionH relativeFrom="column">
                  <wp:posOffset>3260090</wp:posOffset>
                </wp:positionH>
                <wp:positionV relativeFrom="paragraph">
                  <wp:posOffset>1479550</wp:posOffset>
                </wp:positionV>
                <wp:extent cx="413385" cy="166370"/>
                <wp:effectExtent l="0" t="0" r="5715" b="508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66370"/>
                        </a:xfrm>
                        <a:prstGeom prst="rect">
                          <a:avLst/>
                        </a:prstGeom>
                        <a:solidFill>
                          <a:srgbClr val="FFFFFF"/>
                        </a:solidFill>
                        <a:ln w="9525">
                          <a:noFill/>
                          <a:miter lim="800000"/>
                          <a:headEnd/>
                          <a:tailEnd/>
                        </a:ln>
                      </wps:spPr>
                      <wps:txbx>
                        <w:txbxContent>
                          <w:p w14:paraId="486AFD8C" w14:textId="77777777" w:rsidR="00DA4990" w:rsidRPr="00584A94" w:rsidRDefault="00DA4990" w:rsidP="005C0F74">
                            <w:pPr>
                              <w:rPr>
                                <w:rFonts w:asciiTheme="minorHAnsi" w:hAnsiTheme="minorHAnsi" w:cstheme="minorHAnsi"/>
                                <w:sz w:val="18"/>
                                <w:szCs w:val="18"/>
                                <w:lang w:val="sr-Latn-RS"/>
                              </w:rPr>
                            </w:pPr>
                            <w:r w:rsidRPr="00584A94">
                              <w:rPr>
                                <w:rFonts w:asciiTheme="minorHAnsi" w:hAnsiTheme="minorHAnsi" w:cstheme="minorHAnsi"/>
                                <w:sz w:val="18"/>
                                <w:szCs w:val="18"/>
                                <w:lang w:val="sr-Latn-RS"/>
                              </w:rPr>
                              <w:t>Rastvor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E02EE" id="_x0000_s1047" type="#_x0000_t202" style="position:absolute;left:0;text-align:left;margin-left:256.7pt;margin-top:116.5pt;width:32.55pt;height:1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" stroked="f">
                <v:textbox inset="0,0,0,0">
                  <w:txbxContent>
                    <w:p w14:paraId="486AFD8C" w14:textId="77777777" w:rsidR="00DA4990" w:rsidRPr="00584A94" w:rsidRDefault="00DA4990" w:rsidP="005C0F74">
                      <w:pPr>
                        <w:rPr>
                          <w:rFonts w:asciiTheme="minorHAnsi" w:hAnsiTheme="minorHAnsi" w:cstheme="minorHAnsi"/>
                          <w:sz w:val="18"/>
                          <w:szCs w:val="18"/>
                          <w:lang w:val="sr-Latn-RS"/>
                        </w:rPr>
                      </w:pPr>
                      <w:r w:rsidRPr="00584A94">
                        <w:rPr>
                          <w:rFonts w:asciiTheme="minorHAnsi" w:hAnsiTheme="minorHAnsi" w:cstheme="minorHAnsi"/>
                          <w:sz w:val="18"/>
                          <w:szCs w:val="18"/>
                          <w:lang w:val="sr-Latn-RS"/>
                        </w:rPr>
                        <w:t>Rastvor</w:t>
                      </w:r>
                    </w:p>
                  </w:txbxContent>
                </v:textbox>
              </v:shape>
            </w:pict>
          </mc:Fallback>
        </mc:AlternateContent>
      </w:r>
      <w:r w:rsidR="00584A94" w:rsidRPr="0023595B">
        <w:rPr>
          <w:noProof/>
          <w:sz w:val="22"/>
          <w:szCs w:val="22"/>
        </w:rPr>
        <w:drawing>
          <wp:inline distT="0" distB="0" distL="0" distR="0" wp14:anchorId="59D77B68" wp14:editId="0A16D959">
            <wp:extent cx="1849298" cy="1620000"/>
            <wp:effectExtent l="19050" t="19050" r="17780" b="184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9298" cy="1620000"/>
                    </a:xfrm>
                    <a:prstGeom prst="rect">
                      <a:avLst/>
                    </a:prstGeom>
                    <a:noFill/>
                    <a:ln w="19050">
                      <a:solidFill>
                        <a:schemeClr val="tx1"/>
                      </a:solidFill>
                    </a:ln>
                  </pic:spPr>
                </pic:pic>
              </a:graphicData>
            </a:graphic>
          </wp:inline>
        </w:drawing>
      </w:r>
      <w:r w:rsidR="00584A94" w:rsidRPr="0023595B">
        <w:rPr>
          <w:noProof/>
          <w:sz w:val="22"/>
          <w:szCs w:val="22"/>
          <w:lang w:val="sr-Latn-ME"/>
        </w:rPr>
        <w:t xml:space="preserve">                   </w:t>
      </w:r>
      <w:r w:rsidR="00584A94" w:rsidRPr="0023595B">
        <w:rPr>
          <w:noProof/>
          <w:sz w:val="22"/>
          <w:szCs w:val="22"/>
        </w:rPr>
        <w:drawing>
          <wp:inline distT="0" distB="0" distL="0" distR="0" wp14:anchorId="15052800" wp14:editId="2F579188">
            <wp:extent cx="1852133" cy="1620000"/>
            <wp:effectExtent l="19050" t="19050" r="15240" b="184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2133" cy="1620000"/>
                    </a:xfrm>
                    <a:prstGeom prst="rect">
                      <a:avLst/>
                    </a:prstGeom>
                    <a:noFill/>
                    <a:ln w="19050">
                      <a:solidFill>
                        <a:schemeClr val="tx1"/>
                      </a:solidFill>
                    </a:ln>
                  </pic:spPr>
                </pic:pic>
              </a:graphicData>
            </a:graphic>
          </wp:inline>
        </w:drawing>
      </w:r>
    </w:p>
    <w:p w14:paraId="4B8DBA7A" w14:textId="77777777" w:rsidR="00584A94" w:rsidRPr="0023595B" w:rsidRDefault="00584A94" w:rsidP="005C0F74">
      <w:pPr>
        <w:ind w:left="270" w:hanging="270"/>
        <w:jc w:val="both"/>
        <w:rPr>
          <w:noProof/>
          <w:sz w:val="22"/>
          <w:szCs w:val="22"/>
          <w:lang w:val="sr-Latn-ME"/>
        </w:rPr>
      </w:pPr>
    </w:p>
    <w:p w14:paraId="1737B343" w14:textId="5453C6BB" w:rsidR="005C0F74" w:rsidRPr="0023595B" w:rsidRDefault="005C0F74" w:rsidP="005C0F74">
      <w:pPr>
        <w:ind w:left="270" w:hanging="270"/>
        <w:jc w:val="both"/>
        <w:rPr>
          <w:sz w:val="22"/>
          <w:szCs w:val="22"/>
          <w:lang w:val="sr-Latn-ME"/>
        </w:rPr>
      </w:pPr>
      <w:r w:rsidRPr="0023595B">
        <w:rPr>
          <w:sz w:val="22"/>
          <w:szCs w:val="22"/>
          <w:lang w:val="sr-Latn-ME"/>
        </w:rPr>
        <w:lastRenderedPageBreak/>
        <w:t>5.</w:t>
      </w:r>
      <w:r w:rsidRPr="0023595B">
        <w:rPr>
          <w:sz w:val="22"/>
          <w:szCs w:val="22"/>
          <w:lang w:val="sr-Latn-ME"/>
        </w:rPr>
        <w:tab/>
      </w:r>
      <w:r w:rsidR="006839E0" w:rsidRPr="006839E0">
        <w:rPr>
          <w:sz w:val="22"/>
          <w:szCs w:val="22"/>
          <w:lang w:val="sr-Latn-ME"/>
        </w:rPr>
        <w:t>Pazite da dovoljno izvučete klip dok praznite bočicu</w:t>
      </w:r>
      <w:r w:rsidR="006839E0">
        <w:rPr>
          <w:sz w:val="22"/>
          <w:szCs w:val="22"/>
          <w:lang w:val="sr-Latn-ME"/>
        </w:rPr>
        <w:t>,</w:t>
      </w:r>
      <w:r w:rsidR="006839E0" w:rsidRPr="006839E0" w:rsidDel="006839E0">
        <w:rPr>
          <w:sz w:val="22"/>
          <w:szCs w:val="22"/>
          <w:lang w:val="sr-Latn-ME"/>
        </w:rPr>
        <w:t xml:space="preserve"> </w:t>
      </w:r>
      <w:r w:rsidRPr="0023595B">
        <w:rPr>
          <w:sz w:val="22"/>
          <w:szCs w:val="22"/>
          <w:lang w:val="sr-Latn-ME"/>
        </w:rPr>
        <w:t>kako bi se u potpunosti ispraznila filter-igla.</w:t>
      </w:r>
    </w:p>
    <w:p w14:paraId="4EE4DC1E" w14:textId="77777777" w:rsidR="005C0F74" w:rsidRPr="0023595B" w:rsidRDefault="005C0F74" w:rsidP="005C0F74">
      <w:pPr>
        <w:ind w:left="270" w:hanging="270"/>
        <w:jc w:val="both"/>
        <w:rPr>
          <w:sz w:val="22"/>
          <w:szCs w:val="22"/>
          <w:lang w:val="sr-Latn-ME"/>
        </w:rPr>
      </w:pPr>
    </w:p>
    <w:p w14:paraId="3CDD4F61" w14:textId="57DE4E0A" w:rsidR="005C0F74" w:rsidRPr="0023595B" w:rsidRDefault="005C0F74" w:rsidP="005C0F74">
      <w:pPr>
        <w:pStyle w:val="ListParagraph"/>
        <w:numPr>
          <w:ilvl w:val="0"/>
          <w:numId w:val="22"/>
        </w:numPr>
        <w:tabs>
          <w:tab w:val="center" w:pos="4536"/>
          <w:tab w:val="right" w:pos="9072"/>
        </w:tabs>
        <w:ind w:hanging="720"/>
        <w:contextualSpacing w:val="0"/>
        <w:rPr>
          <w:szCs w:val="22"/>
          <w:lang w:val="sr-Latn-ME"/>
        </w:rPr>
      </w:pPr>
      <w:r w:rsidRPr="0023595B">
        <w:rPr>
          <w:szCs w:val="22"/>
          <w:lang w:val="sr-Latn-ME"/>
        </w:rPr>
        <w:t>Izvadite filter-iglu i pravilno je odložite.</w:t>
      </w:r>
    </w:p>
    <w:p w14:paraId="113B05F9" w14:textId="3299A116" w:rsidR="005C0F74" w:rsidRPr="0023595B" w:rsidRDefault="005C0F74" w:rsidP="005C0F74">
      <w:pPr>
        <w:ind w:left="270"/>
        <w:jc w:val="both"/>
        <w:rPr>
          <w:sz w:val="22"/>
          <w:szCs w:val="22"/>
          <w:lang w:val="sr-Latn-ME"/>
        </w:rPr>
      </w:pPr>
      <w:r w:rsidRPr="0023595B">
        <w:rPr>
          <w:sz w:val="22"/>
          <w:szCs w:val="22"/>
          <w:lang w:val="sr-Latn-ME"/>
        </w:rPr>
        <w:t xml:space="preserve">Napomena: Filter-igla se </w:t>
      </w:r>
      <w:r w:rsidR="006839E0">
        <w:rPr>
          <w:sz w:val="22"/>
          <w:szCs w:val="22"/>
          <w:lang w:val="sr-Latn-ME"/>
        </w:rPr>
        <w:t xml:space="preserve">ne </w:t>
      </w:r>
      <w:r w:rsidRPr="0023595B">
        <w:rPr>
          <w:sz w:val="22"/>
          <w:szCs w:val="22"/>
          <w:lang w:val="sr-Latn-ME"/>
        </w:rPr>
        <w:t xml:space="preserve">koristi za </w:t>
      </w:r>
      <w:proofErr w:type="spellStart"/>
      <w:r w:rsidRPr="0023595B">
        <w:rPr>
          <w:sz w:val="22"/>
          <w:szCs w:val="22"/>
          <w:lang w:val="sr-Latn-ME"/>
        </w:rPr>
        <w:t>intravitrealn</w:t>
      </w:r>
      <w:r w:rsidR="00DA4990">
        <w:rPr>
          <w:sz w:val="22"/>
          <w:szCs w:val="22"/>
          <w:lang w:val="sr-Latn-ME"/>
        </w:rPr>
        <w:t>u</w:t>
      </w:r>
      <w:proofErr w:type="spellEnd"/>
      <w:r w:rsidRPr="0023595B">
        <w:rPr>
          <w:sz w:val="22"/>
          <w:szCs w:val="22"/>
          <w:lang w:val="sr-Latn-ME"/>
        </w:rPr>
        <w:t xml:space="preserve"> injekcij</w:t>
      </w:r>
      <w:r w:rsidR="00DA4990">
        <w:rPr>
          <w:sz w:val="22"/>
          <w:szCs w:val="22"/>
          <w:lang w:val="sr-Latn-ME"/>
        </w:rPr>
        <w:t>u.</w:t>
      </w:r>
    </w:p>
    <w:p w14:paraId="2060CABF" w14:textId="2A33F42E" w:rsidR="005C0F74" w:rsidRPr="0023595B" w:rsidRDefault="00F06C59" w:rsidP="005C0F74">
      <w:pPr>
        <w:ind w:left="270"/>
        <w:jc w:val="both"/>
        <w:rPr>
          <w:sz w:val="22"/>
          <w:szCs w:val="22"/>
          <w:lang w:val="sr-Latn-ME"/>
        </w:rPr>
      </w:pPr>
      <w:r w:rsidRPr="0023595B">
        <w:rPr>
          <w:noProof/>
        </w:rPr>
        <w:drawing>
          <wp:anchor distT="0" distB="0" distL="114300" distR="114300" simplePos="0" relativeHeight="251703296" behindDoc="0" locked="0" layoutInCell="1" allowOverlap="1" wp14:anchorId="37A7FB69" wp14:editId="770AA35A">
            <wp:simplePos x="0" y="0"/>
            <wp:positionH relativeFrom="margin">
              <wp:posOffset>4846955</wp:posOffset>
            </wp:positionH>
            <wp:positionV relativeFrom="margin">
              <wp:posOffset>790575</wp:posOffset>
            </wp:positionV>
            <wp:extent cx="1619885" cy="1543685"/>
            <wp:effectExtent l="19050" t="19050" r="18415" b="18415"/>
            <wp:wrapSquare wrapText="bothSides"/>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9885" cy="1543685"/>
                    </a:xfrm>
                    <a:prstGeom prst="rect">
                      <a:avLst/>
                    </a:prstGeom>
                    <a:noFill/>
                    <a:ln w="9525"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p>
    <w:p w14:paraId="3C4EB816" w14:textId="1862CCCD" w:rsidR="005C0F74" w:rsidRPr="0023595B" w:rsidRDefault="005C0F74" w:rsidP="005C0F74">
      <w:pPr>
        <w:tabs>
          <w:tab w:val="center" w:pos="4536"/>
          <w:tab w:val="right" w:pos="9072"/>
        </w:tabs>
        <w:ind w:left="270" w:hanging="270"/>
        <w:jc w:val="both"/>
        <w:rPr>
          <w:sz w:val="22"/>
          <w:szCs w:val="22"/>
          <w:lang w:val="sr-Latn-ME"/>
        </w:rPr>
      </w:pPr>
      <w:r w:rsidRPr="0023595B">
        <w:rPr>
          <w:sz w:val="22"/>
          <w:szCs w:val="22"/>
          <w:lang w:val="sr-Latn-ME"/>
        </w:rPr>
        <w:t>7.</w:t>
      </w:r>
      <w:r w:rsidRPr="0023595B">
        <w:rPr>
          <w:sz w:val="22"/>
          <w:szCs w:val="22"/>
          <w:lang w:val="sr-Latn-ME"/>
        </w:rPr>
        <w:tab/>
        <w:t xml:space="preserve">Koristeći aseptičnu tehniku čvrsto </w:t>
      </w:r>
      <w:r w:rsidR="006839E0">
        <w:rPr>
          <w:sz w:val="22"/>
          <w:szCs w:val="22"/>
          <w:lang w:val="sr-Latn-ME"/>
        </w:rPr>
        <w:t>pričvrstite</w:t>
      </w:r>
      <w:r w:rsidR="006839E0" w:rsidRPr="0023595B">
        <w:rPr>
          <w:sz w:val="22"/>
          <w:szCs w:val="22"/>
          <w:lang w:val="sr-Latn-ME"/>
        </w:rPr>
        <w:t xml:space="preserve"> </w:t>
      </w:r>
      <w:r w:rsidRPr="0023595B">
        <w:rPr>
          <w:sz w:val="22"/>
          <w:szCs w:val="22"/>
          <w:lang w:val="sr-Latn-ME"/>
        </w:rPr>
        <w:t xml:space="preserve">iglu-30 G x </w:t>
      </w:r>
      <w:r w:rsidR="00DA4990">
        <w:rPr>
          <w:sz w:val="22"/>
          <w:szCs w:val="22"/>
          <w:lang w:val="sr-Latn-ME"/>
        </w:rPr>
        <w:t>12,7 mm (</w:t>
      </w:r>
      <w:r w:rsidRPr="0023595B">
        <w:rPr>
          <w:sz w:val="22"/>
          <w:szCs w:val="22"/>
          <w:lang w:val="sr-Latn-ME"/>
        </w:rPr>
        <w:t>½ inča</w:t>
      </w:r>
      <w:r w:rsidR="00DA4990">
        <w:rPr>
          <w:sz w:val="22"/>
          <w:szCs w:val="22"/>
          <w:lang w:val="sr-Latn-ME"/>
        </w:rPr>
        <w:t>)</w:t>
      </w:r>
      <w:r w:rsidRPr="0023595B">
        <w:rPr>
          <w:sz w:val="22"/>
          <w:szCs w:val="22"/>
          <w:lang w:val="sr-Latn-ME"/>
        </w:rPr>
        <w:t xml:space="preserve"> na vrh </w:t>
      </w:r>
      <w:proofErr w:type="spellStart"/>
      <w:r w:rsidR="00B407EE">
        <w:rPr>
          <w:sz w:val="22"/>
          <w:szCs w:val="22"/>
          <w:lang w:val="sr-Latn-ME"/>
        </w:rPr>
        <w:t>Luer-lock</w:t>
      </w:r>
      <w:proofErr w:type="spellEnd"/>
      <w:r w:rsidR="00B407EE" w:rsidRPr="0023595B">
        <w:rPr>
          <w:sz w:val="22"/>
          <w:szCs w:val="22"/>
          <w:lang w:val="sr-Latn-ME"/>
        </w:rPr>
        <w:t xml:space="preserve"> </w:t>
      </w:r>
      <w:r w:rsidRPr="0023595B">
        <w:rPr>
          <w:sz w:val="22"/>
          <w:szCs w:val="22"/>
          <w:lang w:val="sr-Latn-ME"/>
        </w:rPr>
        <w:t>šprica.</w:t>
      </w:r>
    </w:p>
    <w:p w14:paraId="32F8EE66" w14:textId="63EE33AE" w:rsidR="005C0F74" w:rsidRPr="0023595B" w:rsidRDefault="005C0F74" w:rsidP="005C0F74">
      <w:pPr>
        <w:ind w:left="270" w:hanging="270"/>
        <w:jc w:val="both"/>
        <w:rPr>
          <w:sz w:val="22"/>
          <w:szCs w:val="22"/>
          <w:lang w:val="sr-Latn-ME"/>
        </w:rPr>
      </w:pPr>
    </w:p>
    <w:p w14:paraId="12DE80B2" w14:textId="37DE6940" w:rsidR="005C0F74" w:rsidRPr="0023595B" w:rsidRDefault="005C0F74" w:rsidP="005C0F74">
      <w:pPr>
        <w:ind w:left="270" w:hanging="270"/>
        <w:jc w:val="both"/>
        <w:rPr>
          <w:sz w:val="22"/>
          <w:szCs w:val="22"/>
          <w:lang w:val="sr-Latn-ME"/>
        </w:rPr>
      </w:pPr>
    </w:p>
    <w:p w14:paraId="7CFBE4A2" w14:textId="7F701FAA" w:rsidR="005C0F74" w:rsidRPr="0023595B" w:rsidRDefault="005C0F74" w:rsidP="005C0F74">
      <w:pPr>
        <w:ind w:left="270" w:hanging="270"/>
        <w:jc w:val="both"/>
        <w:rPr>
          <w:sz w:val="22"/>
          <w:szCs w:val="22"/>
          <w:lang w:val="sr-Latn-ME"/>
        </w:rPr>
      </w:pPr>
    </w:p>
    <w:p w14:paraId="667F0EFD" w14:textId="3CD7FD23" w:rsidR="005C0F74" w:rsidRPr="0023595B" w:rsidRDefault="005C0F74" w:rsidP="005C0F74">
      <w:pPr>
        <w:ind w:left="270" w:hanging="270"/>
        <w:jc w:val="both"/>
        <w:rPr>
          <w:sz w:val="22"/>
          <w:szCs w:val="22"/>
          <w:lang w:val="sr-Latn-ME"/>
        </w:rPr>
      </w:pPr>
    </w:p>
    <w:p w14:paraId="336EEEBB" w14:textId="23E9ADE1" w:rsidR="005C0F74" w:rsidRPr="0023595B" w:rsidRDefault="005C0F74" w:rsidP="005C0F74">
      <w:pPr>
        <w:ind w:left="270" w:hanging="270"/>
        <w:jc w:val="both"/>
        <w:rPr>
          <w:sz w:val="22"/>
          <w:szCs w:val="22"/>
          <w:lang w:val="sr-Latn-ME"/>
        </w:rPr>
      </w:pPr>
    </w:p>
    <w:p w14:paraId="41C94836" w14:textId="753B71C3" w:rsidR="005C0F74" w:rsidRPr="0023595B" w:rsidRDefault="005C0F74" w:rsidP="005C0F74">
      <w:pPr>
        <w:ind w:left="270" w:hanging="270"/>
        <w:jc w:val="both"/>
        <w:rPr>
          <w:sz w:val="22"/>
          <w:szCs w:val="22"/>
          <w:lang w:val="sr-Latn-ME"/>
        </w:rPr>
      </w:pPr>
    </w:p>
    <w:p w14:paraId="61E41602" w14:textId="27EF2E9E" w:rsidR="005C0F74" w:rsidRPr="0023595B" w:rsidRDefault="005C0F74" w:rsidP="005C0F74">
      <w:pPr>
        <w:ind w:left="270" w:hanging="270"/>
        <w:jc w:val="both"/>
        <w:rPr>
          <w:sz w:val="22"/>
          <w:szCs w:val="22"/>
          <w:lang w:val="sr-Latn-ME"/>
        </w:rPr>
      </w:pPr>
    </w:p>
    <w:p w14:paraId="062D3521" w14:textId="07E87957" w:rsidR="005C0F74" w:rsidRPr="0023595B" w:rsidRDefault="005C0F74" w:rsidP="005C0F74">
      <w:pPr>
        <w:ind w:left="270" w:hanging="270"/>
        <w:jc w:val="both"/>
        <w:rPr>
          <w:sz w:val="22"/>
          <w:szCs w:val="22"/>
          <w:lang w:val="sr-Latn-ME"/>
        </w:rPr>
      </w:pPr>
    </w:p>
    <w:p w14:paraId="0F5BE3C5" w14:textId="0A610003" w:rsidR="005C0F74" w:rsidRPr="0023595B" w:rsidRDefault="00F06C59" w:rsidP="005C0F74">
      <w:pPr>
        <w:tabs>
          <w:tab w:val="center" w:pos="4536"/>
          <w:tab w:val="right" w:pos="9072"/>
        </w:tabs>
        <w:jc w:val="both"/>
        <w:rPr>
          <w:sz w:val="22"/>
          <w:szCs w:val="22"/>
          <w:lang w:val="sr-Latn-ME"/>
        </w:rPr>
      </w:pPr>
      <w:r w:rsidRPr="0023595B">
        <w:rPr>
          <w:noProof/>
          <w:szCs w:val="22"/>
        </w:rPr>
        <w:drawing>
          <wp:anchor distT="0" distB="0" distL="114300" distR="114300" simplePos="0" relativeHeight="251705344" behindDoc="0" locked="0" layoutInCell="1" allowOverlap="1" wp14:anchorId="493F0D4B" wp14:editId="074732A9">
            <wp:simplePos x="0" y="0"/>
            <wp:positionH relativeFrom="margin">
              <wp:posOffset>4848225</wp:posOffset>
            </wp:positionH>
            <wp:positionV relativeFrom="margin">
              <wp:posOffset>2461260</wp:posOffset>
            </wp:positionV>
            <wp:extent cx="1619885" cy="1355090"/>
            <wp:effectExtent l="19050" t="19050" r="18415" b="165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885" cy="135509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C0F74" w:rsidRPr="0023595B">
        <w:rPr>
          <w:sz w:val="22"/>
          <w:szCs w:val="22"/>
          <w:lang w:val="sr-Latn-ME"/>
        </w:rPr>
        <w:t xml:space="preserve">8. Držeći špric s iglom okrenutom na gore, provjerite da li ima mjehurića </w:t>
      </w:r>
      <w:r w:rsidR="006839E0">
        <w:rPr>
          <w:sz w:val="22"/>
          <w:szCs w:val="22"/>
          <w:lang w:val="sr-Latn-ME"/>
        </w:rPr>
        <w:t xml:space="preserve">vazduha </w:t>
      </w:r>
      <w:r w:rsidR="005C0F74" w:rsidRPr="0023595B">
        <w:rPr>
          <w:sz w:val="22"/>
          <w:szCs w:val="22"/>
          <w:lang w:val="sr-Latn-ME"/>
        </w:rPr>
        <w:t>u špricu. Ukoliko ima mjehurića n</w:t>
      </w:r>
      <w:r w:rsidR="00B407EE">
        <w:rPr>
          <w:sz w:val="22"/>
          <w:szCs w:val="22"/>
          <w:lang w:val="sr-Latn-ME"/>
        </w:rPr>
        <w:t>j</w:t>
      </w:r>
      <w:r w:rsidR="005C0F74" w:rsidRPr="0023595B">
        <w:rPr>
          <w:sz w:val="22"/>
          <w:szCs w:val="22"/>
          <w:lang w:val="sr-Latn-ME"/>
        </w:rPr>
        <w:t xml:space="preserve">ežno kuckajte špric prstom dok se mjehurići ne </w:t>
      </w:r>
      <w:r w:rsidR="006839E0">
        <w:rPr>
          <w:sz w:val="22"/>
          <w:szCs w:val="22"/>
          <w:lang w:val="sr-Latn-ME"/>
        </w:rPr>
        <w:t>podignu</w:t>
      </w:r>
      <w:r w:rsidR="006839E0" w:rsidRPr="0023595B">
        <w:rPr>
          <w:sz w:val="22"/>
          <w:szCs w:val="22"/>
          <w:lang w:val="sr-Latn-ME"/>
        </w:rPr>
        <w:t xml:space="preserve"> </w:t>
      </w:r>
      <w:r w:rsidR="005C0F74" w:rsidRPr="0023595B">
        <w:rPr>
          <w:sz w:val="22"/>
          <w:szCs w:val="22"/>
          <w:lang w:val="sr-Latn-ME"/>
        </w:rPr>
        <w:t>na vrh.</w:t>
      </w:r>
      <w:r w:rsidR="005C0F74" w:rsidRPr="0023595B">
        <w:rPr>
          <w:noProof/>
          <w:sz w:val="22"/>
          <w:szCs w:val="22"/>
          <w:lang w:val="sr-Latn-ME"/>
        </w:rPr>
        <w:t xml:space="preserve"> </w:t>
      </w:r>
    </w:p>
    <w:p w14:paraId="533DB98F" w14:textId="777B09B5" w:rsidR="005C0F74" w:rsidRPr="0023595B" w:rsidRDefault="005C0F74" w:rsidP="005C0F74">
      <w:pPr>
        <w:ind w:left="270" w:hanging="270"/>
        <w:jc w:val="both"/>
        <w:rPr>
          <w:sz w:val="22"/>
          <w:szCs w:val="22"/>
          <w:lang w:val="sr-Latn-ME"/>
        </w:rPr>
      </w:pPr>
    </w:p>
    <w:p w14:paraId="0204773F" w14:textId="292A6C41" w:rsidR="005C0F74" w:rsidRPr="0023595B" w:rsidRDefault="005C0F74" w:rsidP="005C0F74">
      <w:pPr>
        <w:ind w:left="270" w:hanging="270"/>
        <w:jc w:val="both"/>
        <w:rPr>
          <w:sz w:val="22"/>
          <w:szCs w:val="22"/>
          <w:lang w:val="sr-Latn-ME"/>
        </w:rPr>
      </w:pPr>
    </w:p>
    <w:p w14:paraId="005F6CA1" w14:textId="08290822" w:rsidR="005C0F74" w:rsidRPr="0023595B" w:rsidRDefault="005C0F74" w:rsidP="005C0F74">
      <w:pPr>
        <w:ind w:left="270" w:hanging="270"/>
        <w:jc w:val="both"/>
        <w:rPr>
          <w:sz w:val="22"/>
          <w:szCs w:val="22"/>
          <w:lang w:val="sr-Latn-ME"/>
        </w:rPr>
      </w:pPr>
    </w:p>
    <w:p w14:paraId="5514D0FC" w14:textId="288F5CF9" w:rsidR="00903CAF" w:rsidRPr="0023595B" w:rsidRDefault="00903CAF" w:rsidP="005C0F74">
      <w:pPr>
        <w:ind w:left="270" w:hanging="270"/>
        <w:jc w:val="both"/>
        <w:rPr>
          <w:sz w:val="22"/>
          <w:szCs w:val="22"/>
          <w:lang w:val="sr-Latn-ME"/>
        </w:rPr>
      </w:pPr>
    </w:p>
    <w:p w14:paraId="67D70D91" w14:textId="398C939E" w:rsidR="005C0F74" w:rsidRPr="0023595B" w:rsidRDefault="005C0F74" w:rsidP="005C0F74">
      <w:pPr>
        <w:ind w:left="270" w:hanging="270"/>
        <w:jc w:val="both"/>
        <w:rPr>
          <w:sz w:val="22"/>
          <w:szCs w:val="22"/>
          <w:lang w:val="sr-Latn-ME"/>
        </w:rPr>
      </w:pPr>
    </w:p>
    <w:p w14:paraId="4030638A" w14:textId="2273558A" w:rsidR="005C0F74" w:rsidRPr="0023595B" w:rsidRDefault="005C0F74" w:rsidP="005C0F74">
      <w:pPr>
        <w:ind w:left="270" w:hanging="270"/>
        <w:jc w:val="both"/>
        <w:rPr>
          <w:sz w:val="22"/>
          <w:szCs w:val="22"/>
          <w:lang w:val="sr-Latn-ME"/>
        </w:rPr>
      </w:pPr>
    </w:p>
    <w:p w14:paraId="1B6775FC" w14:textId="139EC6E7" w:rsidR="005C0F74" w:rsidRPr="0023595B" w:rsidRDefault="005C0F74" w:rsidP="005C0F74">
      <w:pPr>
        <w:ind w:left="270" w:hanging="270"/>
        <w:jc w:val="both"/>
        <w:rPr>
          <w:sz w:val="22"/>
          <w:szCs w:val="22"/>
          <w:lang w:val="sr-Latn-ME"/>
        </w:rPr>
      </w:pPr>
    </w:p>
    <w:p w14:paraId="6B25F7A5" w14:textId="4AC5A920" w:rsidR="005C0F74" w:rsidRPr="0023595B" w:rsidRDefault="005C0F74" w:rsidP="005C0F74">
      <w:pPr>
        <w:tabs>
          <w:tab w:val="center" w:pos="4536"/>
          <w:tab w:val="right" w:pos="9072"/>
        </w:tabs>
        <w:jc w:val="both"/>
        <w:rPr>
          <w:sz w:val="22"/>
          <w:szCs w:val="22"/>
          <w:lang w:val="sr-Latn-ME"/>
        </w:rPr>
      </w:pPr>
      <w:r w:rsidRPr="0023595B">
        <w:rPr>
          <w:sz w:val="22"/>
          <w:szCs w:val="22"/>
          <w:lang w:val="sr-Latn-ME"/>
        </w:rPr>
        <w:t xml:space="preserve">9. </w:t>
      </w:r>
      <w:r w:rsidR="006839E0">
        <w:rPr>
          <w:sz w:val="22"/>
          <w:szCs w:val="22"/>
          <w:lang w:val="sr-Latn-ME"/>
        </w:rPr>
        <w:t>Istisnite</w:t>
      </w:r>
      <w:r w:rsidR="006839E0" w:rsidRPr="0023595B">
        <w:rPr>
          <w:sz w:val="22"/>
          <w:szCs w:val="22"/>
          <w:lang w:val="sr-Latn-ME"/>
        </w:rPr>
        <w:t xml:space="preserve"> </w:t>
      </w:r>
      <w:r w:rsidRPr="0023595B">
        <w:rPr>
          <w:sz w:val="22"/>
          <w:szCs w:val="22"/>
          <w:lang w:val="sr-Latn-ME"/>
        </w:rPr>
        <w:t xml:space="preserve">sve mjehuriće </w:t>
      </w:r>
      <w:r w:rsidR="006839E0">
        <w:rPr>
          <w:sz w:val="22"/>
          <w:szCs w:val="22"/>
          <w:lang w:val="sr-Latn-ME"/>
        </w:rPr>
        <w:t xml:space="preserve">i </w:t>
      </w:r>
      <w:r w:rsidRPr="0023595B">
        <w:rPr>
          <w:sz w:val="22"/>
          <w:szCs w:val="22"/>
          <w:lang w:val="sr-Latn-ME"/>
        </w:rPr>
        <w:t xml:space="preserve">višak lijeka sporim potiskivanjem klipa dok se </w:t>
      </w:r>
      <w:r w:rsidR="00470456" w:rsidRPr="0023595B">
        <w:rPr>
          <w:sz w:val="22"/>
          <w:szCs w:val="22"/>
          <w:lang w:val="sr-Latn-ME"/>
        </w:rPr>
        <w:t xml:space="preserve">ravna ivica </w:t>
      </w:r>
      <w:r w:rsidRPr="0023595B">
        <w:rPr>
          <w:sz w:val="22"/>
          <w:szCs w:val="22"/>
          <w:lang w:val="sr-Latn-ME"/>
        </w:rPr>
        <w:t xml:space="preserve">klipa ne </w:t>
      </w:r>
      <w:r w:rsidR="006839E0">
        <w:rPr>
          <w:sz w:val="22"/>
          <w:szCs w:val="22"/>
          <w:lang w:val="sr-Latn-ME"/>
        </w:rPr>
        <w:t>po</w:t>
      </w:r>
      <w:r w:rsidR="006839E0" w:rsidRPr="0023595B">
        <w:rPr>
          <w:sz w:val="22"/>
          <w:szCs w:val="22"/>
          <w:lang w:val="sr-Latn-ME"/>
        </w:rPr>
        <w:t xml:space="preserve">ravna </w:t>
      </w:r>
      <w:r w:rsidRPr="0023595B">
        <w:rPr>
          <w:sz w:val="22"/>
          <w:szCs w:val="22"/>
          <w:lang w:val="sr-Latn-ME"/>
        </w:rPr>
        <w:t xml:space="preserve">sa linijom koja </w:t>
      </w:r>
      <w:r w:rsidR="006839E0" w:rsidRPr="0023595B">
        <w:rPr>
          <w:sz w:val="22"/>
          <w:szCs w:val="22"/>
          <w:lang w:val="sr-Latn-ME"/>
        </w:rPr>
        <w:t>o</w:t>
      </w:r>
      <w:r w:rsidR="006839E0">
        <w:rPr>
          <w:sz w:val="22"/>
          <w:szCs w:val="22"/>
          <w:lang w:val="sr-Latn-ME"/>
        </w:rPr>
        <w:t>značav</w:t>
      </w:r>
      <w:r w:rsidR="006839E0" w:rsidRPr="0023595B">
        <w:rPr>
          <w:sz w:val="22"/>
          <w:szCs w:val="22"/>
          <w:lang w:val="sr-Latn-ME"/>
        </w:rPr>
        <w:t xml:space="preserve">a </w:t>
      </w:r>
      <w:r w:rsidRPr="0023595B">
        <w:rPr>
          <w:sz w:val="22"/>
          <w:szCs w:val="22"/>
          <w:lang w:val="sr-Latn-ME"/>
        </w:rPr>
        <w:t xml:space="preserve">0,05 </w:t>
      </w:r>
      <w:r w:rsidR="005D3145" w:rsidRPr="0023595B">
        <w:rPr>
          <w:sz w:val="22"/>
          <w:szCs w:val="22"/>
          <w:lang w:val="sr-Latn-ME"/>
        </w:rPr>
        <w:t>m</w:t>
      </w:r>
      <w:r w:rsidR="004D7C5D" w:rsidRPr="0023595B">
        <w:rPr>
          <w:sz w:val="22"/>
          <w:szCs w:val="22"/>
          <w:lang w:val="sr-Latn-ME"/>
        </w:rPr>
        <w:t>l</w:t>
      </w:r>
      <w:r w:rsidR="005D3145" w:rsidRPr="0023595B">
        <w:rPr>
          <w:sz w:val="22"/>
          <w:szCs w:val="22"/>
          <w:lang w:val="sr-Latn-ME"/>
        </w:rPr>
        <w:t xml:space="preserve"> </w:t>
      </w:r>
      <w:r w:rsidRPr="0023595B">
        <w:rPr>
          <w:sz w:val="22"/>
          <w:szCs w:val="22"/>
          <w:lang w:val="sr-Latn-ME"/>
        </w:rPr>
        <w:t>na špricu.</w:t>
      </w:r>
    </w:p>
    <w:p w14:paraId="2A9A7080" w14:textId="4F526578" w:rsidR="00F50438" w:rsidRPr="0023595B" w:rsidRDefault="00F50438" w:rsidP="005C0F74">
      <w:pPr>
        <w:tabs>
          <w:tab w:val="center" w:pos="4536"/>
          <w:tab w:val="right" w:pos="9072"/>
        </w:tabs>
        <w:jc w:val="both"/>
        <w:rPr>
          <w:sz w:val="22"/>
          <w:szCs w:val="22"/>
          <w:lang w:val="sr-Latn-ME"/>
        </w:rPr>
      </w:pPr>
      <w:r w:rsidRPr="0023595B">
        <w:rPr>
          <w:noProof/>
          <w:szCs w:val="22"/>
        </w:rPr>
        <mc:AlternateContent>
          <mc:Choice Requires="wps">
            <w:drawing>
              <wp:anchor distT="17780" distB="17780" distL="17780" distR="17780" simplePos="0" relativeHeight="251695104" behindDoc="0" locked="0" layoutInCell="1" allowOverlap="1" wp14:anchorId="22F65506" wp14:editId="5F288AFD">
                <wp:simplePos x="0" y="0"/>
                <wp:positionH relativeFrom="column">
                  <wp:posOffset>4192905</wp:posOffset>
                </wp:positionH>
                <wp:positionV relativeFrom="paragraph">
                  <wp:posOffset>97790</wp:posOffset>
                </wp:positionV>
                <wp:extent cx="1102995" cy="338455"/>
                <wp:effectExtent l="0" t="0" r="1905" b="4445"/>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38455"/>
                        </a:xfrm>
                        <a:prstGeom prst="rect">
                          <a:avLst/>
                        </a:prstGeom>
                        <a:solidFill>
                          <a:srgbClr val="FFFFFF"/>
                        </a:solidFill>
                        <a:ln w="9525">
                          <a:noFill/>
                          <a:miter lim="800000"/>
                          <a:headEnd/>
                          <a:tailEnd/>
                        </a:ln>
                      </wps:spPr>
                      <wps:txbx>
                        <w:txbxContent>
                          <w:p w14:paraId="42006AA5" w14:textId="77777777" w:rsidR="00DA4990" w:rsidRPr="003701D6" w:rsidRDefault="00DA4990" w:rsidP="00F50438">
                            <w:pPr>
                              <w:spacing w:line="160" w:lineRule="exact"/>
                              <w:contextualSpacing/>
                              <w:rPr>
                                <w:rFonts w:asciiTheme="minorHAnsi" w:hAnsiTheme="minorHAnsi" w:cstheme="minorHAnsi"/>
                                <w:sz w:val="18"/>
                                <w:szCs w:val="18"/>
                                <w:lang w:val="sr-Latn-RS"/>
                              </w:rPr>
                            </w:pPr>
                            <w:r w:rsidRPr="009856CE">
                              <w:rPr>
                                <w:rFonts w:asciiTheme="minorHAnsi" w:hAnsiTheme="minorHAnsi" w:cstheme="minorHAnsi"/>
                                <w:sz w:val="18"/>
                                <w:szCs w:val="18"/>
                                <w:lang w:val="sr-Latn-RS"/>
                              </w:rPr>
                              <w:t>Rastvor nakon istiskivanja mjehurića vazduha i viška lijeka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65506" id="_x0000_s1048" type="#_x0000_t202" style="position:absolute;left:0;text-align:left;margin-left:330.15pt;margin-top:7.7pt;width:86.85pt;height:26.65pt;z-index:251695104;visibility:visible;mso-wrap-style:square;mso-width-percent:0;mso-height-percent:0;mso-wrap-distance-left:1.4pt;mso-wrap-distance-top:1.4pt;mso-wrap-distance-right:1.4pt;mso-wrap-distance-bottom:1.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" stroked="f">
                <v:textbox inset="0,0,0,0">
                  <w:txbxContent>
                    <w:p w14:paraId="42006AA5" w14:textId="77777777" w:rsidR="00DA4990" w:rsidRPr="003701D6" w:rsidRDefault="00DA4990" w:rsidP="00F50438">
                      <w:pPr>
                        <w:spacing w:line="160" w:lineRule="exact"/>
                        <w:contextualSpacing/>
                        <w:rPr>
                          <w:rFonts w:asciiTheme="minorHAnsi" w:hAnsiTheme="minorHAnsi" w:cstheme="minorHAnsi"/>
                          <w:sz w:val="18"/>
                          <w:szCs w:val="18"/>
                          <w:lang w:val="sr-Latn-RS"/>
                        </w:rPr>
                      </w:pPr>
                      <w:r w:rsidRPr="009856CE">
                        <w:rPr>
                          <w:rFonts w:asciiTheme="minorHAnsi" w:hAnsiTheme="minorHAnsi" w:cstheme="minorHAnsi"/>
                          <w:sz w:val="18"/>
                          <w:szCs w:val="18"/>
                          <w:lang w:val="sr-Latn-RS"/>
                        </w:rPr>
                        <w:t>Rastvor nakon istiskivanja mjehurića vazduha i viška lijeka</w:t>
                      </w:r>
                    </w:p>
                  </w:txbxContent>
                </v:textbox>
                <w10:wrap type="square"/>
              </v:shape>
            </w:pict>
          </mc:Fallback>
        </mc:AlternateContent>
      </w:r>
      <w:r w:rsidRPr="0023595B">
        <w:rPr>
          <w:noProof/>
          <w:sz w:val="22"/>
          <w:szCs w:val="22"/>
        </w:rPr>
        <w:drawing>
          <wp:anchor distT="0" distB="0" distL="114300" distR="114300" simplePos="0" relativeHeight="251697152" behindDoc="0" locked="0" layoutInCell="1" allowOverlap="1" wp14:anchorId="48BEB2AF" wp14:editId="43FBEC73">
            <wp:simplePos x="0" y="0"/>
            <wp:positionH relativeFrom="column">
              <wp:posOffset>588645</wp:posOffset>
            </wp:positionH>
            <wp:positionV relativeFrom="paragraph">
              <wp:posOffset>91440</wp:posOffset>
            </wp:positionV>
            <wp:extent cx="1949450" cy="1799590"/>
            <wp:effectExtent l="19050" t="19050" r="12700" b="10160"/>
            <wp:wrapSquare wrapText="bothSides"/>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49450" cy="1799590"/>
                    </a:xfrm>
                    <a:prstGeom prst="rect">
                      <a:avLst/>
                    </a:prstGeom>
                    <a:noFill/>
                    <a:ln w="9525">
                      <a:solidFill>
                        <a:schemeClr val="tx1"/>
                      </a:solidFill>
                    </a:ln>
                  </pic:spPr>
                </pic:pic>
              </a:graphicData>
            </a:graphic>
          </wp:anchor>
        </w:drawing>
      </w:r>
      <w:r w:rsidRPr="0023595B">
        <w:rPr>
          <w:noProof/>
          <w:szCs w:val="22"/>
        </w:rPr>
        <w:drawing>
          <wp:anchor distT="0" distB="0" distL="114300" distR="114300" simplePos="0" relativeHeight="251658239" behindDoc="0" locked="0" layoutInCell="1" allowOverlap="1" wp14:anchorId="79EE210E" wp14:editId="4684AEB1">
            <wp:simplePos x="0" y="0"/>
            <wp:positionH relativeFrom="column">
              <wp:posOffset>3317240</wp:posOffset>
            </wp:positionH>
            <wp:positionV relativeFrom="paragraph">
              <wp:posOffset>86995</wp:posOffset>
            </wp:positionV>
            <wp:extent cx="1981200" cy="1799590"/>
            <wp:effectExtent l="19050" t="19050" r="19050" b="10160"/>
            <wp:wrapSquare wrapText="bothSides"/>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81200" cy="1799590"/>
                    </a:xfrm>
                    <a:prstGeom prst="rect">
                      <a:avLst/>
                    </a:prstGeom>
                    <a:noFill/>
                    <a:ln w="9525">
                      <a:solidFill>
                        <a:schemeClr val="tx1"/>
                      </a:solidFill>
                    </a:ln>
                  </pic:spPr>
                </pic:pic>
              </a:graphicData>
            </a:graphic>
          </wp:anchor>
        </w:drawing>
      </w:r>
    </w:p>
    <w:p w14:paraId="2508133C" w14:textId="77777777" w:rsidR="00F50438" w:rsidRPr="0023595B" w:rsidRDefault="00F50438" w:rsidP="005C0F74">
      <w:pPr>
        <w:tabs>
          <w:tab w:val="center" w:pos="4536"/>
          <w:tab w:val="right" w:pos="9072"/>
        </w:tabs>
        <w:jc w:val="both"/>
        <w:rPr>
          <w:sz w:val="22"/>
          <w:szCs w:val="22"/>
          <w:lang w:val="sr-Latn-ME"/>
        </w:rPr>
      </w:pPr>
      <w:r w:rsidRPr="0023595B">
        <w:rPr>
          <w:noProof/>
          <w:szCs w:val="22"/>
        </w:rPr>
        <mc:AlternateContent>
          <mc:Choice Requires="wps">
            <w:drawing>
              <wp:anchor distT="17780" distB="17780" distL="17780" distR="17780" simplePos="0" relativeHeight="251693056" behindDoc="0" locked="0" layoutInCell="1" allowOverlap="1" wp14:anchorId="75E5BE60" wp14:editId="09C56F9A">
                <wp:simplePos x="0" y="0"/>
                <wp:positionH relativeFrom="column">
                  <wp:posOffset>3312795</wp:posOffset>
                </wp:positionH>
                <wp:positionV relativeFrom="paragraph">
                  <wp:posOffset>115570</wp:posOffset>
                </wp:positionV>
                <wp:extent cx="732790" cy="232410"/>
                <wp:effectExtent l="0" t="0" r="0" b="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232410"/>
                        </a:xfrm>
                        <a:prstGeom prst="rect">
                          <a:avLst/>
                        </a:prstGeom>
                        <a:solidFill>
                          <a:srgbClr val="FFFFFF"/>
                        </a:solidFill>
                        <a:ln w="9525">
                          <a:noFill/>
                          <a:miter lim="800000"/>
                          <a:headEnd/>
                          <a:tailEnd/>
                        </a:ln>
                      </wps:spPr>
                      <wps:txbx>
                        <w:txbxContent>
                          <w:p w14:paraId="440F419D" w14:textId="43DB7C38" w:rsidR="00DA4990" w:rsidRPr="003701D6" w:rsidRDefault="00DA4990" w:rsidP="00F50438">
                            <w:pPr>
                              <w:spacing w:line="180" w:lineRule="exact"/>
                              <w:contextualSpacing/>
                              <w:jc w:val="right"/>
                              <w:rPr>
                                <w:rFonts w:asciiTheme="minorHAnsi" w:hAnsiTheme="minorHAnsi" w:cstheme="minorHAnsi"/>
                                <w:sz w:val="18"/>
                                <w:szCs w:val="18"/>
                                <w:lang w:val="sr-Latn-RS"/>
                              </w:rPr>
                            </w:pPr>
                            <w:r>
                              <w:rPr>
                                <w:rFonts w:asciiTheme="minorHAnsi" w:hAnsiTheme="minorHAnsi" w:cstheme="minorHAnsi"/>
                                <w:sz w:val="18"/>
                                <w:szCs w:val="18"/>
                                <w:lang w:val="sr-Latn-RS"/>
                              </w:rPr>
                              <w:t>Linija doziranja za 0,05 ml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5BE60" id="_x0000_s1049" type="#_x0000_t202" style="position:absolute;left:0;text-align:left;margin-left:260.85pt;margin-top:9.1pt;width:57.7pt;height:18.3pt;z-index:251693056;visibility:visible;mso-wrap-style:square;mso-width-percent:0;mso-height-percent:0;mso-wrap-distance-left:1.4pt;mso-wrap-distance-top:1.4pt;mso-wrap-distance-right:1.4pt;mso-wrap-distance-bottom:1.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" stroked="f">
                <v:textbox inset="0,0,0,0">
                  <w:txbxContent>
                    <w:p w14:paraId="440F419D" w14:textId="43DB7C38" w:rsidR="00DA4990" w:rsidRPr="003701D6" w:rsidRDefault="00DA4990" w:rsidP="00F50438">
                      <w:pPr>
                        <w:spacing w:line="180" w:lineRule="exact"/>
                        <w:contextualSpacing/>
                        <w:jc w:val="right"/>
                        <w:rPr>
                          <w:rFonts w:asciiTheme="minorHAnsi" w:hAnsiTheme="minorHAnsi" w:cstheme="minorHAnsi"/>
                          <w:sz w:val="18"/>
                          <w:szCs w:val="18"/>
                          <w:lang w:val="sr-Latn-RS"/>
                        </w:rPr>
                      </w:pPr>
                      <w:r>
                        <w:rPr>
                          <w:rFonts w:asciiTheme="minorHAnsi" w:hAnsiTheme="minorHAnsi" w:cstheme="minorHAnsi"/>
                          <w:sz w:val="18"/>
                          <w:szCs w:val="18"/>
                          <w:lang w:val="sr-Latn-RS"/>
                        </w:rPr>
                        <w:t>Linija doziranja za 0,05 ml</w:t>
                      </w:r>
                    </w:p>
                  </w:txbxContent>
                </v:textbox>
                <w10:wrap type="square"/>
              </v:shape>
            </w:pict>
          </mc:Fallback>
        </mc:AlternateContent>
      </w:r>
    </w:p>
    <w:p w14:paraId="1854F470" w14:textId="77777777" w:rsidR="00F50438" w:rsidRPr="0023595B" w:rsidRDefault="00F50438" w:rsidP="005C0F74">
      <w:pPr>
        <w:tabs>
          <w:tab w:val="center" w:pos="4536"/>
          <w:tab w:val="right" w:pos="9072"/>
        </w:tabs>
        <w:jc w:val="both"/>
        <w:rPr>
          <w:sz w:val="22"/>
          <w:szCs w:val="22"/>
          <w:lang w:val="sr-Latn-ME"/>
        </w:rPr>
      </w:pPr>
    </w:p>
    <w:p w14:paraId="0E321C58" w14:textId="77777777" w:rsidR="00F50438" w:rsidRPr="0023595B" w:rsidRDefault="00F50438" w:rsidP="005C0F74">
      <w:pPr>
        <w:tabs>
          <w:tab w:val="center" w:pos="4536"/>
          <w:tab w:val="right" w:pos="9072"/>
        </w:tabs>
        <w:jc w:val="both"/>
        <w:rPr>
          <w:sz w:val="22"/>
          <w:szCs w:val="22"/>
          <w:lang w:val="sr-Latn-ME"/>
        </w:rPr>
      </w:pPr>
      <w:r w:rsidRPr="0023595B">
        <w:rPr>
          <w:noProof/>
          <w:szCs w:val="22"/>
        </w:rPr>
        <mc:AlternateContent>
          <mc:Choice Requires="wps">
            <w:drawing>
              <wp:anchor distT="17780" distB="17780" distL="17780" distR="17780" simplePos="0" relativeHeight="251686912" behindDoc="0" locked="0" layoutInCell="1" allowOverlap="1" wp14:anchorId="19C5D5A9" wp14:editId="6B37BA54">
                <wp:simplePos x="0" y="0"/>
                <wp:positionH relativeFrom="column">
                  <wp:posOffset>4851400</wp:posOffset>
                </wp:positionH>
                <wp:positionV relativeFrom="paragraph">
                  <wp:posOffset>39370</wp:posOffset>
                </wp:positionV>
                <wp:extent cx="419100" cy="350520"/>
                <wp:effectExtent l="0" t="0" r="0" b="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0520"/>
                        </a:xfrm>
                        <a:prstGeom prst="rect">
                          <a:avLst/>
                        </a:prstGeom>
                        <a:solidFill>
                          <a:srgbClr val="FFFFFF"/>
                        </a:solidFill>
                        <a:ln w="9525">
                          <a:noFill/>
                          <a:miter lim="800000"/>
                          <a:headEnd/>
                          <a:tailEnd/>
                        </a:ln>
                      </wps:spPr>
                      <wps:txbx>
                        <w:txbxContent>
                          <w:p w14:paraId="18B2B215" w14:textId="77777777" w:rsidR="00DA4990" w:rsidRPr="003701D6" w:rsidRDefault="00DA4990" w:rsidP="00F50438">
                            <w:pPr>
                              <w:spacing w:line="180" w:lineRule="exact"/>
                              <w:contextualSpacing/>
                              <w:rPr>
                                <w:rFonts w:asciiTheme="minorHAnsi" w:hAnsiTheme="minorHAnsi" w:cstheme="minorHAnsi"/>
                                <w:sz w:val="18"/>
                                <w:szCs w:val="18"/>
                                <w:lang w:val="sr-Latn-RS"/>
                              </w:rPr>
                            </w:pPr>
                            <w:r>
                              <w:rPr>
                                <w:rFonts w:asciiTheme="minorHAnsi" w:hAnsiTheme="minorHAnsi" w:cstheme="minorHAnsi"/>
                                <w:sz w:val="18"/>
                                <w:szCs w:val="18"/>
                                <w:lang w:val="sr-Latn-RS"/>
                              </w:rPr>
                              <w:t>Ravna ivica klipa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5D5A9" id="_x0000_s1050" type="#_x0000_t202" style="position:absolute;left:0;text-align:left;margin-left:382pt;margin-top:3.1pt;width:33pt;height:27.6pt;z-index:251686912;visibility:visible;mso-wrap-style:square;mso-width-percent:0;mso-height-percent:0;mso-wrap-distance-left:1.4pt;mso-wrap-distance-top:1.4pt;mso-wrap-distance-right:1.4pt;mso-wrap-distance-bottom:1.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" stroked="f">
                <v:textbox inset="0,0,0,0">
                  <w:txbxContent>
                    <w:p w14:paraId="18B2B215" w14:textId="77777777" w:rsidR="00DA4990" w:rsidRPr="003701D6" w:rsidRDefault="00DA4990" w:rsidP="00F50438">
                      <w:pPr>
                        <w:spacing w:line="180" w:lineRule="exact"/>
                        <w:contextualSpacing/>
                        <w:rPr>
                          <w:rFonts w:asciiTheme="minorHAnsi" w:hAnsiTheme="minorHAnsi" w:cstheme="minorHAnsi"/>
                          <w:sz w:val="18"/>
                          <w:szCs w:val="18"/>
                          <w:lang w:val="sr-Latn-RS"/>
                        </w:rPr>
                      </w:pPr>
                      <w:r>
                        <w:rPr>
                          <w:rFonts w:asciiTheme="minorHAnsi" w:hAnsiTheme="minorHAnsi" w:cstheme="minorHAnsi"/>
                          <w:sz w:val="18"/>
                          <w:szCs w:val="18"/>
                          <w:lang w:val="sr-Latn-RS"/>
                        </w:rPr>
                        <w:t>Ravna ivica klipa</w:t>
                      </w:r>
                    </w:p>
                  </w:txbxContent>
                </v:textbox>
                <w10:wrap type="square"/>
              </v:shape>
            </w:pict>
          </mc:Fallback>
        </mc:AlternateContent>
      </w:r>
    </w:p>
    <w:p w14:paraId="1A668F2C" w14:textId="77777777" w:rsidR="00F50438" w:rsidRPr="0023595B" w:rsidRDefault="00F50438" w:rsidP="005C0F74">
      <w:pPr>
        <w:tabs>
          <w:tab w:val="center" w:pos="4536"/>
          <w:tab w:val="right" w:pos="9072"/>
        </w:tabs>
        <w:jc w:val="both"/>
        <w:rPr>
          <w:sz w:val="22"/>
          <w:szCs w:val="22"/>
          <w:lang w:val="sr-Latn-ME"/>
        </w:rPr>
      </w:pPr>
    </w:p>
    <w:p w14:paraId="6B8F3FA8" w14:textId="50DF05C5" w:rsidR="00F50438" w:rsidRPr="0023595B" w:rsidRDefault="00F50438" w:rsidP="005C0F74">
      <w:pPr>
        <w:tabs>
          <w:tab w:val="center" w:pos="4536"/>
          <w:tab w:val="right" w:pos="9072"/>
        </w:tabs>
        <w:jc w:val="both"/>
        <w:rPr>
          <w:sz w:val="22"/>
          <w:szCs w:val="22"/>
          <w:lang w:val="sr-Latn-ME"/>
        </w:rPr>
      </w:pPr>
    </w:p>
    <w:p w14:paraId="718A0478" w14:textId="77777777" w:rsidR="00F50438" w:rsidRPr="0023595B" w:rsidRDefault="00F50438" w:rsidP="005C0F74">
      <w:pPr>
        <w:tabs>
          <w:tab w:val="center" w:pos="4536"/>
          <w:tab w:val="right" w:pos="9072"/>
        </w:tabs>
        <w:jc w:val="both"/>
        <w:rPr>
          <w:sz w:val="22"/>
          <w:szCs w:val="22"/>
          <w:lang w:val="sr-Latn-ME"/>
        </w:rPr>
      </w:pPr>
    </w:p>
    <w:p w14:paraId="56DA53EC" w14:textId="77777777" w:rsidR="00F50438" w:rsidRPr="0023595B" w:rsidRDefault="00F50438" w:rsidP="005C0F74">
      <w:pPr>
        <w:tabs>
          <w:tab w:val="center" w:pos="4536"/>
          <w:tab w:val="right" w:pos="9072"/>
        </w:tabs>
        <w:jc w:val="both"/>
        <w:rPr>
          <w:sz w:val="22"/>
          <w:szCs w:val="22"/>
          <w:lang w:val="sr-Latn-ME"/>
        </w:rPr>
      </w:pPr>
    </w:p>
    <w:p w14:paraId="10D266F8" w14:textId="77777777" w:rsidR="00F50438" w:rsidRPr="0023595B" w:rsidRDefault="00F50438" w:rsidP="005C0F74">
      <w:pPr>
        <w:tabs>
          <w:tab w:val="center" w:pos="4536"/>
          <w:tab w:val="right" w:pos="9072"/>
        </w:tabs>
        <w:jc w:val="both"/>
        <w:rPr>
          <w:sz w:val="22"/>
          <w:szCs w:val="22"/>
          <w:lang w:val="sr-Latn-ME"/>
        </w:rPr>
      </w:pPr>
    </w:p>
    <w:p w14:paraId="72C4F096" w14:textId="77777777" w:rsidR="00F50438" w:rsidRPr="0023595B" w:rsidRDefault="00F50438" w:rsidP="005C0F74">
      <w:pPr>
        <w:tabs>
          <w:tab w:val="center" w:pos="4536"/>
          <w:tab w:val="right" w:pos="9072"/>
        </w:tabs>
        <w:jc w:val="both"/>
        <w:rPr>
          <w:sz w:val="22"/>
          <w:szCs w:val="22"/>
          <w:lang w:val="sr-Latn-ME"/>
        </w:rPr>
      </w:pPr>
    </w:p>
    <w:p w14:paraId="084EA90D" w14:textId="77777777" w:rsidR="00F50438" w:rsidRPr="0023595B" w:rsidRDefault="00F50438" w:rsidP="005C0F74">
      <w:pPr>
        <w:tabs>
          <w:tab w:val="center" w:pos="4536"/>
          <w:tab w:val="right" w:pos="9072"/>
        </w:tabs>
        <w:jc w:val="both"/>
        <w:rPr>
          <w:sz w:val="22"/>
          <w:szCs w:val="22"/>
          <w:lang w:val="sr-Latn-ME"/>
        </w:rPr>
      </w:pPr>
    </w:p>
    <w:p w14:paraId="4CB80341" w14:textId="77777777" w:rsidR="00F50438" w:rsidRPr="0023595B" w:rsidRDefault="00F50438" w:rsidP="005C0F74">
      <w:pPr>
        <w:tabs>
          <w:tab w:val="center" w:pos="4536"/>
          <w:tab w:val="right" w:pos="9072"/>
        </w:tabs>
        <w:jc w:val="both"/>
        <w:rPr>
          <w:sz w:val="22"/>
          <w:szCs w:val="22"/>
          <w:lang w:val="sr-Latn-ME"/>
        </w:rPr>
      </w:pPr>
    </w:p>
    <w:p w14:paraId="4A61C2E8" w14:textId="77777777" w:rsidR="005C0F74" w:rsidRPr="0023595B" w:rsidRDefault="005C0F74" w:rsidP="00F50438">
      <w:pPr>
        <w:tabs>
          <w:tab w:val="center" w:pos="4536"/>
          <w:tab w:val="right" w:pos="9072"/>
        </w:tabs>
        <w:rPr>
          <w:szCs w:val="22"/>
          <w:lang w:val="sr-Latn-ME"/>
        </w:rPr>
      </w:pPr>
    </w:p>
    <w:p w14:paraId="237F2682" w14:textId="3A56CC6D" w:rsidR="005C0F74" w:rsidRPr="0023595B" w:rsidRDefault="006839E0" w:rsidP="00F50438">
      <w:pPr>
        <w:pStyle w:val="ListParagraph"/>
        <w:numPr>
          <w:ilvl w:val="0"/>
          <w:numId w:val="25"/>
        </w:numPr>
        <w:tabs>
          <w:tab w:val="center" w:pos="4536"/>
          <w:tab w:val="right" w:pos="9072"/>
        </w:tabs>
        <w:ind w:left="284" w:hanging="284"/>
        <w:contextualSpacing w:val="0"/>
        <w:rPr>
          <w:szCs w:val="22"/>
          <w:lang w:val="sr-Latn-ME"/>
        </w:rPr>
      </w:pPr>
      <w:r>
        <w:rPr>
          <w:szCs w:val="22"/>
          <w:lang w:val="sr-Latn-ME"/>
        </w:rPr>
        <w:t xml:space="preserve"> </w:t>
      </w:r>
      <w:r w:rsidR="005C0F74" w:rsidRPr="0023595B">
        <w:rPr>
          <w:szCs w:val="22"/>
          <w:lang w:val="sr-Latn-ME"/>
        </w:rPr>
        <w:t>Bočica je</w:t>
      </w:r>
      <w:r>
        <w:rPr>
          <w:szCs w:val="22"/>
          <w:lang w:val="sr-Latn-ME"/>
        </w:rPr>
        <w:t xml:space="preserve"> namijenjena</w:t>
      </w:r>
      <w:r w:rsidR="005C0F74" w:rsidRPr="0023595B">
        <w:rPr>
          <w:szCs w:val="22"/>
          <w:lang w:val="sr-Latn-ME"/>
        </w:rPr>
        <w:t xml:space="preserve"> isključivo za jednokratnu upotrebu. Ekstrahovanje više doza iz jedne bočice može dovesti do povećanog rizika od kontaminacije i posljedično do infekcije.</w:t>
      </w:r>
    </w:p>
    <w:p w14:paraId="5FF5161A" w14:textId="77777777" w:rsidR="005C0F74" w:rsidRPr="0023595B" w:rsidRDefault="005C0F74" w:rsidP="005C0F74">
      <w:pPr>
        <w:tabs>
          <w:tab w:val="center" w:pos="4536"/>
          <w:tab w:val="right" w:pos="9072"/>
        </w:tabs>
        <w:jc w:val="both"/>
        <w:rPr>
          <w:sz w:val="22"/>
          <w:szCs w:val="22"/>
          <w:lang w:val="sr-Latn-ME"/>
        </w:rPr>
      </w:pPr>
    </w:p>
    <w:p w14:paraId="585DCB38" w14:textId="628AC18D" w:rsidR="005C0F74" w:rsidRPr="0023595B" w:rsidRDefault="005C0F74" w:rsidP="005C0F74">
      <w:pPr>
        <w:ind w:left="270" w:hanging="270"/>
        <w:jc w:val="both"/>
        <w:rPr>
          <w:sz w:val="22"/>
          <w:szCs w:val="22"/>
          <w:lang w:val="sr-Latn-ME"/>
        </w:rPr>
      </w:pPr>
      <w:r w:rsidRPr="0023595B">
        <w:rPr>
          <w:sz w:val="22"/>
          <w:szCs w:val="22"/>
          <w:lang w:val="sr-Latn-ME"/>
        </w:rPr>
        <w:t xml:space="preserve">Neiskorišćen lijek ili otpadni materijal treba ukloniti u skladu sa </w:t>
      </w:r>
      <w:r w:rsidR="006839E0">
        <w:rPr>
          <w:sz w:val="22"/>
          <w:szCs w:val="22"/>
          <w:lang w:val="sr-Latn-ME"/>
        </w:rPr>
        <w:t>važećim</w:t>
      </w:r>
      <w:r w:rsidR="006839E0" w:rsidRPr="0023595B">
        <w:rPr>
          <w:sz w:val="22"/>
          <w:szCs w:val="22"/>
          <w:lang w:val="sr-Latn-ME"/>
        </w:rPr>
        <w:t xml:space="preserve"> </w:t>
      </w:r>
      <w:r w:rsidRPr="0023595B">
        <w:rPr>
          <w:sz w:val="22"/>
          <w:szCs w:val="22"/>
          <w:lang w:val="sr-Latn-ME"/>
        </w:rPr>
        <w:t>propisima.</w:t>
      </w:r>
    </w:p>
    <w:p w14:paraId="214A1324" w14:textId="42DA2D7C" w:rsidR="0072020E" w:rsidRDefault="0072020E" w:rsidP="00480FB1">
      <w:pPr>
        <w:tabs>
          <w:tab w:val="left" w:pos="540"/>
          <w:tab w:val="left" w:pos="569"/>
        </w:tabs>
        <w:rPr>
          <w:bCs/>
          <w:sz w:val="22"/>
          <w:szCs w:val="22"/>
          <w:lang w:val="sr-Latn-ME"/>
        </w:rPr>
      </w:pPr>
    </w:p>
    <w:p w14:paraId="470FB3BB" w14:textId="77777777" w:rsidR="006839E0" w:rsidRPr="0023595B" w:rsidRDefault="006839E0" w:rsidP="00480FB1">
      <w:pPr>
        <w:tabs>
          <w:tab w:val="left" w:pos="540"/>
          <w:tab w:val="left" w:pos="569"/>
        </w:tabs>
        <w:rPr>
          <w:bCs/>
          <w:sz w:val="22"/>
          <w:szCs w:val="22"/>
          <w:lang w:val="sr-Latn-ME"/>
        </w:rPr>
      </w:pPr>
    </w:p>
    <w:p w14:paraId="31CCFFDB" w14:textId="77777777" w:rsidR="00F8570A"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7. </w:t>
      </w:r>
      <w:r w:rsidR="00480FB1" w:rsidRPr="0023595B">
        <w:rPr>
          <w:b/>
          <w:bCs/>
          <w:sz w:val="22"/>
          <w:szCs w:val="22"/>
          <w:lang w:val="sr-Latn-ME"/>
        </w:rPr>
        <w:tab/>
      </w:r>
      <w:r w:rsidRPr="0023595B">
        <w:rPr>
          <w:b/>
          <w:bCs/>
          <w:sz w:val="22"/>
          <w:szCs w:val="22"/>
          <w:lang w:val="sr-Latn-ME"/>
        </w:rPr>
        <w:t>NOSILAC DOZVOLE</w:t>
      </w:r>
      <w:r w:rsidR="00483928" w:rsidRPr="0023595B">
        <w:rPr>
          <w:b/>
          <w:bCs/>
          <w:sz w:val="22"/>
          <w:szCs w:val="22"/>
          <w:lang w:val="sr-Latn-ME"/>
        </w:rPr>
        <w:t xml:space="preserve"> </w:t>
      </w:r>
    </w:p>
    <w:p w14:paraId="20803BBE" w14:textId="77777777" w:rsidR="00C61BE0" w:rsidRPr="0023595B" w:rsidRDefault="00C61BE0" w:rsidP="00480FB1">
      <w:pPr>
        <w:tabs>
          <w:tab w:val="left" w:pos="540"/>
          <w:tab w:val="left" w:pos="569"/>
        </w:tabs>
        <w:rPr>
          <w:bCs/>
          <w:sz w:val="22"/>
          <w:szCs w:val="22"/>
          <w:lang w:val="sr-Latn-ME"/>
        </w:rPr>
      </w:pPr>
    </w:p>
    <w:p w14:paraId="56C8E568" w14:textId="64F48BD3" w:rsidR="006839E0" w:rsidRDefault="00663F33" w:rsidP="00663F33">
      <w:pPr>
        <w:tabs>
          <w:tab w:val="left" w:pos="540"/>
          <w:tab w:val="left" w:pos="569"/>
        </w:tabs>
        <w:rPr>
          <w:bCs/>
          <w:sz w:val="22"/>
          <w:szCs w:val="22"/>
          <w:lang w:val="sr-Latn-ME"/>
        </w:rPr>
      </w:pPr>
      <w:r w:rsidRPr="0023595B">
        <w:rPr>
          <w:bCs/>
          <w:sz w:val="22"/>
          <w:szCs w:val="22"/>
          <w:lang w:val="sr-Latn-ME"/>
        </w:rPr>
        <w:t>Evropa Lek Pharma d.o.o.</w:t>
      </w:r>
      <w:r w:rsidR="006839E0">
        <w:rPr>
          <w:bCs/>
          <w:sz w:val="22"/>
          <w:szCs w:val="22"/>
          <w:lang w:val="sr-Latn-ME"/>
        </w:rPr>
        <w:t xml:space="preserve"> Podgorica</w:t>
      </w:r>
      <w:r w:rsidRPr="0023595B">
        <w:rPr>
          <w:bCs/>
          <w:sz w:val="22"/>
          <w:szCs w:val="22"/>
          <w:lang w:val="sr-Latn-ME"/>
        </w:rPr>
        <w:t xml:space="preserve">, </w:t>
      </w:r>
    </w:p>
    <w:p w14:paraId="7280B0ED" w14:textId="0BB9B6C1" w:rsidR="00663F33" w:rsidRPr="0023595B" w:rsidRDefault="00663F33" w:rsidP="00663F33">
      <w:pPr>
        <w:tabs>
          <w:tab w:val="left" w:pos="540"/>
          <w:tab w:val="left" w:pos="569"/>
        </w:tabs>
        <w:rPr>
          <w:bCs/>
          <w:sz w:val="22"/>
          <w:szCs w:val="22"/>
          <w:lang w:val="sr-Latn-ME"/>
        </w:rPr>
      </w:pPr>
      <w:r w:rsidRPr="0023595B">
        <w:rPr>
          <w:bCs/>
          <w:sz w:val="22"/>
          <w:szCs w:val="22"/>
          <w:lang w:val="sr-Latn-ME"/>
        </w:rPr>
        <w:t>Kritskog odreda 4/1, 81000 Podgorica</w:t>
      </w:r>
      <w:r w:rsidR="006839E0">
        <w:rPr>
          <w:bCs/>
          <w:sz w:val="22"/>
          <w:szCs w:val="22"/>
          <w:lang w:val="sr-Latn-ME"/>
        </w:rPr>
        <w:t>, Crna Gora</w:t>
      </w:r>
    </w:p>
    <w:p w14:paraId="4E106A2F" w14:textId="77777777" w:rsidR="00663F33" w:rsidRPr="0023595B" w:rsidRDefault="00663F33" w:rsidP="00480FB1">
      <w:pPr>
        <w:tabs>
          <w:tab w:val="left" w:pos="540"/>
          <w:tab w:val="left" w:pos="569"/>
        </w:tabs>
        <w:rPr>
          <w:bCs/>
          <w:sz w:val="22"/>
          <w:szCs w:val="22"/>
          <w:lang w:val="sr-Latn-ME"/>
        </w:rPr>
      </w:pPr>
    </w:p>
    <w:p w14:paraId="66C6711A" w14:textId="77777777" w:rsidR="00C37FD7" w:rsidRPr="0023595B" w:rsidRDefault="00C37FD7" w:rsidP="00480FB1">
      <w:pPr>
        <w:tabs>
          <w:tab w:val="left" w:pos="540"/>
          <w:tab w:val="left" w:pos="569"/>
        </w:tabs>
        <w:rPr>
          <w:bCs/>
          <w:sz w:val="22"/>
          <w:szCs w:val="22"/>
          <w:lang w:val="sr-Latn-ME"/>
        </w:rPr>
      </w:pPr>
    </w:p>
    <w:p w14:paraId="65EDDF17"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t xml:space="preserve">8. </w:t>
      </w:r>
      <w:r w:rsidR="00480FB1" w:rsidRPr="0023595B">
        <w:rPr>
          <w:b/>
          <w:bCs/>
          <w:sz w:val="22"/>
          <w:szCs w:val="22"/>
          <w:lang w:val="sr-Latn-ME"/>
        </w:rPr>
        <w:tab/>
      </w:r>
      <w:r w:rsidRPr="0023595B">
        <w:rPr>
          <w:b/>
          <w:bCs/>
          <w:sz w:val="22"/>
          <w:szCs w:val="22"/>
          <w:lang w:val="sr-Latn-ME"/>
        </w:rPr>
        <w:t>BROJ DOZVOLE</w:t>
      </w:r>
      <w:r w:rsidR="008A6D43" w:rsidRPr="0023595B">
        <w:rPr>
          <w:b/>
          <w:bCs/>
          <w:sz w:val="22"/>
          <w:szCs w:val="22"/>
          <w:lang w:val="sr-Latn-ME"/>
        </w:rPr>
        <w:t xml:space="preserve"> ZA STAVLJANJE LIJEKA U PROMET</w:t>
      </w:r>
    </w:p>
    <w:p w14:paraId="71945DBA" w14:textId="77777777" w:rsidR="0072020E" w:rsidRPr="0023595B" w:rsidRDefault="0072020E" w:rsidP="00480FB1">
      <w:pPr>
        <w:tabs>
          <w:tab w:val="left" w:pos="540"/>
          <w:tab w:val="left" w:pos="569"/>
        </w:tabs>
        <w:rPr>
          <w:bCs/>
          <w:sz w:val="22"/>
          <w:szCs w:val="22"/>
          <w:lang w:val="sr-Latn-ME"/>
        </w:rPr>
      </w:pPr>
    </w:p>
    <w:p w14:paraId="2368E3EC" w14:textId="1BF60C31" w:rsidR="004606F5" w:rsidRDefault="00B26160" w:rsidP="00480FB1">
      <w:pPr>
        <w:tabs>
          <w:tab w:val="left" w:pos="540"/>
          <w:tab w:val="left" w:pos="569"/>
        </w:tabs>
        <w:rPr>
          <w:bCs/>
          <w:sz w:val="22"/>
          <w:szCs w:val="22"/>
          <w:lang w:val="sr-Latn-ME"/>
        </w:rPr>
      </w:pPr>
      <w:r w:rsidRPr="00B26160">
        <w:rPr>
          <w:bCs/>
          <w:sz w:val="22"/>
          <w:szCs w:val="22"/>
          <w:lang w:val="sr-Latn-ME"/>
        </w:rPr>
        <w:t xml:space="preserve">2030/24/6771 </w:t>
      </w:r>
      <w:r w:rsidR="00EA3587">
        <w:rPr>
          <w:bCs/>
          <w:sz w:val="22"/>
          <w:szCs w:val="22"/>
          <w:lang w:val="sr-Latn-ME"/>
        </w:rPr>
        <w:t>-</w:t>
      </w:r>
      <w:r w:rsidRPr="00B26160">
        <w:rPr>
          <w:bCs/>
          <w:sz w:val="22"/>
          <w:szCs w:val="22"/>
          <w:lang w:val="sr-Latn-ME"/>
        </w:rPr>
        <w:t xml:space="preserve"> 7003</w:t>
      </w:r>
    </w:p>
    <w:p w14:paraId="4B9C1D8A" w14:textId="77777777" w:rsidR="00B26160" w:rsidRPr="0023595B" w:rsidRDefault="00B26160" w:rsidP="00480FB1">
      <w:pPr>
        <w:tabs>
          <w:tab w:val="left" w:pos="540"/>
          <w:tab w:val="left" w:pos="569"/>
        </w:tabs>
        <w:rPr>
          <w:bCs/>
          <w:sz w:val="22"/>
          <w:szCs w:val="22"/>
          <w:lang w:val="sr-Latn-ME"/>
        </w:rPr>
      </w:pPr>
    </w:p>
    <w:p w14:paraId="09FC9EEB" w14:textId="77777777" w:rsidR="00F45F77" w:rsidRPr="0023595B" w:rsidRDefault="00F45F77" w:rsidP="00480FB1">
      <w:pPr>
        <w:tabs>
          <w:tab w:val="left" w:pos="540"/>
          <w:tab w:val="left" w:pos="569"/>
        </w:tabs>
        <w:rPr>
          <w:bCs/>
          <w:sz w:val="22"/>
          <w:szCs w:val="22"/>
          <w:lang w:val="sr-Latn-ME"/>
        </w:rPr>
      </w:pPr>
    </w:p>
    <w:p w14:paraId="3B694A1B" w14:textId="77777777" w:rsidR="0072020E" w:rsidRPr="0023595B" w:rsidRDefault="0072020E" w:rsidP="00480FB1">
      <w:pPr>
        <w:tabs>
          <w:tab w:val="left" w:pos="540"/>
          <w:tab w:val="left" w:pos="569"/>
        </w:tabs>
        <w:rPr>
          <w:b/>
          <w:bCs/>
          <w:sz w:val="22"/>
          <w:szCs w:val="22"/>
          <w:lang w:val="sr-Latn-ME"/>
        </w:rPr>
      </w:pPr>
      <w:r w:rsidRPr="0023595B">
        <w:rPr>
          <w:b/>
          <w:bCs/>
          <w:sz w:val="22"/>
          <w:szCs w:val="22"/>
          <w:lang w:val="sr-Latn-ME"/>
        </w:rPr>
        <w:lastRenderedPageBreak/>
        <w:t xml:space="preserve">9. </w:t>
      </w:r>
      <w:r w:rsidR="00480FB1" w:rsidRPr="0023595B">
        <w:rPr>
          <w:b/>
          <w:bCs/>
          <w:sz w:val="22"/>
          <w:szCs w:val="22"/>
          <w:lang w:val="sr-Latn-ME"/>
        </w:rPr>
        <w:tab/>
      </w:r>
      <w:r w:rsidRPr="0023595B">
        <w:rPr>
          <w:b/>
          <w:bCs/>
          <w:sz w:val="22"/>
          <w:szCs w:val="22"/>
          <w:lang w:val="sr-Latn-ME"/>
        </w:rPr>
        <w:t xml:space="preserve">DATUM </w:t>
      </w:r>
      <w:r w:rsidR="00C05DF8" w:rsidRPr="0023595B">
        <w:rPr>
          <w:b/>
          <w:bCs/>
          <w:sz w:val="22"/>
          <w:szCs w:val="22"/>
          <w:lang w:val="sr-Latn-ME"/>
        </w:rPr>
        <w:t xml:space="preserve">PRVE </w:t>
      </w:r>
      <w:r w:rsidR="008A6D43" w:rsidRPr="0023595B">
        <w:rPr>
          <w:b/>
          <w:bCs/>
          <w:sz w:val="22"/>
          <w:szCs w:val="22"/>
          <w:lang w:val="sr-Latn-ME"/>
        </w:rPr>
        <w:t>DOZVOLE</w:t>
      </w:r>
      <w:r w:rsidR="00C05DF8" w:rsidRPr="0023595B">
        <w:rPr>
          <w:b/>
          <w:bCs/>
          <w:sz w:val="22"/>
          <w:szCs w:val="22"/>
          <w:lang w:val="sr-Latn-ME"/>
        </w:rPr>
        <w:t>/OBNOVE DOZVOLE</w:t>
      </w:r>
      <w:r w:rsidR="008A6D43" w:rsidRPr="0023595B">
        <w:rPr>
          <w:b/>
          <w:bCs/>
          <w:sz w:val="22"/>
          <w:szCs w:val="22"/>
          <w:lang w:val="sr-Latn-ME"/>
        </w:rPr>
        <w:t xml:space="preserve"> ZA STAVLJANJE LIJEKA U PROMET</w:t>
      </w:r>
    </w:p>
    <w:p w14:paraId="514CB224" w14:textId="77777777" w:rsidR="0072020E" w:rsidRPr="0023595B" w:rsidRDefault="0072020E" w:rsidP="00480FB1">
      <w:pPr>
        <w:tabs>
          <w:tab w:val="left" w:pos="540"/>
          <w:tab w:val="left" w:pos="569"/>
        </w:tabs>
        <w:rPr>
          <w:bCs/>
          <w:sz w:val="22"/>
          <w:szCs w:val="22"/>
          <w:lang w:val="sr-Latn-ME"/>
        </w:rPr>
      </w:pPr>
    </w:p>
    <w:p w14:paraId="065B0219" w14:textId="50407713" w:rsidR="00663F33" w:rsidRPr="0023595B" w:rsidRDefault="006839E0" w:rsidP="00480FB1">
      <w:pPr>
        <w:tabs>
          <w:tab w:val="left" w:pos="540"/>
          <w:tab w:val="left" w:pos="569"/>
        </w:tabs>
        <w:rPr>
          <w:bCs/>
          <w:sz w:val="22"/>
          <w:szCs w:val="22"/>
          <w:lang w:val="sr-Latn-ME"/>
        </w:rPr>
      </w:pPr>
      <w:r>
        <w:rPr>
          <w:bCs/>
          <w:sz w:val="22"/>
          <w:szCs w:val="22"/>
          <w:lang w:val="sr-Latn-ME"/>
        </w:rPr>
        <w:t xml:space="preserve">Datum prve dozvole: </w:t>
      </w:r>
      <w:r w:rsidR="00663F33" w:rsidRPr="0023595B">
        <w:rPr>
          <w:bCs/>
          <w:sz w:val="22"/>
          <w:szCs w:val="22"/>
          <w:lang w:val="sr-Latn-ME"/>
        </w:rPr>
        <w:t>11.05.2015.</w:t>
      </w:r>
      <w:r>
        <w:rPr>
          <w:bCs/>
          <w:sz w:val="22"/>
          <w:szCs w:val="22"/>
          <w:lang w:val="sr-Latn-ME"/>
        </w:rPr>
        <w:t xml:space="preserve"> godine</w:t>
      </w:r>
    </w:p>
    <w:p w14:paraId="6C6C2596" w14:textId="1CEA6640" w:rsidR="00663F33" w:rsidRPr="0023595B" w:rsidRDefault="006839E0" w:rsidP="00480FB1">
      <w:pPr>
        <w:tabs>
          <w:tab w:val="left" w:pos="540"/>
          <w:tab w:val="left" w:pos="569"/>
        </w:tabs>
        <w:rPr>
          <w:bCs/>
          <w:sz w:val="22"/>
          <w:szCs w:val="22"/>
          <w:lang w:val="sr-Latn-ME"/>
        </w:rPr>
      </w:pPr>
      <w:r>
        <w:rPr>
          <w:bCs/>
          <w:sz w:val="22"/>
          <w:szCs w:val="22"/>
          <w:lang w:val="sr-Latn-ME"/>
        </w:rPr>
        <w:t>Datum posljednje obnove dozvole:</w:t>
      </w:r>
      <w:r w:rsidR="00B26160">
        <w:rPr>
          <w:bCs/>
          <w:sz w:val="22"/>
          <w:szCs w:val="22"/>
          <w:lang w:val="sr-Latn-ME"/>
        </w:rPr>
        <w:t xml:space="preserve"> 19.12.2024. godine</w:t>
      </w:r>
    </w:p>
    <w:p w14:paraId="0BEAE7A7" w14:textId="56CC3CB6" w:rsidR="00836B35" w:rsidRDefault="00836B35" w:rsidP="00480FB1">
      <w:pPr>
        <w:tabs>
          <w:tab w:val="left" w:pos="540"/>
          <w:tab w:val="left" w:pos="569"/>
        </w:tabs>
        <w:rPr>
          <w:bCs/>
          <w:sz w:val="22"/>
          <w:szCs w:val="22"/>
          <w:lang w:val="sr-Latn-ME"/>
        </w:rPr>
      </w:pPr>
    </w:p>
    <w:p w14:paraId="7441F9AA" w14:textId="77777777" w:rsidR="006839E0" w:rsidRPr="0023595B" w:rsidRDefault="006839E0" w:rsidP="00480FB1">
      <w:pPr>
        <w:tabs>
          <w:tab w:val="left" w:pos="540"/>
          <w:tab w:val="left" w:pos="569"/>
        </w:tabs>
        <w:rPr>
          <w:bCs/>
          <w:sz w:val="22"/>
          <w:szCs w:val="22"/>
          <w:lang w:val="sr-Latn-ME"/>
        </w:rPr>
      </w:pPr>
    </w:p>
    <w:p w14:paraId="71CA6504" w14:textId="3563B751" w:rsidR="008A6D43" w:rsidRPr="0023595B" w:rsidRDefault="0072020E" w:rsidP="00645A8A">
      <w:pPr>
        <w:tabs>
          <w:tab w:val="left" w:pos="540"/>
          <w:tab w:val="left" w:pos="569"/>
        </w:tabs>
        <w:rPr>
          <w:bCs/>
          <w:sz w:val="22"/>
          <w:szCs w:val="22"/>
          <w:lang w:val="sr-Latn-ME"/>
        </w:rPr>
      </w:pPr>
      <w:r w:rsidRPr="0023595B">
        <w:rPr>
          <w:b/>
          <w:bCs/>
          <w:sz w:val="22"/>
          <w:szCs w:val="22"/>
          <w:lang w:val="sr-Latn-ME"/>
        </w:rPr>
        <w:t xml:space="preserve">10. </w:t>
      </w:r>
      <w:r w:rsidR="00480FB1" w:rsidRPr="0023595B">
        <w:rPr>
          <w:b/>
          <w:bCs/>
          <w:sz w:val="22"/>
          <w:szCs w:val="22"/>
          <w:lang w:val="sr-Latn-ME"/>
        </w:rPr>
        <w:tab/>
      </w:r>
      <w:r w:rsidR="002846DB" w:rsidRPr="0023595B">
        <w:rPr>
          <w:b/>
          <w:bCs/>
          <w:sz w:val="22"/>
          <w:szCs w:val="22"/>
          <w:lang w:val="sr-Latn-ME"/>
        </w:rPr>
        <w:t>D</w:t>
      </w:r>
      <w:r w:rsidR="00EC2532" w:rsidRPr="0023595B">
        <w:rPr>
          <w:b/>
          <w:bCs/>
          <w:sz w:val="22"/>
          <w:szCs w:val="22"/>
          <w:lang w:val="sr-Latn-ME"/>
        </w:rPr>
        <w:t xml:space="preserve">ATUM REVIZIJE TEKSTA </w:t>
      </w:r>
    </w:p>
    <w:p w14:paraId="4D7C792A" w14:textId="515FF2A4" w:rsidR="005B5796" w:rsidRPr="0023595B" w:rsidRDefault="005B5796" w:rsidP="00645A8A">
      <w:pPr>
        <w:tabs>
          <w:tab w:val="left" w:pos="540"/>
          <w:tab w:val="left" w:pos="569"/>
        </w:tabs>
        <w:rPr>
          <w:bCs/>
          <w:sz w:val="22"/>
          <w:szCs w:val="22"/>
          <w:lang w:val="sr-Latn-ME"/>
        </w:rPr>
      </w:pPr>
    </w:p>
    <w:p w14:paraId="68EC5ED5" w14:textId="493E65ED" w:rsidR="005B5796" w:rsidRPr="0023595B" w:rsidRDefault="00EA3587" w:rsidP="00645A8A">
      <w:pPr>
        <w:tabs>
          <w:tab w:val="left" w:pos="540"/>
          <w:tab w:val="left" w:pos="569"/>
        </w:tabs>
        <w:rPr>
          <w:bCs/>
          <w:sz w:val="22"/>
          <w:szCs w:val="22"/>
          <w:lang w:val="sr-Latn-ME"/>
        </w:rPr>
      </w:pPr>
      <w:r>
        <w:rPr>
          <w:bCs/>
          <w:sz w:val="22"/>
          <w:szCs w:val="22"/>
          <w:lang w:val="sr-Latn-ME"/>
        </w:rPr>
        <w:t>Jun</w:t>
      </w:r>
      <w:r w:rsidR="007873E2">
        <w:rPr>
          <w:bCs/>
          <w:sz w:val="22"/>
          <w:szCs w:val="22"/>
          <w:lang w:val="sr-Latn-ME"/>
        </w:rPr>
        <w:t>, 2025. godine</w:t>
      </w:r>
    </w:p>
    <w:sectPr w:rsidR="005B5796" w:rsidRPr="0023595B" w:rsidSect="00EF3B86">
      <w:headerReference w:type="default" r:id="rId31"/>
      <w:footerReference w:type="default" r:id="rId3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61F75" w14:textId="77777777" w:rsidR="00E93975" w:rsidRDefault="00E93975">
      <w:r>
        <w:separator/>
      </w:r>
    </w:p>
  </w:endnote>
  <w:endnote w:type="continuationSeparator" w:id="0">
    <w:p w14:paraId="1A395C58" w14:textId="77777777" w:rsidR="00E93975" w:rsidRDefault="00E9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34E77" w14:textId="77777777" w:rsidR="00DA4990" w:rsidRPr="008932B9" w:rsidRDefault="00DA4990" w:rsidP="00D55718">
    <w:pPr>
      <w:pStyle w:val="Footer"/>
      <w:framePr w:wrap="around" w:vAnchor="text" w:hAnchor="margin" w:xAlign="right" w:y="1"/>
      <w:rPr>
        <w:rStyle w:val="PageNumber"/>
      </w:rPr>
    </w:pPr>
    <w:r w:rsidRPr="008932B9">
      <w:rPr>
        <w:rStyle w:val="PageNumber"/>
      </w:rPr>
      <w:fldChar w:fldCharType="begin"/>
    </w:r>
    <w:r w:rsidRPr="008932B9">
      <w:rPr>
        <w:rStyle w:val="PageNumber"/>
      </w:rPr>
      <w:instrText xml:space="preserve">PAGE  </w:instrText>
    </w:r>
    <w:r w:rsidRPr="008932B9">
      <w:rPr>
        <w:rStyle w:val="PageNumber"/>
      </w:rPr>
      <w:fldChar w:fldCharType="end"/>
    </w:r>
  </w:p>
  <w:p w14:paraId="7595F33C" w14:textId="77777777" w:rsidR="00DA4990" w:rsidRPr="008932B9" w:rsidRDefault="00DA49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614600"/>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rPr>
            <w:sz w:val="24"/>
            <w:szCs w:val="24"/>
          </w:rPr>
        </w:sdtEndPr>
        <w:sdtContent>
          <w:p w14:paraId="07546008" w14:textId="7F9EA635" w:rsidR="00DA4990" w:rsidRDefault="00DA4990">
            <w:pPr>
              <w:pStyle w:val="Footer"/>
              <w:jc w:val="center"/>
            </w:pPr>
            <w:r w:rsidRPr="00587D79">
              <w:rPr>
                <w:bCs/>
                <w:sz w:val="22"/>
                <w:szCs w:val="22"/>
              </w:rPr>
              <w:fldChar w:fldCharType="begin"/>
            </w:r>
            <w:r w:rsidRPr="00587D79">
              <w:rPr>
                <w:bCs/>
                <w:sz w:val="22"/>
                <w:szCs w:val="22"/>
              </w:rPr>
              <w:instrText xml:space="preserve"> PAGE </w:instrText>
            </w:r>
            <w:r w:rsidRPr="00587D79">
              <w:rPr>
                <w:bCs/>
                <w:sz w:val="22"/>
                <w:szCs w:val="22"/>
              </w:rPr>
              <w:fldChar w:fldCharType="separate"/>
            </w:r>
            <w:r w:rsidR="0064778C">
              <w:rPr>
                <w:bCs/>
                <w:noProof/>
                <w:sz w:val="22"/>
                <w:szCs w:val="22"/>
              </w:rPr>
              <w:t>19</w:t>
            </w:r>
            <w:r w:rsidRPr="00587D79">
              <w:rPr>
                <w:bCs/>
                <w:sz w:val="22"/>
                <w:szCs w:val="22"/>
              </w:rPr>
              <w:fldChar w:fldCharType="end"/>
            </w:r>
            <w:r w:rsidRPr="00587D79">
              <w:rPr>
                <w:sz w:val="22"/>
                <w:szCs w:val="22"/>
              </w:rPr>
              <w:t xml:space="preserve"> / </w:t>
            </w:r>
            <w:r>
              <w:rPr>
                <w:bCs/>
                <w:sz w:val="22"/>
                <w:szCs w:val="22"/>
              </w:rPr>
              <w:t>27</w:t>
            </w:r>
          </w:p>
        </w:sdtContent>
      </w:sdt>
    </w:sdtContent>
  </w:sdt>
  <w:p w14:paraId="4AF4D4B1" w14:textId="77777777" w:rsidR="00DA4990" w:rsidRPr="00C536C2" w:rsidRDefault="00DA4990" w:rsidP="00D55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6D82" w14:textId="5DA149C8" w:rsidR="00DA4990" w:rsidRPr="00B23F69" w:rsidRDefault="00DA499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4778C">
      <w:rPr>
        <w:noProof/>
        <w:sz w:val="22"/>
        <w:szCs w:val="22"/>
      </w:rPr>
      <w:t>25</w:t>
    </w:r>
    <w:r w:rsidRPr="00B23F69">
      <w:rPr>
        <w:sz w:val="22"/>
        <w:szCs w:val="22"/>
      </w:rPr>
      <w:fldChar w:fldCharType="end"/>
    </w:r>
    <w:r w:rsidRPr="00B23F69">
      <w:rPr>
        <w:sz w:val="22"/>
        <w:szCs w:val="22"/>
      </w:rPr>
      <w:t xml:space="preserve"> / </w:t>
    </w:r>
    <w:r>
      <w:rPr>
        <w:sz w:val="22"/>
        <w:szCs w:val="22"/>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40D92" w14:textId="77777777" w:rsidR="00E93975" w:rsidRDefault="00E93975">
      <w:r>
        <w:separator/>
      </w:r>
    </w:p>
  </w:footnote>
  <w:footnote w:type="continuationSeparator" w:id="0">
    <w:p w14:paraId="437DD960" w14:textId="77777777" w:rsidR="00E93975" w:rsidRDefault="00E9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A2702" w14:textId="77777777" w:rsidR="00DA4990" w:rsidRPr="00DE3937" w:rsidRDefault="00DA4990" w:rsidP="00DE3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4.25pt;visibility:visible" o:bullet="t">
        <v:imagedata r:id="rId1" o:title="BT_1000x858px"/>
      </v:shape>
    </w:pict>
  </w:numPicBullet>
  <w:abstractNum w:abstractNumId="0" w15:restartNumberingAfterBreak="0">
    <w:nsid w:val="006251E9"/>
    <w:multiLevelType w:val="hybridMultilevel"/>
    <w:tmpl w:val="4350B8F2"/>
    <w:lvl w:ilvl="0" w:tplc="12082160">
      <w:start w:val="1"/>
      <w:numFmt w:val="decimal"/>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A20756"/>
    <w:multiLevelType w:val="hybridMultilevel"/>
    <w:tmpl w:val="32EA96C0"/>
    <w:lvl w:ilvl="0" w:tplc="7F66CA0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603118"/>
    <w:multiLevelType w:val="hybridMultilevel"/>
    <w:tmpl w:val="7010B5D2"/>
    <w:lvl w:ilvl="0" w:tplc="5CA473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3047EF"/>
    <w:multiLevelType w:val="hybridMultilevel"/>
    <w:tmpl w:val="D5909894"/>
    <w:lvl w:ilvl="0" w:tplc="88F4A00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33774DC"/>
    <w:multiLevelType w:val="hybridMultilevel"/>
    <w:tmpl w:val="F5F0BE4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1440"/>
        </w:tabs>
        <w:ind w:left="14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1440"/>
        </w:tabs>
        <w:ind w:left="144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5EB4378"/>
    <w:multiLevelType w:val="hybridMultilevel"/>
    <w:tmpl w:val="50983DF6"/>
    <w:lvl w:ilvl="0" w:tplc="BC5CB2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7FA63ED"/>
    <w:multiLevelType w:val="hybridMultilevel"/>
    <w:tmpl w:val="3140E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D7930"/>
    <w:multiLevelType w:val="hybridMultilevel"/>
    <w:tmpl w:val="E492462E"/>
    <w:lvl w:ilvl="0" w:tplc="D1D8E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10865"/>
    <w:multiLevelType w:val="hybridMultilevel"/>
    <w:tmpl w:val="834693CA"/>
    <w:lvl w:ilvl="0" w:tplc="6CCC4D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56755"/>
    <w:multiLevelType w:val="hybridMultilevel"/>
    <w:tmpl w:val="C696EDEC"/>
    <w:lvl w:ilvl="0" w:tplc="1B3403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91D2DB3"/>
    <w:multiLevelType w:val="hybridMultilevel"/>
    <w:tmpl w:val="F0B4C7E8"/>
    <w:lvl w:ilvl="0" w:tplc="1534C1C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A4B77"/>
    <w:multiLevelType w:val="hybridMultilevel"/>
    <w:tmpl w:val="26B6651E"/>
    <w:lvl w:ilvl="0" w:tplc="B84A745E">
      <w:start w:val="1"/>
      <w:numFmt w:val="upperLetter"/>
      <w:lvlText w:val="%1)"/>
      <w:lvlJc w:val="left"/>
      <w:pPr>
        <w:ind w:left="720" w:hanging="360"/>
      </w:pPr>
      <w:rPr>
        <w:rFonts w:hint="default"/>
        <w:vertAlign w:val="superscrip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2"/>
  </w:num>
  <w:num w:numId="4">
    <w:abstractNumId w:val="16"/>
  </w:num>
  <w:num w:numId="5">
    <w:abstractNumId w:val="9"/>
  </w:num>
  <w:num w:numId="6">
    <w:abstractNumId w:val="3"/>
  </w:num>
  <w:num w:numId="7">
    <w:abstractNumId w:val="15"/>
  </w:num>
  <w:num w:numId="8">
    <w:abstractNumId w:val="7"/>
  </w:num>
  <w:num w:numId="9">
    <w:abstractNumId w:val="12"/>
  </w:num>
  <w:num w:numId="10">
    <w:abstractNumId w:val="22"/>
  </w:num>
  <w:num w:numId="11">
    <w:abstractNumId w:val="11"/>
  </w:num>
  <w:num w:numId="12">
    <w:abstractNumId w:val="13"/>
  </w:num>
  <w:num w:numId="13">
    <w:abstractNumId w:val="4"/>
  </w:num>
  <w:num w:numId="14">
    <w:abstractNumId w:val="1"/>
    <w:lvlOverride w:ilvl="0">
      <w:startOverride w:val="7"/>
    </w:lvlOverride>
  </w:num>
  <w:num w:numId="15">
    <w:abstractNumId w:val="23"/>
  </w:num>
  <w:num w:numId="16">
    <w:abstractNumId w:val="25"/>
  </w:num>
  <w:num w:numId="17">
    <w:abstractNumId w:val="14"/>
  </w:num>
  <w:num w:numId="18">
    <w:abstractNumId w:val="18"/>
  </w:num>
  <w:num w:numId="19">
    <w:abstractNumId w:val="17"/>
  </w:num>
  <w:num w:numId="20">
    <w:abstractNumId w:val="0"/>
  </w:num>
  <w:num w:numId="21">
    <w:abstractNumId w:val="19"/>
  </w:num>
  <w:num w:numId="22">
    <w:abstractNumId w:val="24"/>
  </w:num>
  <w:num w:numId="23">
    <w:abstractNumId w:val="5"/>
  </w:num>
  <w:num w:numId="24">
    <w:abstractNumId w:val="21"/>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460"/>
    <w:rsid w:val="0001118D"/>
    <w:rsid w:val="000176CA"/>
    <w:rsid w:val="00035A1B"/>
    <w:rsid w:val="00036FA0"/>
    <w:rsid w:val="0003793F"/>
    <w:rsid w:val="00051308"/>
    <w:rsid w:val="00057307"/>
    <w:rsid w:val="00057E35"/>
    <w:rsid w:val="00057F97"/>
    <w:rsid w:val="00061914"/>
    <w:rsid w:val="00072134"/>
    <w:rsid w:val="00076726"/>
    <w:rsid w:val="00080303"/>
    <w:rsid w:val="00093ACA"/>
    <w:rsid w:val="000A3F58"/>
    <w:rsid w:val="000C0F75"/>
    <w:rsid w:val="000D2343"/>
    <w:rsid w:val="000D3449"/>
    <w:rsid w:val="000D425A"/>
    <w:rsid w:val="000D60CC"/>
    <w:rsid w:val="000E2084"/>
    <w:rsid w:val="000E6F55"/>
    <w:rsid w:val="000F11E9"/>
    <w:rsid w:val="000F1FF4"/>
    <w:rsid w:val="000F77FA"/>
    <w:rsid w:val="00100572"/>
    <w:rsid w:val="00100E7A"/>
    <w:rsid w:val="00102129"/>
    <w:rsid w:val="00105973"/>
    <w:rsid w:val="00106B79"/>
    <w:rsid w:val="00107BF7"/>
    <w:rsid w:val="00126F53"/>
    <w:rsid w:val="00132D7C"/>
    <w:rsid w:val="0014766D"/>
    <w:rsid w:val="001536CC"/>
    <w:rsid w:val="00161259"/>
    <w:rsid w:val="00163763"/>
    <w:rsid w:val="00174AF8"/>
    <w:rsid w:val="0018717D"/>
    <w:rsid w:val="001A3FBA"/>
    <w:rsid w:val="001A5518"/>
    <w:rsid w:val="001B1C6A"/>
    <w:rsid w:val="001C1263"/>
    <w:rsid w:val="001C1417"/>
    <w:rsid w:val="001D3D38"/>
    <w:rsid w:val="001E390B"/>
    <w:rsid w:val="001E6E7D"/>
    <w:rsid w:val="001F42FB"/>
    <w:rsid w:val="001F719A"/>
    <w:rsid w:val="002031B3"/>
    <w:rsid w:val="00205AE6"/>
    <w:rsid w:val="00215931"/>
    <w:rsid w:val="00227BDB"/>
    <w:rsid w:val="00232D48"/>
    <w:rsid w:val="00234CB1"/>
    <w:rsid w:val="002352F8"/>
    <w:rsid w:val="0023595B"/>
    <w:rsid w:val="002433AD"/>
    <w:rsid w:val="002510A5"/>
    <w:rsid w:val="0025214D"/>
    <w:rsid w:val="00254A0A"/>
    <w:rsid w:val="00266046"/>
    <w:rsid w:val="002846DB"/>
    <w:rsid w:val="00284CCD"/>
    <w:rsid w:val="002C33A3"/>
    <w:rsid w:val="002C6637"/>
    <w:rsid w:val="002E0135"/>
    <w:rsid w:val="002E37A5"/>
    <w:rsid w:val="002F0722"/>
    <w:rsid w:val="003047B5"/>
    <w:rsid w:val="00310F03"/>
    <w:rsid w:val="003111A4"/>
    <w:rsid w:val="003247D2"/>
    <w:rsid w:val="003445C1"/>
    <w:rsid w:val="00355B61"/>
    <w:rsid w:val="00362686"/>
    <w:rsid w:val="00371510"/>
    <w:rsid w:val="003801CF"/>
    <w:rsid w:val="00396DFD"/>
    <w:rsid w:val="003A7059"/>
    <w:rsid w:val="003B125F"/>
    <w:rsid w:val="003B7A36"/>
    <w:rsid w:val="003C17AB"/>
    <w:rsid w:val="003C7823"/>
    <w:rsid w:val="003E1DCC"/>
    <w:rsid w:val="003E5A27"/>
    <w:rsid w:val="003E5BA3"/>
    <w:rsid w:val="003F6A59"/>
    <w:rsid w:val="004059B5"/>
    <w:rsid w:val="004065C8"/>
    <w:rsid w:val="00411B4B"/>
    <w:rsid w:val="00415BEE"/>
    <w:rsid w:val="00422BA7"/>
    <w:rsid w:val="00427F85"/>
    <w:rsid w:val="004327D6"/>
    <w:rsid w:val="00434951"/>
    <w:rsid w:val="00436F42"/>
    <w:rsid w:val="004378B4"/>
    <w:rsid w:val="00447598"/>
    <w:rsid w:val="00451314"/>
    <w:rsid w:val="00452E9D"/>
    <w:rsid w:val="0045313E"/>
    <w:rsid w:val="004534C7"/>
    <w:rsid w:val="004606F5"/>
    <w:rsid w:val="004671AA"/>
    <w:rsid w:val="00470456"/>
    <w:rsid w:val="00480FB1"/>
    <w:rsid w:val="004833BF"/>
    <w:rsid w:val="00483928"/>
    <w:rsid w:val="00492ED5"/>
    <w:rsid w:val="004B242D"/>
    <w:rsid w:val="004B3C1B"/>
    <w:rsid w:val="004C1158"/>
    <w:rsid w:val="004D6103"/>
    <w:rsid w:val="004D7C5D"/>
    <w:rsid w:val="004E3BCE"/>
    <w:rsid w:val="004E687D"/>
    <w:rsid w:val="004F0E97"/>
    <w:rsid w:val="005102C7"/>
    <w:rsid w:val="005103F4"/>
    <w:rsid w:val="00515C21"/>
    <w:rsid w:val="00530BD7"/>
    <w:rsid w:val="005440F1"/>
    <w:rsid w:val="00545CD2"/>
    <w:rsid w:val="005476F3"/>
    <w:rsid w:val="00565EFB"/>
    <w:rsid w:val="00572527"/>
    <w:rsid w:val="00573E40"/>
    <w:rsid w:val="00576348"/>
    <w:rsid w:val="00584A94"/>
    <w:rsid w:val="00587D79"/>
    <w:rsid w:val="005A0B2E"/>
    <w:rsid w:val="005A23D2"/>
    <w:rsid w:val="005A36CB"/>
    <w:rsid w:val="005B49B8"/>
    <w:rsid w:val="005B5796"/>
    <w:rsid w:val="005C0741"/>
    <w:rsid w:val="005C0F74"/>
    <w:rsid w:val="005C1EE0"/>
    <w:rsid w:val="005C35B7"/>
    <w:rsid w:val="005C5EF4"/>
    <w:rsid w:val="005D3145"/>
    <w:rsid w:val="005D7702"/>
    <w:rsid w:val="005E2E0B"/>
    <w:rsid w:val="005E7A7D"/>
    <w:rsid w:val="00630E8F"/>
    <w:rsid w:val="00645443"/>
    <w:rsid w:val="00645A8A"/>
    <w:rsid w:val="006466A7"/>
    <w:rsid w:val="00646BD1"/>
    <w:rsid w:val="0064778C"/>
    <w:rsid w:val="006561C2"/>
    <w:rsid w:val="00663F33"/>
    <w:rsid w:val="00664A95"/>
    <w:rsid w:val="00671CB3"/>
    <w:rsid w:val="00674BAF"/>
    <w:rsid w:val="00682200"/>
    <w:rsid w:val="006839E0"/>
    <w:rsid w:val="00692E64"/>
    <w:rsid w:val="00696C5A"/>
    <w:rsid w:val="006A1497"/>
    <w:rsid w:val="006A1560"/>
    <w:rsid w:val="006A230C"/>
    <w:rsid w:val="006B0BD1"/>
    <w:rsid w:val="006C4B60"/>
    <w:rsid w:val="006D20A5"/>
    <w:rsid w:val="006D37BF"/>
    <w:rsid w:val="006E1694"/>
    <w:rsid w:val="00702E22"/>
    <w:rsid w:val="007052F3"/>
    <w:rsid w:val="00710313"/>
    <w:rsid w:val="0072020E"/>
    <w:rsid w:val="00737BBB"/>
    <w:rsid w:val="007560A8"/>
    <w:rsid w:val="0075781B"/>
    <w:rsid w:val="00777A7E"/>
    <w:rsid w:val="00786071"/>
    <w:rsid w:val="00786889"/>
    <w:rsid w:val="007873E2"/>
    <w:rsid w:val="007A3CAC"/>
    <w:rsid w:val="007A3ECB"/>
    <w:rsid w:val="007D1570"/>
    <w:rsid w:val="00817585"/>
    <w:rsid w:val="00824AB9"/>
    <w:rsid w:val="0083400A"/>
    <w:rsid w:val="00836A38"/>
    <w:rsid w:val="00836B35"/>
    <w:rsid w:val="00843BDE"/>
    <w:rsid w:val="00851F01"/>
    <w:rsid w:val="008528E9"/>
    <w:rsid w:val="00854488"/>
    <w:rsid w:val="0086294B"/>
    <w:rsid w:val="00872FD6"/>
    <w:rsid w:val="0089705C"/>
    <w:rsid w:val="008A6D43"/>
    <w:rsid w:val="008B491E"/>
    <w:rsid w:val="008B4E49"/>
    <w:rsid w:val="008C1A28"/>
    <w:rsid w:val="008C2E98"/>
    <w:rsid w:val="008E49BD"/>
    <w:rsid w:val="008E53E9"/>
    <w:rsid w:val="008E5771"/>
    <w:rsid w:val="008E71FD"/>
    <w:rsid w:val="008F3545"/>
    <w:rsid w:val="00903CAF"/>
    <w:rsid w:val="009051CE"/>
    <w:rsid w:val="00906D28"/>
    <w:rsid w:val="009133FC"/>
    <w:rsid w:val="00915AFA"/>
    <w:rsid w:val="00925F30"/>
    <w:rsid w:val="00940B9B"/>
    <w:rsid w:val="0094312F"/>
    <w:rsid w:val="00952294"/>
    <w:rsid w:val="0095676E"/>
    <w:rsid w:val="00956983"/>
    <w:rsid w:val="00956CD9"/>
    <w:rsid w:val="0096184D"/>
    <w:rsid w:val="00963CF0"/>
    <w:rsid w:val="00964BB1"/>
    <w:rsid w:val="009775D9"/>
    <w:rsid w:val="0099140E"/>
    <w:rsid w:val="00997175"/>
    <w:rsid w:val="009A1847"/>
    <w:rsid w:val="009B062A"/>
    <w:rsid w:val="009B7898"/>
    <w:rsid w:val="009C4921"/>
    <w:rsid w:val="009D6435"/>
    <w:rsid w:val="009E7C6F"/>
    <w:rsid w:val="009F1793"/>
    <w:rsid w:val="009F2D23"/>
    <w:rsid w:val="00A01D69"/>
    <w:rsid w:val="00A02335"/>
    <w:rsid w:val="00A41415"/>
    <w:rsid w:val="00A46C9A"/>
    <w:rsid w:val="00A53076"/>
    <w:rsid w:val="00A619F3"/>
    <w:rsid w:val="00A62A73"/>
    <w:rsid w:val="00A82E54"/>
    <w:rsid w:val="00A86301"/>
    <w:rsid w:val="00A87FF6"/>
    <w:rsid w:val="00AA0A3B"/>
    <w:rsid w:val="00AB50CA"/>
    <w:rsid w:val="00AC53CE"/>
    <w:rsid w:val="00AD2193"/>
    <w:rsid w:val="00AF2AC7"/>
    <w:rsid w:val="00AF3B42"/>
    <w:rsid w:val="00AF74CE"/>
    <w:rsid w:val="00B208DB"/>
    <w:rsid w:val="00B20CE0"/>
    <w:rsid w:val="00B23F69"/>
    <w:rsid w:val="00B26160"/>
    <w:rsid w:val="00B407EE"/>
    <w:rsid w:val="00B60619"/>
    <w:rsid w:val="00B65B04"/>
    <w:rsid w:val="00B66A70"/>
    <w:rsid w:val="00B67366"/>
    <w:rsid w:val="00B72066"/>
    <w:rsid w:val="00B80EE1"/>
    <w:rsid w:val="00B84135"/>
    <w:rsid w:val="00B8773D"/>
    <w:rsid w:val="00B87DDA"/>
    <w:rsid w:val="00B9586B"/>
    <w:rsid w:val="00BA2FD2"/>
    <w:rsid w:val="00BA6BF2"/>
    <w:rsid w:val="00BD17B4"/>
    <w:rsid w:val="00BE4DA2"/>
    <w:rsid w:val="00C04D34"/>
    <w:rsid w:val="00C05DF8"/>
    <w:rsid w:val="00C05E49"/>
    <w:rsid w:val="00C06864"/>
    <w:rsid w:val="00C10F54"/>
    <w:rsid w:val="00C23D8D"/>
    <w:rsid w:val="00C25B36"/>
    <w:rsid w:val="00C37AA3"/>
    <w:rsid w:val="00C37FD7"/>
    <w:rsid w:val="00C43419"/>
    <w:rsid w:val="00C44CF3"/>
    <w:rsid w:val="00C61BE0"/>
    <w:rsid w:val="00C65591"/>
    <w:rsid w:val="00C70B0E"/>
    <w:rsid w:val="00C773CA"/>
    <w:rsid w:val="00C83785"/>
    <w:rsid w:val="00C94C0D"/>
    <w:rsid w:val="00CA1FEB"/>
    <w:rsid w:val="00CC7B08"/>
    <w:rsid w:val="00CD4F85"/>
    <w:rsid w:val="00CD6F02"/>
    <w:rsid w:val="00CE01FA"/>
    <w:rsid w:val="00CE246D"/>
    <w:rsid w:val="00CE6C2C"/>
    <w:rsid w:val="00CF07A0"/>
    <w:rsid w:val="00CF3E03"/>
    <w:rsid w:val="00D0082A"/>
    <w:rsid w:val="00D00BF4"/>
    <w:rsid w:val="00D017C8"/>
    <w:rsid w:val="00D1013C"/>
    <w:rsid w:val="00D21455"/>
    <w:rsid w:val="00D36055"/>
    <w:rsid w:val="00D47634"/>
    <w:rsid w:val="00D55718"/>
    <w:rsid w:val="00D700E9"/>
    <w:rsid w:val="00D709B3"/>
    <w:rsid w:val="00D91488"/>
    <w:rsid w:val="00D94F54"/>
    <w:rsid w:val="00D95671"/>
    <w:rsid w:val="00D97E4A"/>
    <w:rsid w:val="00DA2ED6"/>
    <w:rsid w:val="00DA4990"/>
    <w:rsid w:val="00DB76B8"/>
    <w:rsid w:val="00DC161F"/>
    <w:rsid w:val="00DC2EA1"/>
    <w:rsid w:val="00DC51AF"/>
    <w:rsid w:val="00DC757B"/>
    <w:rsid w:val="00DD6AAF"/>
    <w:rsid w:val="00DE3937"/>
    <w:rsid w:val="00DE3F5C"/>
    <w:rsid w:val="00DF1D20"/>
    <w:rsid w:val="00E21324"/>
    <w:rsid w:val="00E246B9"/>
    <w:rsid w:val="00E31FEA"/>
    <w:rsid w:val="00E34F7E"/>
    <w:rsid w:val="00E45169"/>
    <w:rsid w:val="00E47787"/>
    <w:rsid w:val="00E500B6"/>
    <w:rsid w:val="00E51C30"/>
    <w:rsid w:val="00E64153"/>
    <w:rsid w:val="00E64180"/>
    <w:rsid w:val="00E74AEE"/>
    <w:rsid w:val="00E868E5"/>
    <w:rsid w:val="00E9237A"/>
    <w:rsid w:val="00E93975"/>
    <w:rsid w:val="00E939FA"/>
    <w:rsid w:val="00EA3587"/>
    <w:rsid w:val="00EA5765"/>
    <w:rsid w:val="00EC190B"/>
    <w:rsid w:val="00EC2532"/>
    <w:rsid w:val="00EC7C5B"/>
    <w:rsid w:val="00ED7812"/>
    <w:rsid w:val="00EE3B6D"/>
    <w:rsid w:val="00EF3B86"/>
    <w:rsid w:val="00F061A4"/>
    <w:rsid w:val="00F06C59"/>
    <w:rsid w:val="00F317E9"/>
    <w:rsid w:val="00F32717"/>
    <w:rsid w:val="00F3363C"/>
    <w:rsid w:val="00F34554"/>
    <w:rsid w:val="00F45F77"/>
    <w:rsid w:val="00F50438"/>
    <w:rsid w:val="00F5167F"/>
    <w:rsid w:val="00F52258"/>
    <w:rsid w:val="00F8570A"/>
    <w:rsid w:val="00F91A59"/>
    <w:rsid w:val="00F91C7B"/>
    <w:rsid w:val="00FB1A68"/>
    <w:rsid w:val="00FC3AB9"/>
    <w:rsid w:val="00FD4370"/>
    <w:rsid w:val="00FF5ABD"/>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7FF5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5781B"/>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75781B"/>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75781B"/>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106B79"/>
    <w:pPr>
      <w:tabs>
        <w:tab w:val="left" w:pos="284"/>
      </w:tabs>
      <w:ind w:left="720"/>
      <w:contextualSpacing/>
      <w:jc w:val="both"/>
    </w:pPr>
    <w:rPr>
      <w:sz w:val="22"/>
    </w:rPr>
  </w:style>
  <w:style w:type="table" w:styleId="TableGrid">
    <w:name w:val="Table Grid"/>
    <w:basedOn w:val="TableNormal"/>
    <w:rsid w:val="00106B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5781B"/>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75781B"/>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75781B"/>
    <w:rPr>
      <w:rFonts w:ascii="Arial" w:hAnsi="Arial" w:cs="Arial"/>
      <w:i/>
      <w:iCs/>
      <w:color w:val="999999"/>
      <w:sz w:val="16"/>
      <w:szCs w:val="24"/>
      <w:lang w:val="en-US" w:eastAsia="en-US"/>
    </w:rPr>
  </w:style>
  <w:style w:type="character" w:customStyle="1" w:styleId="FooterChar">
    <w:name w:val="Footer Char"/>
    <w:basedOn w:val="DefaultParagraphFont"/>
    <w:link w:val="Footer"/>
    <w:uiPriority w:val="99"/>
    <w:rsid w:val="0075781B"/>
    <w:rPr>
      <w:sz w:val="24"/>
      <w:szCs w:val="24"/>
      <w:lang w:val="en-US" w:eastAsia="en-US"/>
    </w:rPr>
  </w:style>
  <w:style w:type="paragraph" w:customStyle="1" w:styleId="NASLOV123">
    <w:name w:val="NASLOV 123"/>
    <w:basedOn w:val="Normal"/>
    <w:qFormat/>
    <w:rsid w:val="0075781B"/>
    <w:pPr>
      <w:tabs>
        <w:tab w:val="left" w:pos="284"/>
      </w:tabs>
      <w:spacing w:before="200" w:after="200"/>
    </w:pPr>
    <w:rPr>
      <w:b/>
      <w:sz w:val="22"/>
      <w:szCs w:val="22"/>
    </w:rPr>
  </w:style>
  <w:style w:type="paragraph" w:styleId="Revision">
    <w:name w:val="Revision"/>
    <w:hidden/>
    <w:uiPriority w:val="99"/>
    <w:semiHidden/>
    <w:rsid w:val="00565EFB"/>
    <w:rPr>
      <w:sz w:val="24"/>
      <w:szCs w:val="24"/>
      <w:lang w:val="en-US" w:eastAsia="en-US"/>
    </w:rPr>
  </w:style>
  <w:style w:type="character" w:styleId="Hyperlink">
    <w:name w:val="Hyperlink"/>
    <w:basedOn w:val="DefaultParagraphFont"/>
    <w:rsid w:val="00A863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zeljenadejstva@cinmed.me" TargetMode="External"/><Relationship Id="rId18" Type="http://schemas.openxmlformats.org/officeDocument/2006/relationships/footer" Target="footer2.xml"/><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1.xml"/><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image" Target="media/image15.emf"/><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PublishingExpirationDate xmlns="http://schemas.microsoft.com/sharepoint/v3" xsi:nil="true"/>
    <PublishingStartDate xmlns="http://schemas.microsoft.com/sharepoint/v3" xsi:nil="true"/>
    <_dlc_ExpireDate xmlns="http://schemas.microsoft.com/sharepoint/v3" xsi:nil="true"/>
    <_dlc_Exempt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bc43322-b630-4bac-8b27-31def233d1d0"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54F1-5C7D-437C-88AB-E47E78C46B2E}">
  <ds:schemaRefs>
    <ds:schemaRef ds:uri="http://schemas.microsoft.com/sharepoint/v3/contenttype/forms"/>
  </ds:schemaRefs>
</ds:datastoreItem>
</file>

<file path=customXml/itemProps2.xml><?xml version="1.0" encoding="utf-8"?>
<ds:datastoreItem xmlns:ds="http://schemas.openxmlformats.org/officeDocument/2006/customXml" ds:itemID="{34ECCEB4-C304-4EB9-82E8-5BC315DD1337}">
  <ds:schemaRefs>
    <ds:schemaRef ds:uri="http://schemas.microsoft.com/office/2006/metadata/properties"/>
    <ds:schemaRef ds:uri="http://schemas.microsoft.com/office/infopath/2007/PartnerControls"/>
    <ds:schemaRef ds:uri="1a4d292e-883c-434b-96e3-060cfff16c86"/>
    <ds:schemaRef ds:uri="http://schemas.microsoft.com/sharepoint/v3"/>
  </ds:schemaRefs>
</ds:datastoreItem>
</file>

<file path=customXml/itemProps3.xml><?xml version="1.0" encoding="utf-8"?>
<ds:datastoreItem xmlns:ds="http://schemas.openxmlformats.org/officeDocument/2006/customXml" ds:itemID="{4DFB4EBB-9720-4704-9CE7-84A4FE92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E089B-C6F7-4F31-8AAE-88FC03109510}">
  <ds:schemaRefs>
    <ds:schemaRef ds:uri="Microsoft.SharePoint.Taxonomy.ContentTypeSync"/>
  </ds:schemaRefs>
</ds:datastoreItem>
</file>

<file path=customXml/itemProps5.xml><?xml version="1.0" encoding="utf-8"?>
<ds:datastoreItem xmlns:ds="http://schemas.openxmlformats.org/officeDocument/2006/customXml" ds:itemID="{5ADCAADF-B65E-43F5-B00F-92252018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11491</Words>
  <Characters>65500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76838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Nađa Mugoša</cp:lastModifiedBy>
  <cp:revision>9</cp:revision>
  <dcterms:created xsi:type="dcterms:W3CDTF">2025-05-16T11:04:00Z</dcterms:created>
  <dcterms:modified xsi:type="dcterms:W3CDTF">2025-06-24T06:12:00Z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2022-01-11T12:13:32Z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ContentBits">
    <vt:lpwstr>0</vt:lpwstr>
  </property>
  <property fmtid="{D5CDD505-2E9C-101B-9397-08002B2CF9AE}" pid="9" name="ContentTypeId">
    <vt:lpwstr>0x0101009E043391B52E0243877F9268BA5D6AB2</vt:lpwstr>
  </property>
  <property fmtid="{D5CDD505-2E9C-101B-9397-08002B2CF9AE}" pid="10" name="43b072f0-0f82-4aac-be1e-8abeffc32f66">
    <vt:bool>false</vt:bool>
  </property>
</Properties>
</file>