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C3593" w14:textId="77777777" w:rsidR="007F7C6E" w:rsidRDefault="007F7C6E" w:rsidP="00923865">
      <w:pPr>
        <w:jc w:val="center"/>
        <w:rPr>
          <w:b/>
          <w:bCs/>
          <w:iCs/>
          <w:szCs w:val="22"/>
          <w:u w:val="single"/>
          <w:lang w:val="sr-Latn-ME"/>
        </w:rPr>
      </w:pPr>
    </w:p>
    <w:p w14:paraId="3C8D9ABC" w14:textId="722591ED" w:rsidR="00CE09F3" w:rsidRPr="007F7C6E" w:rsidRDefault="00CE09F3" w:rsidP="00923865">
      <w:pPr>
        <w:jc w:val="center"/>
        <w:rPr>
          <w:b/>
          <w:bCs/>
          <w:iCs/>
          <w:szCs w:val="22"/>
          <w:u w:val="single"/>
          <w:lang w:val="sr-Latn-ME"/>
        </w:rPr>
      </w:pPr>
      <w:r w:rsidRPr="007F7C6E">
        <w:rPr>
          <w:b/>
          <w:bCs/>
          <w:iCs/>
          <w:szCs w:val="22"/>
          <w:u w:val="single"/>
          <w:lang w:val="sr-Latn-ME"/>
        </w:rPr>
        <w:t xml:space="preserve">SAŽETAK KARAKTERISTIKA </w:t>
      </w:r>
      <w:r w:rsidR="0064264A" w:rsidRPr="007F7C6E">
        <w:rPr>
          <w:b/>
          <w:bCs/>
          <w:iCs/>
          <w:szCs w:val="22"/>
          <w:u w:val="single"/>
          <w:lang w:val="sr-Latn-ME"/>
        </w:rPr>
        <w:t>LIJEKA</w:t>
      </w:r>
    </w:p>
    <w:p w14:paraId="3C8D9ABE" w14:textId="4C56155F" w:rsidR="00383195" w:rsidRPr="007F7C6E" w:rsidRDefault="003E3EC7" w:rsidP="00923865">
      <w:pPr>
        <w:rPr>
          <w:szCs w:val="22"/>
          <w:lang w:val="sr-Latn-ME"/>
        </w:rPr>
      </w:pPr>
      <w:r w:rsidRPr="007F7C6E">
        <w:rPr>
          <w:szCs w:val="22"/>
          <w:lang w:val="sr-Latn-ME"/>
        </w:rPr>
        <w:t xml:space="preserve"> </w:t>
      </w:r>
    </w:p>
    <w:p w14:paraId="3C8D9ABF" w14:textId="77777777" w:rsidR="00CE09F3" w:rsidRPr="007F7C6E" w:rsidRDefault="00CE09F3" w:rsidP="00923865">
      <w:pPr>
        <w:rPr>
          <w:b/>
          <w:bCs/>
          <w:szCs w:val="22"/>
          <w:lang w:val="sr-Latn-ME"/>
        </w:rPr>
      </w:pPr>
    </w:p>
    <w:p w14:paraId="3C8D9AC0" w14:textId="1E8070F8" w:rsidR="00CE09F3" w:rsidRPr="007F7C6E" w:rsidRDefault="00CE09F3" w:rsidP="0001076C">
      <w:pPr>
        <w:pStyle w:val="NASLOV123"/>
        <w:spacing w:before="0" w:after="0"/>
        <w:rPr>
          <w:lang w:val="sr-Latn-ME"/>
        </w:rPr>
      </w:pPr>
      <w:r w:rsidRPr="007F7C6E">
        <w:rPr>
          <w:lang w:val="sr-Latn-ME"/>
        </w:rPr>
        <w:t xml:space="preserve">1. </w:t>
      </w:r>
      <w:r w:rsidR="00FE6FDC" w:rsidRPr="007F7C6E">
        <w:rPr>
          <w:lang w:val="sr-Latn-ME"/>
        </w:rPr>
        <w:tab/>
      </w:r>
      <w:r w:rsidR="00FB730F" w:rsidRPr="007F7C6E">
        <w:rPr>
          <w:lang w:val="sr-Latn-ME"/>
        </w:rPr>
        <w:t>NAZIV</w:t>
      </w:r>
      <w:r w:rsidRPr="007F7C6E">
        <w:rPr>
          <w:lang w:val="sr-Latn-ME"/>
        </w:rPr>
        <w:t xml:space="preserve"> </w:t>
      </w:r>
      <w:r w:rsidR="0064264A" w:rsidRPr="007F7C6E">
        <w:rPr>
          <w:lang w:val="sr-Latn-ME"/>
        </w:rPr>
        <w:t>LIJEKA</w:t>
      </w:r>
    </w:p>
    <w:p w14:paraId="35E62E16" w14:textId="77777777" w:rsidR="0059752A" w:rsidRPr="007F7C6E" w:rsidRDefault="0059752A" w:rsidP="00B2693A">
      <w:pPr>
        <w:rPr>
          <w:szCs w:val="22"/>
          <w:lang w:val="sr-Latn-ME"/>
        </w:rPr>
      </w:pPr>
    </w:p>
    <w:p w14:paraId="3C8D9AC1" w14:textId="67B5F153" w:rsidR="00C66895" w:rsidRPr="007F7C6E" w:rsidRDefault="00E1338E" w:rsidP="005E1030">
      <w:pPr>
        <w:rPr>
          <w:szCs w:val="22"/>
          <w:lang w:val="sr-Latn-ME"/>
        </w:rPr>
      </w:pPr>
      <w:r w:rsidRPr="007F7C6E">
        <w:rPr>
          <w:szCs w:val="22"/>
          <w:lang w:val="sr-Latn-ME"/>
        </w:rPr>
        <w:t>Klindamicin</w:t>
      </w:r>
      <w:r w:rsidR="00326FAF" w:rsidRPr="007F7C6E">
        <w:rPr>
          <w:szCs w:val="22"/>
          <w:lang w:val="sr-Latn-ME"/>
        </w:rPr>
        <w:t xml:space="preserve"> HF</w:t>
      </w:r>
      <w:r w:rsidR="00C86E91" w:rsidRPr="007F7C6E">
        <w:rPr>
          <w:szCs w:val="22"/>
          <w:lang w:val="sr-Latn-ME"/>
        </w:rPr>
        <w:t xml:space="preserve">, </w:t>
      </w:r>
      <w:r w:rsidR="00461641" w:rsidRPr="007F7C6E">
        <w:rPr>
          <w:szCs w:val="22"/>
          <w:lang w:val="sr-Latn-ME"/>
        </w:rPr>
        <w:t>300 mg/2 m</w:t>
      </w:r>
      <w:r w:rsidRPr="007F7C6E">
        <w:rPr>
          <w:szCs w:val="22"/>
          <w:lang w:val="sr-Latn-ME"/>
        </w:rPr>
        <w:t>l</w:t>
      </w:r>
      <w:r w:rsidR="00461641" w:rsidRPr="007F7C6E">
        <w:rPr>
          <w:szCs w:val="22"/>
          <w:lang w:val="sr-Latn-ME"/>
        </w:rPr>
        <w:t>, rastvor za injekciju</w:t>
      </w:r>
      <w:r w:rsidR="004857BB" w:rsidRPr="007F7C6E">
        <w:rPr>
          <w:bCs/>
          <w:szCs w:val="22"/>
          <w:lang w:val="sr-Latn-ME"/>
        </w:rPr>
        <w:t>/infuziju</w:t>
      </w:r>
      <w:r w:rsidR="00C66895" w:rsidRPr="007F7C6E">
        <w:rPr>
          <w:szCs w:val="22"/>
          <w:lang w:val="sr-Latn-ME"/>
        </w:rPr>
        <w:t xml:space="preserve">                                 </w:t>
      </w:r>
    </w:p>
    <w:p w14:paraId="3C8D9AC2" w14:textId="77777777" w:rsidR="00CE09F3" w:rsidRPr="007F7C6E" w:rsidRDefault="00CE09F3" w:rsidP="00220F9D">
      <w:pPr>
        <w:rPr>
          <w:szCs w:val="22"/>
          <w:lang w:val="sr-Latn-ME"/>
        </w:rPr>
      </w:pPr>
      <w:r w:rsidRPr="007F7C6E">
        <w:rPr>
          <w:szCs w:val="22"/>
          <w:lang w:val="sr-Latn-ME"/>
        </w:rPr>
        <w:t>INN:</w:t>
      </w:r>
      <w:r w:rsidR="006274CF" w:rsidRPr="007F7C6E">
        <w:rPr>
          <w:szCs w:val="22"/>
          <w:lang w:val="sr-Latn-ME"/>
        </w:rPr>
        <w:t xml:space="preserve"> </w:t>
      </w:r>
      <w:r w:rsidR="00C86E91" w:rsidRPr="007F7C6E">
        <w:rPr>
          <w:szCs w:val="22"/>
          <w:lang w:val="sr-Latn-ME"/>
        </w:rPr>
        <w:t>klindamicin</w:t>
      </w:r>
    </w:p>
    <w:p w14:paraId="4E0C4C32" w14:textId="77777777" w:rsidR="00D010CE" w:rsidRPr="007F7C6E" w:rsidRDefault="00D010CE" w:rsidP="0001076C">
      <w:pPr>
        <w:pStyle w:val="NASLOV123"/>
        <w:spacing w:before="0" w:after="0"/>
        <w:jc w:val="both"/>
        <w:rPr>
          <w:lang w:val="sr-Latn-ME"/>
        </w:rPr>
      </w:pPr>
    </w:p>
    <w:p w14:paraId="1A17884E" w14:textId="77777777" w:rsidR="00D010CE" w:rsidRPr="007F7C6E" w:rsidRDefault="00D010CE" w:rsidP="0001076C">
      <w:pPr>
        <w:pStyle w:val="NASLOV123"/>
        <w:spacing w:before="0" w:after="0"/>
        <w:jc w:val="both"/>
        <w:rPr>
          <w:lang w:val="sr-Latn-ME"/>
        </w:rPr>
      </w:pPr>
    </w:p>
    <w:p w14:paraId="3C8D9AC3" w14:textId="6B0B6245" w:rsidR="003A01FF" w:rsidRPr="007F7C6E" w:rsidRDefault="00C86E91" w:rsidP="0001076C">
      <w:pPr>
        <w:pStyle w:val="NASLOV123"/>
        <w:spacing w:before="0" w:after="0"/>
        <w:jc w:val="both"/>
        <w:rPr>
          <w:lang w:val="sr-Latn-ME"/>
        </w:rPr>
      </w:pPr>
      <w:r w:rsidRPr="007F7C6E">
        <w:rPr>
          <w:lang w:val="sr-Latn-ME"/>
        </w:rPr>
        <w:t xml:space="preserve">2. </w:t>
      </w:r>
      <w:r w:rsidR="00FE6FDC" w:rsidRPr="007F7C6E">
        <w:rPr>
          <w:lang w:val="sr-Latn-ME"/>
        </w:rPr>
        <w:tab/>
      </w:r>
      <w:r w:rsidRPr="007F7C6E">
        <w:rPr>
          <w:lang w:val="sr-Latn-ME"/>
        </w:rPr>
        <w:t xml:space="preserve">KVALITATIVNI I KVANTITATIVNI </w:t>
      </w:r>
      <w:r w:rsidR="00CE09F3" w:rsidRPr="007F7C6E">
        <w:rPr>
          <w:lang w:val="sr-Latn-ME"/>
        </w:rPr>
        <w:t>SASTAV</w:t>
      </w:r>
    </w:p>
    <w:p w14:paraId="6C008EB1" w14:textId="77777777" w:rsidR="00D010CE" w:rsidRPr="007F7C6E" w:rsidRDefault="00D010CE" w:rsidP="005E1030">
      <w:pPr>
        <w:tabs>
          <w:tab w:val="clear" w:pos="284"/>
        </w:tabs>
        <w:autoSpaceDE w:val="0"/>
        <w:autoSpaceDN w:val="0"/>
        <w:adjustRightInd w:val="0"/>
        <w:rPr>
          <w:szCs w:val="22"/>
          <w:lang w:val="sr-Latn-ME"/>
        </w:rPr>
      </w:pPr>
    </w:p>
    <w:p w14:paraId="0F0B6C6B" w14:textId="0EA5AC24" w:rsidR="00A57304" w:rsidRPr="007F7C6E" w:rsidRDefault="00A57304" w:rsidP="005E1030">
      <w:pPr>
        <w:tabs>
          <w:tab w:val="clear" w:pos="284"/>
        </w:tabs>
        <w:autoSpaceDE w:val="0"/>
        <w:autoSpaceDN w:val="0"/>
        <w:adjustRightInd w:val="0"/>
        <w:rPr>
          <w:szCs w:val="22"/>
          <w:lang w:val="sr-Latn-ME"/>
        </w:rPr>
      </w:pPr>
      <w:r w:rsidRPr="007F7C6E">
        <w:rPr>
          <w:szCs w:val="22"/>
          <w:lang w:val="sr-Latn-ME"/>
        </w:rPr>
        <w:t>Jedna ampula (2 m</w:t>
      </w:r>
      <w:r w:rsidR="00E1338E" w:rsidRPr="007F7C6E">
        <w:rPr>
          <w:szCs w:val="22"/>
          <w:lang w:val="sr-Latn-ME"/>
        </w:rPr>
        <w:t>l</w:t>
      </w:r>
      <w:r w:rsidRPr="007F7C6E">
        <w:rPr>
          <w:szCs w:val="22"/>
          <w:lang w:val="sr-Latn-ME"/>
        </w:rPr>
        <w:t>) rastvora za injekciju/infuziju sadrži 300 mg klindamicina (u obliku klindamicin</w:t>
      </w:r>
      <w:r w:rsidR="00E1338E" w:rsidRPr="007F7C6E">
        <w:rPr>
          <w:szCs w:val="22"/>
          <w:lang w:val="sr-Latn-ME"/>
        </w:rPr>
        <w:t xml:space="preserve"> </w:t>
      </w:r>
      <w:r w:rsidRPr="007F7C6E">
        <w:rPr>
          <w:szCs w:val="22"/>
          <w:lang w:val="sr-Latn-ME"/>
        </w:rPr>
        <w:t>fosfata</w:t>
      </w:r>
      <w:r w:rsidR="00FE6FDC" w:rsidRPr="007F7C6E">
        <w:rPr>
          <w:szCs w:val="22"/>
          <w:lang w:val="sr-Latn-ME"/>
        </w:rPr>
        <w:t>)</w:t>
      </w:r>
      <w:r w:rsidRPr="007F7C6E">
        <w:rPr>
          <w:szCs w:val="22"/>
          <w:lang w:val="sr-Latn-ME"/>
        </w:rPr>
        <w:t>.</w:t>
      </w:r>
    </w:p>
    <w:p w14:paraId="3C8D9AC7" w14:textId="6EECA4D8" w:rsidR="00461641" w:rsidRPr="007F7C6E" w:rsidRDefault="00A57304" w:rsidP="005E1030">
      <w:pPr>
        <w:pStyle w:val="Header"/>
        <w:tabs>
          <w:tab w:val="left" w:pos="284"/>
        </w:tabs>
        <w:rPr>
          <w:szCs w:val="22"/>
          <w:lang w:val="sr-Latn-ME"/>
        </w:rPr>
      </w:pPr>
      <w:r w:rsidRPr="007F7C6E">
        <w:rPr>
          <w:szCs w:val="22"/>
          <w:lang w:val="sr-Latn-ME"/>
        </w:rPr>
        <w:t xml:space="preserve">Jedan </w:t>
      </w:r>
      <w:r w:rsidR="00E1338E" w:rsidRPr="007F7C6E">
        <w:rPr>
          <w:szCs w:val="22"/>
          <w:lang w:val="sr-Latn-ME"/>
        </w:rPr>
        <w:t>mililitar</w:t>
      </w:r>
      <w:r w:rsidRPr="007F7C6E">
        <w:rPr>
          <w:szCs w:val="22"/>
          <w:lang w:val="sr-Latn-ME"/>
        </w:rPr>
        <w:t xml:space="preserve"> rastvora za injekciju/infuziju sadrži 150 mg klindamicina (u obliku klindamicin</w:t>
      </w:r>
      <w:r w:rsidR="00E1338E" w:rsidRPr="007F7C6E">
        <w:rPr>
          <w:szCs w:val="22"/>
          <w:lang w:val="sr-Latn-ME"/>
        </w:rPr>
        <w:t xml:space="preserve"> </w:t>
      </w:r>
      <w:r w:rsidRPr="007F7C6E">
        <w:rPr>
          <w:szCs w:val="22"/>
          <w:lang w:val="sr-Latn-ME"/>
        </w:rPr>
        <w:t>fosfata).</w:t>
      </w:r>
    </w:p>
    <w:p w14:paraId="2B108B80" w14:textId="77777777" w:rsidR="00426E6C" w:rsidRPr="007F7C6E" w:rsidRDefault="00426E6C" w:rsidP="00220F9D">
      <w:pPr>
        <w:pStyle w:val="Header"/>
        <w:tabs>
          <w:tab w:val="left" w:pos="284"/>
        </w:tabs>
        <w:rPr>
          <w:szCs w:val="22"/>
          <w:lang w:val="sr-Latn-ME"/>
        </w:rPr>
      </w:pPr>
    </w:p>
    <w:p w14:paraId="3C8D9AC8" w14:textId="077CE8DC" w:rsidR="00461641" w:rsidRPr="007F7C6E" w:rsidRDefault="00461641" w:rsidP="00220F9D">
      <w:pPr>
        <w:pStyle w:val="Header"/>
        <w:tabs>
          <w:tab w:val="left" w:pos="284"/>
        </w:tabs>
        <w:rPr>
          <w:szCs w:val="22"/>
          <w:lang w:val="sr-Latn-ME"/>
        </w:rPr>
      </w:pPr>
      <w:r w:rsidRPr="007F7C6E">
        <w:rPr>
          <w:szCs w:val="22"/>
          <w:lang w:val="sr-Latn-ME"/>
        </w:rPr>
        <w:t>Pomoćna supstanca sa potvrđenim dejstvom:</w:t>
      </w:r>
      <w:r w:rsidR="00A54717" w:rsidRPr="007F7C6E">
        <w:rPr>
          <w:szCs w:val="22"/>
          <w:lang w:val="sr-Latn-ME"/>
        </w:rPr>
        <w:t xml:space="preserve"> </w:t>
      </w:r>
      <w:r w:rsidR="008E021B" w:rsidRPr="007F7C6E">
        <w:rPr>
          <w:szCs w:val="22"/>
          <w:lang w:val="sr-Latn-ME"/>
        </w:rPr>
        <w:t>benzil</w:t>
      </w:r>
      <w:r w:rsidR="0059752A" w:rsidRPr="007F7C6E">
        <w:rPr>
          <w:szCs w:val="22"/>
          <w:lang w:val="sr-Latn-ME"/>
        </w:rPr>
        <w:t xml:space="preserve"> </w:t>
      </w:r>
      <w:r w:rsidR="008E021B" w:rsidRPr="007F7C6E">
        <w:rPr>
          <w:szCs w:val="22"/>
          <w:lang w:val="sr-Latn-ME"/>
        </w:rPr>
        <w:t>alkohol</w:t>
      </w:r>
      <w:r w:rsidR="00426E6C" w:rsidRPr="007F7C6E">
        <w:rPr>
          <w:szCs w:val="22"/>
          <w:lang w:val="sr-Latn-ME"/>
        </w:rPr>
        <w:t xml:space="preserve"> 9 mg/m</w:t>
      </w:r>
      <w:r w:rsidR="00E1338E" w:rsidRPr="007F7C6E">
        <w:rPr>
          <w:szCs w:val="22"/>
          <w:lang w:val="sr-Latn-ME"/>
        </w:rPr>
        <w:t>l</w:t>
      </w:r>
      <w:r w:rsidR="00A54717" w:rsidRPr="007F7C6E">
        <w:rPr>
          <w:szCs w:val="22"/>
          <w:lang w:val="sr-Latn-ME"/>
        </w:rPr>
        <w:t>.</w:t>
      </w:r>
    </w:p>
    <w:p w14:paraId="3C8D9AC9" w14:textId="77777777" w:rsidR="006B53A4" w:rsidRPr="007F7C6E" w:rsidRDefault="006B53A4" w:rsidP="002E3841">
      <w:pPr>
        <w:rPr>
          <w:szCs w:val="22"/>
          <w:lang w:val="sr-Latn-ME"/>
        </w:rPr>
      </w:pPr>
    </w:p>
    <w:p w14:paraId="3C8D9ACA" w14:textId="26F6634E" w:rsidR="00CE09F3" w:rsidRPr="007F7C6E" w:rsidRDefault="00E1338E" w:rsidP="002E3841">
      <w:pPr>
        <w:rPr>
          <w:szCs w:val="22"/>
          <w:lang w:val="sr-Latn-ME"/>
        </w:rPr>
      </w:pPr>
      <w:r w:rsidRPr="007F7C6E">
        <w:rPr>
          <w:szCs w:val="22"/>
          <w:lang w:val="sr-Latn-ME"/>
        </w:rPr>
        <w:t xml:space="preserve">Za spisak svih ekscipijenasa, </w:t>
      </w:r>
      <w:r w:rsidR="00FE6FDC" w:rsidRPr="007F7C6E">
        <w:rPr>
          <w:szCs w:val="22"/>
          <w:lang w:val="sr-Latn-ME"/>
        </w:rPr>
        <w:t xml:space="preserve">pogledati </w:t>
      </w:r>
      <w:r w:rsidRPr="007F7C6E">
        <w:rPr>
          <w:szCs w:val="22"/>
          <w:lang w:val="sr-Latn-ME"/>
        </w:rPr>
        <w:t>dio 6.1.</w:t>
      </w:r>
    </w:p>
    <w:p w14:paraId="3C8D9ACB" w14:textId="596E2592" w:rsidR="00CE09F3" w:rsidRPr="007F7C6E" w:rsidRDefault="00CE09F3">
      <w:pPr>
        <w:rPr>
          <w:szCs w:val="22"/>
          <w:lang w:val="sr-Latn-ME"/>
        </w:rPr>
      </w:pPr>
    </w:p>
    <w:p w14:paraId="71A44713" w14:textId="77777777" w:rsidR="0059752A" w:rsidRPr="007F7C6E" w:rsidRDefault="0059752A">
      <w:pPr>
        <w:rPr>
          <w:szCs w:val="22"/>
          <w:lang w:val="sr-Latn-ME"/>
        </w:rPr>
      </w:pPr>
    </w:p>
    <w:p w14:paraId="3C8D9ACC" w14:textId="4B618256" w:rsidR="00CE09F3" w:rsidRPr="007F7C6E" w:rsidRDefault="00CE09F3" w:rsidP="0001076C">
      <w:pPr>
        <w:pStyle w:val="NASLOV123"/>
        <w:spacing w:before="0" w:after="0"/>
        <w:jc w:val="both"/>
        <w:rPr>
          <w:lang w:val="sr-Latn-ME"/>
        </w:rPr>
      </w:pPr>
      <w:r w:rsidRPr="007F7C6E">
        <w:rPr>
          <w:lang w:val="sr-Latn-ME"/>
        </w:rPr>
        <w:t xml:space="preserve">3. </w:t>
      </w:r>
      <w:r w:rsidR="00FE6FDC" w:rsidRPr="007F7C6E">
        <w:rPr>
          <w:lang w:val="sr-Latn-ME"/>
        </w:rPr>
        <w:tab/>
      </w:r>
      <w:r w:rsidRPr="007F7C6E">
        <w:rPr>
          <w:lang w:val="sr-Latn-ME"/>
        </w:rPr>
        <w:t>FARMACEUTSKI OBLIK</w:t>
      </w:r>
    </w:p>
    <w:p w14:paraId="4FA2B28E" w14:textId="77777777" w:rsidR="00D010CE" w:rsidRPr="007F7C6E" w:rsidRDefault="00D010CE" w:rsidP="005E1030">
      <w:pPr>
        <w:rPr>
          <w:szCs w:val="22"/>
          <w:lang w:val="sr-Latn-ME"/>
        </w:rPr>
      </w:pPr>
    </w:p>
    <w:p w14:paraId="3C8D9ACD" w14:textId="0B6F8089" w:rsidR="00A54717" w:rsidRPr="007F7C6E" w:rsidRDefault="00A54717" w:rsidP="00220F9D">
      <w:pPr>
        <w:rPr>
          <w:szCs w:val="22"/>
          <w:lang w:val="sr-Latn-ME"/>
        </w:rPr>
      </w:pPr>
      <w:r w:rsidRPr="007F7C6E">
        <w:rPr>
          <w:szCs w:val="22"/>
          <w:lang w:val="sr-Latn-ME"/>
        </w:rPr>
        <w:t>Rastvor za injekciju</w:t>
      </w:r>
      <w:r w:rsidR="004857BB" w:rsidRPr="007F7C6E">
        <w:rPr>
          <w:szCs w:val="22"/>
          <w:lang w:val="sr-Latn-ME"/>
        </w:rPr>
        <w:t>/infuziju</w:t>
      </w:r>
      <w:r w:rsidRPr="007F7C6E">
        <w:rPr>
          <w:szCs w:val="22"/>
          <w:lang w:val="sr-Latn-ME"/>
        </w:rPr>
        <w:t>.</w:t>
      </w:r>
    </w:p>
    <w:p w14:paraId="3C8D9ACE" w14:textId="12317E71" w:rsidR="00A54717" w:rsidRPr="007F7C6E" w:rsidRDefault="00A54717" w:rsidP="002E3841">
      <w:pPr>
        <w:rPr>
          <w:szCs w:val="22"/>
          <w:lang w:val="sr-Latn-ME"/>
        </w:rPr>
      </w:pPr>
      <w:r w:rsidRPr="007F7C6E">
        <w:rPr>
          <w:szCs w:val="22"/>
          <w:lang w:val="sr-Latn-ME"/>
        </w:rPr>
        <w:t>Bistar rastvor, bezbojne do bl</w:t>
      </w:r>
      <w:r w:rsidR="008A4F4B" w:rsidRPr="007F7C6E">
        <w:rPr>
          <w:szCs w:val="22"/>
          <w:lang w:val="sr-Latn-ME"/>
        </w:rPr>
        <w:t>ij</w:t>
      </w:r>
      <w:r w:rsidRPr="007F7C6E">
        <w:rPr>
          <w:szCs w:val="22"/>
          <w:lang w:val="sr-Latn-ME"/>
        </w:rPr>
        <w:t>edožute boje.</w:t>
      </w:r>
    </w:p>
    <w:p w14:paraId="14AE970E" w14:textId="77777777" w:rsidR="00D010CE" w:rsidRPr="007F7C6E" w:rsidRDefault="00D010CE" w:rsidP="0001076C">
      <w:pPr>
        <w:pStyle w:val="NASLOV123"/>
        <w:spacing w:before="0" w:after="0"/>
        <w:jc w:val="both"/>
        <w:rPr>
          <w:lang w:val="sr-Latn-ME"/>
        </w:rPr>
      </w:pPr>
    </w:p>
    <w:p w14:paraId="518FCB4C" w14:textId="77777777" w:rsidR="00D010CE" w:rsidRPr="007F7C6E" w:rsidRDefault="00D010CE" w:rsidP="0001076C">
      <w:pPr>
        <w:pStyle w:val="NASLOV123"/>
        <w:spacing w:before="0" w:after="0"/>
        <w:jc w:val="both"/>
        <w:rPr>
          <w:lang w:val="sr-Latn-ME"/>
        </w:rPr>
      </w:pPr>
    </w:p>
    <w:p w14:paraId="3C8D9ACF" w14:textId="11F1A54A" w:rsidR="00C66895" w:rsidRPr="007F7C6E" w:rsidRDefault="00CE09F3" w:rsidP="0001076C">
      <w:pPr>
        <w:pStyle w:val="NASLOV123"/>
        <w:spacing w:before="0" w:after="0"/>
        <w:jc w:val="both"/>
        <w:rPr>
          <w:lang w:val="sr-Latn-ME"/>
        </w:rPr>
      </w:pPr>
      <w:r w:rsidRPr="007F7C6E">
        <w:rPr>
          <w:lang w:val="sr-Latn-ME"/>
        </w:rPr>
        <w:t xml:space="preserve">4. </w:t>
      </w:r>
      <w:r w:rsidR="00FE6FDC" w:rsidRPr="007F7C6E">
        <w:rPr>
          <w:lang w:val="sr-Latn-ME"/>
        </w:rPr>
        <w:tab/>
      </w:r>
      <w:r w:rsidRPr="007F7C6E">
        <w:rPr>
          <w:lang w:val="sr-Latn-ME"/>
        </w:rPr>
        <w:t>KLINIČKI PODACI</w:t>
      </w:r>
    </w:p>
    <w:p w14:paraId="64110005" w14:textId="77777777" w:rsidR="0059752A" w:rsidRPr="007F7C6E" w:rsidRDefault="0059752A" w:rsidP="005E1030">
      <w:pPr>
        <w:tabs>
          <w:tab w:val="left" w:pos="1080"/>
        </w:tabs>
        <w:rPr>
          <w:b/>
          <w:szCs w:val="22"/>
          <w:lang w:val="sr-Latn-ME"/>
        </w:rPr>
      </w:pPr>
    </w:p>
    <w:p w14:paraId="3C8D9AD0" w14:textId="56505D1D" w:rsidR="006274CF" w:rsidRPr="007F7C6E" w:rsidRDefault="006274CF" w:rsidP="00220F9D">
      <w:pPr>
        <w:tabs>
          <w:tab w:val="left" w:pos="1080"/>
        </w:tabs>
        <w:rPr>
          <w:b/>
          <w:szCs w:val="22"/>
          <w:lang w:val="sr-Latn-ME"/>
        </w:rPr>
      </w:pPr>
      <w:r w:rsidRPr="007F7C6E">
        <w:rPr>
          <w:b/>
          <w:szCs w:val="22"/>
          <w:lang w:val="sr-Latn-ME"/>
        </w:rPr>
        <w:t>4.1. Terapijske indikacije</w:t>
      </w:r>
    </w:p>
    <w:p w14:paraId="3C8D9AD1" w14:textId="77777777" w:rsidR="006274CF" w:rsidRPr="007F7C6E" w:rsidRDefault="006274CF" w:rsidP="002E3841">
      <w:pPr>
        <w:rPr>
          <w:szCs w:val="22"/>
          <w:lang w:val="sr-Latn-ME"/>
        </w:rPr>
      </w:pPr>
    </w:p>
    <w:p w14:paraId="5D76482B" w14:textId="7A4C2542" w:rsidR="000C505D" w:rsidRPr="007F7C6E" w:rsidRDefault="00365AFC">
      <w:pPr>
        <w:tabs>
          <w:tab w:val="clear" w:pos="284"/>
        </w:tabs>
        <w:autoSpaceDE w:val="0"/>
        <w:autoSpaceDN w:val="0"/>
        <w:adjustRightInd w:val="0"/>
        <w:rPr>
          <w:szCs w:val="22"/>
          <w:lang w:val="sr-Latn-ME"/>
        </w:rPr>
      </w:pPr>
      <w:r w:rsidRPr="007F7C6E">
        <w:rPr>
          <w:szCs w:val="22"/>
          <w:lang w:val="sr-Latn-ME"/>
        </w:rPr>
        <w:t xml:space="preserve">Lijek </w:t>
      </w:r>
      <w:r w:rsidR="000C505D" w:rsidRPr="007F7C6E">
        <w:rPr>
          <w:szCs w:val="22"/>
          <w:lang w:val="sr-Latn-ME"/>
        </w:rPr>
        <w:t xml:space="preserve">Klindamicin HF, rastvor za injekcije indikovan je za </w:t>
      </w:r>
      <w:r w:rsidR="00FB730F" w:rsidRPr="007F7C6E">
        <w:rPr>
          <w:szCs w:val="22"/>
          <w:lang w:val="sr-Latn-ME"/>
        </w:rPr>
        <w:t>liječenje</w:t>
      </w:r>
      <w:r w:rsidR="000C505D" w:rsidRPr="007F7C6E">
        <w:rPr>
          <w:szCs w:val="22"/>
          <w:lang w:val="sr-Latn-ME"/>
        </w:rPr>
        <w:t xml:space="preserve"> ozbiljnih infekcija uzrokovanih organizmima os</w:t>
      </w:r>
      <w:r w:rsidR="008A4F4B" w:rsidRPr="007F7C6E">
        <w:rPr>
          <w:szCs w:val="22"/>
          <w:lang w:val="sr-Latn-ME"/>
        </w:rPr>
        <w:t>j</w:t>
      </w:r>
      <w:r w:rsidR="000C505D" w:rsidRPr="007F7C6E">
        <w:rPr>
          <w:szCs w:val="22"/>
          <w:lang w:val="sr-Latn-ME"/>
        </w:rPr>
        <w:t xml:space="preserve">etljivim na ovaj </w:t>
      </w:r>
      <w:r w:rsidR="0064264A" w:rsidRPr="007F7C6E">
        <w:rPr>
          <w:szCs w:val="22"/>
          <w:lang w:val="sr-Latn-ME"/>
        </w:rPr>
        <w:t>lijek</w:t>
      </w:r>
      <w:r w:rsidR="000C505D" w:rsidRPr="007F7C6E">
        <w:rPr>
          <w:szCs w:val="22"/>
          <w:lang w:val="sr-Latn-ME"/>
        </w:rPr>
        <w:t>.</w:t>
      </w:r>
    </w:p>
    <w:p w14:paraId="3C8D9AD3" w14:textId="01BA26FC" w:rsidR="00A54717" w:rsidRPr="007F7C6E" w:rsidRDefault="00A54717" w:rsidP="0001076C">
      <w:pPr>
        <w:tabs>
          <w:tab w:val="clear" w:pos="284"/>
        </w:tabs>
        <w:autoSpaceDE w:val="0"/>
        <w:autoSpaceDN w:val="0"/>
        <w:adjustRightInd w:val="0"/>
        <w:rPr>
          <w:szCs w:val="22"/>
          <w:lang w:val="sr-Latn-ME"/>
        </w:rPr>
      </w:pPr>
      <w:r w:rsidRPr="007F7C6E">
        <w:rPr>
          <w:szCs w:val="22"/>
          <w:lang w:val="sr-Latn-ME"/>
        </w:rPr>
        <w:t>Klindamicin ne prolazi hematoencefalnu barijeru u dovoljnoj količini da bi postigao terapijske koncentracije u cerebrospinalnoj tečnosti.</w:t>
      </w:r>
    </w:p>
    <w:p w14:paraId="3C8D9AD4" w14:textId="77777777" w:rsidR="006274CF" w:rsidRPr="007F7C6E" w:rsidRDefault="006274CF" w:rsidP="005E1030">
      <w:pPr>
        <w:rPr>
          <w:szCs w:val="22"/>
          <w:lang w:val="sr-Latn-ME"/>
        </w:rPr>
      </w:pPr>
    </w:p>
    <w:p w14:paraId="56ABC3D5" w14:textId="549012A7" w:rsidR="00365AFC" w:rsidRPr="007F7C6E" w:rsidRDefault="006274CF" w:rsidP="00365AFC">
      <w:pPr>
        <w:tabs>
          <w:tab w:val="left" w:pos="1080"/>
        </w:tabs>
        <w:rPr>
          <w:b/>
          <w:szCs w:val="22"/>
          <w:lang w:val="sr-Latn-ME"/>
        </w:rPr>
      </w:pPr>
      <w:r w:rsidRPr="007F7C6E">
        <w:rPr>
          <w:b/>
          <w:szCs w:val="22"/>
          <w:lang w:val="sr-Latn-ME"/>
        </w:rPr>
        <w:t>4.2. Doziranje i način prim</w:t>
      </w:r>
      <w:r w:rsidR="009C5229" w:rsidRPr="007F7C6E">
        <w:rPr>
          <w:b/>
          <w:szCs w:val="22"/>
          <w:lang w:val="sr-Latn-ME"/>
        </w:rPr>
        <w:t>j</w:t>
      </w:r>
      <w:r w:rsidRPr="007F7C6E">
        <w:rPr>
          <w:b/>
          <w:szCs w:val="22"/>
          <w:lang w:val="sr-Latn-ME"/>
        </w:rPr>
        <w:t>ene</w:t>
      </w:r>
    </w:p>
    <w:p w14:paraId="3C8D9AD6" w14:textId="77777777" w:rsidR="00A54717" w:rsidRPr="007F7C6E" w:rsidRDefault="00A54717" w:rsidP="00365AFC">
      <w:pPr>
        <w:tabs>
          <w:tab w:val="left" w:pos="1080"/>
        </w:tabs>
        <w:rPr>
          <w:b/>
          <w:szCs w:val="22"/>
          <w:lang w:val="sr-Latn-ME"/>
        </w:rPr>
      </w:pPr>
    </w:p>
    <w:p w14:paraId="02252CB1" w14:textId="77777777" w:rsidR="00365AFC" w:rsidRPr="007F7C6E" w:rsidRDefault="00365AFC" w:rsidP="00365AFC">
      <w:pPr>
        <w:rPr>
          <w:szCs w:val="22"/>
          <w:lang w:val="sr-Latn-ME"/>
        </w:rPr>
      </w:pPr>
      <w:r w:rsidRPr="007F7C6E">
        <w:rPr>
          <w:szCs w:val="22"/>
          <w:lang w:val="sr-Latn-ME"/>
        </w:rPr>
        <w:t>Patenteralna (IM ili IV primjena)</w:t>
      </w:r>
    </w:p>
    <w:p w14:paraId="3C8D9ADC" w14:textId="77777777" w:rsidR="00A54717" w:rsidRPr="007F7C6E" w:rsidRDefault="00A54717" w:rsidP="00365AFC">
      <w:pPr>
        <w:rPr>
          <w:b/>
          <w:szCs w:val="22"/>
          <w:lang w:val="sr-Latn-ME"/>
        </w:rPr>
      </w:pPr>
    </w:p>
    <w:p w14:paraId="3C8D9ADD" w14:textId="77777777" w:rsidR="00A54717" w:rsidRPr="007F7C6E" w:rsidRDefault="00A54717" w:rsidP="00220F9D">
      <w:pPr>
        <w:ind w:left="567" w:hanging="567"/>
        <w:rPr>
          <w:b/>
          <w:i/>
          <w:szCs w:val="22"/>
          <w:lang w:val="sr-Latn-ME"/>
        </w:rPr>
      </w:pPr>
      <w:r w:rsidRPr="007F7C6E">
        <w:rPr>
          <w:b/>
          <w:i/>
          <w:szCs w:val="22"/>
          <w:lang w:val="sr-Latn-ME"/>
        </w:rPr>
        <w:t>Doziranje kod odraslih</w:t>
      </w:r>
    </w:p>
    <w:p w14:paraId="3C8D9ADE" w14:textId="6D5C8387" w:rsidR="00A54717" w:rsidRPr="007F7C6E" w:rsidRDefault="00A54717" w:rsidP="002E3841">
      <w:pPr>
        <w:rPr>
          <w:szCs w:val="22"/>
          <w:lang w:val="sr-Latn-ME"/>
        </w:rPr>
      </w:pPr>
      <w:r w:rsidRPr="007F7C6E">
        <w:rPr>
          <w:szCs w:val="22"/>
          <w:lang w:val="sr-Latn-ME"/>
        </w:rPr>
        <w:t xml:space="preserve">Uobičajena dnevna doza za </w:t>
      </w:r>
      <w:r w:rsidR="00FB730F" w:rsidRPr="007F7C6E">
        <w:rPr>
          <w:szCs w:val="22"/>
          <w:lang w:val="sr-Latn-ME"/>
        </w:rPr>
        <w:t>liječenje</w:t>
      </w:r>
      <w:r w:rsidRPr="007F7C6E">
        <w:rPr>
          <w:szCs w:val="22"/>
          <w:lang w:val="sr-Latn-ME"/>
        </w:rPr>
        <w:t xml:space="preserve"> intraabdominalnih infekcija, pelvičnih infekcija kod žena i drugih komplikovanih ili</w:t>
      </w:r>
      <w:r w:rsidR="00E11489" w:rsidRPr="007F7C6E">
        <w:rPr>
          <w:szCs w:val="22"/>
          <w:lang w:val="sr-Latn-ME"/>
        </w:rPr>
        <w:t xml:space="preserve"> </w:t>
      </w:r>
      <w:r w:rsidR="005B1A21" w:rsidRPr="007F7C6E">
        <w:rPr>
          <w:szCs w:val="22"/>
          <w:lang w:val="sr-Latn-ME"/>
        </w:rPr>
        <w:t xml:space="preserve"> teških</w:t>
      </w:r>
      <w:r w:rsidRPr="007F7C6E">
        <w:rPr>
          <w:szCs w:val="22"/>
          <w:lang w:val="sr-Latn-ME"/>
        </w:rPr>
        <w:t xml:space="preserve"> infekcija iznosi 1800 - 2700 mg, pod</w:t>
      </w:r>
      <w:r w:rsidR="008A4F4B" w:rsidRPr="007F7C6E">
        <w:rPr>
          <w:szCs w:val="22"/>
          <w:lang w:val="sr-Latn-ME"/>
        </w:rPr>
        <w:t>ij</w:t>
      </w:r>
      <w:r w:rsidRPr="007F7C6E">
        <w:rPr>
          <w:szCs w:val="22"/>
          <w:lang w:val="sr-Latn-ME"/>
        </w:rPr>
        <w:t>eljeno u dv</w:t>
      </w:r>
      <w:r w:rsidR="008A4F4B" w:rsidRPr="007F7C6E">
        <w:rPr>
          <w:szCs w:val="22"/>
          <w:lang w:val="sr-Latn-ME"/>
        </w:rPr>
        <w:t>ij</w:t>
      </w:r>
      <w:r w:rsidRPr="007F7C6E">
        <w:rPr>
          <w:szCs w:val="22"/>
          <w:lang w:val="sr-Latn-ME"/>
        </w:rPr>
        <w:t xml:space="preserve">e, tri ili četiri jednake doze. </w:t>
      </w:r>
    </w:p>
    <w:p w14:paraId="3C8D9ADF" w14:textId="03ED8CD4" w:rsidR="00A54717" w:rsidRPr="007F7C6E" w:rsidRDefault="00A54717">
      <w:pPr>
        <w:rPr>
          <w:szCs w:val="22"/>
          <w:lang w:val="sr-Latn-ME"/>
        </w:rPr>
      </w:pPr>
      <w:r w:rsidRPr="007F7C6E">
        <w:rPr>
          <w:szCs w:val="22"/>
          <w:lang w:val="sr-Latn-ME"/>
        </w:rPr>
        <w:t>U l</w:t>
      </w:r>
      <w:r w:rsidR="008A4F4B" w:rsidRPr="007F7C6E">
        <w:rPr>
          <w:szCs w:val="22"/>
          <w:lang w:val="sr-Latn-ME"/>
        </w:rPr>
        <w:t>ij</w:t>
      </w:r>
      <w:r w:rsidRPr="007F7C6E">
        <w:rPr>
          <w:szCs w:val="22"/>
          <w:lang w:val="sr-Latn-ME"/>
        </w:rPr>
        <w:t>ečenju manje komplikovanih infekcija izazvanih os</w:t>
      </w:r>
      <w:r w:rsidR="008A4F4B" w:rsidRPr="007F7C6E">
        <w:rPr>
          <w:szCs w:val="22"/>
          <w:lang w:val="sr-Latn-ME"/>
        </w:rPr>
        <w:t>j</w:t>
      </w:r>
      <w:r w:rsidRPr="007F7C6E">
        <w:rPr>
          <w:szCs w:val="22"/>
          <w:lang w:val="sr-Latn-ME"/>
        </w:rPr>
        <w:t>etljivijim uzročnicima preporučena dnevna doza iznosi l200 - 1800 mg, pod</w:t>
      </w:r>
      <w:r w:rsidR="008A4F4B" w:rsidRPr="007F7C6E">
        <w:rPr>
          <w:szCs w:val="22"/>
          <w:lang w:val="sr-Latn-ME"/>
        </w:rPr>
        <w:t>ij</w:t>
      </w:r>
      <w:r w:rsidRPr="007F7C6E">
        <w:rPr>
          <w:szCs w:val="22"/>
          <w:lang w:val="sr-Latn-ME"/>
        </w:rPr>
        <w:t>eljeno u 3 - 4 jednake doze. U infekcijama koje ugrožavaju život pacijenta uspešno se prim</w:t>
      </w:r>
      <w:r w:rsidR="008A4F4B" w:rsidRPr="007F7C6E">
        <w:rPr>
          <w:szCs w:val="22"/>
          <w:lang w:val="sr-Latn-ME"/>
        </w:rPr>
        <w:t>j</w:t>
      </w:r>
      <w:r w:rsidRPr="007F7C6E">
        <w:rPr>
          <w:szCs w:val="22"/>
          <w:lang w:val="sr-Latn-ME"/>
        </w:rPr>
        <w:t xml:space="preserve">enjuju doze do 4800 mg na dan. </w:t>
      </w:r>
    </w:p>
    <w:p w14:paraId="3C8D9AE0" w14:textId="77777777" w:rsidR="00A54717" w:rsidRPr="007F7C6E" w:rsidRDefault="00A54717">
      <w:pPr>
        <w:ind w:left="567" w:hanging="567"/>
        <w:rPr>
          <w:b/>
          <w:szCs w:val="22"/>
          <w:lang w:val="sr-Latn-ME"/>
        </w:rPr>
      </w:pPr>
    </w:p>
    <w:p w14:paraId="3C8D9AE1" w14:textId="77777777" w:rsidR="00A54717" w:rsidRPr="007F7C6E" w:rsidRDefault="00A54717">
      <w:pPr>
        <w:rPr>
          <w:szCs w:val="22"/>
          <w:lang w:val="sr-Latn-ME"/>
        </w:rPr>
      </w:pPr>
      <w:r w:rsidRPr="007F7C6E">
        <w:rPr>
          <w:szCs w:val="22"/>
          <w:lang w:val="sr-Latn-ME"/>
        </w:rPr>
        <w:t xml:space="preserve">Nije preporučeno u pojedinačnoj dozi intramuskularno dati više od 600 mg, kao ni više od 1200 mg u pojedinačnoj dozi u jednočasovnoj infuziji. </w:t>
      </w:r>
    </w:p>
    <w:p w14:paraId="3C8D9AE2" w14:textId="77777777" w:rsidR="00A54717" w:rsidRPr="007F7C6E" w:rsidRDefault="00A54717">
      <w:pPr>
        <w:rPr>
          <w:szCs w:val="22"/>
          <w:lang w:val="sr-Latn-ME"/>
        </w:rPr>
      </w:pPr>
    </w:p>
    <w:p w14:paraId="3C8D9AE3" w14:textId="77777777" w:rsidR="00A54717" w:rsidRPr="007F7C6E" w:rsidRDefault="00A54717">
      <w:pPr>
        <w:rPr>
          <w:szCs w:val="22"/>
          <w:lang w:val="sr-Latn-ME"/>
        </w:rPr>
      </w:pPr>
      <w:r w:rsidRPr="007F7C6E">
        <w:rPr>
          <w:szCs w:val="22"/>
          <w:lang w:val="sr-Latn-ME"/>
        </w:rPr>
        <w:t>Alternativno, prva doza klindamicina se može dati kao brza infuzija, a nakon toga kao kontinuirana intravenska infuzija.</w:t>
      </w:r>
    </w:p>
    <w:p w14:paraId="3C8D9AE4" w14:textId="77777777" w:rsidR="00A54717" w:rsidRPr="007F7C6E" w:rsidRDefault="00A54717" w:rsidP="001F4D26">
      <w:pPr>
        <w:rPr>
          <w:b/>
          <w:szCs w:val="22"/>
          <w:lang w:val="sr-Latn-ME"/>
        </w:rPr>
      </w:pPr>
    </w:p>
    <w:p w14:paraId="13A050FA" w14:textId="77777777" w:rsidR="00780E3F" w:rsidRPr="007F7C6E" w:rsidRDefault="00780E3F" w:rsidP="0001076C">
      <w:pPr>
        <w:tabs>
          <w:tab w:val="clear" w:pos="284"/>
        </w:tabs>
        <w:autoSpaceDE w:val="0"/>
        <w:autoSpaceDN w:val="0"/>
        <w:adjustRightInd w:val="0"/>
        <w:rPr>
          <w:b/>
          <w:bCs/>
          <w:i/>
          <w:szCs w:val="22"/>
          <w:lang w:val="sr-Latn-ME"/>
        </w:rPr>
      </w:pPr>
      <w:r w:rsidRPr="007F7C6E">
        <w:rPr>
          <w:b/>
          <w:bCs/>
          <w:i/>
          <w:szCs w:val="22"/>
          <w:lang w:val="sr-Latn-ME"/>
        </w:rPr>
        <w:t>Pedijatrijska populacija</w:t>
      </w:r>
    </w:p>
    <w:p w14:paraId="1E98335A" w14:textId="4B4051A5" w:rsidR="00780E3F" w:rsidRPr="007F7C6E" w:rsidRDefault="00780E3F" w:rsidP="005E1030">
      <w:pPr>
        <w:tabs>
          <w:tab w:val="clear" w:pos="284"/>
        </w:tabs>
        <w:autoSpaceDE w:val="0"/>
        <w:autoSpaceDN w:val="0"/>
        <w:adjustRightInd w:val="0"/>
        <w:rPr>
          <w:szCs w:val="22"/>
          <w:lang w:val="sr-Latn-ME"/>
        </w:rPr>
      </w:pPr>
      <w:r w:rsidRPr="007F7C6E">
        <w:rPr>
          <w:szCs w:val="22"/>
          <w:lang w:val="sr-Latn-ME"/>
        </w:rPr>
        <w:t>Klindamicin treba dozirati na osnovu ukupne t</w:t>
      </w:r>
      <w:r w:rsidR="008A4F4B" w:rsidRPr="007F7C6E">
        <w:rPr>
          <w:szCs w:val="22"/>
          <w:lang w:val="sr-Latn-ME"/>
        </w:rPr>
        <w:t>j</w:t>
      </w:r>
      <w:r w:rsidRPr="007F7C6E">
        <w:rPr>
          <w:szCs w:val="22"/>
          <w:lang w:val="sr-Latn-ME"/>
        </w:rPr>
        <w:t>elesne mase bez obzira na gojaznost. Ukupna dnevna doza ne treba da prelazi maksimalnu preporučenu dnevnu dozu za odrasle.</w:t>
      </w:r>
    </w:p>
    <w:p w14:paraId="3C8D9AE5" w14:textId="686837B4" w:rsidR="00A54717" w:rsidRPr="007F7C6E" w:rsidRDefault="00A54717" w:rsidP="00220F9D">
      <w:pPr>
        <w:ind w:left="567" w:hanging="567"/>
        <w:rPr>
          <w:b/>
          <w:i/>
          <w:szCs w:val="22"/>
          <w:lang w:val="sr-Latn-ME"/>
        </w:rPr>
      </w:pPr>
      <w:r w:rsidRPr="007F7C6E">
        <w:rPr>
          <w:b/>
          <w:i/>
          <w:szCs w:val="22"/>
          <w:lang w:val="sr-Latn-ME"/>
        </w:rPr>
        <w:lastRenderedPageBreak/>
        <w:t>Doziranje kod d</w:t>
      </w:r>
      <w:r w:rsidR="009C5229" w:rsidRPr="007F7C6E">
        <w:rPr>
          <w:b/>
          <w:i/>
          <w:szCs w:val="22"/>
          <w:lang w:val="sr-Latn-ME"/>
        </w:rPr>
        <w:t>j</w:t>
      </w:r>
      <w:r w:rsidRPr="007F7C6E">
        <w:rPr>
          <w:b/>
          <w:i/>
          <w:szCs w:val="22"/>
          <w:lang w:val="sr-Latn-ME"/>
        </w:rPr>
        <w:t>ece (starijih od 1 m</w:t>
      </w:r>
      <w:r w:rsidR="00220F9D" w:rsidRPr="007F7C6E">
        <w:rPr>
          <w:b/>
          <w:i/>
          <w:szCs w:val="22"/>
          <w:lang w:val="sr-Latn-ME"/>
        </w:rPr>
        <w:t>j</w:t>
      </w:r>
      <w:r w:rsidRPr="007F7C6E">
        <w:rPr>
          <w:b/>
          <w:i/>
          <w:szCs w:val="22"/>
          <w:lang w:val="sr-Latn-ME"/>
        </w:rPr>
        <w:t>eseca)</w:t>
      </w:r>
    </w:p>
    <w:p w14:paraId="3C8D9AE6" w14:textId="51EF955E" w:rsidR="00A54717" w:rsidRPr="007F7C6E" w:rsidRDefault="00E11489" w:rsidP="00220F9D">
      <w:pPr>
        <w:ind w:left="567" w:hanging="567"/>
        <w:rPr>
          <w:szCs w:val="22"/>
          <w:lang w:val="sr-Latn-ME"/>
        </w:rPr>
      </w:pPr>
      <w:r w:rsidRPr="007F7C6E">
        <w:rPr>
          <w:szCs w:val="22"/>
          <w:lang w:val="sr-Latn-ME"/>
        </w:rPr>
        <w:t>Ozbiljne</w:t>
      </w:r>
      <w:r w:rsidR="00A54717" w:rsidRPr="007F7C6E">
        <w:rPr>
          <w:szCs w:val="22"/>
          <w:lang w:val="sr-Latn-ME"/>
        </w:rPr>
        <w:t xml:space="preserve"> infekcije: 15</w:t>
      </w:r>
      <w:r w:rsidR="00220F9D" w:rsidRPr="007F7C6E">
        <w:rPr>
          <w:szCs w:val="22"/>
          <w:lang w:val="sr-Latn-ME"/>
        </w:rPr>
        <w:t xml:space="preserve"> </w:t>
      </w:r>
      <w:r w:rsidR="00A54717" w:rsidRPr="007F7C6E">
        <w:rPr>
          <w:szCs w:val="22"/>
          <w:lang w:val="sr-Latn-ME"/>
        </w:rPr>
        <w:t>-</w:t>
      </w:r>
      <w:r w:rsidR="00220F9D" w:rsidRPr="007F7C6E">
        <w:rPr>
          <w:szCs w:val="22"/>
          <w:lang w:val="sr-Latn-ME"/>
        </w:rPr>
        <w:t xml:space="preserve"> </w:t>
      </w:r>
      <w:r w:rsidR="00A54717" w:rsidRPr="007F7C6E">
        <w:rPr>
          <w:szCs w:val="22"/>
          <w:lang w:val="sr-Latn-ME"/>
        </w:rPr>
        <w:t xml:space="preserve">25 mg/kg/dan </w:t>
      </w:r>
      <w:r w:rsidR="008A4F4B" w:rsidRPr="007F7C6E">
        <w:rPr>
          <w:szCs w:val="22"/>
          <w:lang w:val="sr-Latn-ME"/>
        </w:rPr>
        <w:t>podijeljeno</w:t>
      </w:r>
      <w:r w:rsidR="00A54717" w:rsidRPr="007F7C6E">
        <w:rPr>
          <w:szCs w:val="22"/>
          <w:lang w:val="sr-Latn-ME"/>
        </w:rPr>
        <w:t xml:space="preserve"> u tri ili četiri jednake doze.</w:t>
      </w:r>
    </w:p>
    <w:p w14:paraId="6F421A93" w14:textId="77777777" w:rsidR="00220F9D" w:rsidRPr="007F7C6E" w:rsidRDefault="00220F9D" w:rsidP="00220F9D">
      <w:pPr>
        <w:ind w:left="567" w:hanging="567"/>
        <w:rPr>
          <w:szCs w:val="22"/>
          <w:lang w:val="sr-Latn-ME"/>
        </w:rPr>
      </w:pPr>
    </w:p>
    <w:p w14:paraId="3C8D9AE7" w14:textId="7AF7D76F" w:rsidR="00A54717" w:rsidRPr="007F7C6E" w:rsidRDefault="00A54717" w:rsidP="00220F9D">
      <w:pPr>
        <w:rPr>
          <w:szCs w:val="22"/>
          <w:lang w:val="sr-Latn-ME"/>
        </w:rPr>
      </w:pPr>
      <w:r w:rsidRPr="007F7C6E">
        <w:rPr>
          <w:szCs w:val="22"/>
          <w:lang w:val="sr-Latn-ME"/>
        </w:rPr>
        <w:t>Vrlo teške infekcije: 25</w:t>
      </w:r>
      <w:r w:rsidR="00220F9D" w:rsidRPr="007F7C6E">
        <w:rPr>
          <w:szCs w:val="22"/>
          <w:lang w:val="sr-Latn-ME"/>
        </w:rPr>
        <w:t xml:space="preserve"> </w:t>
      </w:r>
      <w:r w:rsidRPr="007F7C6E">
        <w:rPr>
          <w:szCs w:val="22"/>
          <w:lang w:val="sr-Latn-ME"/>
        </w:rPr>
        <w:t>-</w:t>
      </w:r>
      <w:r w:rsidR="00220F9D" w:rsidRPr="007F7C6E">
        <w:rPr>
          <w:szCs w:val="22"/>
          <w:lang w:val="sr-Latn-ME"/>
        </w:rPr>
        <w:t xml:space="preserve"> </w:t>
      </w:r>
      <w:r w:rsidRPr="007F7C6E">
        <w:rPr>
          <w:szCs w:val="22"/>
          <w:lang w:val="sr-Latn-ME"/>
        </w:rPr>
        <w:t xml:space="preserve">40 mg/kg/dan </w:t>
      </w:r>
      <w:r w:rsidR="008A4F4B" w:rsidRPr="007F7C6E">
        <w:rPr>
          <w:szCs w:val="22"/>
          <w:lang w:val="sr-Latn-ME"/>
        </w:rPr>
        <w:t>podijeljeno</w:t>
      </w:r>
      <w:r w:rsidRPr="007F7C6E">
        <w:rPr>
          <w:szCs w:val="22"/>
          <w:lang w:val="sr-Latn-ME"/>
        </w:rPr>
        <w:t xml:space="preserve"> u tri ili četiri jednake doze. U teškim infekcijama preporuka je da se d</w:t>
      </w:r>
      <w:r w:rsidR="008A4F4B" w:rsidRPr="007F7C6E">
        <w:rPr>
          <w:szCs w:val="22"/>
          <w:lang w:val="sr-Latn-ME"/>
        </w:rPr>
        <w:t>j</w:t>
      </w:r>
      <w:r w:rsidRPr="007F7C6E">
        <w:rPr>
          <w:szCs w:val="22"/>
          <w:lang w:val="sr-Latn-ME"/>
        </w:rPr>
        <w:t xml:space="preserve">eci, bez obzira na </w:t>
      </w:r>
      <w:r w:rsidR="008A4F4B" w:rsidRPr="007F7C6E">
        <w:rPr>
          <w:szCs w:val="22"/>
          <w:lang w:val="sr-Latn-ME"/>
        </w:rPr>
        <w:t>tjelesnu</w:t>
      </w:r>
      <w:r w:rsidRPr="007F7C6E">
        <w:rPr>
          <w:szCs w:val="22"/>
          <w:lang w:val="sr-Latn-ME"/>
        </w:rPr>
        <w:t xml:space="preserve"> </w:t>
      </w:r>
      <w:r w:rsidR="00A114EC" w:rsidRPr="007F7C6E">
        <w:rPr>
          <w:szCs w:val="22"/>
          <w:lang w:val="sr-Latn-ME"/>
        </w:rPr>
        <w:t xml:space="preserve"> masu</w:t>
      </w:r>
      <w:r w:rsidRPr="007F7C6E">
        <w:rPr>
          <w:szCs w:val="22"/>
          <w:lang w:val="sr-Latn-ME"/>
        </w:rPr>
        <w:t>, ne daje manje od 300 mg/dan.</w:t>
      </w:r>
    </w:p>
    <w:p w14:paraId="3C8D9AE8" w14:textId="77777777" w:rsidR="00A54717" w:rsidRPr="007F7C6E" w:rsidRDefault="00A54717" w:rsidP="002E3841">
      <w:pPr>
        <w:rPr>
          <w:szCs w:val="22"/>
          <w:lang w:val="sr-Latn-ME"/>
        </w:rPr>
      </w:pPr>
    </w:p>
    <w:p w14:paraId="3C8D9AE9" w14:textId="37259704" w:rsidR="00A54717" w:rsidRPr="007F7C6E" w:rsidRDefault="00A54717">
      <w:pPr>
        <w:rPr>
          <w:b/>
          <w:i/>
          <w:szCs w:val="22"/>
          <w:lang w:val="sr-Latn-ME"/>
        </w:rPr>
      </w:pPr>
      <w:r w:rsidRPr="007F7C6E">
        <w:rPr>
          <w:b/>
          <w:i/>
          <w:szCs w:val="22"/>
          <w:lang w:val="sr-Latn-ME"/>
        </w:rPr>
        <w:t>Doziranje kod novorođenčadi (uzrasta do 1 m</w:t>
      </w:r>
      <w:r w:rsidR="008A4F4B" w:rsidRPr="007F7C6E">
        <w:rPr>
          <w:b/>
          <w:i/>
          <w:szCs w:val="22"/>
          <w:lang w:val="sr-Latn-ME"/>
        </w:rPr>
        <w:t>j</w:t>
      </w:r>
      <w:r w:rsidRPr="007F7C6E">
        <w:rPr>
          <w:b/>
          <w:i/>
          <w:szCs w:val="22"/>
          <w:lang w:val="sr-Latn-ME"/>
        </w:rPr>
        <w:t>eseca)</w:t>
      </w:r>
    </w:p>
    <w:p w14:paraId="3C8D9AEA" w14:textId="1B16FDCE" w:rsidR="00A54717" w:rsidRPr="007F7C6E" w:rsidRDefault="00A54717">
      <w:pPr>
        <w:rPr>
          <w:szCs w:val="22"/>
          <w:lang w:val="sr-Latn-ME"/>
        </w:rPr>
      </w:pPr>
      <w:r w:rsidRPr="007F7C6E">
        <w:rPr>
          <w:szCs w:val="22"/>
          <w:lang w:val="sr-Latn-ME"/>
        </w:rPr>
        <w:t xml:space="preserve">15-20 mg/kg/dan </w:t>
      </w:r>
      <w:r w:rsidR="008A4F4B" w:rsidRPr="007F7C6E">
        <w:rPr>
          <w:szCs w:val="22"/>
          <w:lang w:val="sr-Latn-ME"/>
        </w:rPr>
        <w:t>podijeljeno</w:t>
      </w:r>
      <w:r w:rsidRPr="007F7C6E">
        <w:rPr>
          <w:szCs w:val="22"/>
          <w:lang w:val="sr-Latn-ME"/>
        </w:rPr>
        <w:t xml:space="preserve"> u 3 do 4 jednake doze, datih intramuskularno ili intravenski. Kod pr</w:t>
      </w:r>
      <w:r w:rsidR="00220F9D" w:rsidRPr="007F7C6E">
        <w:rPr>
          <w:szCs w:val="22"/>
          <w:lang w:val="sr-Latn-ME"/>
        </w:rPr>
        <w:t>ij</w:t>
      </w:r>
      <w:r w:rsidRPr="007F7C6E">
        <w:rPr>
          <w:szCs w:val="22"/>
          <w:lang w:val="sr-Latn-ME"/>
        </w:rPr>
        <w:t>evremeno rođenih beba je potrebno smanjiti dozu.</w:t>
      </w:r>
    </w:p>
    <w:p w14:paraId="5C1394B6" w14:textId="77777777" w:rsidR="00220F9D" w:rsidRPr="007F7C6E" w:rsidRDefault="00220F9D">
      <w:pPr>
        <w:rPr>
          <w:szCs w:val="22"/>
          <w:lang w:val="sr-Latn-ME"/>
        </w:rPr>
      </w:pPr>
    </w:p>
    <w:p w14:paraId="3C8D9AEB" w14:textId="3FCED86D" w:rsidR="0093274E" w:rsidRPr="007F7C6E" w:rsidRDefault="0093274E">
      <w:pPr>
        <w:rPr>
          <w:szCs w:val="22"/>
          <w:lang w:val="sr-Latn-ME"/>
        </w:rPr>
      </w:pPr>
      <w:r w:rsidRPr="007F7C6E">
        <w:rPr>
          <w:szCs w:val="22"/>
          <w:lang w:val="sr-Latn-ME"/>
        </w:rPr>
        <w:t>* Bezb</w:t>
      </w:r>
      <w:r w:rsidR="008A4F4B" w:rsidRPr="007F7C6E">
        <w:rPr>
          <w:szCs w:val="22"/>
          <w:lang w:val="sr-Latn-ME"/>
        </w:rPr>
        <w:t>j</w:t>
      </w:r>
      <w:r w:rsidRPr="007F7C6E">
        <w:rPr>
          <w:szCs w:val="22"/>
          <w:lang w:val="sr-Latn-ME"/>
        </w:rPr>
        <w:t>ednost i odgovarajuće doziranje kod odojčadi starosti manje od m</w:t>
      </w:r>
      <w:r w:rsidR="008A4F4B" w:rsidRPr="007F7C6E">
        <w:rPr>
          <w:szCs w:val="22"/>
          <w:lang w:val="sr-Latn-ME"/>
        </w:rPr>
        <w:t>j</w:t>
      </w:r>
      <w:r w:rsidRPr="007F7C6E">
        <w:rPr>
          <w:szCs w:val="22"/>
          <w:lang w:val="sr-Latn-ME"/>
        </w:rPr>
        <w:t>esec dana ni</w:t>
      </w:r>
      <w:r w:rsidR="00220F9D" w:rsidRPr="007F7C6E">
        <w:rPr>
          <w:szCs w:val="22"/>
          <w:lang w:val="sr-Latn-ME"/>
        </w:rPr>
        <w:t>je</w:t>
      </w:r>
      <w:r w:rsidRPr="007F7C6E">
        <w:rPr>
          <w:szCs w:val="22"/>
          <w:lang w:val="sr-Latn-ME"/>
        </w:rPr>
        <w:t>su do kraja utvrđeni (</w:t>
      </w:r>
      <w:r w:rsidR="00220F9D" w:rsidRPr="007F7C6E">
        <w:rPr>
          <w:i/>
          <w:szCs w:val="22"/>
          <w:lang w:val="sr-Latn-ME"/>
        </w:rPr>
        <w:t xml:space="preserve">vidjeti </w:t>
      </w:r>
      <w:r w:rsidR="008A4F4B" w:rsidRPr="007F7C6E">
        <w:rPr>
          <w:i/>
          <w:szCs w:val="22"/>
          <w:lang w:val="sr-Latn-ME"/>
        </w:rPr>
        <w:t xml:space="preserve">dio </w:t>
      </w:r>
      <w:r w:rsidRPr="007F7C6E">
        <w:rPr>
          <w:i/>
          <w:szCs w:val="22"/>
          <w:lang w:val="sr-Latn-ME"/>
        </w:rPr>
        <w:t xml:space="preserve"> 4.4</w:t>
      </w:r>
      <w:r w:rsidRPr="007F7C6E">
        <w:rPr>
          <w:szCs w:val="22"/>
          <w:lang w:val="sr-Latn-ME"/>
        </w:rPr>
        <w:t>).</w:t>
      </w:r>
    </w:p>
    <w:p w14:paraId="3C8D9AEC" w14:textId="77777777" w:rsidR="00A54717" w:rsidRPr="007F7C6E" w:rsidRDefault="00A54717">
      <w:pPr>
        <w:rPr>
          <w:b/>
          <w:szCs w:val="22"/>
          <w:lang w:val="sr-Latn-ME"/>
        </w:rPr>
      </w:pPr>
    </w:p>
    <w:p w14:paraId="3C8D9AED" w14:textId="77777777" w:rsidR="00A54717" w:rsidRPr="007F7C6E" w:rsidRDefault="00A54717">
      <w:pPr>
        <w:ind w:left="567" w:hanging="567"/>
        <w:rPr>
          <w:b/>
          <w:i/>
          <w:szCs w:val="22"/>
          <w:lang w:val="sr-Latn-ME"/>
        </w:rPr>
      </w:pPr>
      <w:r w:rsidRPr="007F7C6E">
        <w:rPr>
          <w:b/>
          <w:i/>
          <w:szCs w:val="22"/>
          <w:lang w:val="sr-Latn-ME"/>
        </w:rPr>
        <w:t>Doziranje kod starijih</w:t>
      </w:r>
    </w:p>
    <w:p w14:paraId="3C8D9AEE" w14:textId="7D519587" w:rsidR="00A54717" w:rsidRPr="007F7C6E" w:rsidRDefault="00A54717">
      <w:pPr>
        <w:tabs>
          <w:tab w:val="left" w:pos="-720"/>
        </w:tabs>
        <w:suppressAutoHyphens/>
        <w:rPr>
          <w:szCs w:val="22"/>
          <w:lang w:val="sr-Latn-ME"/>
        </w:rPr>
      </w:pPr>
      <w:r w:rsidRPr="007F7C6E">
        <w:rPr>
          <w:szCs w:val="22"/>
          <w:lang w:val="sr-Latn-ME"/>
        </w:rPr>
        <w:t>Farmakokinetičke studije su pokazale da ne postoje klinički značajne razlike u kinetici klindamicina nakon peroralne i parenteralne prim</w:t>
      </w:r>
      <w:r w:rsidR="00220F9D" w:rsidRPr="007F7C6E">
        <w:rPr>
          <w:szCs w:val="22"/>
          <w:lang w:val="sr-Latn-ME"/>
        </w:rPr>
        <w:t>j</w:t>
      </w:r>
      <w:r w:rsidRPr="007F7C6E">
        <w:rPr>
          <w:szCs w:val="22"/>
          <w:lang w:val="sr-Latn-ME"/>
        </w:rPr>
        <w:t>ene kod starijih i mlađih osoba sa normalnom funkcijom jetre i normalnom funkcijom bubrega (u skladu sa uzrastom). Zbog toga nije potrebno prilagođavati d</w:t>
      </w:r>
      <w:r w:rsidR="00DD6337" w:rsidRPr="007F7C6E">
        <w:rPr>
          <w:szCs w:val="22"/>
          <w:lang w:val="sr-Latn-ME"/>
        </w:rPr>
        <w:t xml:space="preserve">ozu klindamicina kod starijih </w:t>
      </w:r>
      <w:r w:rsidRPr="007F7C6E">
        <w:rPr>
          <w:szCs w:val="22"/>
          <w:lang w:val="sr-Latn-ME"/>
        </w:rPr>
        <w:t>osoba sa nor</w:t>
      </w:r>
      <w:r w:rsidR="00DD6337" w:rsidRPr="007F7C6E">
        <w:rPr>
          <w:szCs w:val="22"/>
          <w:lang w:val="sr-Latn-ME"/>
        </w:rPr>
        <w:t>malnom funkcijom jetre i bubrega</w:t>
      </w:r>
      <w:r w:rsidRPr="007F7C6E">
        <w:rPr>
          <w:szCs w:val="22"/>
          <w:lang w:val="sr-Latn-ME"/>
        </w:rPr>
        <w:t xml:space="preserve"> (u skladu sa uzrastom)</w:t>
      </w:r>
      <w:r w:rsidR="00DD6337" w:rsidRPr="007F7C6E">
        <w:rPr>
          <w:szCs w:val="22"/>
          <w:lang w:val="sr-Latn-ME"/>
        </w:rPr>
        <w:t xml:space="preserve"> (</w:t>
      </w:r>
      <w:r w:rsidR="00220F9D" w:rsidRPr="007F7C6E">
        <w:rPr>
          <w:i/>
          <w:szCs w:val="22"/>
          <w:lang w:val="sr-Latn-ME"/>
        </w:rPr>
        <w:t xml:space="preserve">vidjeti </w:t>
      </w:r>
      <w:r w:rsidR="008A4F4B" w:rsidRPr="007F7C6E">
        <w:rPr>
          <w:i/>
          <w:szCs w:val="22"/>
          <w:lang w:val="sr-Latn-ME"/>
        </w:rPr>
        <w:t xml:space="preserve">dio </w:t>
      </w:r>
      <w:r w:rsidR="00DD6337" w:rsidRPr="007F7C6E">
        <w:rPr>
          <w:i/>
          <w:szCs w:val="22"/>
          <w:lang w:val="sr-Latn-ME"/>
        </w:rPr>
        <w:t>5.2</w:t>
      </w:r>
      <w:r w:rsidR="00DD6337" w:rsidRPr="007F7C6E">
        <w:rPr>
          <w:szCs w:val="22"/>
          <w:lang w:val="sr-Latn-ME"/>
        </w:rPr>
        <w:t>).</w:t>
      </w:r>
    </w:p>
    <w:p w14:paraId="3C8D9AEF" w14:textId="77777777" w:rsidR="00A54717" w:rsidRPr="007F7C6E" w:rsidRDefault="00A54717">
      <w:pPr>
        <w:ind w:left="567" w:hanging="567"/>
        <w:rPr>
          <w:b/>
          <w:szCs w:val="22"/>
          <w:lang w:val="sr-Latn-ME"/>
        </w:rPr>
      </w:pPr>
    </w:p>
    <w:p w14:paraId="3C8D9AF0" w14:textId="0B8114F1" w:rsidR="00A54717" w:rsidRPr="007F7C6E" w:rsidRDefault="00A54717">
      <w:pPr>
        <w:tabs>
          <w:tab w:val="left" w:pos="-720"/>
        </w:tabs>
        <w:suppressAutoHyphens/>
        <w:rPr>
          <w:b/>
          <w:i/>
          <w:szCs w:val="22"/>
          <w:lang w:val="sr-Latn-ME"/>
        </w:rPr>
      </w:pPr>
      <w:r w:rsidRPr="007F7C6E">
        <w:rPr>
          <w:b/>
          <w:i/>
          <w:szCs w:val="22"/>
          <w:lang w:val="sr-Latn-ME"/>
        </w:rPr>
        <w:t>Doziranje kod pacijenata sa oštećenom funkcijom</w:t>
      </w:r>
      <w:r w:rsidR="00A114EC" w:rsidRPr="007F7C6E">
        <w:rPr>
          <w:b/>
          <w:i/>
          <w:szCs w:val="22"/>
          <w:lang w:val="sr-Latn-ME"/>
        </w:rPr>
        <w:t xml:space="preserve"> bubrega</w:t>
      </w:r>
    </w:p>
    <w:p w14:paraId="3C8D9AF1" w14:textId="77777777" w:rsidR="00DD6337" w:rsidRPr="007F7C6E" w:rsidRDefault="00DD6337">
      <w:pPr>
        <w:rPr>
          <w:szCs w:val="22"/>
          <w:lang w:val="sr-Latn-ME"/>
        </w:rPr>
      </w:pPr>
      <w:r w:rsidRPr="007F7C6E">
        <w:rPr>
          <w:szCs w:val="22"/>
          <w:lang w:val="sr-Latn-ME"/>
        </w:rPr>
        <w:t>Nije neophodno podešavanje doze kod pacijenata sa insuficijencijom bubrega.</w:t>
      </w:r>
    </w:p>
    <w:p w14:paraId="3C8D9AF2" w14:textId="77777777" w:rsidR="00A54717" w:rsidRPr="007F7C6E" w:rsidRDefault="00A54717">
      <w:pPr>
        <w:rPr>
          <w:b/>
          <w:szCs w:val="22"/>
          <w:lang w:val="sr-Latn-ME"/>
        </w:rPr>
      </w:pPr>
    </w:p>
    <w:p w14:paraId="3C8D9AF3" w14:textId="77777777" w:rsidR="00A54717" w:rsidRPr="007F7C6E" w:rsidRDefault="00A54717">
      <w:pPr>
        <w:tabs>
          <w:tab w:val="left" w:pos="-720"/>
        </w:tabs>
        <w:suppressAutoHyphens/>
        <w:rPr>
          <w:b/>
          <w:i/>
          <w:szCs w:val="22"/>
          <w:lang w:val="sr-Latn-ME"/>
        </w:rPr>
      </w:pPr>
      <w:r w:rsidRPr="007F7C6E">
        <w:rPr>
          <w:b/>
          <w:i/>
          <w:szCs w:val="22"/>
          <w:lang w:val="sr-Latn-ME"/>
        </w:rPr>
        <w:t>Doziranje kod pacijenata sa oštećenom funkcijom jetre</w:t>
      </w:r>
    </w:p>
    <w:p w14:paraId="3C8D9AF4" w14:textId="57297E2A" w:rsidR="00A54717" w:rsidRPr="007F7C6E" w:rsidRDefault="00A54717">
      <w:pPr>
        <w:tabs>
          <w:tab w:val="left" w:pos="-720"/>
        </w:tabs>
        <w:suppressAutoHyphens/>
        <w:rPr>
          <w:szCs w:val="22"/>
          <w:lang w:val="sr-Latn-ME"/>
        </w:rPr>
      </w:pPr>
      <w:r w:rsidRPr="007F7C6E">
        <w:rPr>
          <w:szCs w:val="22"/>
          <w:lang w:val="sr-Latn-ME"/>
        </w:rPr>
        <w:t>Nije neophodno podešavanje doze kod pacijenata sa insuficijencijom jetre.</w:t>
      </w:r>
    </w:p>
    <w:p w14:paraId="6DD9E64D" w14:textId="56FD6153" w:rsidR="00365AFC" w:rsidRPr="007F7C6E" w:rsidRDefault="00365AFC">
      <w:pPr>
        <w:tabs>
          <w:tab w:val="left" w:pos="-720"/>
        </w:tabs>
        <w:suppressAutoHyphens/>
        <w:rPr>
          <w:szCs w:val="22"/>
          <w:lang w:val="sr-Latn-ME"/>
        </w:rPr>
      </w:pPr>
    </w:p>
    <w:p w14:paraId="31F62A02" w14:textId="77777777" w:rsidR="00365AFC" w:rsidRPr="007F7C6E" w:rsidRDefault="00365AFC" w:rsidP="00365AFC">
      <w:pPr>
        <w:ind w:left="567" w:hanging="567"/>
        <w:rPr>
          <w:b/>
          <w:i/>
          <w:szCs w:val="22"/>
          <w:lang w:val="sr-Latn-ME"/>
        </w:rPr>
      </w:pPr>
      <w:r w:rsidRPr="007F7C6E">
        <w:rPr>
          <w:b/>
          <w:i/>
          <w:szCs w:val="22"/>
          <w:lang w:val="sr-Latn-ME"/>
        </w:rPr>
        <w:t>Način primjene</w:t>
      </w:r>
    </w:p>
    <w:p w14:paraId="4BB655D5" w14:textId="77777777" w:rsidR="00365AFC" w:rsidRPr="007F7C6E" w:rsidRDefault="00365AFC" w:rsidP="00365AFC">
      <w:pPr>
        <w:ind w:left="567" w:hanging="567"/>
        <w:rPr>
          <w:szCs w:val="22"/>
          <w:lang w:val="sr-Latn-ME"/>
        </w:rPr>
      </w:pPr>
      <w:r w:rsidRPr="007F7C6E">
        <w:rPr>
          <w:szCs w:val="22"/>
          <w:lang w:val="sr-Latn-ME"/>
        </w:rPr>
        <w:t xml:space="preserve">Parenteralna primjena (intramuskularna i intravenska primjena). </w:t>
      </w:r>
    </w:p>
    <w:p w14:paraId="2D07B4AE" w14:textId="77777777" w:rsidR="00365AFC" w:rsidRPr="007F7C6E" w:rsidRDefault="00365AFC" w:rsidP="00365AFC">
      <w:pPr>
        <w:ind w:left="567" w:hanging="567"/>
        <w:rPr>
          <w:szCs w:val="22"/>
          <w:lang w:val="sr-Latn-ME"/>
        </w:rPr>
      </w:pPr>
    </w:p>
    <w:p w14:paraId="1BAB4B0F" w14:textId="77777777" w:rsidR="00365AFC" w:rsidRPr="007F7C6E" w:rsidRDefault="00365AFC" w:rsidP="00365AFC">
      <w:pPr>
        <w:ind w:left="567" w:hanging="567"/>
        <w:rPr>
          <w:szCs w:val="22"/>
          <w:lang w:val="sr-Latn-ME"/>
        </w:rPr>
      </w:pPr>
      <w:r w:rsidRPr="007F7C6E">
        <w:rPr>
          <w:szCs w:val="22"/>
          <w:lang w:val="sr-Latn-ME"/>
        </w:rPr>
        <w:t xml:space="preserve">Prije intravenske primjene klindamicin rastvor za injekciju se </w:t>
      </w:r>
      <w:r w:rsidRPr="007F7C6E">
        <w:rPr>
          <w:bCs/>
          <w:szCs w:val="22"/>
          <w:lang w:val="sr-Latn-ME"/>
        </w:rPr>
        <w:t>mora</w:t>
      </w:r>
      <w:r w:rsidRPr="007F7C6E">
        <w:rPr>
          <w:szCs w:val="22"/>
          <w:lang w:val="sr-Latn-ME"/>
        </w:rPr>
        <w:t xml:space="preserve"> razblažiti i dati u intravenskoj infuziji</w:t>
      </w:r>
      <w:r w:rsidRPr="007F7C6E">
        <w:rPr>
          <w:color w:val="FF0000"/>
          <w:szCs w:val="22"/>
          <w:lang w:val="sr-Latn-ME"/>
        </w:rPr>
        <w:t xml:space="preserve"> </w:t>
      </w:r>
      <w:r w:rsidRPr="007F7C6E">
        <w:rPr>
          <w:szCs w:val="22"/>
          <w:lang w:val="sr-Latn-ME"/>
        </w:rPr>
        <w:t xml:space="preserve">u </w:t>
      </w:r>
    </w:p>
    <w:p w14:paraId="156B3BBE" w14:textId="5B19B5F4" w:rsidR="00365AFC" w:rsidRPr="007F7C6E" w:rsidRDefault="00365AFC" w:rsidP="00365AFC">
      <w:pPr>
        <w:ind w:left="567" w:hanging="567"/>
        <w:rPr>
          <w:szCs w:val="22"/>
          <w:lang w:val="sr-Latn-ME"/>
        </w:rPr>
      </w:pPr>
      <w:r w:rsidRPr="007F7C6E">
        <w:rPr>
          <w:szCs w:val="22"/>
          <w:lang w:val="sr-Latn-ME"/>
        </w:rPr>
        <w:t>trajanju od 10</w:t>
      </w:r>
      <w:r w:rsidR="00741553" w:rsidRPr="007F7C6E">
        <w:rPr>
          <w:szCs w:val="22"/>
          <w:lang w:val="sr-Latn-ME"/>
        </w:rPr>
        <w:t xml:space="preserve"> </w:t>
      </w:r>
      <w:r w:rsidRPr="007F7C6E">
        <w:rPr>
          <w:szCs w:val="22"/>
          <w:lang w:val="sr-Latn-ME"/>
        </w:rPr>
        <w:t>-</w:t>
      </w:r>
      <w:r w:rsidR="00741553" w:rsidRPr="007F7C6E">
        <w:rPr>
          <w:szCs w:val="22"/>
          <w:lang w:val="sr-Latn-ME"/>
        </w:rPr>
        <w:t xml:space="preserve"> </w:t>
      </w:r>
      <w:r w:rsidRPr="007F7C6E">
        <w:rPr>
          <w:szCs w:val="22"/>
          <w:lang w:val="sr-Latn-ME"/>
        </w:rPr>
        <w:t xml:space="preserve">60 min (vidjeti u nastavku </w:t>
      </w:r>
      <w:r w:rsidRPr="007F7C6E">
        <w:rPr>
          <w:i/>
          <w:szCs w:val="22"/>
          <w:lang w:val="sr-Latn-ME"/>
        </w:rPr>
        <w:t>Način primjene i pripreme rastvora za infuziju</w:t>
      </w:r>
      <w:r w:rsidRPr="007F7C6E">
        <w:rPr>
          <w:szCs w:val="22"/>
          <w:lang w:val="sr-Latn-ME"/>
        </w:rPr>
        <w:t xml:space="preserve">). </w:t>
      </w:r>
    </w:p>
    <w:p w14:paraId="4DDFB1D4" w14:textId="77777777" w:rsidR="00365AFC" w:rsidRPr="007F7C6E" w:rsidRDefault="00365AFC" w:rsidP="00365AFC">
      <w:pPr>
        <w:ind w:left="567" w:hanging="567"/>
        <w:rPr>
          <w:szCs w:val="22"/>
          <w:lang w:val="sr-Latn-ME"/>
        </w:rPr>
      </w:pPr>
      <w:r w:rsidRPr="007F7C6E">
        <w:rPr>
          <w:szCs w:val="22"/>
          <w:lang w:val="sr-Latn-ME"/>
        </w:rPr>
        <w:t xml:space="preserve">Ukoliko se primjenjuje intramuskularno, nije potrebno prethodno razblaživanje klindamicina. </w:t>
      </w:r>
    </w:p>
    <w:p w14:paraId="3C8D9AF7" w14:textId="77777777" w:rsidR="00A54717" w:rsidRPr="007F7C6E" w:rsidRDefault="00A54717" w:rsidP="00365AFC">
      <w:pPr>
        <w:rPr>
          <w:b/>
          <w:szCs w:val="22"/>
          <w:lang w:val="sr-Latn-ME"/>
        </w:rPr>
      </w:pPr>
    </w:p>
    <w:p w14:paraId="3C8D9AF8" w14:textId="63AA4CD8" w:rsidR="00A54717" w:rsidRPr="007F7C6E" w:rsidRDefault="00A54717" w:rsidP="00220F9D">
      <w:pPr>
        <w:rPr>
          <w:b/>
          <w:i/>
          <w:szCs w:val="22"/>
          <w:lang w:val="sr-Latn-ME"/>
        </w:rPr>
      </w:pPr>
      <w:r w:rsidRPr="007F7C6E">
        <w:rPr>
          <w:b/>
          <w:i/>
          <w:szCs w:val="22"/>
          <w:lang w:val="sr-Latn-ME"/>
        </w:rPr>
        <w:t>Način prim</w:t>
      </w:r>
      <w:r w:rsidR="00037FF3" w:rsidRPr="007F7C6E">
        <w:rPr>
          <w:b/>
          <w:i/>
          <w:szCs w:val="22"/>
          <w:lang w:val="sr-Latn-ME"/>
        </w:rPr>
        <w:t>j</w:t>
      </w:r>
      <w:r w:rsidRPr="007F7C6E">
        <w:rPr>
          <w:b/>
          <w:i/>
          <w:szCs w:val="22"/>
          <w:lang w:val="sr-Latn-ME"/>
        </w:rPr>
        <w:t>ene i pripreme rastvora za infuziju</w:t>
      </w:r>
    </w:p>
    <w:p w14:paraId="5C80200B" w14:textId="77777777" w:rsidR="00741553" w:rsidRPr="007F7C6E" w:rsidRDefault="00A54717" w:rsidP="002E3841">
      <w:pPr>
        <w:rPr>
          <w:szCs w:val="22"/>
          <w:lang w:val="sr-Latn-ME"/>
        </w:rPr>
      </w:pPr>
      <w:r w:rsidRPr="007F7C6E">
        <w:rPr>
          <w:szCs w:val="22"/>
          <w:lang w:val="sr-Latn-ME"/>
        </w:rPr>
        <w:t>Koncentracija klindamicina u rastvoru za infuziju ne bi trebalo da bude viša od 18 mg/ml, a brzina prim</w:t>
      </w:r>
      <w:r w:rsidR="008A4F4B" w:rsidRPr="007F7C6E">
        <w:rPr>
          <w:szCs w:val="22"/>
          <w:lang w:val="sr-Latn-ME"/>
        </w:rPr>
        <w:t>j</w:t>
      </w:r>
      <w:r w:rsidRPr="007F7C6E">
        <w:rPr>
          <w:szCs w:val="22"/>
          <w:lang w:val="sr-Latn-ME"/>
        </w:rPr>
        <w:t>ene infuzije ne bi trebalo da prelazi 30 mg/min.</w:t>
      </w:r>
    </w:p>
    <w:p w14:paraId="3C8D9AF9" w14:textId="53D2E3F5" w:rsidR="00A54717" w:rsidRPr="007F7C6E" w:rsidRDefault="00A54717">
      <w:pPr>
        <w:rPr>
          <w:szCs w:val="22"/>
          <w:lang w:val="sr-Latn-ME"/>
        </w:rPr>
      </w:pPr>
      <w:r w:rsidRPr="007F7C6E">
        <w:rPr>
          <w:szCs w:val="22"/>
          <w:lang w:val="sr-Latn-ME"/>
        </w:rPr>
        <w:t xml:space="preserve"> </w:t>
      </w:r>
    </w:p>
    <w:p w14:paraId="3C8D9AFA" w14:textId="2E7969D6" w:rsidR="00A54717" w:rsidRPr="007F7C6E" w:rsidRDefault="00A54717">
      <w:pPr>
        <w:rPr>
          <w:szCs w:val="22"/>
          <w:lang w:val="sr-Latn-ME"/>
        </w:rPr>
      </w:pPr>
      <w:r w:rsidRPr="007F7C6E">
        <w:rPr>
          <w:szCs w:val="22"/>
          <w:lang w:val="sr-Latn-ME"/>
        </w:rPr>
        <w:t>Klindamicin</w:t>
      </w:r>
      <w:r w:rsidR="00741553" w:rsidRPr="007F7C6E">
        <w:rPr>
          <w:szCs w:val="22"/>
          <w:lang w:val="sr-Latn-ME"/>
        </w:rPr>
        <w:t xml:space="preserve"> </w:t>
      </w:r>
      <w:r w:rsidRPr="007F7C6E">
        <w:rPr>
          <w:szCs w:val="22"/>
          <w:lang w:val="sr-Latn-ME"/>
        </w:rPr>
        <w:t>fosfat je kompatibilan sa rastvorom 5% glukoze i rastvorom 0,9% natrijum</w:t>
      </w:r>
      <w:r w:rsidR="00741553" w:rsidRPr="007F7C6E">
        <w:rPr>
          <w:szCs w:val="22"/>
          <w:lang w:val="sr-Latn-ME"/>
        </w:rPr>
        <w:t xml:space="preserve"> </w:t>
      </w:r>
      <w:r w:rsidRPr="007F7C6E">
        <w:rPr>
          <w:szCs w:val="22"/>
          <w:lang w:val="sr-Latn-ME"/>
        </w:rPr>
        <w:t>hlorida.</w:t>
      </w:r>
    </w:p>
    <w:p w14:paraId="3C8D9AFB" w14:textId="7C878CB8" w:rsidR="00A54717" w:rsidRPr="007F7C6E" w:rsidRDefault="00A54717">
      <w:pPr>
        <w:rPr>
          <w:szCs w:val="22"/>
          <w:lang w:val="sr-Latn-ME"/>
        </w:rPr>
      </w:pPr>
      <w:r w:rsidRPr="007F7C6E">
        <w:rPr>
          <w:szCs w:val="22"/>
          <w:lang w:val="sr-Latn-ME"/>
        </w:rPr>
        <w:t>Uobičajena priprema rastvora za intravensku prim</w:t>
      </w:r>
      <w:r w:rsidR="008A4F4B" w:rsidRPr="007F7C6E">
        <w:rPr>
          <w:szCs w:val="22"/>
          <w:lang w:val="sr-Latn-ME"/>
        </w:rPr>
        <w:t>j</w:t>
      </w:r>
      <w:r w:rsidRPr="007F7C6E">
        <w:rPr>
          <w:szCs w:val="22"/>
          <w:lang w:val="sr-Latn-ME"/>
        </w:rPr>
        <w:t>enu i trajanje infuzije su:</w:t>
      </w:r>
    </w:p>
    <w:p w14:paraId="3C8D9AFC" w14:textId="77777777" w:rsidR="00A54717" w:rsidRPr="007F7C6E" w:rsidRDefault="00A54717" w:rsidP="00A54717">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216"/>
        <w:gridCol w:w="3210"/>
      </w:tblGrid>
      <w:tr w:rsidR="00A54717" w:rsidRPr="007F7C6E" w14:paraId="3C8D9B00" w14:textId="77777777" w:rsidTr="002D3995">
        <w:tc>
          <w:tcPr>
            <w:tcW w:w="3285" w:type="dxa"/>
          </w:tcPr>
          <w:p w14:paraId="3C8D9AFD" w14:textId="77777777" w:rsidR="00A54717" w:rsidRPr="007F7C6E" w:rsidRDefault="00A54717" w:rsidP="0001076C">
            <w:pPr>
              <w:jc w:val="center"/>
              <w:rPr>
                <w:i/>
                <w:szCs w:val="22"/>
                <w:lang w:val="sr-Latn-ME"/>
              </w:rPr>
            </w:pPr>
            <w:r w:rsidRPr="007F7C6E">
              <w:rPr>
                <w:i/>
                <w:szCs w:val="22"/>
                <w:lang w:val="sr-Latn-ME"/>
              </w:rPr>
              <w:t>Doza</w:t>
            </w:r>
          </w:p>
        </w:tc>
        <w:tc>
          <w:tcPr>
            <w:tcW w:w="3285" w:type="dxa"/>
          </w:tcPr>
          <w:p w14:paraId="3C8D9AFE" w14:textId="77777777" w:rsidR="00A54717" w:rsidRPr="007F7C6E" w:rsidRDefault="00A54717" w:rsidP="0001076C">
            <w:pPr>
              <w:jc w:val="center"/>
              <w:rPr>
                <w:i/>
                <w:szCs w:val="22"/>
                <w:lang w:val="sr-Latn-ME"/>
              </w:rPr>
            </w:pPr>
            <w:r w:rsidRPr="007F7C6E">
              <w:rPr>
                <w:i/>
                <w:szCs w:val="22"/>
                <w:lang w:val="sr-Latn-ME"/>
              </w:rPr>
              <w:t>Rastvarač</w:t>
            </w:r>
          </w:p>
        </w:tc>
        <w:tc>
          <w:tcPr>
            <w:tcW w:w="3285" w:type="dxa"/>
          </w:tcPr>
          <w:p w14:paraId="3C8D9AFF" w14:textId="4944C9AE" w:rsidR="00A54717" w:rsidRPr="007F7C6E" w:rsidRDefault="00A54717" w:rsidP="0001076C">
            <w:pPr>
              <w:jc w:val="center"/>
              <w:rPr>
                <w:i/>
                <w:szCs w:val="22"/>
                <w:lang w:val="sr-Latn-ME"/>
              </w:rPr>
            </w:pPr>
            <w:r w:rsidRPr="007F7C6E">
              <w:rPr>
                <w:i/>
                <w:szCs w:val="22"/>
                <w:lang w:val="sr-Latn-ME"/>
              </w:rPr>
              <w:t>Vr</w:t>
            </w:r>
            <w:r w:rsidR="008A4F4B" w:rsidRPr="007F7C6E">
              <w:rPr>
                <w:i/>
                <w:szCs w:val="22"/>
                <w:lang w:val="sr-Latn-ME"/>
              </w:rPr>
              <w:t>ij</w:t>
            </w:r>
            <w:r w:rsidRPr="007F7C6E">
              <w:rPr>
                <w:i/>
                <w:szCs w:val="22"/>
                <w:lang w:val="sr-Latn-ME"/>
              </w:rPr>
              <w:t>eme</w:t>
            </w:r>
          </w:p>
        </w:tc>
      </w:tr>
      <w:tr w:rsidR="00A54717" w:rsidRPr="007F7C6E" w14:paraId="3C8D9B04" w14:textId="77777777" w:rsidTr="002D3995">
        <w:tc>
          <w:tcPr>
            <w:tcW w:w="3285" w:type="dxa"/>
          </w:tcPr>
          <w:p w14:paraId="3C8D9B01" w14:textId="77777777" w:rsidR="00A54717" w:rsidRPr="007F7C6E" w:rsidRDefault="00A54717" w:rsidP="0001076C">
            <w:pPr>
              <w:jc w:val="center"/>
              <w:rPr>
                <w:szCs w:val="22"/>
                <w:lang w:val="sr-Latn-ME"/>
              </w:rPr>
            </w:pPr>
            <w:r w:rsidRPr="007F7C6E">
              <w:rPr>
                <w:szCs w:val="22"/>
                <w:lang w:val="sr-Latn-ME"/>
              </w:rPr>
              <w:t>300 mg</w:t>
            </w:r>
          </w:p>
        </w:tc>
        <w:tc>
          <w:tcPr>
            <w:tcW w:w="3285" w:type="dxa"/>
          </w:tcPr>
          <w:p w14:paraId="3C8D9B02" w14:textId="02DE1142" w:rsidR="00A54717" w:rsidRPr="007F7C6E" w:rsidRDefault="00A54717" w:rsidP="0001076C">
            <w:pPr>
              <w:jc w:val="center"/>
              <w:rPr>
                <w:szCs w:val="22"/>
                <w:lang w:val="sr-Latn-ME"/>
              </w:rPr>
            </w:pPr>
            <w:r w:rsidRPr="007F7C6E">
              <w:rPr>
                <w:szCs w:val="22"/>
                <w:lang w:val="sr-Latn-ME"/>
              </w:rPr>
              <w:t>50 m</w:t>
            </w:r>
            <w:r w:rsidR="00741553" w:rsidRPr="007F7C6E">
              <w:rPr>
                <w:szCs w:val="22"/>
                <w:lang w:val="sr-Latn-ME"/>
              </w:rPr>
              <w:t>l</w:t>
            </w:r>
          </w:p>
        </w:tc>
        <w:tc>
          <w:tcPr>
            <w:tcW w:w="3285" w:type="dxa"/>
          </w:tcPr>
          <w:p w14:paraId="3C8D9B03" w14:textId="77777777" w:rsidR="00A54717" w:rsidRPr="007F7C6E" w:rsidRDefault="00A54717" w:rsidP="0001076C">
            <w:pPr>
              <w:jc w:val="center"/>
              <w:rPr>
                <w:szCs w:val="22"/>
                <w:lang w:val="sr-Latn-ME"/>
              </w:rPr>
            </w:pPr>
            <w:r w:rsidRPr="007F7C6E">
              <w:rPr>
                <w:szCs w:val="22"/>
                <w:lang w:val="sr-Latn-ME"/>
              </w:rPr>
              <w:t>10 min</w:t>
            </w:r>
          </w:p>
        </w:tc>
      </w:tr>
      <w:tr w:rsidR="00A54717" w:rsidRPr="007F7C6E" w14:paraId="3C8D9B08" w14:textId="77777777" w:rsidTr="002D3995">
        <w:tc>
          <w:tcPr>
            <w:tcW w:w="3285" w:type="dxa"/>
          </w:tcPr>
          <w:p w14:paraId="3C8D9B05" w14:textId="77777777" w:rsidR="00A54717" w:rsidRPr="007F7C6E" w:rsidRDefault="00A54717" w:rsidP="0001076C">
            <w:pPr>
              <w:jc w:val="center"/>
              <w:rPr>
                <w:szCs w:val="22"/>
                <w:lang w:val="sr-Latn-ME"/>
              </w:rPr>
            </w:pPr>
            <w:r w:rsidRPr="007F7C6E">
              <w:rPr>
                <w:szCs w:val="22"/>
                <w:lang w:val="sr-Latn-ME"/>
              </w:rPr>
              <w:t>600 mg</w:t>
            </w:r>
          </w:p>
        </w:tc>
        <w:tc>
          <w:tcPr>
            <w:tcW w:w="3285" w:type="dxa"/>
          </w:tcPr>
          <w:p w14:paraId="3C8D9B06" w14:textId="1C48D4A4" w:rsidR="00A54717" w:rsidRPr="007F7C6E" w:rsidRDefault="00A54717" w:rsidP="0001076C">
            <w:pPr>
              <w:jc w:val="center"/>
              <w:rPr>
                <w:szCs w:val="22"/>
                <w:lang w:val="sr-Latn-ME"/>
              </w:rPr>
            </w:pPr>
            <w:r w:rsidRPr="007F7C6E">
              <w:rPr>
                <w:szCs w:val="22"/>
                <w:lang w:val="sr-Latn-ME"/>
              </w:rPr>
              <w:t>50 m</w:t>
            </w:r>
            <w:r w:rsidR="00741553" w:rsidRPr="007F7C6E">
              <w:rPr>
                <w:szCs w:val="22"/>
                <w:lang w:val="sr-Latn-ME"/>
              </w:rPr>
              <w:t>l</w:t>
            </w:r>
          </w:p>
        </w:tc>
        <w:tc>
          <w:tcPr>
            <w:tcW w:w="3285" w:type="dxa"/>
          </w:tcPr>
          <w:p w14:paraId="3C8D9B07" w14:textId="77777777" w:rsidR="00A54717" w:rsidRPr="007F7C6E" w:rsidRDefault="00A54717" w:rsidP="0001076C">
            <w:pPr>
              <w:jc w:val="center"/>
              <w:rPr>
                <w:szCs w:val="22"/>
                <w:lang w:val="sr-Latn-ME"/>
              </w:rPr>
            </w:pPr>
            <w:r w:rsidRPr="007F7C6E">
              <w:rPr>
                <w:szCs w:val="22"/>
                <w:lang w:val="sr-Latn-ME"/>
              </w:rPr>
              <w:t>20 min</w:t>
            </w:r>
          </w:p>
        </w:tc>
      </w:tr>
      <w:tr w:rsidR="00A54717" w:rsidRPr="007F7C6E" w14:paraId="3C8D9B0C" w14:textId="77777777" w:rsidTr="002D3995">
        <w:tc>
          <w:tcPr>
            <w:tcW w:w="3285" w:type="dxa"/>
          </w:tcPr>
          <w:p w14:paraId="3C8D9B09" w14:textId="77777777" w:rsidR="00A54717" w:rsidRPr="007F7C6E" w:rsidRDefault="00A54717" w:rsidP="0001076C">
            <w:pPr>
              <w:jc w:val="center"/>
              <w:rPr>
                <w:szCs w:val="22"/>
                <w:lang w:val="sr-Latn-ME"/>
              </w:rPr>
            </w:pPr>
            <w:r w:rsidRPr="007F7C6E">
              <w:rPr>
                <w:szCs w:val="22"/>
                <w:lang w:val="sr-Latn-ME"/>
              </w:rPr>
              <w:t>900 mg</w:t>
            </w:r>
          </w:p>
        </w:tc>
        <w:tc>
          <w:tcPr>
            <w:tcW w:w="3285" w:type="dxa"/>
          </w:tcPr>
          <w:p w14:paraId="3C8D9B0A" w14:textId="31124BE2" w:rsidR="00A54717" w:rsidRPr="007F7C6E" w:rsidRDefault="00A54717" w:rsidP="0001076C">
            <w:pPr>
              <w:jc w:val="center"/>
              <w:rPr>
                <w:szCs w:val="22"/>
                <w:lang w:val="sr-Latn-ME"/>
              </w:rPr>
            </w:pPr>
            <w:r w:rsidRPr="007F7C6E">
              <w:rPr>
                <w:szCs w:val="22"/>
                <w:lang w:val="sr-Latn-ME"/>
              </w:rPr>
              <w:t>50-100 m</w:t>
            </w:r>
            <w:r w:rsidR="00741553" w:rsidRPr="007F7C6E">
              <w:rPr>
                <w:szCs w:val="22"/>
                <w:lang w:val="sr-Latn-ME"/>
              </w:rPr>
              <w:t>l</w:t>
            </w:r>
          </w:p>
        </w:tc>
        <w:tc>
          <w:tcPr>
            <w:tcW w:w="3285" w:type="dxa"/>
          </w:tcPr>
          <w:p w14:paraId="3C8D9B0B" w14:textId="77777777" w:rsidR="00A54717" w:rsidRPr="007F7C6E" w:rsidRDefault="00A54717" w:rsidP="0001076C">
            <w:pPr>
              <w:jc w:val="center"/>
              <w:rPr>
                <w:szCs w:val="22"/>
                <w:lang w:val="sr-Latn-ME"/>
              </w:rPr>
            </w:pPr>
            <w:r w:rsidRPr="007F7C6E">
              <w:rPr>
                <w:szCs w:val="22"/>
                <w:lang w:val="sr-Latn-ME"/>
              </w:rPr>
              <w:t>30 min</w:t>
            </w:r>
          </w:p>
        </w:tc>
      </w:tr>
      <w:tr w:rsidR="00A54717" w:rsidRPr="007F7C6E" w14:paraId="3C8D9B10" w14:textId="77777777" w:rsidTr="002D3995">
        <w:tc>
          <w:tcPr>
            <w:tcW w:w="3285" w:type="dxa"/>
          </w:tcPr>
          <w:p w14:paraId="3C8D9B0D" w14:textId="77777777" w:rsidR="00A54717" w:rsidRPr="007F7C6E" w:rsidRDefault="00A54717" w:rsidP="0001076C">
            <w:pPr>
              <w:jc w:val="center"/>
              <w:rPr>
                <w:szCs w:val="22"/>
                <w:lang w:val="sr-Latn-ME"/>
              </w:rPr>
            </w:pPr>
            <w:r w:rsidRPr="007F7C6E">
              <w:rPr>
                <w:szCs w:val="22"/>
                <w:lang w:val="sr-Latn-ME"/>
              </w:rPr>
              <w:t>1200 mg</w:t>
            </w:r>
          </w:p>
        </w:tc>
        <w:tc>
          <w:tcPr>
            <w:tcW w:w="3285" w:type="dxa"/>
          </w:tcPr>
          <w:p w14:paraId="3C8D9B0E" w14:textId="25F5DF57" w:rsidR="00A54717" w:rsidRPr="007F7C6E" w:rsidRDefault="00A54717" w:rsidP="0001076C">
            <w:pPr>
              <w:jc w:val="center"/>
              <w:rPr>
                <w:szCs w:val="22"/>
                <w:lang w:val="sr-Latn-ME"/>
              </w:rPr>
            </w:pPr>
            <w:r w:rsidRPr="007F7C6E">
              <w:rPr>
                <w:szCs w:val="22"/>
                <w:lang w:val="sr-Latn-ME"/>
              </w:rPr>
              <w:t>100 m</w:t>
            </w:r>
            <w:r w:rsidR="00741553" w:rsidRPr="007F7C6E">
              <w:rPr>
                <w:szCs w:val="22"/>
                <w:lang w:val="sr-Latn-ME"/>
              </w:rPr>
              <w:t>l</w:t>
            </w:r>
          </w:p>
        </w:tc>
        <w:tc>
          <w:tcPr>
            <w:tcW w:w="3285" w:type="dxa"/>
          </w:tcPr>
          <w:p w14:paraId="3C8D9B0F" w14:textId="77777777" w:rsidR="00A54717" w:rsidRPr="007F7C6E" w:rsidRDefault="00A54717" w:rsidP="0001076C">
            <w:pPr>
              <w:jc w:val="center"/>
              <w:rPr>
                <w:szCs w:val="22"/>
                <w:lang w:val="sr-Latn-ME"/>
              </w:rPr>
            </w:pPr>
            <w:r w:rsidRPr="007F7C6E">
              <w:rPr>
                <w:szCs w:val="22"/>
                <w:lang w:val="sr-Latn-ME"/>
              </w:rPr>
              <w:t>40 min</w:t>
            </w:r>
          </w:p>
        </w:tc>
      </w:tr>
    </w:tbl>
    <w:p w14:paraId="3C8D9B11" w14:textId="77777777" w:rsidR="00CE09F3" w:rsidRPr="007F7C6E" w:rsidRDefault="00CE09F3" w:rsidP="00923865">
      <w:pPr>
        <w:rPr>
          <w:szCs w:val="22"/>
          <w:lang w:val="sr-Latn-ME"/>
        </w:rPr>
      </w:pPr>
    </w:p>
    <w:p w14:paraId="3C8D9B12" w14:textId="77777777" w:rsidR="00CE09F3" w:rsidRPr="007F7C6E" w:rsidRDefault="00CE09F3" w:rsidP="00923865">
      <w:pPr>
        <w:rPr>
          <w:b/>
          <w:bCs/>
          <w:szCs w:val="22"/>
          <w:lang w:val="sr-Latn-ME"/>
        </w:rPr>
      </w:pPr>
      <w:r w:rsidRPr="007F7C6E">
        <w:rPr>
          <w:b/>
          <w:bCs/>
          <w:szCs w:val="22"/>
          <w:lang w:val="sr-Latn-ME"/>
        </w:rPr>
        <w:t>4.3. Kontraindikacije</w:t>
      </w:r>
    </w:p>
    <w:p w14:paraId="3C8D9B13" w14:textId="77777777" w:rsidR="00F964A4" w:rsidRPr="007F7C6E" w:rsidRDefault="00F964A4" w:rsidP="00923865">
      <w:pPr>
        <w:rPr>
          <w:b/>
          <w:bCs/>
          <w:szCs w:val="22"/>
          <w:lang w:val="sr-Latn-ME"/>
        </w:rPr>
      </w:pPr>
    </w:p>
    <w:p w14:paraId="3C8D9B14" w14:textId="7D6E1189" w:rsidR="00A54717" w:rsidRPr="007F7C6E" w:rsidRDefault="00A54717" w:rsidP="00A54717">
      <w:pPr>
        <w:numPr>
          <w:ilvl w:val="0"/>
          <w:numId w:val="19"/>
        </w:numPr>
        <w:tabs>
          <w:tab w:val="clear" w:pos="284"/>
        </w:tabs>
        <w:suppressAutoHyphens/>
        <w:rPr>
          <w:szCs w:val="22"/>
          <w:lang w:val="sr-Latn-ME"/>
        </w:rPr>
      </w:pPr>
      <w:r w:rsidRPr="007F7C6E">
        <w:rPr>
          <w:szCs w:val="22"/>
          <w:lang w:val="sr-Latn-ME"/>
        </w:rPr>
        <w:t>preos</w:t>
      </w:r>
      <w:r w:rsidR="008A4F4B" w:rsidRPr="007F7C6E">
        <w:rPr>
          <w:szCs w:val="22"/>
          <w:lang w:val="sr-Latn-ME"/>
        </w:rPr>
        <w:t>j</w:t>
      </w:r>
      <w:r w:rsidRPr="007F7C6E">
        <w:rPr>
          <w:szCs w:val="22"/>
          <w:lang w:val="sr-Latn-ME"/>
        </w:rPr>
        <w:t>etljivost na klindamicin</w:t>
      </w:r>
      <w:r w:rsidR="00181A8C" w:rsidRPr="007F7C6E">
        <w:rPr>
          <w:szCs w:val="22"/>
          <w:lang w:val="sr-Latn-ME"/>
        </w:rPr>
        <w:t>, linkomicin ili bilo koji pomoćni</w:t>
      </w:r>
      <w:r w:rsidRPr="007F7C6E">
        <w:rPr>
          <w:szCs w:val="22"/>
          <w:lang w:val="sr-Latn-ME"/>
        </w:rPr>
        <w:t xml:space="preserve"> sastojak </w:t>
      </w:r>
      <w:r w:rsidR="0064264A" w:rsidRPr="007F7C6E">
        <w:rPr>
          <w:szCs w:val="22"/>
          <w:lang w:val="sr-Latn-ME"/>
        </w:rPr>
        <w:t>lijeka</w:t>
      </w:r>
      <w:r w:rsidR="00181A8C" w:rsidRPr="007F7C6E">
        <w:rPr>
          <w:szCs w:val="22"/>
          <w:lang w:val="sr-Latn-ME"/>
        </w:rPr>
        <w:t xml:space="preserve"> (posebno benzilalkohol</w:t>
      </w:r>
      <w:r w:rsidR="00A15565" w:rsidRPr="007F7C6E">
        <w:rPr>
          <w:szCs w:val="22"/>
          <w:lang w:val="sr-Latn-ME"/>
        </w:rPr>
        <w:t>,</w:t>
      </w:r>
      <w:r w:rsidR="00741553" w:rsidRPr="007F7C6E">
        <w:rPr>
          <w:szCs w:val="22"/>
          <w:lang w:val="sr-Latn-ME"/>
        </w:rPr>
        <w:t xml:space="preserve"> </w:t>
      </w:r>
      <w:r w:rsidR="00741553" w:rsidRPr="007F7C6E">
        <w:rPr>
          <w:i/>
          <w:szCs w:val="22"/>
          <w:lang w:val="sr-Latn-ME"/>
        </w:rPr>
        <w:t xml:space="preserve">vidjeti </w:t>
      </w:r>
      <w:r w:rsidR="009C5229" w:rsidRPr="007F7C6E">
        <w:rPr>
          <w:i/>
          <w:szCs w:val="22"/>
          <w:lang w:val="sr-Latn-ME"/>
        </w:rPr>
        <w:t>dio</w:t>
      </w:r>
      <w:r w:rsidR="00A15565" w:rsidRPr="007F7C6E">
        <w:rPr>
          <w:i/>
          <w:szCs w:val="22"/>
          <w:lang w:val="sr-Latn-ME"/>
        </w:rPr>
        <w:t xml:space="preserve"> 6.1</w:t>
      </w:r>
      <w:r w:rsidR="000D560A" w:rsidRPr="007F7C6E">
        <w:rPr>
          <w:szCs w:val="22"/>
          <w:lang w:val="sr-Latn-ME"/>
        </w:rPr>
        <w:t>)</w:t>
      </w:r>
    </w:p>
    <w:p w14:paraId="3C8D9B15" w14:textId="730219A8" w:rsidR="000D560A" w:rsidRPr="007F7C6E" w:rsidRDefault="009C5229" w:rsidP="000D560A">
      <w:pPr>
        <w:numPr>
          <w:ilvl w:val="0"/>
          <w:numId w:val="19"/>
        </w:numPr>
        <w:tabs>
          <w:tab w:val="clear" w:pos="284"/>
        </w:tabs>
        <w:suppressAutoHyphens/>
        <w:rPr>
          <w:szCs w:val="22"/>
          <w:lang w:val="sr-Latn-ME"/>
        </w:rPr>
      </w:pPr>
      <w:r w:rsidRPr="007F7C6E">
        <w:rPr>
          <w:szCs w:val="22"/>
          <w:lang w:val="sr-Latn-ME"/>
        </w:rPr>
        <w:t>primjena</w:t>
      </w:r>
      <w:r w:rsidR="000D560A" w:rsidRPr="007F7C6E">
        <w:rPr>
          <w:szCs w:val="22"/>
          <w:lang w:val="sr-Latn-ME"/>
        </w:rPr>
        <w:t xml:space="preserve"> kod pacijenata sa dijarejom ili inflamatornom bolešću cr</w:t>
      </w:r>
      <w:r w:rsidR="008A4F4B" w:rsidRPr="007F7C6E">
        <w:rPr>
          <w:szCs w:val="22"/>
          <w:lang w:val="sr-Latn-ME"/>
        </w:rPr>
        <w:t>ij</w:t>
      </w:r>
      <w:r w:rsidR="000D560A" w:rsidRPr="007F7C6E">
        <w:rPr>
          <w:szCs w:val="22"/>
          <w:lang w:val="sr-Latn-ME"/>
        </w:rPr>
        <w:t>eva</w:t>
      </w:r>
      <w:r w:rsidR="00EC1AE4" w:rsidRPr="007F7C6E">
        <w:rPr>
          <w:szCs w:val="22"/>
          <w:lang w:val="sr-Latn-ME"/>
        </w:rPr>
        <w:t>.</w:t>
      </w:r>
    </w:p>
    <w:p w14:paraId="3C8D9B16" w14:textId="77777777" w:rsidR="00CE09F3" w:rsidRPr="007F7C6E" w:rsidRDefault="00CE09F3" w:rsidP="00923865">
      <w:pPr>
        <w:rPr>
          <w:szCs w:val="22"/>
          <w:lang w:val="sr-Latn-ME"/>
        </w:rPr>
      </w:pPr>
    </w:p>
    <w:p w14:paraId="128C4E64" w14:textId="77777777" w:rsidR="007F7C6E" w:rsidRDefault="007F7C6E" w:rsidP="00923865">
      <w:pPr>
        <w:rPr>
          <w:b/>
          <w:bCs/>
          <w:szCs w:val="22"/>
          <w:lang w:val="sr-Latn-ME"/>
        </w:rPr>
      </w:pPr>
    </w:p>
    <w:p w14:paraId="425D9C6C" w14:textId="77777777" w:rsidR="007F7C6E" w:rsidRDefault="007F7C6E" w:rsidP="00923865">
      <w:pPr>
        <w:rPr>
          <w:b/>
          <w:bCs/>
          <w:szCs w:val="22"/>
          <w:lang w:val="sr-Latn-ME"/>
        </w:rPr>
      </w:pPr>
    </w:p>
    <w:p w14:paraId="12A67D42" w14:textId="77777777" w:rsidR="007F7C6E" w:rsidRDefault="007F7C6E" w:rsidP="00923865">
      <w:pPr>
        <w:rPr>
          <w:b/>
          <w:bCs/>
          <w:szCs w:val="22"/>
          <w:lang w:val="sr-Latn-ME"/>
        </w:rPr>
      </w:pPr>
    </w:p>
    <w:p w14:paraId="3C8D9B17" w14:textId="60AAC723" w:rsidR="00CE09F3" w:rsidRPr="007F7C6E" w:rsidRDefault="00CE09F3" w:rsidP="00923865">
      <w:pPr>
        <w:rPr>
          <w:b/>
          <w:bCs/>
          <w:szCs w:val="22"/>
          <w:lang w:val="sr-Latn-ME"/>
        </w:rPr>
      </w:pPr>
      <w:r w:rsidRPr="007F7C6E">
        <w:rPr>
          <w:b/>
          <w:bCs/>
          <w:szCs w:val="22"/>
          <w:lang w:val="sr-Latn-ME"/>
        </w:rPr>
        <w:lastRenderedPageBreak/>
        <w:t>4.4. Posebna upozorenja i m</w:t>
      </w:r>
      <w:r w:rsidR="00037FF3" w:rsidRPr="007F7C6E">
        <w:rPr>
          <w:b/>
          <w:bCs/>
          <w:szCs w:val="22"/>
          <w:lang w:val="sr-Latn-ME"/>
        </w:rPr>
        <w:t>j</w:t>
      </w:r>
      <w:r w:rsidRPr="007F7C6E">
        <w:rPr>
          <w:b/>
          <w:bCs/>
          <w:szCs w:val="22"/>
          <w:lang w:val="sr-Latn-ME"/>
        </w:rPr>
        <w:t xml:space="preserve">ere opreza pri upotrebi </w:t>
      </w:r>
      <w:r w:rsidR="0064264A" w:rsidRPr="007F7C6E">
        <w:rPr>
          <w:b/>
          <w:bCs/>
          <w:szCs w:val="22"/>
          <w:lang w:val="sr-Latn-ME"/>
        </w:rPr>
        <w:t>lijeka</w:t>
      </w:r>
    </w:p>
    <w:p w14:paraId="3C8D9B18" w14:textId="77777777" w:rsidR="002F6D00" w:rsidRPr="007F7C6E" w:rsidRDefault="002F6D00" w:rsidP="00923865">
      <w:pPr>
        <w:rPr>
          <w:szCs w:val="22"/>
          <w:lang w:val="sr-Latn-ME"/>
        </w:rPr>
      </w:pPr>
    </w:p>
    <w:p w14:paraId="56344B25" w14:textId="5DC0BF56" w:rsidR="00387889" w:rsidRPr="007F7C6E" w:rsidRDefault="00387889" w:rsidP="00600462">
      <w:pPr>
        <w:rPr>
          <w:szCs w:val="22"/>
          <w:u w:val="single"/>
          <w:lang w:val="sr-Latn-ME"/>
        </w:rPr>
      </w:pPr>
      <w:r w:rsidRPr="007F7C6E">
        <w:rPr>
          <w:szCs w:val="22"/>
          <w:u w:val="single"/>
          <w:lang w:val="sr-Latn-ME"/>
        </w:rPr>
        <w:t>Preos</w:t>
      </w:r>
      <w:r w:rsidR="003F2A81" w:rsidRPr="007F7C6E">
        <w:rPr>
          <w:szCs w:val="22"/>
          <w:u w:val="single"/>
          <w:lang w:val="sr-Latn-ME"/>
        </w:rPr>
        <w:t>j</w:t>
      </w:r>
      <w:r w:rsidRPr="007F7C6E">
        <w:rPr>
          <w:szCs w:val="22"/>
          <w:u w:val="single"/>
          <w:lang w:val="sr-Latn-ME"/>
        </w:rPr>
        <w:t>etljivost</w:t>
      </w:r>
    </w:p>
    <w:p w14:paraId="3187635F" w14:textId="16671A77" w:rsidR="00A13FE2" w:rsidRPr="007F7C6E" w:rsidRDefault="00600462" w:rsidP="00A13FE2">
      <w:pPr>
        <w:rPr>
          <w:szCs w:val="22"/>
          <w:lang w:val="sr-Latn-ME"/>
        </w:rPr>
      </w:pPr>
      <w:r w:rsidRPr="007F7C6E">
        <w:rPr>
          <w:szCs w:val="22"/>
          <w:lang w:val="sr-Latn-ME"/>
        </w:rPr>
        <w:t>Teške reakcije preos</w:t>
      </w:r>
      <w:r w:rsidR="008A4F4B" w:rsidRPr="007F7C6E">
        <w:rPr>
          <w:szCs w:val="22"/>
          <w:lang w:val="sr-Latn-ME"/>
        </w:rPr>
        <w:t>j</w:t>
      </w:r>
      <w:r w:rsidRPr="007F7C6E">
        <w:rPr>
          <w:szCs w:val="22"/>
          <w:lang w:val="sr-Latn-ME"/>
        </w:rPr>
        <w:t xml:space="preserve">etljivosti, uključujući teške kožne reakcije, kao što su reakcije na </w:t>
      </w:r>
      <w:r w:rsidR="00D50156" w:rsidRPr="007F7C6E">
        <w:rPr>
          <w:szCs w:val="22"/>
          <w:lang w:val="sr-Latn-ME"/>
        </w:rPr>
        <w:t>ljekove</w:t>
      </w:r>
      <w:r w:rsidRPr="007F7C6E">
        <w:rPr>
          <w:szCs w:val="22"/>
          <w:lang w:val="sr-Latn-ME"/>
        </w:rPr>
        <w:t xml:space="preserve"> praćene eozinofilijom i sistemskim simptomima (sindrom </w:t>
      </w:r>
      <w:r w:rsidRPr="007F7C6E">
        <w:rPr>
          <w:i/>
          <w:szCs w:val="22"/>
          <w:lang w:val="sr-Latn-ME"/>
        </w:rPr>
        <w:t>DRESS</w:t>
      </w:r>
      <w:r w:rsidRPr="007F7C6E">
        <w:rPr>
          <w:iCs/>
          <w:szCs w:val="22"/>
          <w:lang w:val="sr-Latn-ME"/>
        </w:rPr>
        <w:t>)</w:t>
      </w:r>
      <w:r w:rsidRPr="007F7C6E">
        <w:rPr>
          <w:szCs w:val="22"/>
          <w:lang w:val="sr-Latn-ME"/>
        </w:rPr>
        <w:t xml:space="preserve">, </w:t>
      </w:r>
      <w:r w:rsidRPr="007F7C6E">
        <w:rPr>
          <w:i/>
          <w:szCs w:val="22"/>
          <w:lang w:val="sr-Latn-ME"/>
        </w:rPr>
        <w:t>Stevens-Johnson</w:t>
      </w:r>
      <w:r w:rsidRPr="007F7C6E">
        <w:rPr>
          <w:szCs w:val="22"/>
          <w:lang w:val="sr-Latn-ME"/>
        </w:rPr>
        <w:t>-ov sindrom (SJS), toksična epidermalna nekroliza (TEN) i akutna generalizovana egzantematozna pustuloza (AGEP) su prijavljene kod pacijenata koji su na terapiji klindamicinom. Ako postoji preos</w:t>
      </w:r>
      <w:r w:rsidR="008A4F4B" w:rsidRPr="007F7C6E">
        <w:rPr>
          <w:szCs w:val="22"/>
          <w:lang w:val="sr-Latn-ME"/>
        </w:rPr>
        <w:t>j</w:t>
      </w:r>
      <w:r w:rsidRPr="007F7C6E">
        <w:rPr>
          <w:szCs w:val="22"/>
          <w:lang w:val="sr-Latn-ME"/>
        </w:rPr>
        <w:t>etljivost ili teška kožna reakcija, terapij</w:t>
      </w:r>
      <w:r w:rsidR="00741553" w:rsidRPr="007F7C6E">
        <w:rPr>
          <w:szCs w:val="22"/>
          <w:lang w:val="sr-Latn-ME"/>
        </w:rPr>
        <w:t>a</w:t>
      </w:r>
      <w:r w:rsidRPr="007F7C6E">
        <w:rPr>
          <w:szCs w:val="22"/>
          <w:lang w:val="sr-Latn-ME"/>
        </w:rPr>
        <w:t xml:space="preserve"> klindamicinom </w:t>
      </w:r>
      <w:r w:rsidR="00741553" w:rsidRPr="007F7C6E">
        <w:rPr>
          <w:szCs w:val="22"/>
          <w:lang w:val="sr-Latn-ME"/>
        </w:rPr>
        <w:t xml:space="preserve">mora se </w:t>
      </w:r>
      <w:r w:rsidRPr="007F7C6E">
        <w:rPr>
          <w:szCs w:val="22"/>
          <w:lang w:val="sr-Latn-ME"/>
        </w:rPr>
        <w:t>prekinuti i započeti od</w:t>
      </w:r>
      <w:r w:rsidR="008A4F4B" w:rsidRPr="007F7C6E">
        <w:rPr>
          <w:szCs w:val="22"/>
          <w:lang w:val="sr-Latn-ME"/>
        </w:rPr>
        <w:t>go</w:t>
      </w:r>
      <w:r w:rsidRPr="007F7C6E">
        <w:rPr>
          <w:szCs w:val="22"/>
          <w:lang w:val="sr-Latn-ME"/>
        </w:rPr>
        <w:t>varaju</w:t>
      </w:r>
      <w:r w:rsidR="008A4F4B" w:rsidRPr="007F7C6E">
        <w:rPr>
          <w:szCs w:val="22"/>
          <w:lang w:val="sr-Latn-ME"/>
        </w:rPr>
        <w:t>ć</w:t>
      </w:r>
      <w:r w:rsidRPr="007F7C6E">
        <w:rPr>
          <w:szCs w:val="22"/>
          <w:lang w:val="sr-Latn-ME"/>
        </w:rPr>
        <w:t>u terapiju (</w:t>
      </w:r>
      <w:r w:rsidR="00741553" w:rsidRPr="007F7C6E">
        <w:rPr>
          <w:i/>
          <w:szCs w:val="22"/>
          <w:lang w:val="sr-Latn-ME"/>
        </w:rPr>
        <w:t xml:space="preserve">vidjeti </w:t>
      </w:r>
      <w:r w:rsidR="008A4F4B" w:rsidRPr="007F7C6E">
        <w:rPr>
          <w:i/>
          <w:szCs w:val="22"/>
          <w:lang w:val="sr-Latn-ME"/>
        </w:rPr>
        <w:t xml:space="preserve">djelove </w:t>
      </w:r>
      <w:r w:rsidRPr="007F7C6E">
        <w:rPr>
          <w:i/>
          <w:szCs w:val="22"/>
          <w:lang w:val="sr-Latn-ME"/>
        </w:rPr>
        <w:t>4.3 i 4.8</w:t>
      </w:r>
      <w:r w:rsidRPr="007F7C6E">
        <w:rPr>
          <w:szCs w:val="22"/>
          <w:lang w:val="sr-Latn-ME"/>
        </w:rPr>
        <w:t xml:space="preserve">). </w:t>
      </w:r>
    </w:p>
    <w:p w14:paraId="16F1B8DD" w14:textId="77777777" w:rsidR="00600462" w:rsidRPr="007F7C6E" w:rsidRDefault="00600462" w:rsidP="00600462">
      <w:pPr>
        <w:rPr>
          <w:szCs w:val="22"/>
          <w:lang w:val="sr-Latn-ME"/>
        </w:rPr>
      </w:pPr>
    </w:p>
    <w:p w14:paraId="524DBD64" w14:textId="63CF3C85" w:rsidR="00600462" w:rsidRPr="007F7C6E" w:rsidRDefault="00600462" w:rsidP="0001076C">
      <w:pPr>
        <w:tabs>
          <w:tab w:val="clear" w:pos="284"/>
        </w:tabs>
        <w:autoSpaceDE w:val="0"/>
        <w:autoSpaceDN w:val="0"/>
        <w:adjustRightInd w:val="0"/>
        <w:rPr>
          <w:b/>
          <w:bCs/>
          <w:szCs w:val="22"/>
          <w:lang w:val="sr-Latn-ME"/>
        </w:rPr>
      </w:pPr>
      <w:r w:rsidRPr="007F7C6E">
        <w:rPr>
          <w:b/>
          <w:bCs/>
          <w:szCs w:val="22"/>
          <w:lang w:val="sr-Latn-ME"/>
        </w:rPr>
        <w:t>M</w:t>
      </w:r>
      <w:r w:rsidR="00037FF3" w:rsidRPr="007F7C6E">
        <w:rPr>
          <w:b/>
          <w:bCs/>
          <w:szCs w:val="22"/>
          <w:lang w:val="sr-Latn-ME"/>
        </w:rPr>
        <w:t>j</w:t>
      </w:r>
      <w:r w:rsidRPr="007F7C6E">
        <w:rPr>
          <w:b/>
          <w:bCs/>
          <w:szCs w:val="22"/>
          <w:lang w:val="sr-Latn-ME"/>
        </w:rPr>
        <w:t>ere opreza</w:t>
      </w:r>
    </w:p>
    <w:p w14:paraId="0B678DA2" w14:textId="77777777" w:rsidR="00600462" w:rsidRPr="007F7C6E" w:rsidRDefault="00600462" w:rsidP="005E1030">
      <w:pPr>
        <w:rPr>
          <w:szCs w:val="22"/>
          <w:u w:val="single"/>
          <w:lang w:val="sr-Latn-ME"/>
        </w:rPr>
      </w:pPr>
      <w:r w:rsidRPr="007F7C6E">
        <w:rPr>
          <w:szCs w:val="22"/>
          <w:u w:val="single"/>
          <w:lang w:val="sr-Latn-ME"/>
        </w:rPr>
        <w:t xml:space="preserve">Dijareja povezana sa </w:t>
      </w:r>
      <w:r w:rsidRPr="007F7C6E">
        <w:rPr>
          <w:i/>
          <w:iCs/>
          <w:szCs w:val="22"/>
          <w:u w:val="single"/>
          <w:lang w:val="sr-Latn-ME"/>
        </w:rPr>
        <w:t>Clostridium difficile</w:t>
      </w:r>
      <w:r w:rsidRPr="007F7C6E">
        <w:rPr>
          <w:szCs w:val="22"/>
          <w:u w:val="single"/>
          <w:lang w:val="sr-Latn-ME"/>
        </w:rPr>
        <w:t xml:space="preserve"> </w:t>
      </w:r>
    </w:p>
    <w:p w14:paraId="1EB12D56" w14:textId="77777777" w:rsidR="00600462" w:rsidRPr="007F7C6E" w:rsidRDefault="00600462" w:rsidP="00220F9D">
      <w:pPr>
        <w:rPr>
          <w:szCs w:val="22"/>
          <w:lang w:val="sr-Latn-ME"/>
        </w:rPr>
      </w:pPr>
    </w:p>
    <w:p w14:paraId="0E24F989" w14:textId="4D3A66CE" w:rsidR="00600462" w:rsidRPr="007F7C6E" w:rsidRDefault="00600462" w:rsidP="00A05071">
      <w:pPr>
        <w:rPr>
          <w:szCs w:val="22"/>
          <w:lang w:val="sr-Latn-ME"/>
        </w:rPr>
      </w:pPr>
      <w:r w:rsidRPr="007F7C6E">
        <w:rPr>
          <w:szCs w:val="22"/>
          <w:lang w:val="sr-Latn-ME"/>
        </w:rPr>
        <w:t xml:space="preserve">Klindamicin treba koristiti samo za </w:t>
      </w:r>
      <w:r w:rsidR="00FB730F" w:rsidRPr="007F7C6E">
        <w:rPr>
          <w:szCs w:val="22"/>
          <w:lang w:val="sr-Latn-ME"/>
        </w:rPr>
        <w:t>liječenje</w:t>
      </w:r>
      <w:r w:rsidRPr="007F7C6E">
        <w:rPr>
          <w:szCs w:val="22"/>
          <w:lang w:val="sr-Latn-ME"/>
        </w:rPr>
        <w:t xml:space="preserve"> ozbiljnih infekcija. Prilikom razmatranja terapije klindamicinom </w:t>
      </w:r>
      <w:r w:rsidR="00037FF3" w:rsidRPr="007F7C6E">
        <w:rPr>
          <w:szCs w:val="22"/>
          <w:lang w:val="sr-Latn-ME"/>
        </w:rPr>
        <w:t>ljekar</w:t>
      </w:r>
      <w:r w:rsidRPr="007F7C6E">
        <w:rPr>
          <w:szCs w:val="22"/>
          <w:lang w:val="sr-Latn-ME"/>
        </w:rPr>
        <w:t xml:space="preserve"> treba da razmotri tip infekcije, ali i potencijalni rizik od nastanka dijareje koja se može javiti, jer su </w:t>
      </w:r>
      <w:r w:rsidR="008A4F4B" w:rsidRPr="007F7C6E">
        <w:rPr>
          <w:szCs w:val="22"/>
          <w:lang w:val="sr-Latn-ME"/>
        </w:rPr>
        <w:t>zabilježeni</w:t>
      </w:r>
      <w:r w:rsidRPr="007F7C6E">
        <w:rPr>
          <w:szCs w:val="22"/>
          <w:lang w:val="sr-Latn-ME"/>
        </w:rPr>
        <w:t xml:space="preserve"> slučajevi kolitisa u toku, kao i dv</w:t>
      </w:r>
      <w:r w:rsidR="008A4F4B" w:rsidRPr="007F7C6E">
        <w:rPr>
          <w:szCs w:val="22"/>
          <w:lang w:val="sr-Latn-ME"/>
        </w:rPr>
        <w:t>ij</w:t>
      </w:r>
      <w:r w:rsidRPr="007F7C6E">
        <w:rPr>
          <w:szCs w:val="22"/>
          <w:lang w:val="sr-Latn-ME"/>
        </w:rPr>
        <w:t>e do tri ned</w:t>
      </w:r>
      <w:r w:rsidR="00A05071" w:rsidRPr="007F7C6E">
        <w:rPr>
          <w:szCs w:val="22"/>
          <w:lang w:val="sr-Latn-ME"/>
        </w:rPr>
        <w:t>j</w:t>
      </w:r>
      <w:r w:rsidRPr="007F7C6E">
        <w:rPr>
          <w:szCs w:val="22"/>
          <w:lang w:val="sr-Latn-ME"/>
        </w:rPr>
        <w:t>elje nakon prestanka prim</w:t>
      </w:r>
      <w:r w:rsidR="008A4F4B" w:rsidRPr="007F7C6E">
        <w:rPr>
          <w:szCs w:val="22"/>
          <w:lang w:val="sr-Latn-ME"/>
        </w:rPr>
        <w:t>j</w:t>
      </w:r>
      <w:r w:rsidRPr="007F7C6E">
        <w:rPr>
          <w:szCs w:val="22"/>
          <w:lang w:val="sr-Latn-ME"/>
        </w:rPr>
        <w:t xml:space="preserve">ene klindamicina. </w:t>
      </w:r>
    </w:p>
    <w:p w14:paraId="3B85C693" w14:textId="7464887C" w:rsidR="00600462" w:rsidRPr="007F7C6E" w:rsidRDefault="00600462" w:rsidP="002E3841">
      <w:pPr>
        <w:rPr>
          <w:szCs w:val="22"/>
          <w:lang w:val="sr-Latn-ME"/>
        </w:rPr>
      </w:pPr>
      <w:r w:rsidRPr="007F7C6E">
        <w:rPr>
          <w:szCs w:val="22"/>
          <w:lang w:val="sr-Latn-ME"/>
        </w:rPr>
        <w:t>Antibiotici dovode do poremećaja normalne cr</w:t>
      </w:r>
      <w:r w:rsidR="008A4F4B" w:rsidRPr="007F7C6E">
        <w:rPr>
          <w:szCs w:val="22"/>
          <w:lang w:val="sr-Latn-ME"/>
        </w:rPr>
        <w:t>ij</w:t>
      </w:r>
      <w:r w:rsidRPr="007F7C6E">
        <w:rPr>
          <w:szCs w:val="22"/>
          <w:lang w:val="sr-Latn-ME"/>
        </w:rPr>
        <w:t>evne flore i pret</w:t>
      </w:r>
      <w:r w:rsidR="008A4F4B" w:rsidRPr="007F7C6E">
        <w:rPr>
          <w:szCs w:val="22"/>
          <w:lang w:val="sr-Latn-ME"/>
        </w:rPr>
        <w:t>j</w:t>
      </w:r>
      <w:r w:rsidRPr="007F7C6E">
        <w:rPr>
          <w:szCs w:val="22"/>
          <w:lang w:val="sr-Latn-ME"/>
        </w:rPr>
        <w:t xml:space="preserve">eranog rasta </w:t>
      </w:r>
      <w:r w:rsidRPr="007F7C6E">
        <w:rPr>
          <w:i/>
          <w:szCs w:val="22"/>
          <w:lang w:val="sr-Latn-ME"/>
        </w:rPr>
        <w:t>C.difficile.</w:t>
      </w:r>
      <w:r w:rsidRPr="007F7C6E">
        <w:rPr>
          <w:szCs w:val="22"/>
          <w:lang w:val="sr-Latn-ME"/>
        </w:rPr>
        <w:t xml:space="preserve"> Kolitis nastao zbog </w:t>
      </w:r>
      <w:r w:rsidRPr="007F7C6E">
        <w:rPr>
          <w:i/>
          <w:szCs w:val="22"/>
          <w:lang w:val="sr-Latn-ME"/>
        </w:rPr>
        <w:t xml:space="preserve">Clostridium difficile </w:t>
      </w:r>
      <w:r w:rsidRPr="007F7C6E">
        <w:rPr>
          <w:szCs w:val="22"/>
          <w:lang w:val="sr-Latn-ME"/>
        </w:rPr>
        <w:t xml:space="preserve">je prijavljen prilikom upotrebe skoro svih antibiotika (uključujući i klindamicin). </w:t>
      </w:r>
    </w:p>
    <w:p w14:paraId="161FCC06" w14:textId="324608FF" w:rsidR="00600462" w:rsidRPr="007F7C6E" w:rsidRDefault="00600462" w:rsidP="00A05071">
      <w:pPr>
        <w:tabs>
          <w:tab w:val="clear" w:pos="284"/>
        </w:tabs>
        <w:autoSpaceDE w:val="0"/>
        <w:autoSpaceDN w:val="0"/>
        <w:adjustRightInd w:val="0"/>
        <w:rPr>
          <w:szCs w:val="22"/>
          <w:lang w:val="sr-Latn-ME"/>
        </w:rPr>
      </w:pPr>
      <w:r w:rsidRPr="007F7C6E">
        <w:rPr>
          <w:i/>
          <w:iCs/>
          <w:szCs w:val="22"/>
          <w:lang w:val="sr-Latn-ME"/>
        </w:rPr>
        <w:t>Clostridium difficile</w:t>
      </w:r>
      <w:r w:rsidRPr="007F7C6E">
        <w:rPr>
          <w:szCs w:val="22"/>
          <w:lang w:val="sr-Latn-ME"/>
        </w:rPr>
        <w:t xml:space="preserve"> proizvodi toksine A i B koji doprinose razvoju dijareje povezane sa </w:t>
      </w:r>
      <w:r w:rsidRPr="007F7C6E">
        <w:rPr>
          <w:i/>
          <w:iCs/>
          <w:szCs w:val="22"/>
          <w:lang w:val="sr-Latn-ME"/>
        </w:rPr>
        <w:t>Clostridium difficile</w:t>
      </w:r>
      <w:r w:rsidRPr="007F7C6E">
        <w:rPr>
          <w:szCs w:val="22"/>
          <w:lang w:val="sr-Latn-ME"/>
        </w:rPr>
        <w:t xml:space="preserve"> (CDAD) i primarni je uzrok kolitisa povezanog sa upotrebom antibiotika.</w:t>
      </w:r>
      <w:r w:rsidR="00A05071" w:rsidRPr="007F7C6E">
        <w:rPr>
          <w:szCs w:val="22"/>
          <w:lang w:val="sr-Latn-ME"/>
        </w:rPr>
        <w:t xml:space="preserve"> </w:t>
      </w:r>
    </w:p>
    <w:p w14:paraId="648E96BA" w14:textId="77777777" w:rsidR="00A05071" w:rsidRPr="007F7C6E" w:rsidRDefault="00A05071" w:rsidP="002E3841">
      <w:pPr>
        <w:tabs>
          <w:tab w:val="clear" w:pos="284"/>
        </w:tabs>
        <w:autoSpaceDE w:val="0"/>
        <w:autoSpaceDN w:val="0"/>
        <w:adjustRightInd w:val="0"/>
        <w:rPr>
          <w:szCs w:val="22"/>
          <w:lang w:val="sr-Latn-ME"/>
        </w:rPr>
      </w:pPr>
    </w:p>
    <w:p w14:paraId="5CE2B4C1" w14:textId="0AAA9163" w:rsidR="00600462" w:rsidRPr="007F7C6E" w:rsidRDefault="00600462">
      <w:pPr>
        <w:rPr>
          <w:szCs w:val="22"/>
          <w:lang w:val="sr-Latn-ME"/>
        </w:rPr>
      </w:pPr>
      <w:r w:rsidRPr="007F7C6E">
        <w:rPr>
          <w:szCs w:val="22"/>
          <w:lang w:val="sr-Latn-ME"/>
        </w:rPr>
        <w:t>Kolitis je bolest koja može imati klinički spektar od blage, vodene dijareje to teške, dugotrajne dijareje, praćene leukocitozom, groznicom ili teškim abdominalnim grčevima (koji mogu biti povezani sa prolaskom krvi i mukusa). Ukoliko se ne prim</w:t>
      </w:r>
      <w:r w:rsidR="008A4F4B" w:rsidRPr="007F7C6E">
        <w:rPr>
          <w:szCs w:val="22"/>
          <w:lang w:val="sr-Latn-ME"/>
        </w:rPr>
        <w:t>ij</w:t>
      </w:r>
      <w:r w:rsidRPr="007F7C6E">
        <w:rPr>
          <w:szCs w:val="22"/>
          <w:lang w:val="sr-Latn-ME"/>
        </w:rPr>
        <w:t>eni odgovarajuća terapija, može doći do razvoja peritonitisa, šoka i toksičnog megakolona, koji može biti fatalan.</w:t>
      </w:r>
    </w:p>
    <w:p w14:paraId="4C98280E" w14:textId="77777777" w:rsidR="00A05071" w:rsidRPr="007F7C6E" w:rsidRDefault="00A05071">
      <w:pPr>
        <w:rPr>
          <w:szCs w:val="22"/>
          <w:lang w:val="sr-Latn-ME"/>
        </w:rPr>
      </w:pPr>
    </w:p>
    <w:p w14:paraId="003D4142" w14:textId="74EF1B4E" w:rsidR="00600462" w:rsidRPr="007F7C6E" w:rsidRDefault="00600462">
      <w:pPr>
        <w:rPr>
          <w:szCs w:val="22"/>
          <w:lang w:val="sr-Latn-ME"/>
        </w:rPr>
      </w:pPr>
      <w:r w:rsidRPr="007F7C6E">
        <w:rPr>
          <w:szCs w:val="22"/>
          <w:lang w:val="sr-Latn-ME"/>
        </w:rPr>
        <w:t xml:space="preserve">Teži oblici dijareje češće se javljaju kod starijih ili oslabljenih pacijenata. Dijagnoza se obično postavlja na osnovu kliničke slike, ali može biti potkrepljena i endoskopskom potvrdom pseudomembranoznog kolitisa. Prisustvo oboljenja dalje je moguće potvrditi pregledom kulture stolice na </w:t>
      </w:r>
      <w:r w:rsidRPr="007F7C6E">
        <w:rPr>
          <w:i/>
          <w:szCs w:val="22"/>
          <w:lang w:val="sr-Latn-ME"/>
        </w:rPr>
        <w:t xml:space="preserve">Clostridium difficile, </w:t>
      </w:r>
      <w:r w:rsidRPr="007F7C6E">
        <w:rPr>
          <w:szCs w:val="22"/>
          <w:lang w:val="sr-Latn-ME"/>
        </w:rPr>
        <w:t xml:space="preserve">kao i testiranjem uzoraka stolice na toksine </w:t>
      </w:r>
      <w:r w:rsidRPr="007F7C6E">
        <w:rPr>
          <w:i/>
          <w:szCs w:val="22"/>
          <w:lang w:val="sr-Latn-ME"/>
        </w:rPr>
        <w:t>C. difficile.</w:t>
      </w:r>
      <w:r w:rsidRPr="007F7C6E">
        <w:rPr>
          <w:szCs w:val="22"/>
          <w:lang w:val="sr-Latn-ME"/>
        </w:rPr>
        <w:t xml:space="preserve"> </w:t>
      </w:r>
    </w:p>
    <w:p w14:paraId="13F77474" w14:textId="77777777" w:rsidR="00A05071" w:rsidRPr="007F7C6E" w:rsidRDefault="00A05071">
      <w:pPr>
        <w:rPr>
          <w:szCs w:val="22"/>
          <w:lang w:val="sr-Latn-ME"/>
        </w:rPr>
      </w:pPr>
    </w:p>
    <w:p w14:paraId="366A4573" w14:textId="3C2A7897" w:rsidR="00600462" w:rsidRPr="007F7C6E" w:rsidRDefault="00600462">
      <w:pPr>
        <w:rPr>
          <w:szCs w:val="22"/>
          <w:lang w:val="sr-Latn-ME"/>
        </w:rPr>
      </w:pPr>
      <w:r w:rsidRPr="007F7C6E">
        <w:rPr>
          <w:szCs w:val="22"/>
          <w:lang w:val="sr-Latn-ME"/>
        </w:rPr>
        <w:t xml:space="preserve">Na dijareju (nastala zbog </w:t>
      </w:r>
      <w:r w:rsidRPr="007F7C6E">
        <w:rPr>
          <w:i/>
          <w:szCs w:val="22"/>
          <w:lang w:val="sr-Latn-ME"/>
        </w:rPr>
        <w:t xml:space="preserve">C.difficile) </w:t>
      </w:r>
      <w:r w:rsidRPr="007F7C6E">
        <w:rPr>
          <w:szCs w:val="22"/>
          <w:lang w:val="sr-Latn-ME"/>
        </w:rPr>
        <w:t>treba uv</w:t>
      </w:r>
      <w:r w:rsidR="008A4F4B" w:rsidRPr="007F7C6E">
        <w:rPr>
          <w:szCs w:val="22"/>
          <w:lang w:val="sr-Latn-ME"/>
        </w:rPr>
        <w:t>ij</w:t>
      </w:r>
      <w:r w:rsidRPr="007F7C6E">
        <w:rPr>
          <w:szCs w:val="22"/>
          <w:lang w:val="sr-Latn-ME"/>
        </w:rPr>
        <w:t>ek pomisliti kod pacijenata koji su na terapiji antibioticima. Dijareja može progredirati do kolitisa, uključujući pseudomembranozni kolitis (</w:t>
      </w:r>
      <w:r w:rsidR="00A05071" w:rsidRPr="007F7C6E">
        <w:rPr>
          <w:szCs w:val="22"/>
          <w:lang w:val="sr-Latn-ME"/>
        </w:rPr>
        <w:t xml:space="preserve">vidjeti </w:t>
      </w:r>
      <w:r w:rsidR="008A4F4B" w:rsidRPr="007F7C6E">
        <w:rPr>
          <w:szCs w:val="22"/>
          <w:lang w:val="sr-Latn-ME"/>
        </w:rPr>
        <w:t xml:space="preserve">dio </w:t>
      </w:r>
      <w:r w:rsidRPr="007F7C6E">
        <w:rPr>
          <w:szCs w:val="22"/>
          <w:lang w:val="sr-Latn-ME"/>
        </w:rPr>
        <w:t>4.8), a koji po težini kliničke slike može varirati od blagog do fatalnog. Ukoliko se posumnja ili se potvrdi nastanak dijareje ili kolitisa povezanog sa prim</w:t>
      </w:r>
      <w:r w:rsidR="008A4F4B" w:rsidRPr="007F7C6E">
        <w:rPr>
          <w:szCs w:val="22"/>
          <w:lang w:val="sr-Latn-ME"/>
        </w:rPr>
        <w:t>j</w:t>
      </w:r>
      <w:r w:rsidRPr="007F7C6E">
        <w:rPr>
          <w:szCs w:val="22"/>
          <w:lang w:val="sr-Latn-ME"/>
        </w:rPr>
        <w:t xml:space="preserve">enom antibiotika, </w:t>
      </w:r>
      <w:r w:rsidR="00A05071" w:rsidRPr="007F7C6E">
        <w:rPr>
          <w:szCs w:val="22"/>
          <w:lang w:val="sr-Latn-ME"/>
        </w:rPr>
        <w:t>mora se</w:t>
      </w:r>
      <w:r w:rsidRPr="007F7C6E">
        <w:rPr>
          <w:szCs w:val="22"/>
          <w:lang w:val="sr-Latn-ME"/>
        </w:rPr>
        <w:t xml:space="preserve"> hitno obustaviti dalj</w:t>
      </w:r>
      <w:r w:rsidR="00A05071" w:rsidRPr="007F7C6E">
        <w:rPr>
          <w:szCs w:val="22"/>
          <w:lang w:val="sr-Latn-ME"/>
        </w:rPr>
        <w:t>a</w:t>
      </w:r>
      <w:r w:rsidRPr="007F7C6E">
        <w:rPr>
          <w:szCs w:val="22"/>
          <w:lang w:val="sr-Latn-ME"/>
        </w:rPr>
        <w:t xml:space="preserve"> prim</w:t>
      </w:r>
      <w:r w:rsidR="008A4F4B" w:rsidRPr="007F7C6E">
        <w:rPr>
          <w:szCs w:val="22"/>
          <w:lang w:val="sr-Latn-ME"/>
        </w:rPr>
        <w:t>j</w:t>
      </w:r>
      <w:r w:rsidRPr="007F7C6E">
        <w:rPr>
          <w:szCs w:val="22"/>
          <w:lang w:val="sr-Latn-ME"/>
        </w:rPr>
        <w:t>en</w:t>
      </w:r>
      <w:r w:rsidR="00A05071" w:rsidRPr="007F7C6E">
        <w:rPr>
          <w:szCs w:val="22"/>
          <w:lang w:val="sr-Latn-ME"/>
        </w:rPr>
        <w:t>a</w:t>
      </w:r>
      <w:r w:rsidRPr="007F7C6E">
        <w:rPr>
          <w:szCs w:val="22"/>
          <w:lang w:val="sr-Latn-ME"/>
        </w:rPr>
        <w:t xml:space="preserve"> antibiotika, uključujući i klindamicin i prim</w:t>
      </w:r>
      <w:r w:rsidR="008A4F4B" w:rsidRPr="007F7C6E">
        <w:rPr>
          <w:szCs w:val="22"/>
          <w:lang w:val="sr-Latn-ME"/>
        </w:rPr>
        <w:t>ij</w:t>
      </w:r>
      <w:r w:rsidRPr="007F7C6E">
        <w:rPr>
          <w:szCs w:val="22"/>
          <w:lang w:val="sr-Latn-ME"/>
        </w:rPr>
        <w:t>eniti odgovarajuće terapijske m</w:t>
      </w:r>
      <w:r w:rsidR="008A4F4B" w:rsidRPr="007F7C6E">
        <w:rPr>
          <w:szCs w:val="22"/>
          <w:lang w:val="sr-Latn-ME"/>
        </w:rPr>
        <w:t>j</w:t>
      </w:r>
      <w:r w:rsidRPr="007F7C6E">
        <w:rPr>
          <w:szCs w:val="22"/>
          <w:lang w:val="sr-Latn-ME"/>
        </w:rPr>
        <w:t xml:space="preserve">ere. </w:t>
      </w:r>
      <w:r w:rsidR="00037FF3" w:rsidRPr="007F7C6E">
        <w:rPr>
          <w:szCs w:val="22"/>
          <w:lang w:val="sr-Latn-ME"/>
        </w:rPr>
        <w:t>Ljekovi</w:t>
      </w:r>
      <w:r w:rsidRPr="007F7C6E">
        <w:rPr>
          <w:szCs w:val="22"/>
          <w:lang w:val="sr-Latn-ME"/>
        </w:rPr>
        <w:t xml:space="preserve"> koji inhibiraju peristaltiku cr</w:t>
      </w:r>
      <w:r w:rsidR="008A4F4B" w:rsidRPr="007F7C6E">
        <w:rPr>
          <w:szCs w:val="22"/>
          <w:lang w:val="sr-Latn-ME"/>
        </w:rPr>
        <w:t>ij</w:t>
      </w:r>
      <w:r w:rsidRPr="007F7C6E">
        <w:rPr>
          <w:szCs w:val="22"/>
          <w:lang w:val="sr-Latn-ME"/>
        </w:rPr>
        <w:t>eva su kontraindikovani u ovoj situaciji.</w:t>
      </w:r>
    </w:p>
    <w:p w14:paraId="25F72AD0" w14:textId="77777777" w:rsidR="00600462" w:rsidRPr="007F7C6E" w:rsidRDefault="00600462">
      <w:pPr>
        <w:rPr>
          <w:szCs w:val="22"/>
          <w:lang w:val="sr-Latn-ME"/>
        </w:rPr>
      </w:pPr>
    </w:p>
    <w:p w14:paraId="3C8D9B23" w14:textId="35322AF3" w:rsidR="00841598" w:rsidRPr="007F7C6E" w:rsidRDefault="00600462">
      <w:pPr>
        <w:rPr>
          <w:szCs w:val="22"/>
          <w:lang w:val="sr-Latn-ME"/>
        </w:rPr>
      </w:pPr>
      <w:r w:rsidRPr="007F7C6E">
        <w:rPr>
          <w:szCs w:val="22"/>
          <w:lang w:val="sr-Latn-ME"/>
        </w:rPr>
        <w:t>Poseban oprez je potreban prilikom prim</w:t>
      </w:r>
      <w:r w:rsidR="008A4F4B" w:rsidRPr="007F7C6E">
        <w:rPr>
          <w:szCs w:val="22"/>
          <w:lang w:val="sr-Latn-ME"/>
        </w:rPr>
        <w:t>j</w:t>
      </w:r>
      <w:r w:rsidRPr="007F7C6E">
        <w:rPr>
          <w:szCs w:val="22"/>
          <w:lang w:val="sr-Latn-ME"/>
        </w:rPr>
        <w:t>ene klindamicina kod pacijenata koji u istoriji bolesti imaju neko gastrointestinalno oboljenje, a posebno kolitis.</w:t>
      </w:r>
    </w:p>
    <w:p w14:paraId="29ECDA77" w14:textId="77777777" w:rsidR="00600462" w:rsidRPr="007F7C6E" w:rsidRDefault="00600462">
      <w:pPr>
        <w:rPr>
          <w:szCs w:val="22"/>
          <w:lang w:val="sr-Latn-ME"/>
        </w:rPr>
      </w:pPr>
    </w:p>
    <w:p w14:paraId="595FE6D5" w14:textId="01F7E579" w:rsidR="00821C22" w:rsidRPr="007F7C6E" w:rsidRDefault="00821C22">
      <w:pPr>
        <w:tabs>
          <w:tab w:val="clear" w:pos="284"/>
        </w:tabs>
        <w:autoSpaceDE w:val="0"/>
        <w:autoSpaceDN w:val="0"/>
        <w:adjustRightInd w:val="0"/>
        <w:rPr>
          <w:szCs w:val="22"/>
          <w:u w:val="single"/>
          <w:lang w:val="sr-Latn-ME"/>
        </w:rPr>
      </w:pPr>
      <w:r w:rsidRPr="007F7C6E">
        <w:rPr>
          <w:szCs w:val="22"/>
          <w:u w:val="single"/>
          <w:lang w:val="sr-Latn-ME"/>
        </w:rPr>
        <w:t>Neos</w:t>
      </w:r>
      <w:r w:rsidR="00CD1386" w:rsidRPr="007F7C6E">
        <w:rPr>
          <w:szCs w:val="22"/>
          <w:u w:val="single"/>
          <w:lang w:val="sr-Latn-ME"/>
        </w:rPr>
        <w:t>j</w:t>
      </w:r>
      <w:r w:rsidRPr="007F7C6E">
        <w:rPr>
          <w:szCs w:val="22"/>
          <w:u w:val="single"/>
          <w:lang w:val="sr-Latn-ME"/>
        </w:rPr>
        <w:t>etljivi organizmi</w:t>
      </w:r>
    </w:p>
    <w:p w14:paraId="359BBB64" w14:textId="4460FD7D" w:rsidR="00821C22" w:rsidRPr="007F7C6E" w:rsidRDefault="00821C22">
      <w:pPr>
        <w:tabs>
          <w:tab w:val="clear" w:pos="284"/>
        </w:tabs>
        <w:autoSpaceDE w:val="0"/>
        <w:autoSpaceDN w:val="0"/>
        <w:adjustRightInd w:val="0"/>
        <w:rPr>
          <w:szCs w:val="22"/>
          <w:lang w:val="sr-Latn-ME"/>
        </w:rPr>
      </w:pPr>
      <w:r w:rsidRPr="007F7C6E">
        <w:rPr>
          <w:szCs w:val="22"/>
          <w:lang w:val="sr-Latn-ME"/>
        </w:rPr>
        <w:t>Upotreba klindamicin</w:t>
      </w:r>
      <w:r w:rsidR="00CD1386" w:rsidRPr="007F7C6E">
        <w:rPr>
          <w:szCs w:val="22"/>
          <w:lang w:val="sr-Latn-ME"/>
        </w:rPr>
        <w:t xml:space="preserve"> </w:t>
      </w:r>
      <w:r w:rsidRPr="007F7C6E">
        <w:rPr>
          <w:szCs w:val="22"/>
          <w:lang w:val="sr-Latn-ME"/>
        </w:rPr>
        <w:t>fosfata mo</w:t>
      </w:r>
      <w:r w:rsidR="00923FC7" w:rsidRPr="007F7C6E">
        <w:rPr>
          <w:szCs w:val="22"/>
          <w:lang w:val="sr-Latn-ME"/>
        </w:rPr>
        <w:t>ž</w:t>
      </w:r>
      <w:r w:rsidRPr="007F7C6E">
        <w:rPr>
          <w:szCs w:val="22"/>
          <w:lang w:val="sr-Latn-ME"/>
        </w:rPr>
        <w:t>e dovesti do prekom</w:t>
      </w:r>
      <w:r w:rsidR="008A4F4B" w:rsidRPr="007F7C6E">
        <w:rPr>
          <w:szCs w:val="22"/>
          <w:lang w:val="sr-Latn-ME"/>
        </w:rPr>
        <w:t>j</w:t>
      </w:r>
      <w:r w:rsidRPr="007F7C6E">
        <w:rPr>
          <w:szCs w:val="22"/>
          <w:lang w:val="sr-Latn-ME"/>
        </w:rPr>
        <w:t>ernog rasta neos</w:t>
      </w:r>
      <w:r w:rsidR="008A4F4B" w:rsidRPr="007F7C6E">
        <w:rPr>
          <w:szCs w:val="22"/>
          <w:lang w:val="sr-Latn-ME"/>
        </w:rPr>
        <w:t>j</w:t>
      </w:r>
      <w:r w:rsidRPr="007F7C6E">
        <w:rPr>
          <w:szCs w:val="22"/>
          <w:lang w:val="sr-Latn-ME"/>
        </w:rPr>
        <w:t>etljivih organizama, posebno</w:t>
      </w:r>
      <w:r w:rsidR="00923FC7" w:rsidRPr="007F7C6E">
        <w:rPr>
          <w:szCs w:val="22"/>
          <w:lang w:val="sr-Latn-ME"/>
        </w:rPr>
        <w:t xml:space="preserve"> </w:t>
      </w:r>
      <w:r w:rsidRPr="007F7C6E">
        <w:rPr>
          <w:szCs w:val="22"/>
          <w:lang w:val="sr-Latn-ME"/>
        </w:rPr>
        <w:t>kvasaca.</w:t>
      </w:r>
    </w:p>
    <w:p w14:paraId="52E4D273" w14:textId="2FD54B11" w:rsidR="00A15E82" w:rsidRPr="007F7C6E" w:rsidRDefault="00A15E82">
      <w:pPr>
        <w:tabs>
          <w:tab w:val="clear" w:pos="284"/>
        </w:tabs>
        <w:autoSpaceDE w:val="0"/>
        <w:autoSpaceDN w:val="0"/>
        <w:adjustRightInd w:val="0"/>
        <w:rPr>
          <w:szCs w:val="22"/>
          <w:lang w:val="sr-Latn-ME"/>
        </w:rPr>
      </w:pPr>
      <w:r w:rsidRPr="007F7C6E">
        <w:rPr>
          <w:szCs w:val="22"/>
          <w:lang w:val="sr-Latn-ME"/>
        </w:rPr>
        <w:t>Produžena upotreba antibiotika, pa i klindamicina, može dovesti do superinfekcije mikroorganizmima rezistentnim na te antibiotike.</w:t>
      </w:r>
    </w:p>
    <w:p w14:paraId="3727A643" w14:textId="77777777" w:rsidR="00821C22" w:rsidRPr="007F7C6E" w:rsidRDefault="00821C22">
      <w:pPr>
        <w:tabs>
          <w:tab w:val="clear" w:pos="284"/>
        </w:tabs>
        <w:autoSpaceDE w:val="0"/>
        <w:autoSpaceDN w:val="0"/>
        <w:adjustRightInd w:val="0"/>
        <w:rPr>
          <w:szCs w:val="22"/>
          <w:lang w:val="sr-Latn-ME"/>
        </w:rPr>
      </w:pPr>
    </w:p>
    <w:p w14:paraId="6E7A8AD8" w14:textId="0AE6EEF9" w:rsidR="00600462" w:rsidRPr="007F7C6E" w:rsidRDefault="00821C22">
      <w:pPr>
        <w:rPr>
          <w:szCs w:val="22"/>
          <w:u w:val="single"/>
          <w:lang w:val="sr-Latn-ME"/>
        </w:rPr>
      </w:pPr>
      <w:r w:rsidRPr="007F7C6E">
        <w:rPr>
          <w:szCs w:val="22"/>
          <w:u w:val="single"/>
          <w:lang w:val="sr-Latn-ME"/>
        </w:rPr>
        <w:t>Difuzija klindamicina u cerebrospinalnu te</w:t>
      </w:r>
      <w:r w:rsidR="00923FC7" w:rsidRPr="007F7C6E">
        <w:rPr>
          <w:szCs w:val="22"/>
          <w:u w:val="single"/>
          <w:lang w:val="sr-Latn-ME"/>
        </w:rPr>
        <w:t>č</w:t>
      </w:r>
      <w:r w:rsidRPr="007F7C6E">
        <w:rPr>
          <w:szCs w:val="22"/>
          <w:u w:val="single"/>
          <w:lang w:val="sr-Latn-ME"/>
        </w:rPr>
        <w:t>nost</w:t>
      </w:r>
    </w:p>
    <w:p w14:paraId="3C8D9B24" w14:textId="215BB60B" w:rsidR="00841598" w:rsidRPr="007F7C6E" w:rsidRDefault="00841598">
      <w:pPr>
        <w:rPr>
          <w:szCs w:val="22"/>
          <w:lang w:val="sr-Latn-ME"/>
        </w:rPr>
      </w:pPr>
      <w:r w:rsidRPr="007F7C6E">
        <w:rPr>
          <w:szCs w:val="22"/>
          <w:lang w:val="sr-Latn-ME"/>
        </w:rPr>
        <w:t>Klindamicin ne prolazi hematoencefalnu barijeru u dovoljnoj količini da bi postigao terapijske koncentracije u cerebrospinalnoj tečnosti, pa ga ne bi trebalo prim</w:t>
      </w:r>
      <w:r w:rsidR="008A4F4B" w:rsidRPr="007F7C6E">
        <w:rPr>
          <w:szCs w:val="22"/>
          <w:lang w:val="sr-Latn-ME"/>
        </w:rPr>
        <w:t>j</w:t>
      </w:r>
      <w:r w:rsidRPr="007F7C6E">
        <w:rPr>
          <w:szCs w:val="22"/>
          <w:lang w:val="sr-Latn-ME"/>
        </w:rPr>
        <w:t xml:space="preserve">enjivati u terapiji meningitisa. </w:t>
      </w:r>
    </w:p>
    <w:p w14:paraId="3C8D9B25" w14:textId="77777777" w:rsidR="00841598" w:rsidRPr="007F7C6E" w:rsidRDefault="00841598">
      <w:pPr>
        <w:rPr>
          <w:szCs w:val="22"/>
          <w:lang w:val="sr-Latn-ME"/>
        </w:rPr>
      </w:pPr>
    </w:p>
    <w:p w14:paraId="37C32DFA" w14:textId="0647E959" w:rsidR="00DB75E8" w:rsidRPr="007F7C6E" w:rsidRDefault="00DB75E8">
      <w:pPr>
        <w:rPr>
          <w:szCs w:val="22"/>
          <w:u w:val="single"/>
          <w:lang w:val="sr-Latn-ME"/>
        </w:rPr>
      </w:pPr>
      <w:r w:rsidRPr="007F7C6E">
        <w:rPr>
          <w:szCs w:val="22"/>
          <w:u w:val="single"/>
          <w:lang w:val="sr-Latn-ME"/>
        </w:rPr>
        <w:t>Testovi funkcije jetre i bubrega tokom produ</w:t>
      </w:r>
      <w:r w:rsidR="00923FC7" w:rsidRPr="007F7C6E">
        <w:rPr>
          <w:szCs w:val="22"/>
          <w:u w:val="single"/>
          <w:lang w:val="sr-Latn-ME"/>
        </w:rPr>
        <w:t>ž</w:t>
      </w:r>
      <w:r w:rsidRPr="007F7C6E">
        <w:rPr>
          <w:szCs w:val="22"/>
          <w:u w:val="single"/>
          <w:lang w:val="sr-Latn-ME"/>
        </w:rPr>
        <w:t>ene terapije</w:t>
      </w:r>
    </w:p>
    <w:p w14:paraId="3C8D9B26" w14:textId="226B98D1" w:rsidR="00841598" w:rsidRPr="007F7C6E" w:rsidRDefault="00841598">
      <w:pPr>
        <w:rPr>
          <w:szCs w:val="22"/>
          <w:lang w:val="sr-Latn-ME"/>
        </w:rPr>
      </w:pPr>
      <w:r w:rsidRPr="007F7C6E">
        <w:rPr>
          <w:szCs w:val="22"/>
          <w:lang w:val="sr-Latn-ME"/>
        </w:rPr>
        <w:t>U slučaju produžene terapije potrebno je periodično praćenje krvne slike, kao i testova funkcije jetre i bubrega. Ovakav monitoring s</w:t>
      </w:r>
      <w:r w:rsidR="00D76D49" w:rsidRPr="007F7C6E">
        <w:rPr>
          <w:szCs w:val="22"/>
          <w:lang w:val="sr-Latn-ME"/>
        </w:rPr>
        <w:t xml:space="preserve">e preporučuje i kod </w:t>
      </w:r>
      <w:r w:rsidRPr="007F7C6E">
        <w:rPr>
          <w:szCs w:val="22"/>
          <w:lang w:val="sr-Latn-ME"/>
        </w:rPr>
        <w:t>odojčadi</w:t>
      </w:r>
      <w:r w:rsidR="00D76D49" w:rsidRPr="007F7C6E">
        <w:rPr>
          <w:szCs w:val="22"/>
          <w:lang w:val="sr-Latn-ME"/>
        </w:rPr>
        <w:t xml:space="preserve"> starosti manje od godinu dana</w:t>
      </w:r>
      <w:r w:rsidRPr="007F7C6E">
        <w:rPr>
          <w:szCs w:val="22"/>
          <w:lang w:val="sr-Latn-ME"/>
        </w:rPr>
        <w:t>. Bezb</w:t>
      </w:r>
      <w:r w:rsidR="008A4F4B" w:rsidRPr="007F7C6E">
        <w:rPr>
          <w:szCs w:val="22"/>
          <w:lang w:val="sr-Latn-ME"/>
        </w:rPr>
        <w:t>j</w:t>
      </w:r>
      <w:r w:rsidRPr="007F7C6E">
        <w:rPr>
          <w:szCs w:val="22"/>
          <w:lang w:val="sr-Latn-ME"/>
        </w:rPr>
        <w:t>ednost i odgovarajuće doziranje kod odojčadi starosti manje od m</w:t>
      </w:r>
      <w:r w:rsidR="008A4F4B" w:rsidRPr="007F7C6E">
        <w:rPr>
          <w:szCs w:val="22"/>
          <w:lang w:val="sr-Latn-ME"/>
        </w:rPr>
        <w:t>j</w:t>
      </w:r>
      <w:r w:rsidRPr="007F7C6E">
        <w:rPr>
          <w:szCs w:val="22"/>
          <w:lang w:val="sr-Latn-ME"/>
        </w:rPr>
        <w:t>esec dana ni</w:t>
      </w:r>
      <w:r w:rsidR="00CD1386" w:rsidRPr="007F7C6E">
        <w:rPr>
          <w:szCs w:val="22"/>
          <w:lang w:val="sr-Latn-ME"/>
        </w:rPr>
        <w:t>je</w:t>
      </w:r>
      <w:r w:rsidRPr="007F7C6E">
        <w:rPr>
          <w:szCs w:val="22"/>
          <w:lang w:val="sr-Latn-ME"/>
        </w:rPr>
        <w:t xml:space="preserve">su do kraja utvrđeni. </w:t>
      </w:r>
    </w:p>
    <w:p w14:paraId="4BBF81C9" w14:textId="77777777" w:rsidR="00F67A51" w:rsidRPr="007F7C6E" w:rsidRDefault="00F67A51">
      <w:pPr>
        <w:rPr>
          <w:szCs w:val="22"/>
          <w:lang w:val="sr-Latn-ME"/>
        </w:rPr>
      </w:pPr>
    </w:p>
    <w:p w14:paraId="5C7D40D8" w14:textId="57E98CEF" w:rsidR="00F67A51" w:rsidRPr="007F7C6E" w:rsidRDefault="00F67A51">
      <w:pPr>
        <w:tabs>
          <w:tab w:val="clear" w:pos="284"/>
        </w:tabs>
        <w:autoSpaceDE w:val="0"/>
        <w:autoSpaceDN w:val="0"/>
        <w:adjustRightInd w:val="0"/>
        <w:rPr>
          <w:szCs w:val="22"/>
          <w:lang w:val="sr-Latn-ME"/>
        </w:rPr>
      </w:pPr>
      <w:r w:rsidRPr="007F7C6E">
        <w:rPr>
          <w:szCs w:val="22"/>
          <w:lang w:val="sr-Latn-ME"/>
        </w:rPr>
        <w:t>Akutna bubrežna oboljenja, uklju</w:t>
      </w:r>
      <w:r w:rsidR="00CD1386" w:rsidRPr="007F7C6E">
        <w:rPr>
          <w:szCs w:val="22"/>
          <w:lang w:val="sr-Latn-ME"/>
        </w:rPr>
        <w:t>č</w:t>
      </w:r>
      <w:r w:rsidRPr="007F7C6E">
        <w:rPr>
          <w:szCs w:val="22"/>
          <w:lang w:val="sr-Latn-ME"/>
        </w:rPr>
        <w:t xml:space="preserve">ujuci akutnu bubrežnu insuficijenciju, </w:t>
      </w:r>
      <w:r w:rsidR="008A4F4B" w:rsidRPr="007F7C6E">
        <w:rPr>
          <w:szCs w:val="22"/>
          <w:lang w:val="sr-Latn-ME"/>
        </w:rPr>
        <w:t>zabilježena</w:t>
      </w:r>
      <w:r w:rsidRPr="007F7C6E">
        <w:rPr>
          <w:szCs w:val="22"/>
          <w:lang w:val="sr-Latn-ME"/>
        </w:rPr>
        <w:t xml:space="preserve"> su </w:t>
      </w:r>
      <w:r w:rsidR="008A4F4B" w:rsidRPr="007F7C6E">
        <w:rPr>
          <w:szCs w:val="22"/>
          <w:lang w:val="sr-Latn-ME"/>
        </w:rPr>
        <w:t>rijetko</w:t>
      </w:r>
      <w:r w:rsidRPr="007F7C6E">
        <w:rPr>
          <w:szCs w:val="22"/>
          <w:lang w:val="sr-Latn-ME"/>
        </w:rPr>
        <w:t>.</w:t>
      </w:r>
    </w:p>
    <w:p w14:paraId="4C2D874B" w14:textId="35D09593" w:rsidR="00F67A51" w:rsidRPr="007F7C6E" w:rsidRDefault="00F67A51">
      <w:pPr>
        <w:tabs>
          <w:tab w:val="clear" w:pos="284"/>
        </w:tabs>
        <w:autoSpaceDE w:val="0"/>
        <w:autoSpaceDN w:val="0"/>
        <w:adjustRightInd w:val="0"/>
        <w:rPr>
          <w:szCs w:val="22"/>
          <w:lang w:val="sr-Latn-ME"/>
        </w:rPr>
      </w:pPr>
      <w:r w:rsidRPr="007F7C6E">
        <w:rPr>
          <w:szCs w:val="22"/>
          <w:lang w:val="sr-Latn-ME"/>
        </w:rPr>
        <w:lastRenderedPageBreak/>
        <w:t xml:space="preserve">Kod pacijenata koji pate od već postojeće bubrežne disfunkcije ili uzimaju istovremeno nefrotoksične </w:t>
      </w:r>
      <w:r w:rsidR="00D50156" w:rsidRPr="007F7C6E">
        <w:rPr>
          <w:szCs w:val="22"/>
          <w:lang w:val="sr-Latn-ME"/>
        </w:rPr>
        <w:t>ljekove</w:t>
      </w:r>
      <w:r w:rsidRPr="007F7C6E">
        <w:rPr>
          <w:szCs w:val="22"/>
          <w:lang w:val="sr-Latn-ME"/>
        </w:rPr>
        <w:t>, treba razmotriti praćenje bubrežne funkcije (</w:t>
      </w:r>
      <w:r w:rsidR="00CD1386" w:rsidRPr="007F7C6E">
        <w:rPr>
          <w:szCs w:val="22"/>
          <w:lang w:val="sr-Latn-ME"/>
        </w:rPr>
        <w:t xml:space="preserve">vidjeti </w:t>
      </w:r>
      <w:r w:rsidR="008A4F4B" w:rsidRPr="007F7C6E">
        <w:rPr>
          <w:szCs w:val="22"/>
          <w:lang w:val="sr-Latn-ME"/>
        </w:rPr>
        <w:t xml:space="preserve">dio </w:t>
      </w:r>
      <w:r w:rsidRPr="007F7C6E">
        <w:rPr>
          <w:szCs w:val="22"/>
          <w:lang w:val="sr-Latn-ME"/>
        </w:rPr>
        <w:t>4.8).</w:t>
      </w:r>
    </w:p>
    <w:p w14:paraId="251B6140" w14:textId="77777777" w:rsidR="00597B40" w:rsidRPr="007F7C6E" w:rsidRDefault="00597B40">
      <w:pPr>
        <w:tabs>
          <w:tab w:val="clear" w:pos="284"/>
        </w:tabs>
        <w:autoSpaceDE w:val="0"/>
        <w:autoSpaceDN w:val="0"/>
        <w:adjustRightInd w:val="0"/>
        <w:rPr>
          <w:szCs w:val="22"/>
          <w:lang w:val="sr-Latn-ME"/>
        </w:rPr>
      </w:pPr>
    </w:p>
    <w:p w14:paraId="3C8D9B29" w14:textId="3E59B7B3" w:rsidR="0049486E" w:rsidRPr="007F7C6E" w:rsidRDefault="00597B40">
      <w:pPr>
        <w:rPr>
          <w:szCs w:val="22"/>
          <w:u w:val="single"/>
          <w:lang w:val="sr-Latn-ME"/>
        </w:rPr>
      </w:pPr>
      <w:r w:rsidRPr="007F7C6E">
        <w:rPr>
          <w:szCs w:val="22"/>
          <w:u w:val="single"/>
          <w:lang w:val="sr-Latn-ME"/>
        </w:rPr>
        <w:t>Ukr</w:t>
      </w:r>
      <w:r w:rsidR="00923FC7" w:rsidRPr="007F7C6E">
        <w:rPr>
          <w:szCs w:val="22"/>
          <w:u w:val="single"/>
          <w:lang w:val="sr-Latn-ME"/>
        </w:rPr>
        <w:t>š</w:t>
      </w:r>
      <w:r w:rsidRPr="007F7C6E">
        <w:rPr>
          <w:szCs w:val="22"/>
          <w:u w:val="single"/>
          <w:lang w:val="sr-Latn-ME"/>
        </w:rPr>
        <w:t>tena rezistencija</w:t>
      </w:r>
    </w:p>
    <w:p w14:paraId="3C8D9B2A" w14:textId="1E06FFB2" w:rsidR="0049486E" w:rsidRPr="007F7C6E" w:rsidRDefault="0049486E">
      <w:pPr>
        <w:rPr>
          <w:szCs w:val="22"/>
          <w:lang w:val="sr-Latn-ME"/>
        </w:rPr>
      </w:pPr>
      <w:r w:rsidRPr="007F7C6E">
        <w:rPr>
          <w:szCs w:val="22"/>
          <w:lang w:val="sr-Latn-ME"/>
        </w:rPr>
        <w:t>Postoji mogućnost za nastanak ukrštene rezistencije sa makrolidima i linkozaminima za neke bakterijske sojeve, pa je potreban oprez (</w:t>
      </w:r>
      <w:r w:rsidR="00CD1386" w:rsidRPr="007F7C6E">
        <w:rPr>
          <w:szCs w:val="22"/>
          <w:lang w:val="sr-Latn-ME"/>
        </w:rPr>
        <w:t xml:space="preserve">vidjeti </w:t>
      </w:r>
      <w:r w:rsidR="008A4F4B" w:rsidRPr="007F7C6E">
        <w:rPr>
          <w:szCs w:val="22"/>
          <w:lang w:val="sr-Latn-ME"/>
        </w:rPr>
        <w:t xml:space="preserve">dio </w:t>
      </w:r>
      <w:r w:rsidRPr="007F7C6E">
        <w:rPr>
          <w:szCs w:val="22"/>
          <w:lang w:val="sr-Latn-ME"/>
        </w:rPr>
        <w:t xml:space="preserve">5.1). </w:t>
      </w:r>
    </w:p>
    <w:p w14:paraId="3C8D9B2B" w14:textId="77777777" w:rsidR="00841598" w:rsidRPr="007F7C6E" w:rsidRDefault="00841598">
      <w:pPr>
        <w:rPr>
          <w:szCs w:val="22"/>
          <w:lang w:val="sr-Latn-ME"/>
        </w:rPr>
      </w:pPr>
    </w:p>
    <w:p w14:paraId="6E8305A7" w14:textId="77777777" w:rsidR="00DF0EBE" w:rsidRPr="007F7C6E" w:rsidRDefault="00DF0EBE">
      <w:pPr>
        <w:rPr>
          <w:szCs w:val="22"/>
          <w:u w:val="single"/>
          <w:lang w:val="sr-Latn-ME"/>
        </w:rPr>
      </w:pPr>
      <w:r w:rsidRPr="007F7C6E">
        <w:rPr>
          <w:szCs w:val="22"/>
          <w:u w:val="single"/>
          <w:lang w:val="sr-Latn-ME"/>
        </w:rPr>
        <w:t>Upotreba kod pacijenata sa atopijskim sindromom</w:t>
      </w:r>
    </w:p>
    <w:p w14:paraId="3C8D9B2C" w14:textId="0D8C1A99" w:rsidR="00841598" w:rsidRPr="007F7C6E" w:rsidRDefault="00841598">
      <w:pPr>
        <w:rPr>
          <w:szCs w:val="22"/>
          <w:lang w:val="sr-Latn-ME"/>
        </w:rPr>
      </w:pPr>
      <w:r w:rsidRPr="007F7C6E">
        <w:rPr>
          <w:szCs w:val="22"/>
          <w:lang w:val="sr-Latn-ME"/>
        </w:rPr>
        <w:t xml:space="preserve">Klindamicin </w:t>
      </w:r>
      <w:r w:rsidR="00CD1386" w:rsidRPr="007F7C6E">
        <w:rPr>
          <w:szCs w:val="22"/>
          <w:lang w:val="sr-Latn-ME"/>
        </w:rPr>
        <w:t xml:space="preserve">se mora </w:t>
      </w:r>
      <w:r w:rsidRPr="007F7C6E">
        <w:rPr>
          <w:szCs w:val="22"/>
          <w:lang w:val="sr-Latn-ME"/>
        </w:rPr>
        <w:t>prim</w:t>
      </w:r>
      <w:r w:rsidR="008A4F4B" w:rsidRPr="007F7C6E">
        <w:rPr>
          <w:szCs w:val="22"/>
          <w:lang w:val="sr-Latn-ME"/>
        </w:rPr>
        <w:t>j</w:t>
      </w:r>
      <w:r w:rsidRPr="007F7C6E">
        <w:rPr>
          <w:szCs w:val="22"/>
          <w:lang w:val="sr-Latn-ME"/>
        </w:rPr>
        <w:t xml:space="preserve">enjivati s oprezom kod atopičnih osoba,  npr. sa astmom ili alergijom. </w:t>
      </w:r>
    </w:p>
    <w:p w14:paraId="32A82801" w14:textId="77777777" w:rsidR="00E67ADD" w:rsidRPr="007F7C6E" w:rsidRDefault="00E67ADD">
      <w:pPr>
        <w:rPr>
          <w:szCs w:val="22"/>
          <w:lang w:val="sr-Latn-ME"/>
        </w:rPr>
      </w:pPr>
    </w:p>
    <w:p w14:paraId="1B51568C" w14:textId="77777777" w:rsidR="00E67ADD" w:rsidRPr="007F7C6E" w:rsidRDefault="00DF0EBE">
      <w:pPr>
        <w:rPr>
          <w:szCs w:val="22"/>
          <w:u w:val="single"/>
          <w:lang w:val="sr-Latn-ME"/>
        </w:rPr>
      </w:pPr>
      <w:r w:rsidRPr="007F7C6E">
        <w:rPr>
          <w:szCs w:val="22"/>
          <w:u w:val="single"/>
          <w:lang w:val="sr-Latn-ME"/>
        </w:rPr>
        <w:t>Upotreba kod pacijenata koji uzimaju oralne kontraceptive</w:t>
      </w:r>
    </w:p>
    <w:p w14:paraId="3C8D9B2D" w14:textId="52E50545" w:rsidR="00841598" w:rsidRPr="007F7C6E" w:rsidRDefault="00344B44">
      <w:pPr>
        <w:rPr>
          <w:szCs w:val="22"/>
          <w:u w:val="single"/>
          <w:lang w:val="sr-Latn-ME"/>
        </w:rPr>
      </w:pPr>
      <w:r w:rsidRPr="007F7C6E">
        <w:rPr>
          <w:szCs w:val="22"/>
          <w:lang w:val="sr-Latn-ME"/>
        </w:rPr>
        <w:t xml:space="preserve">Antibiotici mogu </w:t>
      </w:r>
      <w:r w:rsidR="00841598" w:rsidRPr="007F7C6E">
        <w:rPr>
          <w:szCs w:val="22"/>
          <w:lang w:val="sr-Latn-ME"/>
        </w:rPr>
        <w:t xml:space="preserve">redukovati efikasnost oralnih kontraceptiva, pa </w:t>
      </w:r>
      <w:r w:rsidR="00CD1386" w:rsidRPr="007F7C6E">
        <w:rPr>
          <w:szCs w:val="22"/>
          <w:lang w:val="sr-Latn-ME"/>
        </w:rPr>
        <w:t xml:space="preserve">se moraju </w:t>
      </w:r>
      <w:r w:rsidR="00841598" w:rsidRPr="007F7C6E">
        <w:rPr>
          <w:szCs w:val="22"/>
          <w:lang w:val="sr-Latn-ME"/>
        </w:rPr>
        <w:t>razmotriti dodatne m</w:t>
      </w:r>
      <w:r w:rsidR="008A4F4B" w:rsidRPr="007F7C6E">
        <w:rPr>
          <w:szCs w:val="22"/>
          <w:lang w:val="sr-Latn-ME"/>
        </w:rPr>
        <w:t>j</w:t>
      </w:r>
      <w:r w:rsidR="00841598" w:rsidRPr="007F7C6E">
        <w:rPr>
          <w:szCs w:val="22"/>
          <w:lang w:val="sr-Latn-ME"/>
        </w:rPr>
        <w:t>ere kontracepcije.</w:t>
      </w:r>
    </w:p>
    <w:p w14:paraId="3C8D9B2E" w14:textId="77777777" w:rsidR="0033680D" w:rsidRPr="007F7C6E" w:rsidRDefault="0033680D">
      <w:pPr>
        <w:rPr>
          <w:szCs w:val="22"/>
          <w:lang w:val="sr-Latn-ME"/>
        </w:rPr>
      </w:pPr>
    </w:p>
    <w:p w14:paraId="68E88CB0" w14:textId="77777777" w:rsidR="00DF0EBE" w:rsidRPr="007F7C6E" w:rsidRDefault="00DF0EBE">
      <w:pPr>
        <w:rPr>
          <w:szCs w:val="22"/>
          <w:u w:val="single"/>
          <w:lang w:val="sr-Latn-ME"/>
        </w:rPr>
      </w:pPr>
      <w:r w:rsidRPr="007F7C6E">
        <w:rPr>
          <w:szCs w:val="22"/>
          <w:u w:val="single"/>
          <w:lang w:val="sr-Latn-ME"/>
        </w:rPr>
        <w:t>Injekcija u bolusu</w:t>
      </w:r>
    </w:p>
    <w:p w14:paraId="3C8D9B2F" w14:textId="73E21FA5" w:rsidR="00A54717" w:rsidRPr="007F7C6E" w:rsidRDefault="00841598">
      <w:pPr>
        <w:rPr>
          <w:szCs w:val="22"/>
          <w:lang w:val="sr-Latn-ME"/>
        </w:rPr>
      </w:pPr>
      <w:r w:rsidRPr="007F7C6E">
        <w:rPr>
          <w:szCs w:val="22"/>
          <w:lang w:val="sr-Latn-ME"/>
        </w:rPr>
        <w:t>Prilikom intravenske prim</w:t>
      </w:r>
      <w:r w:rsidR="008A4F4B" w:rsidRPr="007F7C6E">
        <w:rPr>
          <w:szCs w:val="22"/>
          <w:lang w:val="sr-Latn-ME"/>
        </w:rPr>
        <w:t>j</w:t>
      </w:r>
      <w:r w:rsidRPr="007F7C6E">
        <w:rPr>
          <w:szCs w:val="22"/>
          <w:lang w:val="sr-Latn-ME"/>
        </w:rPr>
        <w:t>ene, klindamicin fosfat se mora razblažiti i dati u obliku infuzije, u toku 10</w:t>
      </w:r>
      <w:r w:rsidR="00D80C5F" w:rsidRPr="007F7C6E">
        <w:rPr>
          <w:szCs w:val="22"/>
          <w:lang w:val="sr-Latn-ME"/>
        </w:rPr>
        <w:t xml:space="preserve"> </w:t>
      </w:r>
      <w:r w:rsidRPr="007F7C6E">
        <w:rPr>
          <w:szCs w:val="22"/>
          <w:lang w:val="sr-Latn-ME"/>
        </w:rPr>
        <w:t>-</w:t>
      </w:r>
      <w:r w:rsidR="00D80C5F" w:rsidRPr="007F7C6E">
        <w:rPr>
          <w:szCs w:val="22"/>
          <w:lang w:val="sr-Latn-ME"/>
        </w:rPr>
        <w:t xml:space="preserve"> </w:t>
      </w:r>
      <w:r w:rsidRPr="007F7C6E">
        <w:rPr>
          <w:szCs w:val="22"/>
          <w:lang w:val="sr-Latn-ME"/>
        </w:rPr>
        <w:t xml:space="preserve">60 minuta, kao što je navedeno u </w:t>
      </w:r>
      <w:r w:rsidR="009C5229" w:rsidRPr="007F7C6E">
        <w:rPr>
          <w:szCs w:val="22"/>
          <w:lang w:val="sr-Latn-ME"/>
        </w:rPr>
        <w:t>dijelu</w:t>
      </w:r>
      <w:r w:rsidRPr="007F7C6E">
        <w:rPr>
          <w:szCs w:val="22"/>
          <w:lang w:val="sr-Latn-ME"/>
        </w:rPr>
        <w:t xml:space="preserve"> 4.2.</w:t>
      </w:r>
    </w:p>
    <w:p w14:paraId="265778D4" w14:textId="77777777" w:rsidR="00AB1C92" w:rsidRPr="007F7C6E" w:rsidRDefault="00AB1C92">
      <w:pPr>
        <w:rPr>
          <w:szCs w:val="22"/>
          <w:lang w:val="sr-Latn-ME"/>
        </w:rPr>
      </w:pPr>
    </w:p>
    <w:p w14:paraId="3C8D9B31" w14:textId="77777777" w:rsidR="00A54717" w:rsidRPr="007F7C6E" w:rsidRDefault="00A54717">
      <w:pPr>
        <w:rPr>
          <w:i/>
          <w:szCs w:val="22"/>
          <w:lang w:val="sr-Latn-ME"/>
        </w:rPr>
      </w:pPr>
      <w:r w:rsidRPr="007F7C6E">
        <w:rPr>
          <w:i/>
          <w:szCs w:val="22"/>
          <w:lang w:val="sr-Latn-ME"/>
        </w:rPr>
        <w:t>Posebna up</w:t>
      </w:r>
      <w:r w:rsidR="00533872" w:rsidRPr="007F7C6E">
        <w:rPr>
          <w:i/>
          <w:szCs w:val="22"/>
          <w:lang w:val="sr-Latn-ME"/>
        </w:rPr>
        <w:t>ozorenja o pomoćnim supstancama</w:t>
      </w:r>
    </w:p>
    <w:p w14:paraId="3C8D9B32" w14:textId="77777777" w:rsidR="00035FDF" w:rsidRPr="007F7C6E" w:rsidRDefault="00035FDF">
      <w:pPr>
        <w:rPr>
          <w:szCs w:val="22"/>
          <w:lang w:val="sr-Latn-ME"/>
        </w:rPr>
      </w:pPr>
    </w:p>
    <w:p w14:paraId="3C8D9B33" w14:textId="7DD22611" w:rsidR="00035FDF" w:rsidRPr="007F7C6E" w:rsidRDefault="00181A8C">
      <w:pPr>
        <w:tabs>
          <w:tab w:val="clear" w:pos="284"/>
        </w:tabs>
        <w:autoSpaceDE w:val="0"/>
        <w:autoSpaceDN w:val="0"/>
        <w:adjustRightInd w:val="0"/>
        <w:rPr>
          <w:szCs w:val="22"/>
          <w:lang w:val="sr-Latn-ME"/>
        </w:rPr>
      </w:pPr>
      <w:r w:rsidRPr="007F7C6E">
        <w:rPr>
          <w:szCs w:val="22"/>
          <w:lang w:val="sr-Latn-ME"/>
        </w:rPr>
        <w:t>Klindamicin</w:t>
      </w:r>
      <w:r w:rsidR="00035FDF" w:rsidRPr="007F7C6E">
        <w:rPr>
          <w:szCs w:val="22"/>
          <w:lang w:val="sr-Latn-ME"/>
        </w:rPr>
        <w:t>, rastvor za injekcij</w:t>
      </w:r>
      <w:r w:rsidR="002E05BB" w:rsidRPr="007F7C6E">
        <w:rPr>
          <w:szCs w:val="22"/>
          <w:lang w:val="sr-Latn-ME"/>
        </w:rPr>
        <w:t>u</w:t>
      </w:r>
      <w:r w:rsidR="00522A98" w:rsidRPr="007F7C6E">
        <w:rPr>
          <w:szCs w:val="22"/>
          <w:lang w:val="sr-Latn-ME"/>
        </w:rPr>
        <w:t>/infuziju</w:t>
      </w:r>
      <w:r w:rsidR="00BF4A63" w:rsidRPr="007F7C6E">
        <w:rPr>
          <w:szCs w:val="22"/>
          <w:lang w:val="sr-Latn-ME"/>
        </w:rPr>
        <w:t xml:space="preserve"> sadrži benzil</w:t>
      </w:r>
      <w:r w:rsidR="00D83DD4" w:rsidRPr="007F7C6E">
        <w:rPr>
          <w:szCs w:val="22"/>
          <w:lang w:val="sr-Latn-ME"/>
        </w:rPr>
        <w:t xml:space="preserve"> </w:t>
      </w:r>
      <w:r w:rsidR="00BF4A63" w:rsidRPr="007F7C6E">
        <w:rPr>
          <w:szCs w:val="22"/>
          <w:lang w:val="sr-Latn-ME"/>
        </w:rPr>
        <w:t>alkohol.</w:t>
      </w:r>
      <w:r w:rsidR="00035FDF" w:rsidRPr="007F7C6E">
        <w:rPr>
          <w:szCs w:val="22"/>
          <w:lang w:val="sr-Latn-ME"/>
        </w:rPr>
        <w:t xml:space="preserve"> </w:t>
      </w:r>
      <w:r w:rsidR="001772F8" w:rsidRPr="007F7C6E">
        <w:rPr>
          <w:szCs w:val="22"/>
          <w:lang w:val="sr-Latn-ME"/>
        </w:rPr>
        <w:t>Konzervans benzil</w:t>
      </w:r>
      <w:r w:rsidR="00D83DD4" w:rsidRPr="007F7C6E">
        <w:rPr>
          <w:szCs w:val="22"/>
          <w:lang w:val="sr-Latn-ME"/>
        </w:rPr>
        <w:t xml:space="preserve"> </w:t>
      </w:r>
      <w:r w:rsidR="001772F8" w:rsidRPr="007F7C6E">
        <w:rPr>
          <w:szCs w:val="22"/>
          <w:lang w:val="sr-Latn-ME"/>
        </w:rPr>
        <w:t>alkohol mo</w:t>
      </w:r>
      <w:r w:rsidR="006E35E3" w:rsidRPr="007F7C6E">
        <w:rPr>
          <w:szCs w:val="22"/>
          <w:lang w:val="sr-Latn-ME"/>
        </w:rPr>
        <w:t>ž</w:t>
      </w:r>
      <w:r w:rsidR="001772F8" w:rsidRPr="007F7C6E">
        <w:rPr>
          <w:szCs w:val="22"/>
          <w:lang w:val="sr-Latn-ME"/>
        </w:rPr>
        <w:t>e izazvati</w:t>
      </w:r>
      <w:r w:rsidR="00923FC7" w:rsidRPr="007F7C6E">
        <w:rPr>
          <w:szCs w:val="22"/>
          <w:lang w:val="sr-Latn-ME"/>
        </w:rPr>
        <w:t xml:space="preserve"> </w:t>
      </w:r>
      <w:r w:rsidR="001772F8" w:rsidRPr="007F7C6E">
        <w:rPr>
          <w:szCs w:val="22"/>
          <w:lang w:val="sr-Latn-ME"/>
        </w:rPr>
        <w:t>reakcije preos</w:t>
      </w:r>
      <w:r w:rsidR="008A4F4B" w:rsidRPr="007F7C6E">
        <w:rPr>
          <w:szCs w:val="22"/>
          <w:lang w:val="sr-Latn-ME"/>
        </w:rPr>
        <w:t>j</w:t>
      </w:r>
      <w:r w:rsidR="001772F8" w:rsidRPr="007F7C6E">
        <w:rPr>
          <w:szCs w:val="22"/>
          <w:lang w:val="sr-Latn-ME"/>
        </w:rPr>
        <w:t xml:space="preserve">etljivosti. </w:t>
      </w:r>
      <w:r w:rsidR="00035FDF" w:rsidRPr="007F7C6E">
        <w:rPr>
          <w:szCs w:val="22"/>
          <w:lang w:val="sr-Latn-ME"/>
        </w:rPr>
        <w:t>Prijavljena je povezanost</w:t>
      </w:r>
      <w:r w:rsidRPr="007F7C6E">
        <w:rPr>
          <w:szCs w:val="22"/>
          <w:lang w:val="sr-Latn-ME"/>
        </w:rPr>
        <w:t xml:space="preserve"> intravenske</w:t>
      </w:r>
      <w:r w:rsidR="00035FDF" w:rsidRPr="007F7C6E">
        <w:rPr>
          <w:szCs w:val="22"/>
          <w:lang w:val="sr-Latn-ME"/>
        </w:rPr>
        <w:t xml:space="preserve"> prim</w:t>
      </w:r>
      <w:r w:rsidR="008A4F4B" w:rsidRPr="007F7C6E">
        <w:rPr>
          <w:szCs w:val="22"/>
          <w:lang w:val="sr-Latn-ME"/>
        </w:rPr>
        <w:t>j</w:t>
      </w:r>
      <w:r w:rsidR="00035FDF" w:rsidRPr="007F7C6E">
        <w:rPr>
          <w:szCs w:val="22"/>
          <w:lang w:val="sr-Latn-ME"/>
        </w:rPr>
        <w:t>ene</w:t>
      </w:r>
      <w:r w:rsidR="00C41622" w:rsidRPr="007F7C6E">
        <w:rPr>
          <w:szCs w:val="22"/>
          <w:lang w:val="sr-Latn-ME"/>
        </w:rPr>
        <w:t xml:space="preserve"> </w:t>
      </w:r>
      <w:r w:rsidR="00035FDF" w:rsidRPr="007F7C6E">
        <w:rPr>
          <w:szCs w:val="22"/>
          <w:lang w:val="sr-Latn-ME"/>
        </w:rPr>
        <w:t>benzil</w:t>
      </w:r>
      <w:r w:rsidR="00D83DD4" w:rsidRPr="007F7C6E">
        <w:rPr>
          <w:szCs w:val="22"/>
          <w:lang w:val="sr-Latn-ME"/>
        </w:rPr>
        <w:t xml:space="preserve"> </w:t>
      </w:r>
      <w:r w:rsidR="00035FDF" w:rsidRPr="007F7C6E">
        <w:rPr>
          <w:szCs w:val="22"/>
          <w:lang w:val="sr-Latn-ME"/>
        </w:rPr>
        <w:t xml:space="preserve">alkohola sa </w:t>
      </w:r>
      <w:r w:rsidRPr="007F7C6E">
        <w:rPr>
          <w:szCs w:val="22"/>
          <w:lang w:val="sr-Latn-ME"/>
        </w:rPr>
        <w:t>ozbilj</w:t>
      </w:r>
      <w:r w:rsidR="00A0588A" w:rsidRPr="007F7C6E">
        <w:rPr>
          <w:szCs w:val="22"/>
          <w:lang w:val="sr-Latn-ME"/>
        </w:rPr>
        <w:t>nim neželjenim reakcijama kod pedijatrijskih pacijenata, uključujući neonatuse</w:t>
      </w:r>
      <w:r w:rsidR="00035FDF" w:rsidRPr="007F7C6E">
        <w:rPr>
          <w:szCs w:val="22"/>
          <w:lang w:val="sr-Latn-ME"/>
        </w:rPr>
        <w:t xml:space="preserve"> (</w:t>
      </w:r>
      <w:r w:rsidR="00322F91" w:rsidRPr="007F7C6E">
        <w:rPr>
          <w:szCs w:val="22"/>
          <w:lang w:val="sr-Latn-ME"/>
        </w:rPr>
        <w:t>“</w:t>
      </w:r>
      <w:r w:rsidR="00A0588A" w:rsidRPr="007F7C6E">
        <w:rPr>
          <w:i/>
          <w:iCs/>
          <w:szCs w:val="22"/>
          <w:lang w:val="sr-Latn-ME"/>
        </w:rPr>
        <w:t xml:space="preserve">gasping </w:t>
      </w:r>
      <w:r w:rsidR="00A0588A" w:rsidRPr="007F7C6E">
        <w:rPr>
          <w:szCs w:val="22"/>
          <w:lang w:val="sr-Latn-ME"/>
        </w:rPr>
        <w:t>sindrom</w:t>
      </w:r>
      <w:r w:rsidR="00322F91" w:rsidRPr="007F7C6E">
        <w:rPr>
          <w:szCs w:val="22"/>
          <w:lang w:val="sr-Latn-ME"/>
        </w:rPr>
        <w:t>”</w:t>
      </w:r>
      <w:r w:rsidR="00A0588A" w:rsidRPr="007F7C6E">
        <w:rPr>
          <w:szCs w:val="22"/>
          <w:lang w:val="sr-Latn-ME"/>
        </w:rPr>
        <w:t xml:space="preserve"> </w:t>
      </w:r>
      <w:r w:rsidR="0097227F" w:rsidRPr="007F7C6E">
        <w:rPr>
          <w:szCs w:val="22"/>
          <w:lang w:val="sr-Latn-ME"/>
        </w:rPr>
        <w:t xml:space="preserve">- </w:t>
      </w:r>
      <w:r w:rsidR="00A0588A" w:rsidRPr="007F7C6E">
        <w:rPr>
          <w:szCs w:val="22"/>
          <w:lang w:val="sr-Latn-ME"/>
        </w:rPr>
        <w:t>čiji su simptomi depresija centralnog nervnog sistema,</w:t>
      </w:r>
      <w:r w:rsidR="0097227F" w:rsidRPr="007F7C6E">
        <w:rPr>
          <w:szCs w:val="22"/>
          <w:lang w:val="sr-Latn-ME"/>
        </w:rPr>
        <w:t xml:space="preserve"> </w:t>
      </w:r>
      <w:r w:rsidR="00A0588A" w:rsidRPr="007F7C6E">
        <w:rPr>
          <w:szCs w:val="22"/>
          <w:lang w:val="sr-Latn-ME"/>
        </w:rPr>
        <w:t>metabolička acidoza</w:t>
      </w:r>
      <w:r w:rsidR="00035FDF" w:rsidRPr="007F7C6E">
        <w:rPr>
          <w:szCs w:val="22"/>
          <w:lang w:val="sr-Latn-ME"/>
        </w:rPr>
        <w:t>, otežano i naporno disanje</w:t>
      </w:r>
      <w:r w:rsidR="00A0588A" w:rsidRPr="007F7C6E">
        <w:rPr>
          <w:szCs w:val="22"/>
          <w:lang w:val="sr-Latn-ME"/>
        </w:rPr>
        <w:t>, hematološke abnormalnosti i kardiovaskularna insuficijencija</w:t>
      </w:r>
      <w:r w:rsidR="00035FDF" w:rsidRPr="007F7C6E">
        <w:rPr>
          <w:szCs w:val="22"/>
          <w:lang w:val="sr-Latn-ME"/>
        </w:rPr>
        <w:t>).</w:t>
      </w:r>
    </w:p>
    <w:p w14:paraId="3C8D9B35" w14:textId="05C91B0D" w:rsidR="00282DCD" w:rsidRPr="007F7C6E" w:rsidRDefault="00035FDF">
      <w:pPr>
        <w:tabs>
          <w:tab w:val="clear" w:pos="284"/>
        </w:tabs>
        <w:autoSpaceDE w:val="0"/>
        <w:autoSpaceDN w:val="0"/>
        <w:adjustRightInd w:val="0"/>
        <w:rPr>
          <w:szCs w:val="22"/>
          <w:lang w:val="sr-Latn-ME"/>
        </w:rPr>
      </w:pPr>
      <w:r w:rsidRPr="007F7C6E">
        <w:rPr>
          <w:szCs w:val="22"/>
          <w:lang w:val="sr-Latn-ME"/>
        </w:rPr>
        <w:t>Iako uobičajene terapijske d</w:t>
      </w:r>
      <w:r w:rsidR="00A22453" w:rsidRPr="007F7C6E">
        <w:rPr>
          <w:szCs w:val="22"/>
          <w:lang w:val="sr-Latn-ME"/>
        </w:rPr>
        <w:t xml:space="preserve">oze ovog </w:t>
      </w:r>
      <w:r w:rsidR="0064264A" w:rsidRPr="007F7C6E">
        <w:rPr>
          <w:szCs w:val="22"/>
          <w:lang w:val="sr-Latn-ME"/>
        </w:rPr>
        <w:t>lijeka</w:t>
      </w:r>
      <w:r w:rsidR="00A22453" w:rsidRPr="007F7C6E">
        <w:rPr>
          <w:szCs w:val="22"/>
          <w:lang w:val="sr-Latn-ME"/>
        </w:rPr>
        <w:t xml:space="preserve"> sadrže količine benzil</w:t>
      </w:r>
      <w:r w:rsidR="00D83DD4" w:rsidRPr="007F7C6E">
        <w:rPr>
          <w:szCs w:val="22"/>
          <w:lang w:val="sr-Latn-ME"/>
        </w:rPr>
        <w:t xml:space="preserve"> </w:t>
      </w:r>
      <w:r w:rsidR="00A22453" w:rsidRPr="007F7C6E">
        <w:rPr>
          <w:szCs w:val="22"/>
          <w:lang w:val="sr-Latn-ME"/>
        </w:rPr>
        <w:t xml:space="preserve">alkohola </w:t>
      </w:r>
      <w:r w:rsidR="00322F91" w:rsidRPr="007F7C6E">
        <w:rPr>
          <w:szCs w:val="22"/>
          <w:lang w:val="sr-Latn-ME"/>
        </w:rPr>
        <w:t xml:space="preserve">koje su značajno manje od onih koje mogu izazvati </w:t>
      </w:r>
      <w:r w:rsidRPr="007F7C6E">
        <w:rPr>
          <w:szCs w:val="22"/>
          <w:lang w:val="sr-Latn-ME"/>
        </w:rPr>
        <w:t>“</w:t>
      </w:r>
      <w:r w:rsidRPr="007F7C6E">
        <w:rPr>
          <w:i/>
          <w:iCs/>
          <w:szCs w:val="22"/>
          <w:lang w:val="sr-Latn-ME"/>
        </w:rPr>
        <w:t xml:space="preserve">gasping </w:t>
      </w:r>
      <w:r w:rsidR="00322F91" w:rsidRPr="007F7C6E">
        <w:rPr>
          <w:szCs w:val="22"/>
          <w:lang w:val="sr-Latn-ME"/>
        </w:rPr>
        <w:t>sindrom”</w:t>
      </w:r>
      <w:r w:rsidRPr="007F7C6E">
        <w:rPr>
          <w:szCs w:val="22"/>
          <w:lang w:val="sr-Latn-ME"/>
        </w:rPr>
        <w:t>, nije po</w:t>
      </w:r>
      <w:r w:rsidR="00322F91" w:rsidRPr="007F7C6E">
        <w:rPr>
          <w:szCs w:val="22"/>
          <w:lang w:val="sr-Latn-ME"/>
        </w:rPr>
        <w:t>znato kolika je minimalna</w:t>
      </w:r>
      <w:r w:rsidRPr="007F7C6E">
        <w:rPr>
          <w:szCs w:val="22"/>
          <w:lang w:val="sr-Latn-ME"/>
        </w:rPr>
        <w:t xml:space="preserve"> količina benzil</w:t>
      </w:r>
      <w:r w:rsidR="00D83DD4" w:rsidRPr="007F7C6E">
        <w:rPr>
          <w:szCs w:val="22"/>
          <w:lang w:val="sr-Latn-ME"/>
        </w:rPr>
        <w:t xml:space="preserve"> </w:t>
      </w:r>
      <w:r w:rsidRPr="007F7C6E">
        <w:rPr>
          <w:szCs w:val="22"/>
          <w:lang w:val="sr-Latn-ME"/>
        </w:rPr>
        <w:t xml:space="preserve">alkohola </w:t>
      </w:r>
      <w:r w:rsidR="00A22453" w:rsidRPr="007F7C6E">
        <w:rPr>
          <w:szCs w:val="22"/>
          <w:lang w:val="sr-Latn-ME"/>
        </w:rPr>
        <w:t xml:space="preserve">koja je toksična. </w:t>
      </w:r>
      <w:r w:rsidR="0064264A" w:rsidRPr="007F7C6E">
        <w:rPr>
          <w:szCs w:val="22"/>
          <w:lang w:val="sr-Latn-ME"/>
        </w:rPr>
        <w:t>Lijek</w:t>
      </w:r>
      <w:r w:rsidR="00A22453" w:rsidRPr="007F7C6E">
        <w:rPr>
          <w:szCs w:val="22"/>
          <w:lang w:val="sr-Latn-ME"/>
        </w:rPr>
        <w:t xml:space="preserve"> bi trebalo koristiti kod d</w:t>
      </w:r>
      <w:r w:rsidR="0097227F" w:rsidRPr="007F7C6E">
        <w:rPr>
          <w:szCs w:val="22"/>
          <w:lang w:val="sr-Latn-ME"/>
        </w:rPr>
        <w:t>j</w:t>
      </w:r>
      <w:r w:rsidR="006049D8" w:rsidRPr="007F7C6E">
        <w:rPr>
          <w:szCs w:val="22"/>
          <w:lang w:val="sr-Latn-ME"/>
        </w:rPr>
        <w:t xml:space="preserve">ece samo </w:t>
      </w:r>
      <w:r w:rsidR="00A22453" w:rsidRPr="007F7C6E">
        <w:rPr>
          <w:szCs w:val="22"/>
          <w:lang w:val="sr-Latn-ME"/>
        </w:rPr>
        <w:t xml:space="preserve">ukoliko ne postoje druge terapijske opcije. Ukoliko se </w:t>
      </w:r>
      <w:r w:rsidR="0064264A" w:rsidRPr="007F7C6E">
        <w:rPr>
          <w:szCs w:val="22"/>
          <w:lang w:val="sr-Latn-ME"/>
        </w:rPr>
        <w:t>lijek</w:t>
      </w:r>
      <w:r w:rsidR="00A22453" w:rsidRPr="007F7C6E">
        <w:rPr>
          <w:szCs w:val="22"/>
          <w:lang w:val="sr-Latn-ME"/>
        </w:rPr>
        <w:t xml:space="preserve"> prim</w:t>
      </w:r>
      <w:r w:rsidR="0097227F" w:rsidRPr="007F7C6E">
        <w:rPr>
          <w:szCs w:val="22"/>
          <w:lang w:val="sr-Latn-ME"/>
        </w:rPr>
        <w:t>j</w:t>
      </w:r>
      <w:r w:rsidR="00A22453" w:rsidRPr="007F7C6E">
        <w:rPr>
          <w:szCs w:val="22"/>
          <w:lang w:val="sr-Latn-ME"/>
        </w:rPr>
        <w:t>enjuje u velikim dozama</w:t>
      </w:r>
      <w:r w:rsidR="0007549A" w:rsidRPr="007F7C6E">
        <w:rPr>
          <w:szCs w:val="22"/>
          <w:lang w:val="sr-Latn-ME"/>
        </w:rPr>
        <w:t>, potreban je poseban oprez, a terapija bi trebalo da traje što kraće kod osoba sa oštećenom funkcijom jetre ili bubrega</w:t>
      </w:r>
      <w:r w:rsidR="0052240D" w:rsidRPr="007F7C6E">
        <w:rPr>
          <w:szCs w:val="22"/>
          <w:lang w:val="sr-Latn-ME"/>
        </w:rPr>
        <w:t>, kao i kod trudnica ili dojilja,</w:t>
      </w:r>
      <w:r w:rsidR="0007549A" w:rsidRPr="007F7C6E">
        <w:rPr>
          <w:szCs w:val="22"/>
          <w:lang w:val="sr-Latn-ME"/>
        </w:rPr>
        <w:t xml:space="preserve"> zbog povećanog rizika od akumulacije </w:t>
      </w:r>
      <w:r w:rsidR="0064264A" w:rsidRPr="007F7C6E">
        <w:rPr>
          <w:szCs w:val="22"/>
          <w:lang w:val="sr-Latn-ME"/>
        </w:rPr>
        <w:t>lijeka</w:t>
      </w:r>
      <w:r w:rsidR="0007549A" w:rsidRPr="007F7C6E">
        <w:rPr>
          <w:szCs w:val="22"/>
          <w:lang w:val="sr-Latn-ME"/>
        </w:rPr>
        <w:t xml:space="preserve"> i razvoja toksičnosti </w:t>
      </w:r>
      <w:r w:rsidR="000B44E0" w:rsidRPr="007F7C6E">
        <w:rPr>
          <w:szCs w:val="22"/>
          <w:lang w:val="sr-Latn-ME"/>
        </w:rPr>
        <w:t>(metabolička acidoza</w:t>
      </w:r>
      <w:r w:rsidR="00282DCD" w:rsidRPr="007F7C6E">
        <w:rPr>
          <w:szCs w:val="22"/>
          <w:lang w:val="sr-Latn-ME"/>
        </w:rPr>
        <w:t>).</w:t>
      </w:r>
      <w:r w:rsidR="0052240D" w:rsidRPr="007F7C6E">
        <w:rPr>
          <w:szCs w:val="22"/>
          <w:lang w:val="sr-Latn-ME"/>
        </w:rPr>
        <w:t xml:space="preserve"> </w:t>
      </w:r>
      <w:r w:rsidRPr="007F7C6E">
        <w:rPr>
          <w:szCs w:val="22"/>
          <w:lang w:val="sr-Latn-ME"/>
        </w:rPr>
        <w:t>Veća je v</w:t>
      </w:r>
      <w:r w:rsidR="0097227F" w:rsidRPr="007F7C6E">
        <w:rPr>
          <w:szCs w:val="22"/>
          <w:lang w:val="sr-Latn-ME"/>
        </w:rPr>
        <w:t>j</w:t>
      </w:r>
      <w:r w:rsidRPr="007F7C6E">
        <w:rPr>
          <w:szCs w:val="22"/>
          <w:lang w:val="sr-Latn-ME"/>
        </w:rPr>
        <w:t xml:space="preserve">erovatnoća </w:t>
      </w:r>
      <w:r w:rsidR="00D83DD4" w:rsidRPr="007F7C6E">
        <w:rPr>
          <w:szCs w:val="22"/>
          <w:lang w:val="sr-Latn-ME"/>
        </w:rPr>
        <w:t>od</w:t>
      </w:r>
      <w:r w:rsidRPr="007F7C6E">
        <w:rPr>
          <w:szCs w:val="22"/>
          <w:lang w:val="sr-Latn-ME"/>
        </w:rPr>
        <w:t xml:space="preserve"> pojav</w:t>
      </w:r>
      <w:r w:rsidR="00D83DD4" w:rsidRPr="007F7C6E">
        <w:rPr>
          <w:szCs w:val="22"/>
          <w:lang w:val="sr-Latn-ME"/>
        </w:rPr>
        <w:t>e</w:t>
      </w:r>
      <w:r w:rsidRPr="007F7C6E">
        <w:rPr>
          <w:szCs w:val="22"/>
          <w:lang w:val="sr-Latn-ME"/>
        </w:rPr>
        <w:t xml:space="preserve"> toksičnih efektata kod pr</w:t>
      </w:r>
      <w:r w:rsidR="00D83DD4" w:rsidRPr="007F7C6E">
        <w:rPr>
          <w:szCs w:val="22"/>
          <w:lang w:val="sr-Latn-ME"/>
        </w:rPr>
        <w:t>ij</w:t>
      </w:r>
      <w:r w:rsidRPr="007F7C6E">
        <w:rPr>
          <w:szCs w:val="22"/>
          <w:lang w:val="sr-Latn-ME"/>
        </w:rPr>
        <w:t>evremeno rođenih</w:t>
      </w:r>
      <w:r w:rsidR="00C41622" w:rsidRPr="007F7C6E">
        <w:rPr>
          <w:szCs w:val="22"/>
          <w:lang w:val="sr-Latn-ME"/>
        </w:rPr>
        <w:t xml:space="preserve"> </w:t>
      </w:r>
      <w:r w:rsidRPr="007F7C6E">
        <w:rPr>
          <w:szCs w:val="22"/>
          <w:lang w:val="sr-Latn-ME"/>
        </w:rPr>
        <w:t xml:space="preserve">beba i </w:t>
      </w:r>
      <w:r w:rsidR="00282DCD" w:rsidRPr="007F7C6E">
        <w:rPr>
          <w:szCs w:val="22"/>
          <w:lang w:val="sr-Latn-ME"/>
        </w:rPr>
        <w:t>kod odojčadi male t</w:t>
      </w:r>
      <w:r w:rsidR="0097227F" w:rsidRPr="007F7C6E">
        <w:rPr>
          <w:szCs w:val="22"/>
          <w:lang w:val="sr-Latn-ME"/>
        </w:rPr>
        <w:t>j</w:t>
      </w:r>
      <w:r w:rsidR="00282DCD" w:rsidRPr="007F7C6E">
        <w:rPr>
          <w:szCs w:val="22"/>
          <w:lang w:val="sr-Latn-ME"/>
        </w:rPr>
        <w:t>elesne mase</w:t>
      </w:r>
      <w:r w:rsidRPr="007F7C6E">
        <w:rPr>
          <w:szCs w:val="22"/>
          <w:lang w:val="sr-Latn-ME"/>
        </w:rPr>
        <w:t>.</w:t>
      </w:r>
      <w:r w:rsidR="00E27AB1" w:rsidRPr="007F7C6E">
        <w:rPr>
          <w:szCs w:val="22"/>
          <w:lang w:val="sr-Latn-ME"/>
        </w:rPr>
        <w:t xml:space="preserve"> </w:t>
      </w:r>
      <w:r w:rsidR="00282DCD" w:rsidRPr="007F7C6E">
        <w:rPr>
          <w:szCs w:val="22"/>
          <w:lang w:val="sr-Latn-ME"/>
        </w:rPr>
        <w:t>Proizvod</w:t>
      </w:r>
      <w:r w:rsidR="00D83DD4" w:rsidRPr="007F7C6E">
        <w:rPr>
          <w:szCs w:val="22"/>
          <w:lang w:val="sr-Latn-ME"/>
        </w:rPr>
        <w:t>i</w:t>
      </w:r>
      <w:r w:rsidR="00282DCD" w:rsidRPr="007F7C6E">
        <w:rPr>
          <w:szCs w:val="22"/>
          <w:lang w:val="sr-Latn-ME"/>
        </w:rPr>
        <w:t xml:space="preserve"> koji sadrže benzil</w:t>
      </w:r>
      <w:r w:rsidR="00D83DD4" w:rsidRPr="007F7C6E">
        <w:rPr>
          <w:szCs w:val="22"/>
          <w:lang w:val="sr-Latn-ME"/>
        </w:rPr>
        <w:t xml:space="preserve"> </w:t>
      </w:r>
      <w:r w:rsidR="00282DCD" w:rsidRPr="007F7C6E">
        <w:rPr>
          <w:szCs w:val="22"/>
          <w:lang w:val="sr-Latn-ME"/>
        </w:rPr>
        <w:t xml:space="preserve">alkohol ne </w:t>
      </w:r>
      <w:r w:rsidR="00D83DD4" w:rsidRPr="007F7C6E">
        <w:rPr>
          <w:szCs w:val="22"/>
          <w:lang w:val="sr-Latn-ME"/>
        </w:rPr>
        <w:t>smiju se</w:t>
      </w:r>
      <w:r w:rsidR="00282DCD" w:rsidRPr="007F7C6E">
        <w:rPr>
          <w:szCs w:val="22"/>
          <w:lang w:val="sr-Latn-ME"/>
        </w:rPr>
        <w:t xml:space="preserve"> </w:t>
      </w:r>
      <w:r w:rsidR="00E27AB1" w:rsidRPr="007F7C6E">
        <w:rPr>
          <w:szCs w:val="22"/>
          <w:lang w:val="sr-Latn-ME"/>
        </w:rPr>
        <w:t>prim</w:t>
      </w:r>
      <w:r w:rsidR="0097227F" w:rsidRPr="007F7C6E">
        <w:rPr>
          <w:szCs w:val="22"/>
          <w:lang w:val="sr-Latn-ME"/>
        </w:rPr>
        <w:t>j</w:t>
      </w:r>
      <w:r w:rsidR="00E27AB1" w:rsidRPr="007F7C6E">
        <w:rPr>
          <w:szCs w:val="22"/>
          <w:lang w:val="sr-Latn-ME"/>
        </w:rPr>
        <w:t>enj</w:t>
      </w:r>
      <w:r w:rsidR="00282DCD" w:rsidRPr="007F7C6E">
        <w:rPr>
          <w:szCs w:val="22"/>
          <w:lang w:val="sr-Latn-ME"/>
        </w:rPr>
        <w:t>jivati kod novorođenčadi</w:t>
      </w:r>
      <w:r w:rsidR="00504E0F" w:rsidRPr="007F7C6E">
        <w:rPr>
          <w:szCs w:val="22"/>
          <w:lang w:val="sr-Latn-ME"/>
        </w:rPr>
        <w:t>,</w:t>
      </w:r>
      <w:r w:rsidR="00282DCD" w:rsidRPr="007F7C6E">
        <w:rPr>
          <w:szCs w:val="22"/>
          <w:lang w:val="sr-Latn-ME"/>
        </w:rPr>
        <w:t xml:space="preserve"> sem ukoliko to nije neophodno. </w:t>
      </w:r>
    </w:p>
    <w:p w14:paraId="3C8D9B36" w14:textId="0F1F872F" w:rsidR="00E27AB1" w:rsidRPr="007F7C6E" w:rsidRDefault="002E56CD">
      <w:pPr>
        <w:tabs>
          <w:tab w:val="clear" w:pos="284"/>
        </w:tabs>
        <w:autoSpaceDE w:val="0"/>
        <w:autoSpaceDN w:val="0"/>
        <w:adjustRightInd w:val="0"/>
        <w:rPr>
          <w:szCs w:val="22"/>
          <w:lang w:val="sr-Latn-ME"/>
        </w:rPr>
      </w:pPr>
      <w:r w:rsidRPr="007F7C6E">
        <w:rPr>
          <w:szCs w:val="22"/>
          <w:lang w:val="sr-Latn-ME"/>
        </w:rPr>
        <w:t>Benzil</w:t>
      </w:r>
      <w:r w:rsidR="00D83DD4" w:rsidRPr="007F7C6E">
        <w:rPr>
          <w:szCs w:val="22"/>
          <w:lang w:val="sr-Latn-ME"/>
        </w:rPr>
        <w:t xml:space="preserve"> </w:t>
      </w:r>
      <w:r w:rsidRPr="007F7C6E">
        <w:rPr>
          <w:szCs w:val="22"/>
          <w:lang w:val="sr-Latn-ME"/>
        </w:rPr>
        <w:t>alkohol može proći placentu, pa klindamicin rastvor za injekciju</w:t>
      </w:r>
      <w:r w:rsidR="00522A98" w:rsidRPr="007F7C6E">
        <w:rPr>
          <w:szCs w:val="22"/>
          <w:lang w:val="sr-Latn-ME"/>
        </w:rPr>
        <w:t>/infuziju</w:t>
      </w:r>
      <w:r w:rsidRPr="007F7C6E">
        <w:rPr>
          <w:szCs w:val="22"/>
          <w:lang w:val="sr-Latn-ME"/>
        </w:rPr>
        <w:t xml:space="preserve"> treba koristiti </w:t>
      </w:r>
      <w:r w:rsidR="006049D8" w:rsidRPr="007F7C6E">
        <w:rPr>
          <w:szCs w:val="22"/>
          <w:lang w:val="sr-Latn-ME"/>
        </w:rPr>
        <w:t xml:space="preserve">u toku trudnoće samo ukoliko </w:t>
      </w:r>
      <w:r w:rsidR="00037FF3" w:rsidRPr="007F7C6E">
        <w:rPr>
          <w:szCs w:val="22"/>
          <w:lang w:val="sr-Latn-ME"/>
        </w:rPr>
        <w:t>ljekar</w:t>
      </w:r>
      <w:r w:rsidR="006049D8" w:rsidRPr="007F7C6E">
        <w:rPr>
          <w:szCs w:val="22"/>
          <w:lang w:val="sr-Latn-ME"/>
        </w:rPr>
        <w:t xml:space="preserve"> proc</w:t>
      </w:r>
      <w:r w:rsidR="0097227F" w:rsidRPr="007F7C6E">
        <w:rPr>
          <w:szCs w:val="22"/>
          <w:lang w:val="sr-Latn-ME"/>
        </w:rPr>
        <w:t>ij</w:t>
      </w:r>
      <w:r w:rsidR="006049D8" w:rsidRPr="007F7C6E">
        <w:rPr>
          <w:szCs w:val="22"/>
          <w:lang w:val="sr-Latn-ME"/>
        </w:rPr>
        <w:t>eni da je to potrebno (</w:t>
      </w:r>
      <w:r w:rsidR="00D83DD4" w:rsidRPr="007F7C6E">
        <w:rPr>
          <w:i/>
          <w:szCs w:val="22"/>
          <w:lang w:val="sr-Latn-ME"/>
        </w:rPr>
        <w:t xml:space="preserve">vidjeti </w:t>
      </w:r>
      <w:r w:rsidR="008A4F4B" w:rsidRPr="007F7C6E">
        <w:rPr>
          <w:i/>
          <w:szCs w:val="22"/>
          <w:lang w:val="sr-Latn-ME"/>
        </w:rPr>
        <w:t xml:space="preserve">dio </w:t>
      </w:r>
      <w:r w:rsidR="006049D8" w:rsidRPr="007F7C6E">
        <w:rPr>
          <w:i/>
          <w:szCs w:val="22"/>
          <w:lang w:val="sr-Latn-ME"/>
        </w:rPr>
        <w:t xml:space="preserve"> 4.6</w:t>
      </w:r>
      <w:r w:rsidR="006049D8" w:rsidRPr="007F7C6E">
        <w:rPr>
          <w:szCs w:val="22"/>
          <w:lang w:val="sr-Latn-ME"/>
        </w:rPr>
        <w:t>).</w:t>
      </w:r>
    </w:p>
    <w:p w14:paraId="0B214E71" w14:textId="77777777" w:rsidR="00F50849" w:rsidRPr="007F7C6E" w:rsidRDefault="00F50849">
      <w:pPr>
        <w:tabs>
          <w:tab w:val="clear" w:pos="284"/>
        </w:tabs>
        <w:autoSpaceDE w:val="0"/>
        <w:autoSpaceDN w:val="0"/>
        <w:adjustRightInd w:val="0"/>
        <w:rPr>
          <w:szCs w:val="22"/>
          <w:lang w:val="sr-Latn-ME"/>
        </w:rPr>
      </w:pPr>
    </w:p>
    <w:p w14:paraId="0F145C42" w14:textId="77777777" w:rsidR="00F50849" w:rsidRPr="007F7C6E" w:rsidRDefault="00F50849">
      <w:pPr>
        <w:tabs>
          <w:tab w:val="clear" w:pos="284"/>
        </w:tabs>
        <w:autoSpaceDE w:val="0"/>
        <w:autoSpaceDN w:val="0"/>
        <w:adjustRightInd w:val="0"/>
        <w:rPr>
          <w:i/>
          <w:iCs/>
          <w:szCs w:val="22"/>
          <w:lang w:val="sr-Latn-ME"/>
        </w:rPr>
      </w:pPr>
      <w:r w:rsidRPr="007F7C6E">
        <w:rPr>
          <w:i/>
          <w:iCs/>
          <w:szCs w:val="22"/>
          <w:lang w:val="sr-Latn-ME"/>
        </w:rPr>
        <w:t>Natrijum</w:t>
      </w:r>
    </w:p>
    <w:p w14:paraId="61D81743" w14:textId="411E7EAD" w:rsidR="00F50849" w:rsidRPr="007F7C6E" w:rsidRDefault="00F50849">
      <w:pPr>
        <w:tabs>
          <w:tab w:val="clear" w:pos="284"/>
        </w:tabs>
        <w:autoSpaceDE w:val="0"/>
        <w:autoSpaceDN w:val="0"/>
        <w:adjustRightInd w:val="0"/>
        <w:rPr>
          <w:szCs w:val="22"/>
          <w:lang w:val="sr-Latn-ME"/>
        </w:rPr>
      </w:pPr>
      <w:r w:rsidRPr="007F7C6E">
        <w:rPr>
          <w:szCs w:val="22"/>
          <w:lang w:val="sr-Latn-ME"/>
        </w:rPr>
        <w:t>Klindamicin, rastvor za injekcij</w:t>
      </w:r>
      <w:r w:rsidR="002809C1" w:rsidRPr="007F7C6E">
        <w:rPr>
          <w:szCs w:val="22"/>
          <w:lang w:val="sr-Latn-ME"/>
        </w:rPr>
        <w:t>u</w:t>
      </w:r>
      <w:r w:rsidRPr="007F7C6E">
        <w:rPr>
          <w:szCs w:val="22"/>
          <w:lang w:val="sr-Latn-ME"/>
        </w:rPr>
        <w:t>/infuziju sadr</w:t>
      </w:r>
      <w:r w:rsidR="002809C1" w:rsidRPr="007F7C6E">
        <w:rPr>
          <w:szCs w:val="22"/>
          <w:lang w:val="sr-Latn-ME"/>
        </w:rPr>
        <w:t>ž</w:t>
      </w:r>
      <w:r w:rsidRPr="007F7C6E">
        <w:rPr>
          <w:szCs w:val="22"/>
          <w:lang w:val="sr-Latn-ME"/>
        </w:rPr>
        <w:t>i manje od 1 mmo</w:t>
      </w:r>
      <w:r w:rsidR="00D83DD4" w:rsidRPr="007F7C6E">
        <w:rPr>
          <w:szCs w:val="22"/>
          <w:lang w:val="sr-Latn-ME"/>
        </w:rPr>
        <w:t>l</w:t>
      </w:r>
      <w:r w:rsidRPr="007F7C6E">
        <w:rPr>
          <w:szCs w:val="22"/>
          <w:lang w:val="sr-Latn-ME"/>
        </w:rPr>
        <w:t xml:space="preserve"> natrijuma (23 mg) u svakoj ampuli od 2 m</w:t>
      </w:r>
      <w:r w:rsidR="00D83DD4" w:rsidRPr="007F7C6E">
        <w:rPr>
          <w:szCs w:val="22"/>
          <w:lang w:val="sr-Latn-ME"/>
        </w:rPr>
        <w:t>l</w:t>
      </w:r>
      <w:r w:rsidRPr="007F7C6E">
        <w:rPr>
          <w:szCs w:val="22"/>
          <w:lang w:val="sr-Latn-ME"/>
        </w:rPr>
        <w:t>, što znači da u suštini nema natrijuma.</w:t>
      </w:r>
    </w:p>
    <w:p w14:paraId="3C8D9B38" w14:textId="77777777" w:rsidR="00C86E91" w:rsidRPr="007F7C6E" w:rsidRDefault="00C86E91">
      <w:pPr>
        <w:rPr>
          <w:szCs w:val="22"/>
          <w:lang w:val="sr-Latn-ME"/>
        </w:rPr>
      </w:pPr>
    </w:p>
    <w:p w14:paraId="3C8D9B39" w14:textId="2E938BAD" w:rsidR="00CE09F3" w:rsidRPr="007F7C6E" w:rsidRDefault="00CE09F3">
      <w:pPr>
        <w:rPr>
          <w:b/>
          <w:bCs/>
          <w:szCs w:val="22"/>
          <w:lang w:val="sr-Latn-ME"/>
        </w:rPr>
      </w:pPr>
      <w:r w:rsidRPr="007F7C6E">
        <w:rPr>
          <w:b/>
          <w:bCs/>
          <w:szCs w:val="22"/>
          <w:lang w:val="sr-Latn-ME"/>
        </w:rPr>
        <w:t xml:space="preserve">4.5. Interakcije sa drugim </w:t>
      </w:r>
      <w:r w:rsidR="00037FF3" w:rsidRPr="007F7C6E">
        <w:rPr>
          <w:b/>
          <w:bCs/>
          <w:szCs w:val="22"/>
          <w:lang w:val="sr-Latn-ME"/>
        </w:rPr>
        <w:t>ljekovi</w:t>
      </w:r>
      <w:r w:rsidRPr="007F7C6E">
        <w:rPr>
          <w:b/>
          <w:bCs/>
          <w:szCs w:val="22"/>
          <w:lang w:val="sr-Latn-ME"/>
        </w:rPr>
        <w:t>ma i druge vrste interakcija</w:t>
      </w:r>
    </w:p>
    <w:p w14:paraId="3C8D9B3A" w14:textId="77777777" w:rsidR="004B3353" w:rsidRPr="007F7C6E" w:rsidRDefault="004B3353">
      <w:pPr>
        <w:rPr>
          <w:b/>
          <w:bCs/>
          <w:szCs w:val="22"/>
          <w:lang w:val="sr-Latn-ME"/>
        </w:rPr>
      </w:pPr>
    </w:p>
    <w:p w14:paraId="3C8D9B3B" w14:textId="01C584D9" w:rsidR="00616952" w:rsidRPr="007F7C6E" w:rsidRDefault="00616952">
      <w:pPr>
        <w:rPr>
          <w:szCs w:val="22"/>
          <w:lang w:val="sr-Latn-ME"/>
        </w:rPr>
      </w:pPr>
      <w:r w:rsidRPr="007F7C6E">
        <w:rPr>
          <w:szCs w:val="22"/>
          <w:lang w:val="sr-Latn-ME"/>
        </w:rPr>
        <w:t xml:space="preserve">Klindamicin </w:t>
      </w:r>
      <w:r w:rsidR="00D76D49" w:rsidRPr="007F7C6E">
        <w:rPr>
          <w:szCs w:val="22"/>
          <w:lang w:val="sr-Latn-ME"/>
        </w:rPr>
        <w:t>prim</w:t>
      </w:r>
      <w:r w:rsidR="0097227F" w:rsidRPr="007F7C6E">
        <w:rPr>
          <w:szCs w:val="22"/>
          <w:lang w:val="sr-Latn-ME"/>
        </w:rPr>
        <w:t>ij</w:t>
      </w:r>
      <w:r w:rsidR="00D76D49" w:rsidRPr="007F7C6E">
        <w:rPr>
          <w:szCs w:val="22"/>
          <w:lang w:val="sr-Latn-ME"/>
        </w:rPr>
        <w:t xml:space="preserve">enjen parenteralnim putem </w:t>
      </w:r>
      <w:r w:rsidRPr="007F7C6E">
        <w:rPr>
          <w:szCs w:val="22"/>
          <w:lang w:val="sr-Latn-ME"/>
        </w:rPr>
        <w:t xml:space="preserve">može da izazove neuromuskularnu blokadu i na taj način da pojača dejstvo </w:t>
      </w:r>
      <w:r w:rsidR="00037FF3" w:rsidRPr="007F7C6E">
        <w:rPr>
          <w:szCs w:val="22"/>
          <w:lang w:val="sr-Latn-ME"/>
        </w:rPr>
        <w:t>ljekova</w:t>
      </w:r>
      <w:r w:rsidRPr="007F7C6E">
        <w:rPr>
          <w:szCs w:val="22"/>
          <w:lang w:val="sr-Latn-ME"/>
        </w:rPr>
        <w:t xml:space="preserve"> koji blokiraju  neuromišićnu sinapsu, pa je stoga potreban oprez kod pacijenata koji su na terapiji ovim </w:t>
      </w:r>
      <w:r w:rsidR="00037FF3" w:rsidRPr="007F7C6E">
        <w:rPr>
          <w:szCs w:val="22"/>
          <w:lang w:val="sr-Latn-ME"/>
        </w:rPr>
        <w:t>ljekovi</w:t>
      </w:r>
      <w:r w:rsidRPr="007F7C6E">
        <w:rPr>
          <w:szCs w:val="22"/>
          <w:lang w:val="sr-Latn-ME"/>
        </w:rPr>
        <w:t>ma.</w:t>
      </w:r>
    </w:p>
    <w:p w14:paraId="3C8D9B3C" w14:textId="77777777" w:rsidR="00616952" w:rsidRPr="007F7C6E" w:rsidRDefault="00616952">
      <w:pPr>
        <w:rPr>
          <w:szCs w:val="22"/>
          <w:lang w:val="sr-Latn-ME"/>
        </w:rPr>
      </w:pPr>
    </w:p>
    <w:p w14:paraId="3C8D9B3D" w14:textId="77777777" w:rsidR="000D560A" w:rsidRPr="007F7C6E" w:rsidRDefault="000D560A">
      <w:pPr>
        <w:rPr>
          <w:szCs w:val="22"/>
          <w:lang w:val="sr-Latn-ME"/>
        </w:rPr>
      </w:pPr>
      <w:r w:rsidRPr="007F7C6E">
        <w:rPr>
          <w:szCs w:val="22"/>
          <w:lang w:val="sr-Latn-ME"/>
        </w:rPr>
        <w:t>Postoji ukrštena rezistencija sa lin</w:t>
      </w:r>
      <w:r w:rsidR="00D76D49" w:rsidRPr="007F7C6E">
        <w:rPr>
          <w:szCs w:val="22"/>
          <w:lang w:val="sr-Latn-ME"/>
        </w:rPr>
        <w:t>komicinom.</w:t>
      </w:r>
    </w:p>
    <w:p w14:paraId="3C8D9B3E" w14:textId="77777777" w:rsidR="00D76D49" w:rsidRPr="007F7C6E" w:rsidRDefault="00D76D49">
      <w:pPr>
        <w:rPr>
          <w:szCs w:val="22"/>
          <w:lang w:val="sr-Latn-ME"/>
        </w:rPr>
      </w:pPr>
    </w:p>
    <w:p w14:paraId="3C8D9B3F" w14:textId="7315A2C3" w:rsidR="00D76D49" w:rsidRPr="007F7C6E" w:rsidRDefault="00D76D49">
      <w:pPr>
        <w:rPr>
          <w:szCs w:val="22"/>
          <w:lang w:val="sr-Latn-ME"/>
        </w:rPr>
      </w:pPr>
      <w:r w:rsidRPr="007F7C6E">
        <w:rPr>
          <w:i/>
          <w:szCs w:val="22"/>
          <w:lang w:val="sr-Latn-ME"/>
        </w:rPr>
        <w:t>In vitro</w:t>
      </w:r>
      <w:r w:rsidRPr="007F7C6E">
        <w:rPr>
          <w:szCs w:val="22"/>
          <w:lang w:val="sr-Latn-ME"/>
        </w:rPr>
        <w:t xml:space="preserve"> studije kompatibilnosti uz monitoring od 24 sata, na sobnoj temperaturi, koristeći koncentracije ne veće od 6 mg/m</w:t>
      </w:r>
      <w:r w:rsidR="00D80C5F" w:rsidRPr="007F7C6E">
        <w:rPr>
          <w:szCs w:val="22"/>
          <w:lang w:val="sr-Latn-ME"/>
        </w:rPr>
        <w:t>l</w:t>
      </w:r>
      <w:r w:rsidRPr="007F7C6E">
        <w:rPr>
          <w:szCs w:val="22"/>
          <w:lang w:val="sr-Latn-ME"/>
        </w:rPr>
        <w:t>, ni</w:t>
      </w:r>
      <w:r w:rsidR="00D80C5F" w:rsidRPr="007F7C6E">
        <w:rPr>
          <w:szCs w:val="22"/>
          <w:lang w:val="sr-Latn-ME"/>
        </w:rPr>
        <w:t>je</w:t>
      </w:r>
      <w:r w:rsidRPr="007F7C6E">
        <w:rPr>
          <w:szCs w:val="22"/>
          <w:lang w:val="sr-Latn-ME"/>
        </w:rPr>
        <w:t>su pokazale inaktivaciju ili fizičku inkompatibilnost prilikom prim</w:t>
      </w:r>
      <w:r w:rsidR="0097227F" w:rsidRPr="007F7C6E">
        <w:rPr>
          <w:szCs w:val="22"/>
          <w:lang w:val="sr-Latn-ME"/>
        </w:rPr>
        <w:t>j</w:t>
      </w:r>
      <w:r w:rsidRPr="007F7C6E">
        <w:rPr>
          <w:szCs w:val="22"/>
          <w:lang w:val="sr-Latn-ME"/>
        </w:rPr>
        <w:t>ene klindamicin</w:t>
      </w:r>
      <w:r w:rsidR="00D80C5F" w:rsidRPr="007F7C6E">
        <w:rPr>
          <w:szCs w:val="22"/>
          <w:lang w:val="sr-Latn-ME"/>
        </w:rPr>
        <w:t xml:space="preserve"> </w:t>
      </w:r>
      <w:r w:rsidRPr="007F7C6E">
        <w:rPr>
          <w:szCs w:val="22"/>
          <w:lang w:val="sr-Latn-ME"/>
        </w:rPr>
        <w:t>fosfata sa intravenskim rastvorima koji sadrže natrijum</w:t>
      </w:r>
      <w:r w:rsidR="00D80C5F" w:rsidRPr="007F7C6E">
        <w:rPr>
          <w:szCs w:val="22"/>
          <w:lang w:val="sr-Latn-ME"/>
        </w:rPr>
        <w:t xml:space="preserve"> </w:t>
      </w:r>
      <w:r w:rsidRPr="007F7C6E">
        <w:rPr>
          <w:szCs w:val="22"/>
          <w:lang w:val="sr-Latn-ME"/>
        </w:rPr>
        <w:t>hlorid, glukozu ili kalijum.</w:t>
      </w:r>
    </w:p>
    <w:p w14:paraId="3C8D9B40" w14:textId="77777777" w:rsidR="00D76D49" w:rsidRPr="007F7C6E" w:rsidRDefault="00D76D49">
      <w:pPr>
        <w:rPr>
          <w:szCs w:val="22"/>
          <w:lang w:val="sr-Latn-ME"/>
        </w:rPr>
      </w:pPr>
    </w:p>
    <w:p w14:paraId="3C8D9B41" w14:textId="641F8F80" w:rsidR="00D76D49" w:rsidRPr="007F7C6E" w:rsidRDefault="00D76D49">
      <w:pPr>
        <w:rPr>
          <w:szCs w:val="22"/>
          <w:lang w:val="sr-Latn-ME"/>
        </w:rPr>
      </w:pPr>
      <w:r w:rsidRPr="007F7C6E">
        <w:rPr>
          <w:szCs w:val="22"/>
          <w:lang w:val="sr-Latn-ME"/>
        </w:rPr>
        <w:t>Sl</w:t>
      </w:r>
      <w:r w:rsidR="0097227F" w:rsidRPr="007F7C6E">
        <w:rPr>
          <w:szCs w:val="22"/>
          <w:lang w:val="sr-Latn-ME"/>
        </w:rPr>
        <w:t>j</w:t>
      </w:r>
      <w:r w:rsidRPr="007F7C6E">
        <w:rPr>
          <w:szCs w:val="22"/>
          <w:lang w:val="sr-Latn-ME"/>
        </w:rPr>
        <w:t xml:space="preserve">edeći </w:t>
      </w:r>
      <w:r w:rsidR="00037FF3" w:rsidRPr="007F7C6E">
        <w:rPr>
          <w:szCs w:val="22"/>
          <w:lang w:val="sr-Latn-ME"/>
        </w:rPr>
        <w:t>ljekovi</w:t>
      </w:r>
      <w:r w:rsidRPr="007F7C6E">
        <w:rPr>
          <w:szCs w:val="22"/>
          <w:lang w:val="sr-Latn-ME"/>
        </w:rPr>
        <w:t xml:space="preserve"> su fizički inkompatibilni sa klindamicin</w:t>
      </w:r>
      <w:r w:rsidR="00D80C5F" w:rsidRPr="007F7C6E">
        <w:rPr>
          <w:szCs w:val="22"/>
          <w:lang w:val="sr-Latn-ME"/>
        </w:rPr>
        <w:t xml:space="preserve"> </w:t>
      </w:r>
      <w:r w:rsidRPr="007F7C6E">
        <w:rPr>
          <w:szCs w:val="22"/>
          <w:lang w:val="sr-Latn-ME"/>
        </w:rPr>
        <w:t>fosfatom: ampicilin</w:t>
      </w:r>
      <w:r w:rsidR="00D80C5F" w:rsidRPr="007F7C6E">
        <w:rPr>
          <w:szCs w:val="22"/>
          <w:lang w:val="sr-Latn-ME"/>
        </w:rPr>
        <w:t xml:space="preserve"> </w:t>
      </w:r>
      <w:r w:rsidRPr="007F7C6E">
        <w:rPr>
          <w:szCs w:val="22"/>
          <w:lang w:val="sr-Latn-ME"/>
        </w:rPr>
        <w:t>natrijum, fenitoin</w:t>
      </w:r>
      <w:r w:rsidR="00D80C5F" w:rsidRPr="007F7C6E">
        <w:rPr>
          <w:szCs w:val="22"/>
          <w:lang w:val="sr-Latn-ME"/>
        </w:rPr>
        <w:t xml:space="preserve"> </w:t>
      </w:r>
      <w:r w:rsidRPr="007F7C6E">
        <w:rPr>
          <w:szCs w:val="22"/>
          <w:lang w:val="sr-Latn-ME"/>
        </w:rPr>
        <w:t>natrijum, barbiturati, aminofilin, kalcijum</w:t>
      </w:r>
      <w:r w:rsidR="00D80C5F" w:rsidRPr="007F7C6E">
        <w:rPr>
          <w:szCs w:val="22"/>
          <w:lang w:val="sr-Latn-ME"/>
        </w:rPr>
        <w:t xml:space="preserve"> </w:t>
      </w:r>
      <w:r w:rsidRPr="007F7C6E">
        <w:rPr>
          <w:szCs w:val="22"/>
          <w:lang w:val="sr-Latn-ME"/>
        </w:rPr>
        <w:t>glukonat, magnezijum</w:t>
      </w:r>
      <w:r w:rsidR="00D80C5F" w:rsidRPr="007F7C6E">
        <w:rPr>
          <w:szCs w:val="22"/>
          <w:lang w:val="sr-Latn-ME"/>
        </w:rPr>
        <w:t xml:space="preserve"> </w:t>
      </w:r>
      <w:r w:rsidRPr="007F7C6E">
        <w:rPr>
          <w:szCs w:val="22"/>
          <w:lang w:val="sr-Latn-ME"/>
        </w:rPr>
        <w:t>sulfat, ceftriakson</w:t>
      </w:r>
      <w:r w:rsidR="00D80C5F" w:rsidRPr="007F7C6E">
        <w:rPr>
          <w:szCs w:val="22"/>
          <w:lang w:val="sr-Latn-ME"/>
        </w:rPr>
        <w:t xml:space="preserve"> </w:t>
      </w:r>
      <w:r w:rsidRPr="007F7C6E">
        <w:rPr>
          <w:szCs w:val="22"/>
          <w:lang w:val="sr-Latn-ME"/>
        </w:rPr>
        <w:t>natrijum, difenilhidantion,</w:t>
      </w:r>
      <w:r w:rsidRPr="007F7C6E">
        <w:rPr>
          <w:color w:val="FF0000"/>
          <w:szCs w:val="22"/>
          <w:lang w:val="sr-Latn-ME"/>
        </w:rPr>
        <w:t xml:space="preserve"> </w:t>
      </w:r>
      <w:r w:rsidRPr="007F7C6E">
        <w:rPr>
          <w:szCs w:val="22"/>
          <w:lang w:val="sr-Latn-ME"/>
        </w:rPr>
        <w:lastRenderedPageBreak/>
        <w:t>idarubicin i ranitidin</w:t>
      </w:r>
      <w:r w:rsidR="00D80C5F" w:rsidRPr="007F7C6E">
        <w:rPr>
          <w:szCs w:val="22"/>
          <w:lang w:val="sr-Latn-ME"/>
        </w:rPr>
        <w:t xml:space="preserve"> </w:t>
      </w:r>
      <w:r w:rsidRPr="007F7C6E">
        <w:rPr>
          <w:szCs w:val="22"/>
          <w:lang w:val="sr-Latn-ME"/>
        </w:rPr>
        <w:t xml:space="preserve">hidrohlorid. Rastvori soli klindamicina imaju nizak pH i sa razlogom se može očekivati inkompatibilnost sa alkalnim preparatima ili </w:t>
      </w:r>
      <w:r w:rsidR="00037FF3" w:rsidRPr="007F7C6E">
        <w:rPr>
          <w:szCs w:val="22"/>
          <w:lang w:val="sr-Latn-ME"/>
        </w:rPr>
        <w:t>ljekovi</w:t>
      </w:r>
      <w:r w:rsidRPr="007F7C6E">
        <w:rPr>
          <w:szCs w:val="22"/>
          <w:lang w:val="sr-Latn-ME"/>
        </w:rPr>
        <w:t>ma koji su nestabilni na niskoj pH.</w:t>
      </w:r>
    </w:p>
    <w:p w14:paraId="3C8D9B42" w14:textId="77777777" w:rsidR="000D560A" w:rsidRPr="007F7C6E" w:rsidRDefault="000D560A">
      <w:pPr>
        <w:rPr>
          <w:b/>
          <w:szCs w:val="22"/>
          <w:lang w:val="sr-Latn-ME"/>
        </w:rPr>
      </w:pPr>
    </w:p>
    <w:p w14:paraId="3C8D9B43" w14:textId="77777777" w:rsidR="00616952" w:rsidRPr="007F7C6E" w:rsidRDefault="00616952">
      <w:pPr>
        <w:rPr>
          <w:szCs w:val="22"/>
          <w:lang w:val="sr-Latn-ME"/>
        </w:rPr>
      </w:pPr>
      <w:r w:rsidRPr="007F7C6E">
        <w:rPr>
          <w:szCs w:val="22"/>
          <w:lang w:val="sr-Latn-ME"/>
        </w:rPr>
        <w:t>Antagonisti vitamina K</w:t>
      </w:r>
    </w:p>
    <w:p w14:paraId="3C8D9B44" w14:textId="77777777" w:rsidR="005C43F5" w:rsidRPr="007F7C6E" w:rsidRDefault="005C43F5">
      <w:pPr>
        <w:rPr>
          <w:szCs w:val="22"/>
          <w:lang w:val="sr-Latn-ME"/>
        </w:rPr>
      </w:pPr>
    </w:p>
    <w:p w14:paraId="3C8D9B45" w14:textId="1B9139E1" w:rsidR="00616952" w:rsidRPr="007F7C6E" w:rsidRDefault="0097227F">
      <w:pPr>
        <w:rPr>
          <w:szCs w:val="22"/>
          <w:lang w:val="sr-Latn-ME"/>
        </w:rPr>
      </w:pPr>
      <w:r w:rsidRPr="007F7C6E">
        <w:rPr>
          <w:szCs w:val="22"/>
          <w:lang w:val="sr-Latn-ME"/>
        </w:rPr>
        <w:t>Zabilježene</w:t>
      </w:r>
      <w:r w:rsidR="00616952" w:rsidRPr="007F7C6E">
        <w:rPr>
          <w:szCs w:val="22"/>
          <w:lang w:val="sr-Latn-ME"/>
        </w:rPr>
        <w:t xml:space="preserve"> su prom</w:t>
      </w:r>
      <w:r w:rsidRPr="007F7C6E">
        <w:rPr>
          <w:szCs w:val="22"/>
          <w:lang w:val="sr-Latn-ME"/>
        </w:rPr>
        <w:t>j</w:t>
      </w:r>
      <w:r w:rsidR="00616952" w:rsidRPr="007F7C6E">
        <w:rPr>
          <w:szCs w:val="22"/>
          <w:lang w:val="sr-Latn-ME"/>
        </w:rPr>
        <w:t>ene testova koagulacije (produženje protrombinskog vremena i INR-a) i/ili pojačano krvarenje kod pacijenata koji su istovremeno primali klindamicin i antagoniste vitamina K (varfarin, acenokumarol, fluindion).</w:t>
      </w:r>
      <w:r w:rsidR="00D76D49" w:rsidRPr="007F7C6E">
        <w:rPr>
          <w:szCs w:val="22"/>
          <w:lang w:val="sr-Latn-ME"/>
        </w:rPr>
        <w:t xml:space="preserve"> </w:t>
      </w:r>
      <w:r w:rsidR="009027A9" w:rsidRPr="007F7C6E">
        <w:rPr>
          <w:szCs w:val="22"/>
          <w:lang w:val="sr-Latn-ME"/>
        </w:rPr>
        <w:t>Neophodan je stoga češći monitoring testova koagulacije kod pacijenata koji su na terapiji nekim od antagonista vitamina K.</w:t>
      </w:r>
    </w:p>
    <w:p w14:paraId="3C8D9B46" w14:textId="77777777" w:rsidR="00616952" w:rsidRPr="007F7C6E" w:rsidRDefault="00616952">
      <w:pPr>
        <w:rPr>
          <w:szCs w:val="22"/>
          <w:lang w:val="sr-Latn-ME"/>
        </w:rPr>
      </w:pPr>
    </w:p>
    <w:p w14:paraId="3C8D9B49" w14:textId="684D8761" w:rsidR="008B7E93" w:rsidRPr="007F7C6E" w:rsidRDefault="008B7E93">
      <w:pPr>
        <w:rPr>
          <w:szCs w:val="22"/>
          <w:lang w:val="sr-Latn-ME"/>
        </w:rPr>
      </w:pPr>
      <w:r w:rsidRPr="007F7C6E">
        <w:rPr>
          <w:szCs w:val="22"/>
          <w:lang w:val="sr-Latn-ME"/>
        </w:rPr>
        <w:t xml:space="preserve">Istovremena </w:t>
      </w:r>
      <w:r w:rsidR="009C5229" w:rsidRPr="007F7C6E">
        <w:rPr>
          <w:szCs w:val="22"/>
          <w:lang w:val="sr-Latn-ME"/>
        </w:rPr>
        <w:t>primjena</w:t>
      </w:r>
      <w:r w:rsidRPr="007F7C6E">
        <w:rPr>
          <w:szCs w:val="22"/>
          <w:lang w:val="sr-Latn-ME"/>
        </w:rPr>
        <w:t xml:space="preserve"> sa inhibitorima </w:t>
      </w:r>
      <w:r w:rsidR="005945C4" w:rsidRPr="007F7C6E">
        <w:rPr>
          <w:szCs w:val="22"/>
          <w:lang w:val="sr-Latn-ME"/>
        </w:rPr>
        <w:t xml:space="preserve">jetrinih izoenzima </w:t>
      </w:r>
      <w:r w:rsidRPr="007F7C6E">
        <w:rPr>
          <w:szCs w:val="22"/>
          <w:lang w:val="sr-Latn-ME"/>
        </w:rPr>
        <w:t>CYP3A4 i CYP3A5</w:t>
      </w:r>
      <w:r w:rsidR="00D80C5F" w:rsidRPr="007F7C6E">
        <w:rPr>
          <w:szCs w:val="22"/>
          <w:lang w:val="sr-Latn-ME"/>
        </w:rPr>
        <w:t xml:space="preserve">. </w:t>
      </w:r>
      <w:r w:rsidR="00A879B6" w:rsidRPr="007F7C6E">
        <w:rPr>
          <w:szCs w:val="22"/>
          <w:lang w:val="sr-Latn-ME"/>
        </w:rPr>
        <w:t xml:space="preserve">Klindamicin se prevashodno metaboliše preko </w:t>
      </w:r>
      <w:r w:rsidR="005945C4" w:rsidRPr="007F7C6E">
        <w:rPr>
          <w:szCs w:val="22"/>
          <w:lang w:val="sr-Latn-ME"/>
        </w:rPr>
        <w:t>izo</w:t>
      </w:r>
      <w:r w:rsidR="00A879B6" w:rsidRPr="007F7C6E">
        <w:rPr>
          <w:szCs w:val="22"/>
          <w:lang w:val="sr-Latn-ME"/>
        </w:rPr>
        <w:t>enzima CYP3A4, a u manjoj m</w:t>
      </w:r>
      <w:r w:rsidR="0097227F" w:rsidRPr="007F7C6E">
        <w:rPr>
          <w:szCs w:val="22"/>
          <w:lang w:val="sr-Latn-ME"/>
        </w:rPr>
        <w:t>j</w:t>
      </w:r>
      <w:r w:rsidR="00A879B6" w:rsidRPr="007F7C6E">
        <w:rPr>
          <w:szCs w:val="22"/>
          <w:lang w:val="sr-Latn-ME"/>
        </w:rPr>
        <w:t xml:space="preserve">eri </w:t>
      </w:r>
      <w:r w:rsidR="005945C4" w:rsidRPr="007F7C6E">
        <w:rPr>
          <w:szCs w:val="22"/>
          <w:lang w:val="sr-Latn-ME"/>
        </w:rPr>
        <w:t xml:space="preserve">preko </w:t>
      </w:r>
      <w:r w:rsidR="00244F4B" w:rsidRPr="007F7C6E">
        <w:rPr>
          <w:szCs w:val="22"/>
          <w:lang w:val="sr-Latn-ME"/>
        </w:rPr>
        <w:t>CYP3A5 do glavnog metabolita klindamicin</w:t>
      </w:r>
      <w:r w:rsidR="005945C4" w:rsidRPr="007F7C6E">
        <w:rPr>
          <w:szCs w:val="22"/>
          <w:lang w:val="sr-Latn-ME"/>
        </w:rPr>
        <w:t>-</w:t>
      </w:r>
      <w:r w:rsidR="00244F4B" w:rsidRPr="007F7C6E">
        <w:rPr>
          <w:szCs w:val="22"/>
          <w:lang w:val="sr-Latn-ME"/>
        </w:rPr>
        <w:t xml:space="preserve">sulfoksida i sporednog metabolita N-desmetilklindamicina. Iz tog razloga, inhibitori CYP3A4 i CYP3A5 mogu smanjiti klirens klindamicina i </w:t>
      </w:r>
      <w:r w:rsidR="005945C4" w:rsidRPr="007F7C6E">
        <w:rPr>
          <w:szCs w:val="22"/>
          <w:lang w:val="sr-Latn-ME"/>
        </w:rPr>
        <w:t>posl</w:t>
      </w:r>
      <w:r w:rsidR="0097227F" w:rsidRPr="007F7C6E">
        <w:rPr>
          <w:szCs w:val="22"/>
          <w:lang w:val="sr-Latn-ME"/>
        </w:rPr>
        <w:t>j</w:t>
      </w:r>
      <w:r w:rsidR="005945C4" w:rsidRPr="007F7C6E">
        <w:rPr>
          <w:szCs w:val="22"/>
          <w:lang w:val="sr-Latn-ME"/>
        </w:rPr>
        <w:t xml:space="preserve">edično </w:t>
      </w:r>
      <w:r w:rsidR="00244F4B" w:rsidRPr="007F7C6E">
        <w:rPr>
          <w:szCs w:val="22"/>
          <w:lang w:val="sr-Latn-ME"/>
        </w:rPr>
        <w:t xml:space="preserve">povećati njegovu koncentraciju u krvi, dok induktori ovih izoenzima mogu </w:t>
      </w:r>
      <w:r w:rsidR="005945C4" w:rsidRPr="007F7C6E">
        <w:rPr>
          <w:szCs w:val="22"/>
          <w:lang w:val="sr-Latn-ME"/>
        </w:rPr>
        <w:t xml:space="preserve">uticati na povećanje </w:t>
      </w:r>
      <w:r w:rsidR="00244F4B" w:rsidRPr="007F7C6E">
        <w:rPr>
          <w:szCs w:val="22"/>
          <w:lang w:val="sr-Latn-ME"/>
        </w:rPr>
        <w:t>klirens</w:t>
      </w:r>
      <w:r w:rsidR="005945C4" w:rsidRPr="007F7C6E">
        <w:rPr>
          <w:szCs w:val="22"/>
          <w:lang w:val="sr-Latn-ME"/>
        </w:rPr>
        <w:t xml:space="preserve">a i eventualno smanjenje dejstva </w:t>
      </w:r>
      <w:r w:rsidR="0064264A" w:rsidRPr="007F7C6E">
        <w:rPr>
          <w:szCs w:val="22"/>
          <w:lang w:val="sr-Latn-ME"/>
        </w:rPr>
        <w:t>lijeka</w:t>
      </w:r>
      <w:r w:rsidR="00244F4B" w:rsidRPr="007F7C6E">
        <w:rPr>
          <w:szCs w:val="22"/>
          <w:lang w:val="sr-Latn-ME"/>
        </w:rPr>
        <w:t>.</w:t>
      </w:r>
      <w:r w:rsidR="00C03FFC" w:rsidRPr="007F7C6E">
        <w:rPr>
          <w:szCs w:val="22"/>
          <w:lang w:val="sr-Latn-ME"/>
        </w:rPr>
        <w:t xml:space="preserve"> </w:t>
      </w:r>
      <w:r w:rsidR="00244F4B" w:rsidRPr="007F7C6E">
        <w:rPr>
          <w:szCs w:val="22"/>
          <w:lang w:val="sr-Latn-ME"/>
        </w:rPr>
        <w:t>Ukoliko se istovremeno sa klindamicinom prim</w:t>
      </w:r>
      <w:r w:rsidR="0097227F" w:rsidRPr="007F7C6E">
        <w:rPr>
          <w:szCs w:val="22"/>
          <w:lang w:val="sr-Latn-ME"/>
        </w:rPr>
        <w:t>j</w:t>
      </w:r>
      <w:r w:rsidR="00244F4B" w:rsidRPr="007F7C6E">
        <w:rPr>
          <w:szCs w:val="22"/>
          <w:lang w:val="sr-Latn-ME"/>
        </w:rPr>
        <w:t xml:space="preserve">enjuju jaki induktori izoenzima, kao što je </w:t>
      </w:r>
      <w:r w:rsidR="005945C4" w:rsidRPr="007F7C6E">
        <w:rPr>
          <w:szCs w:val="22"/>
          <w:lang w:val="sr-Latn-ME"/>
        </w:rPr>
        <w:t xml:space="preserve">rifampicin, </w:t>
      </w:r>
      <w:r w:rsidR="00841598" w:rsidRPr="007F7C6E">
        <w:rPr>
          <w:szCs w:val="22"/>
          <w:lang w:val="sr-Latn-ME"/>
        </w:rPr>
        <w:t xml:space="preserve">potrebno je </w:t>
      </w:r>
      <w:r w:rsidR="005945C4" w:rsidRPr="007F7C6E">
        <w:rPr>
          <w:szCs w:val="22"/>
          <w:lang w:val="sr-Latn-ME"/>
        </w:rPr>
        <w:t xml:space="preserve">pratiti da li je </w:t>
      </w:r>
      <w:r w:rsidR="00841598" w:rsidRPr="007F7C6E">
        <w:rPr>
          <w:szCs w:val="22"/>
          <w:lang w:val="sr-Latn-ME"/>
        </w:rPr>
        <w:t xml:space="preserve">eventualno </w:t>
      </w:r>
      <w:r w:rsidR="005945C4" w:rsidRPr="007F7C6E">
        <w:rPr>
          <w:szCs w:val="22"/>
          <w:lang w:val="sr-Latn-ME"/>
        </w:rPr>
        <w:t>došlo do umanjenja terapijskog efekta</w:t>
      </w:r>
      <w:r w:rsidR="00C03FFC" w:rsidRPr="007F7C6E">
        <w:rPr>
          <w:szCs w:val="22"/>
          <w:lang w:val="sr-Latn-ME"/>
        </w:rPr>
        <w:t xml:space="preserve"> klindamicina. </w:t>
      </w:r>
    </w:p>
    <w:p w14:paraId="3C8D9B4B" w14:textId="6782C074" w:rsidR="00C03FFC" w:rsidRPr="007F7C6E" w:rsidRDefault="00C03FFC">
      <w:pPr>
        <w:rPr>
          <w:szCs w:val="22"/>
          <w:lang w:val="sr-Latn-ME"/>
        </w:rPr>
      </w:pPr>
      <w:r w:rsidRPr="007F7C6E">
        <w:rPr>
          <w:i/>
          <w:szCs w:val="22"/>
          <w:lang w:val="sr-Latn-ME"/>
        </w:rPr>
        <w:t>In vitro</w:t>
      </w:r>
      <w:r w:rsidRPr="007F7C6E">
        <w:rPr>
          <w:szCs w:val="22"/>
          <w:lang w:val="sr-Latn-ME"/>
        </w:rPr>
        <w:t xml:space="preserve"> studije ukazuju da klindamicin ne inhibiše CYP1A2, CYP2C9, CYP2C19, CYP2E1 ili CYP2D6</w:t>
      </w:r>
      <w:r w:rsidR="005945C4" w:rsidRPr="007F7C6E">
        <w:rPr>
          <w:szCs w:val="22"/>
          <w:lang w:val="sr-Latn-ME"/>
        </w:rPr>
        <w:t xml:space="preserve"> izoenzim</w:t>
      </w:r>
      <w:r w:rsidRPr="007F7C6E">
        <w:rPr>
          <w:szCs w:val="22"/>
          <w:lang w:val="sr-Latn-ME"/>
        </w:rPr>
        <w:t>,</w:t>
      </w:r>
      <w:r w:rsidR="005945C4" w:rsidRPr="007F7C6E">
        <w:rPr>
          <w:szCs w:val="22"/>
          <w:lang w:val="sr-Latn-ME"/>
        </w:rPr>
        <w:t xml:space="preserve"> </w:t>
      </w:r>
      <w:r w:rsidRPr="007F7C6E">
        <w:rPr>
          <w:szCs w:val="22"/>
          <w:lang w:val="sr-Latn-ME"/>
        </w:rPr>
        <w:t>a samo um</w:t>
      </w:r>
      <w:r w:rsidR="0097227F" w:rsidRPr="007F7C6E">
        <w:rPr>
          <w:szCs w:val="22"/>
          <w:lang w:val="sr-Latn-ME"/>
        </w:rPr>
        <w:t>j</w:t>
      </w:r>
      <w:r w:rsidRPr="007F7C6E">
        <w:rPr>
          <w:szCs w:val="22"/>
          <w:lang w:val="sr-Latn-ME"/>
        </w:rPr>
        <w:t xml:space="preserve">ereno inhibiše CYP3A4. Iz tog razloga, ne očekuju se klinički značajne interakcije između klindamicina i </w:t>
      </w:r>
      <w:r w:rsidR="00037FF3" w:rsidRPr="007F7C6E">
        <w:rPr>
          <w:szCs w:val="22"/>
          <w:lang w:val="sr-Latn-ME"/>
        </w:rPr>
        <w:t>ljekova</w:t>
      </w:r>
      <w:r w:rsidRPr="007F7C6E">
        <w:rPr>
          <w:szCs w:val="22"/>
          <w:lang w:val="sr-Latn-ME"/>
        </w:rPr>
        <w:t xml:space="preserve"> koji se metabolišu putem ovih izoenzima. </w:t>
      </w:r>
    </w:p>
    <w:p w14:paraId="3C8D9B4D" w14:textId="77777777" w:rsidR="0046116C" w:rsidRPr="007F7C6E" w:rsidRDefault="0046116C">
      <w:pPr>
        <w:rPr>
          <w:szCs w:val="22"/>
          <w:lang w:val="sr-Latn-ME"/>
        </w:rPr>
      </w:pPr>
    </w:p>
    <w:p w14:paraId="3C8D9B4E" w14:textId="77777777" w:rsidR="00CE09F3" w:rsidRPr="007F7C6E" w:rsidRDefault="00CE09F3">
      <w:pPr>
        <w:rPr>
          <w:b/>
          <w:bCs/>
          <w:szCs w:val="22"/>
          <w:lang w:val="sr-Latn-ME"/>
        </w:rPr>
      </w:pPr>
      <w:r w:rsidRPr="007F7C6E">
        <w:rPr>
          <w:b/>
          <w:bCs/>
          <w:szCs w:val="22"/>
          <w:lang w:val="sr-Latn-ME"/>
        </w:rPr>
        <w:t>4.6. Plodnost, trudnoća i dojenje</w:t>
      </w:r>
    </w:p>
    <w:p w14:paraId="3C8D9B4F" w14:textId="77777777" w:rsidR="00C66895" w:rsidRPr="007F7C6E" w:rsidRDefault="00C66895">
      <w:pPr>
        <w:rPr>
          <w:szCs w:val="22"/>
          <w:u w:val="single"/>
          <w:lang w:val="sr-Latn-ME"/>
        </w:rPr>
      </w:pPr>
    </w:p>
    <w:p w14:paraId="3C8D9B50" w14:textId="77777777" w:rsidR="00616952" w:rsidRPr="007F7C6E" w:rsidRDefault="00616952">
      <w:pPr>
        <w:rPr>
          <w:szCs w:val="22"/>
          <w:u w:val="single"/>
          <w:lang w:val="sr-Latn-ME"/>
        </w:rPr>
      </w:pPr>
      <w:r w:rsidRPr="007F7C6E">
        <w:rPr>
          <w:szCs w:val="22"/>
          <w:u w:val="single"/>
          <w:lang w:val="sr-Latn-ME"/>
        </w:rPr>
        <w:t>Trudnoća</w:t>
      </w:r>
    </w:p>
    <w:p w14:paraId="3C8D9B51" w14:textId="7FD2BE9B" w:rsidR="00DE22D0" w:rsidRPr="007F7C6E" w:rsidRDefault="00DE22D0">
      <w:pPr>
        <w:rPr>
          <w:szCs w:val="22"/>
          <w:lang w:val="sr-Latn-ME"/>
        </w:rPr>
      </w:pPr>
      <w:r w:rsidRPr="007F7C6E">
        <w:rPr>
          <w:szCs w:val="22"/>
          <w:lang w:val="sr-Latn-ME"/>
        </w:rPr>
        <w:t xml:space="preserve">Studije reproduktivne toksičnosti sprovedene na pacovima i </w:t>
      </w:r>
      <w:r w:rsidR="00D80C5F" w:rsidRPr="007F7C6E">
        <w:rPr>
          <w:szCs w:val="22"/>
          <w:lang w:val="sr-Latn-ME"/>
        </w:rPr>
        <w:t xml:space="preserve">kunićima </w:t>
      </w:r>
      <w:r w:rsidRPr="007F7C6E">
        <w:rPr>
          <w:szCs w:val="22"/>
          <w:lang w:val="sr-Latn-ME"/>
        </w:rPr>
        <w:t>sa oralno i potkožno prim</w:t>
      </w:r>
      <w:r w:rsidR="0097227F" w:rsidRPr="007F7C6E">
        <w:rPr>
          <w:szCs w:val="22"/>
          <w:lang w:val="sr-Latn-ME"/>
        </w:rPr>
        <w:t>ij</w:t>
      </w:r>
      <w:r w:rsidRPr="007F7C6E">
        <w:rPr>
          <w:szCs w:val="22"/>
          <w:lang w:val="sr-Latn-ME"/>
        </w:rPr>
        <w:t>enjenim klindamicinom, ni</w:t>
      </w:r>
      <w:r w:rsidR="00D80C5F" w:rsidRPr="007F7C6E">
        <w:rPr>
          <w:szCs w:val="22"/>
          <w:lang w:val="sr-Latn-ME"/>
        </w:rPr>
        <w:t>je</w:t>
      </w:r>
      <w:r w:rsidRPr="007F7C6E">
        <w:rPr>
          <w:szCs w:val="22"/>
          <w:lang w:val="sr-Latn-ME"/>
        </w:rPr>
        <w:t>su ukazale na postojanje štetnog uticaja na plodnost ili na fetus, osim kod doza koje su uzrokovale maternalnu toksičnost. Rezultati dobijeni iz studija na životinjama ne mogu se uv</w:t>
      </w:r>
      <w:r w:rsidR="0097227F" w:rsidRPr="007F7C6E">
        <w:rPr>
          <w:szCs w:val="22"/>
          <w:lang w:val="sr-Latn-ME"/>
        </w:rPr>
        <w:t>ij</w:t>
      </w:r>
      <w:r w:rsidRPr="007F7C6E">
        <w:rPr>
          <w:szCs w:val="22"/>
          <w:lang w:val="sr-Latn-ME"/>
        </w:rPr>
        <w:t>ek ekstrapolirati na ljude.</w:t>
      </w:r>
    </w:p>
    <w:p w14:paraId="3C8D9B52" w14:textId="77777777" w:rsidR="005A1B94" w:rsidRPr="007F7C6E" w:rsidRDefault="00616952">
      <w:pPr>
        <w:rPr>
          <w:szCs w:val="22"/>
          <w:lang w:val="sr-Latn-ME"/>
        </w:rPr>
      </w:pPr>
      <w:r w:rsidRPr="007F7C6E">
        <w:rPr>
          <w:szCs w:val="22"/>
          <w:lang w:val="sr-Latn-ME"/>
        </w:rPr>
        <w:t xml:space="preserve">Klindamicin prolazi kroz placentu kod žena. Nakon ponovljenog doziranja, koncentracije u amnionskoj tečnosti su bile približno 30% od koncentracija u krvi majke. </w:t>
      </w:r>
    </w:p>
    <w:p w14:paraId="3C8D9B53" w14:textId="52E72C5B" w:rsidR="009027A9" w:rsidRPr="007F7C6E" w:rsidRDefault="00D000F0">
      <w:pPr>
        <w:rPr>
          <w:szCs w:val="22"/>
          <w:lang w:val="sr-Latn-ME"/>
        </w:rPr>
      </w:pPr>
      <w:r w:rsidRPr="007F7C6E">
        <w:rPr>
          <w:szCs w:val="22"/>
          <w:lang w:val="sr-Latn-ME"/>
        </w:rPr>
        <w:t>Klindamicin, rastvor za injekcij</w:t>
      </w:r>
      <w:r w:rsidR="006E6FF4" w:rsidRPr="007F7C6E">
        <w:rPr>
          <w:szCs w:val="22"/>
          <w:lang w:val="sr-Latn-ME"/>
        </w:rPr>
        <w:t>u/infuziju</w:t>
      </w:r>
      <w:r w:rsidRPr="007F7C6E">
        <w:rPr>
          <w:szCs w:val="22"/>
          <w:lang w:val="sr-Latn-ME"/>
        </w:rPr>
        <w:t xml:space="preserve"> sadrži benzil</w:t>
      </w:r>
      <w:r w:rsidR="00D80C5F" w:rsidRPr="007F7C6E">
        <w:rPr>
          <w:szCs w:val="22"/>
          <w:lang w:val="sr-Latn-ME"/>
        </w:rPr>
        <w:t xml:space="preserve"> </w:t>
      </w:r>
      <w:r w:rsidRPr="007F7C6E">
        <w:rPr>
          <w:szCs w:val="22"/>
          <w:lang w:val="sr-Latn-ME"/>
        </w:rPr>
        <w:t>alkohol kao konzervans.</w:t>
      </w:r>
      <w:r w:rsidR="006E6FF4" w:rsidRPr="007F7C6E">
        <w:rPr>
          <w:szCs w:val="22"/>
          <w:lang w:val="sr-Latn-ME"/>
        </w:rPr>
        <w:t xml:space="preserve"> </w:t>
      </w:r>
      <w:r w:rsidR="009027A9" w:rsidRPr="007F7C6E">
        <w:rPr>
          <w:szCs w:val="22"/>
          <w:lang w:val="sr-Latn-ME"/>
        </w:rPr>
        <w:t>Benzil</w:t>
      </w:r>
      <w:r w:rsidR="00D80C5F" w:rsidRPr="007F7C6E">
        <w:rPr>
          <w:szCs w:val="22"/>
          <w:lang w:val="sr-Latn-ME"/>
        </w:rPr>
        <w:t xml:space="preserve"> </w:t>
      </w:r>
      <w:r w:rsidR="009027A9" w:rsidRPr="007F7C6E">
        <w:rPr>
          <w:szCs w:val="22"/>
          <w:lang w:val="sr-Latn-ME"/>
        </w:rPr>
        <w:t>alkohol može proći placentu (</w:t>
      </w:r>
      <w:r w:rsidR="00D80C5F" w:rsidRPr="007F7C6E">
        <w:rPr>
          <w:i/>
          <w:szCs w:val="22"/>
          <w:lang w:val="sr-Latn-ME"/>
        </w:rPr>
        <w:t xml:space="preserve">vidjeti </w:t>
      </w:r>
      <w:r w:rsidR="008A4F4B" w:rsidRPr="007F7C6E">
        <w:rPr>
          <w:i/>
          <w:szCs w:val="22"/>
          <w:lang w:val="sr-Latn-ME"/>
        </w:rPr>
        <w:t xml:space="preserve">dio </w:t>
      </w:r>
      <w:r w:rsidR="009027A9" w:rsidRPr="007F7C6E">
        <w:rPr>
          <w:i/>
          <w:szCs w:val="22"/>
          <w:lang w:val="sr-Latn-ME"/>
        </w:rPr>
        <w:t>4.4</w:t>
      </w:r>
      <w:r w:rsidR="009027A9" w:rsidRPr="007F7C6E">
        <w:rPr>
          <w:szCs w:val="22"/>
          <w:lang w:val="sr-Latn-ME"/>
        </w:rPr>
        <w:t xml:space="preserve">).      </w:t>
      </w:r>
    </w:p>
    <w:p w14:paraId="3C8D9B54" w14:textId="77777777" w:rsidR="009027A9" w:rsidRPr="007F7C6E" w:rsidRDefault="009027A9">
      <w:pPr>
        <w:rPr>
          <w:szCs w:val="22"/>
          <w:lang w:val="sr-Latn-ME"/>
        </w:rPr>
      </w:pPr>
    </w:p>
    <w:p w14:paraId="3C8D9B55" w14:textId="75A2CB9D" w:rsidR="005A1B94" w:rsidRPr="007F7C6E" w:rsidRDefault="00616952">
      <w:pPr>
        <w:rPr>
          <w:szCs w:val="22"/>
          <w:lang w:val="sr-Latn-ME"/>
        </w:rPr>
      </w:pPr>
      <w:r w:rsidRPr="007F7C6E">
        <w:rPr>
          <w:szCs w:val="22"/>
          <w:lang w:val="sr-Latn-ME"/>
        </w:rPr>
        <w:t xml:space="preserve">U kliničkim studijama sprovedenim kod trudnica, sistemska </w:t>
      </w:r>
      <w:r w:rsidR="009C5229" w:rsidRPr="007F7C6E">
        <w:rPr>
          <w:szCs w:val="22"/>
          <w:lang w:val="sr-Latn-ME"/>
        </w:rPr>
        <w:t>primjena</w:t>
      </w:r>
      <w:r w:rsidRPr="007F7C6E">
        <w:rPr>
          <w:szCs w:val="22"/>
          <w:lang w:val="sr-Latn-ME"/>
        </w:rPr>
        <w:t xml:space="preserve"> klindamicina tokom drugog i trećeg trimestra nije bila povezana sa povećanom incidencom kongenital</w:t>
      </w:r>
      <w:r w:rsidR="005A1B94" w:rsidRPr="007F7C6E">
        <w:rPr>
          <w:szCs w:val="22"/>
          <w:lang w:val="sr-Latn-ME"/>
        </w:rPr>
        <w:t>nih malformacija. N</w:t>
      </w:r>
      <w:r w:rsidRPr="007F7C6E">
        <w:rPr>
          <w:szCs w:val="22"/>
          <w:lang w:val="sr-Latn-ME"/>
        </w:rPr>
        <w:t>i</w:t>
      </w:r>
      <w:r w:rsidR="002216B8" w:rsidRPr="007F7C6E">
        <w:rPr>
          <w:szCs w:val="22"/>
          <w:lang w:val="sr-Latn-ME"/>
        </w:rPr>
        <w:t>je</w:t>
      </w:r>
      <w:r w:rsidRPr="007F7C6E">
        <w:rPr>
          <w:szCs w:val="22"/>
          <w:lang w:val="sr-Latn-ME"/>
        </w:rPr>
        <w:t>su sprovedene adekvatne kliničke studije kod trudni</w:t>
      </w:r>
      <w:r w:rsidR="005A1B94" w:rsidRPr="007F7C6E">
        <w:rPr>
          <w:szCs w:val="22"/>
          <w:lang w:val="sr-Latn-ME"/>
        </w:rPr>
        <w:t>ca u prvom trimestru trudnoće.</w:t>
      </w:r>
    </w:p>
    <w:p w14:paraId="3C8D9B56" w14:textId="20A7A521" w:rsidR="00616952" w:rsidRPr="007F7C6E" w:rsidRDefault="005A1B94">
      <w:pPr>
        <w:rPr>
          <w:szCs w:val="22"/>
          <w:lang w:val="sr-Latn-ME"/>
        </w:rPr>
      </w:pPr>
      <w:r w:rsidRPr="007F7C6E">
        <w:rPr>
          <w:szCs w:val="22"/>
          <w:lang w:val="sr-Latn-ME"/>
        </w:rPr>
        <w:t>K</w:t>
      </w:r>
      <w:r w:rsidR="00616952" w:rsidRPr="007F7C6E">
        <w:rPr>
          <w:szCs w:val="22"/>
          <w:lang w:val="sr-Latn-ME"/>
        </w:rPr>
        <w:t>lindamicin se može koristiti</w:t>
      </w:r>
      <w:r w:rsidRPr="007F7C6E">
        <w:rPr>
          <w:szCs w:val="22"/>
          <w:lang w:val="sr-Latn-ME"/>
        </w:rPr>
        <w:t xml:space="preserve"> u trudnoći</w:t>
      </w:r>
      <w:r w:rsidR="00616952" w:rsidRPr="007F7C6E">
        <w:rPr>
          <w:szCs w:val="22"/>
          <w:lang w:val="sr-Latn-ME"/>
        </w:rPr>
        <w:t xml:space="preserve"> samo ukoliko </w:t>
      </w:r>
      <w:r w:rsidR="00037FF3" w:rsidRPr="007F7C6E">
        <w:rPr>
          <w:szCs w:val="22"/>
          <w:lang w:val="sr-Latn-ME"/>
        </w:rPr>
        <w:t>ljekar</w:t>
      </w:r>
      <w:r w:rsidR="00616952" w:rsidRPr="007F7C6E">
        <w:rPr>
          <w:szCs w:val="22"/>
          <w:lang w:val="sr-Latn-ME"/>
        </w:rPr>
        <w:t xml:space="preserve"> proc</w:t>
      </w:r>
      <w:r w:rsidR="0097227F" w:rsidRPr="007F7C6E">
        <w:rPr>
          <w:szCs w:val="22"/>
          <w:lang w:val="sr-Latn-ME"/>
        </w:rPr>
        <w:t>ij</w:t>
      </w:r>
      <w:r w:rsidR="00616952" w:rsidRPr="007F7C6E">
        <w:rPr>
          <w:szCs w:val="22"/>
          <w:lang w:val="sr-Latn-ME"/>
        </w:rPr>
        <w:t>eni da je to neophodno.</w:t>
      </w:r>
    </w:p>
    <w:p w14:paraId="3C8D9B57" w14:textId="77777777" w:rsidR="00616952" w:rsidRPr="007F7C6E" w:rsidRDefault="00616952">
      <w:pPr>
        <w:rPr>
          <w:szCs w:val="22"/>
          <w:lang w:val="sr-Latn-ME"/>
        </w:rPr>
      </w:pPr>
    </w:p>
    <w:p w14:paraId="3C8D9B58" w14:textId="77777777" w:rsidR="00616952" w:rsidRPr="007F7C6E" w:rsidRDefault="00616952">
      <w:pPr>
        <w:rPr>
          <w:szCs w:val="22"/>
          <w:u w:val="single"/>
          <w:lang w:val="sr-Latn-ME"/>
        </w:rPr>
      </w:pPr>
      <w:r w:rsidRPr="007F7C6E">
        <w:rPr>
          <w:szCs w:val="22"/>
          <w:u w:val="single"/>
          <w:lang w:val="sr-Latn-ME"/>
        </w:rPr>
        <w:t>Dojenje</w:t>
      </w:r>
    </w:p>
    <w:p w14:paraId="4A6FB3C8" w14:textId="099D7634" w:rsidR="00985119" w:rsidRPr="007F7C6E" w:rsidRDefault="00D052FA">
      <w:pPr>
        <w:tabs>
          <w:tab w:val="clear" w:pos="284"/>
        </w:tabs>
        <w:autoSpaceDE w:val="0"/>
        <w:autoSpaceDN w:val="0"/>
        <w:adjustRightInd w:val="0"/>
        <w:rPr>
          <w:szCs w:val="22"/>
          <w:lang w:val="sr-Latn-ME"/>
        </w:rPr>
      </w:pPr>
      <w:r w:rsidRPr="007F7C6E">
        <w:rPr>
          <w:szCs w:val="22"/>
          <w:lang w:val="sr-Latn-ME"/>
        </w:rPr>
        <w:t>K</w:t>
      </w:r>
      <w:r w:rsidR="00985119" w:rsidRPr="007F7C6E">
        <w:rPr>
          <w:szCs w:val="22"/>
          <w:lang w:val="sr-Latn-ME"/>
        </w:rPr>
        <w:t>lindamicin se izlu</w:t>
      </w:r>
      <w:r w:rsidRPr="007F7C6E">
        <w:rPr>
          <w:szCs w:val="22"/>
          <w:lang w:val="sr-Latn-ME"/>
        </w:rPr>
        <w:t>č</w:t>
      </w:r>
      <w:r w:rsidR="00985119" w:rsidRPr="007F7C6E">
        <w:rPr>
          <w:szCs w:val="22"/>
          <w:lang w:val="sr-Latn-ME"/>
        </w:rPr>
        <w:t>uje u maj</w:t>
      </w:r>
      <w:r w:rsidRPr="007F7C6E">
        <w:rPr>
          <w:szCs w:val="22"/>
          <w:lang w:val="sr-Latn-ME"/>
        </w:rPr>
        <w:t>č</w:t>
      </w:r>
      <w:r w:rsidR="00985119" w:rsidRPr="007F7C6E">
        <w:rPr>
          <w:szCs w:val="22"/>
          <w:lang w:val="sr-Latn-ME"/>
        </w:rPr>
        <w:t>inom m</w:t>
      </w:r>
      <w:r w:rsidR="0064264A" w:rsidRPr="007F7C6E">
        <w:rPr>
          <w:szCs w:val="22"/>
          <w:lang w:val="sr-Latn-ME"/>
        </w:rPr>
        <w:t>lijek</w:t>
      </w:r>
      <w:r w:rsidR="00985119" w:rsidRPr="007F7C6E">
        <w:rPr>
          <w:szCs w:val="22"/>
          <w:lang w:val="sr-Latn-ME"/>
        </w:rPr>
        <w:t>u (</w:t>
      </w:r>
      <w:r w:rsidR="002216B8" w:rsidRPr="007F7C6E">
        <w:rPr>
          <w:i/>
          <w:iCs/>
          <w:szCs w:val="22"/>
          <w:lang w:val="sr-Latn-ME"/>
        </w:rPr>
        <w:t xml:space="preserve">vidjeti </w:t>
      </w:r>
      <w:r w:rsidR="008A4F4B" w:rsidRPr="007F7C6E">
        <w:rPr>
          <w:i/>
          <w:iCs/>
          <w:szCs w:val="22"/>
          <w:lang w:val="sr-Latn-ME"/>
        </w:rPr>
        <w:t>dio</w:t>
      </w:r>
      <w:r w:rsidR="0097227F" w:rsidRPr="007F7C6E">
        <w:rPr>
          <w:i/>
          <w:iCs/>
          <w:szCs w:val="22"/>
          <w:lang w:val="sr-Latn-ME"/>
        </w:rPr>
        <w:t xml:space="preserve"> </w:t>
      </w:r>
      <w:r w:rsidR="00985119" w:rsidRPr="007F7C6E">
        <w:rPr>
          <w:i/>
          <w:iCs/>
          <w:szCs w:val="22"/>
          <w:lang w:val="sr-Latn-ME"/>
        </w:rPr>
        <w:t>5.2</w:t>
      </w:r>
      <w:r w:rsidR="00985119" w:rsidRPr="007F7C6E">
        <w:rPr>
          <w:szCs w:val="22"/>
          <w:lang w:val="sr-Latn-ME"/>
        </w:rPr>
        <w:t>), a ne</w:t>
      </w:r>
      <w:r w:rsidRPr="007F7C6E">
        <w:rPr>
          <w:szCs w:val="22"/>
          <w:lang w:val="sr-Latn-ME"/>
        </w:rPr>
        <w:t>ž</w:t>
      </w:r>
      <w:r w:rsidR="00985119" w:rsidRPr="007F7C6E">
        <w:rPr>
          <w:szCs w:val="22"/>
          <w:lang w:val="sr-Latn-ME"/>
        </w:rPr>
        <w:t>eljena dejstva (npr. dijareja, krv</w:t>
      </w:r>
      <w:r w:rsidRPr="007F7C6E">
        <w:rPr>
          <w:szCs w:val="22"/>
          <w:lang w:val="sr-Latn-ME"/>
        </w:rPr>
        <w:t xml:space="preserve"> </w:t>
      </w:r>
      <w:r w:rsidR="00985119" w:rsidRPr="007F7C6E">
        <w:rPr>
          <w:szCs w:val="22"/>
          <w:lang w:val="sr-Latn-ME"/>
        </w:rPr>
        <w:t>u stolici i osip) su uo</w:t>
      </w:r>
      <w:r w:rsidRPr="007F7C6E">
        <w:rPr>
          <w:szCs w:val="22"/>
          <w:lang w:val="sr-Latn-ME"/>
        </w:rPr>
        <w:t>č</w:t>
      </w:r>
      <w:r w:rsidR="00985119" w:rsidRPr="007F7C6E">
        <w:rPr>
          <w:szCs w:val="22"/>
          <w:lang w:val="sr-Latn-ME"/>
        </w:rPr>
        <w:t>ena kod novoroden</w:t>
      </w:r>
      <w:r w:rsidRPr="007F7C6E">
        <w:rPr>
          <w:szCs w:val="22"/>
          <w:lang w:val="sr-Latn-ME"/>
        </w:rPr>
        <w:t>č</w:t>
      </w:r>
      <w:r w:rsidR="00985119" w:rsidRPr="007F7C6E">
        <w:rPr>
          <w:szCs w:val="22"/>
          <w:lang w:val="sr-Latn-ME"/>
        </w:rPr>
        <w:t>adi/odoj</w:t>
      </w:r>
      <w:r w:rsidRPr="007F7C6E">
        <w:rPr>
          <w:szCs w:val="22"/>
          <w:lang w:val="sr-Latn-ME"/>
        </w:rPr>
        <w:t>č</w:t>
      </w:r>
      <w:r w:rsidR="00985119" w:rsidRPr="007F7C6E">
        <w:rPr>
          <w:szCs w:val="22"/>
          <w:lang w:val="sr-Latn-ME"/>
        </w:rPr>
        <w:t xml:space="preserve">adi </w:t>
      </w:r>
      <w:r w:rsidRPr="007F7C6E">
        <w:rPr>
          <w:szCs w:val="22"/>
          <w:lang w:val="sr-Latn-ME"/>
        </w:rPr>
        <w:t>č</w:t>
      </w:r>
      <w:r w:rsidR="00985119" w:rsidRPr="007F7C6E">
        <w:rPr>
          <w:szCs w:val="22"/>
          <w:lang w:val="sr-Latn-ME"/>
        </w:rPr>
        <w:t>ije su majke na terapi</w:t>
      </w:r>
      <w:r w:rsidRPr="007F7C6E">
        <w:rPr>
          <w:szCs w:val="22"/>
          <w:lang w:val="sr-Latn-ME"/>
        </w:rPr>
        <w:t>j</w:t>
      </w:r>
      <w:r w:rsidR="00985119" w:rsidRPr="007F7C6E">
        <w:rPr>
          <w:szCs w:val="22"/>
          <w:lang w:val="sr-Latn-ME"/>
        </w:rPr>
        <w:t>i i koje doje.</w:t>
      </w:r>
    </w:p>
    <w:p w14:paraId="61414CE0" w14:textId="77777777" w:rsidR="00D052FA" w:rsidRPr="007F7C6E" w:rsidRDefault="00D052FA">
      <w:pPr>
        <w:tabs>
          <w:tab w:val="clear" w:pos="284"/>
        </w:tabs>
        <w:autoSpaceDE w:val="0"/>
        <w:autoSpaceDN w:val="0"/>
        <w:adjustRightInd w:val="0"/>
        <w:rPr>
          <w:szCs w:val="22"/>
          <w:lang w:val="sr-Latn-ME"/>
        </w:rPr>
      </w:pPr>
    </w:p>
    <w:p w14:paraId="3C8D9B5A" w14:textId="78CC65E1" w:rsidR="00616952" w:rsidRPr="007F7C6E" w:rsidRDefault="00985119">
      <w:pPr>
        <w:rPr>
          <w:szCs w:val="22"/>
          <w:lang w:val="sr-Latn-ME"/>
        </w:rPr>
      </w:pPr>
      <w:r w:rsidRPr="007F7C6E">
        <w:rPr>
          <w:szCs w:val="22"/>
          <w:lang w:val="sr-Latn-ME"/>
        </w:rPr>
        <w:t>Klindamicin, rastvor za injekcije sadr</w:t>
      </w:r>
      <w:r w:rsidR="00D052FA" w:rsidRPr="007F7C6E">
        <w:rPr>
          <w:szCs w:val="22"/>
          <w:lang w:val="sr-Latn-ME"/>
        </w:rPr>
        <w:t>ž</w:t>
      </w:r>
      <w:r w:rsidRPr="007F7C6E">
        <w:rPr>
          <w:szCs w:val="22"/>
          <w:lang w:val="sr-Latn-ME"/>
        </w:rPr>
        <w:t>i benzil</w:t>
      </w:r>
      <w:r w:rsidR="002216B8" w:rsidRPr="007F7C6E">
        <w:rPr>
          <w:szCs w:val="22"/>
          <w:lang w:val="sr-Latn-ME"/>
        </w:rPr>
        <w:t xml:space="preserve"> </w:t>
      </w:r>
      <w:r w:rsidRPr="007F7C6E">
        <w:rPr>
          <w:szCs w:val="22"/>
          <w:lang w:val="sr-Latn-ME"/>
        </w:rPr>
        <w:t>alkohol kao konzervans (</w:t>
      </w:r>
      <w:r w:rsidR="002216B8" w:rsidRPr="007F7C6E">
        <w:rPr>
          <w:i/>
          <w:iCs/>
          <w:szCs w:val="22"/>
          <w:lang w:val="sr-Latn-ME"/>
        </w:rPr>
        <w:t xml:space="preserve">vidjeti </w:t>
      </w:r>
      <w:r w:rsidR="008A4F4B" w:rsidRPr="007F7C6E">
        <w:rPr>
          <w:i/>
          <w:iCs/>
          <w:szCs w:val="22"/>
          <w:lang w:val="sr-Latn-ME"/>
        </w:rPr>
        <w:t xml:space="preserve">dio </w:t>
      </w:r>
      <w:r w:rsidRPr="007F7C6E">
        <w:rPr>
          <w:i/>
          <w:iCs/>
          <w:szCs w:val="22"/>
          <w:lang w:val="sr-Latn-ME"/>
        </w:rPr>
        <w:t>4.4</w:t>
      </w:r>
      <w:r w:rsidRPr="007F7C6E">
        <w:rPr>
          <w:szCs w:val="22"/>
          <w:lang w:val="sr-Latn-ME"/>
        </w:rPr>
        <w:t>).</w:t>
      </w:r>
    </w:p>
    <w:p w14:paraId="547A70CC" w14:textId="77777777" w:rsidR="00D052FA" w:rsidRPr="007F7C6E" w:rsidRDefault="00D052FA">
      <w:pPr>
        <w:rPr>
          <w:szCs w:val="22"/>
          <w:lang w:val="sr-Latn-ME"/>
        </w:rPr>
      </w:pPr>
    </w:p>
    <w:p w14:paraId="1E651B43" w14:textId="1A6AACAE" w:rsidR="00D052FA" w:rsidRPr="007F7C6E" w:rsidRDefault="00D052FA">
      <w:pPr>
        <w:tabs>
          <w:tab w:val="clear" w:pos="284"/>
        </w:tabs>
        <w:autoSpaceDE w:val="0"/>
        <w:autoSpaceDN w:val="0"/>
        <w:adjustRightInd w:val="0"/>
        <w:rPr>
          <w:szCs w:val="22"/>
          <w:lang w:val="sr-Latn-ME"/>
        </w:rPr>
      </w:pPr>
      <w:r w:rsidRPr="007F7C6E">
        <w:rPr>
          <w:szCs w:val="22"/>
          <w:lang w:val="sr-Latn-ME"/>
        </w:rPr>
        <w:t>Mora se don</w:t>
      </w:r>
      <w:r w:rsidR="0097227F" w:rsidRPr="007F7C6E">
        <w:rPr>
          <w:szCs w:val="22"/>
          <w:lang w:val="sr-Latn-ME"/>
        </w:rPr>
        <w:t>ij</w:t>
      </w:r>
      <w:r w:rsidRPr="007F7C6E">
        <w:rPr>
          <w:szCs w:val="22"/>
          <w:lang w:val="sr-Latn-ME"/>
        </w:rPr>
        <w:t>eti odluka da li da se prekine dojenje ili da se prekine terapija/uzdrži od terapije sa klindamicinom, uzimajući u obzir korist dojenja za d</w:t>
      </w:r>
      <w:r w:rsidR="0097227F" w:rsidRPr="007F7C6E">
        <w:rPr>
          <w:szCs w:val="22"/>
          <w:lang w:val="sr-Latn-ME"/>
        </w:rPr>
        <w:t>ij</w:t>
      </w:r>
      <w:r w:rsidRPr="007F7C6E">
        <w:rPr>
          <w:szCs w:val="22"/>
          <w:lang w:val="sr-Latn-ME"/>
        </w:rPr>
        <w:t>ete i korist terapije za majku.</w:t>
      </w:r>
    </w:p>
    <w:p w14:paraId="16223698" w14:textId="77777777" w:rsidR="00D052FA" w:rsidRPr="007F7C6E" w:rsidRDefault="00D052FA">
      <w:pPr>
        <w:rPr>
          <w:b/>
          <w:i/>
          <w:szCs w:val="22"/>
          <w:lang w:val="sr-Latn-ME"/>
        </w:rPr>
      </w:pPr>
    </w:p>
    <w:p w14:paraId="3C8D9B5B" w14:textId="77777777" w:rsidR="00616952" w:rsidRPr="007F7C6E" w:rsidRDefault="00616952">
      <w:pPr>
        <w:rPr>
          <w:szCs w:val="22"/>
          <w:u w:val="single"/>
          <w:lang w:val="sr-Latn-ME"/>
        </w:rPr>
      </w:pPr>
      <w:r w:rsidRPr="007F7C6E">
        <w:rPr>
          <w:szCs w:val="22"/>
          <w:u w:val="single"/>
          <w:lang w:val="sr-Latn-ME"/>
        </w:rPr>
        <w:t>Plodnost</w:t>
      </w:r>
    </w:p>
    <w:p w14:paraId="3C8D9B5C" w14:textId="192CC314" w:rsidR="00616952" w:rsidRPr="007F7C6E" w:rsidRDefault="00616952">
      <w:pPr>
        <w:rPr>
          <w:szCs w:val="22"/>
          <w:lang w:val="sr-Latn-ME"/>
        </w:rPr>
      </w:pPr>
      <w:r w:rsidRPr="007F7C6E">
        <w:rPr>
          <w:szCs w:val="22"/>
          <w:lang w:val="sr-Latn-ME"/>
        </w:rPr>
        <w:t>Studije plodnosti sprovedene na pacovima koji su dobijali klindamicin u oralnom obliku ni</w:t>
      </w:r>
      <w:r w:rsidR="00B4074F" w:rsidRPr="007F7C6E">
        <w:rPr>
          <w:szCs w:val="22"/>
          <w:lang w:val="sr-Latn-ME"/>
        </w:rPr>
        <w:t>je</w:t>
      </w:r>
      <w:r w:rsidRPr="007F7C6E">
        <w:rPr>
          <w:szCs w:val="22"/>
          <w:lang w:val="sr-Latn-ME"/>
        </w:rPr>
        <w:t xml:space="preserve">su pokazale nikakav štetan uticaj klindamicina na plodnost ili sposobnost parenja. </w:t>
      </w:r>
    </w:p>
    <w:p w14:paraId="3C8D9B5E" w14:textId="77777777" w:rsidR="00CE09F3" w:rsidRPr="007F7C6E" w:rsidRDefault="00CE09F3">
      <w:pPr>
        <w:rPr>
          <w:szCs w:val="22"/>
          <w:lang w:val="sr-Latn-ME"/>
        </w:rPr>
      </w:pPr>
    </w:p>
    <w:p w14:paraId="3C8D9B5F" w14:textId="7612042A" w:rsidR="00CE09F3" w:rsidRPr="007F7C6E" w:rsidRDefault="00CE09F3">
      <w:pPr>
        <w:rPr>
          <w:b/>
          <w:bCs/>
          <w:spacing w:val="-8"/>
          <w:szCs w:val="22"/>
          <w:lang w:val="sr-Latn-ME"/>
        </w:rPr>
      </w:pPr>
      <w:r w:rsidRPr="007F7C6E">
        <w:rPr>
          <w:b/>
          <w:bCs/>
          <w:spacing w:val="-8"/>
          <w:szCs w:val="22"/>
          <w:lang w:val="sr-Latn-ME"/>
        </w:rPr>
        <w:t xml:space="preserve">4.7. Uticaj </w:t>
      </w:r>
      <w:r w:rsidR="0064264A" w:rsidRPr="007F7C6E">
        <w:rPr>
          <w:b/>
          <w:bCs/>
          <w:spacing w:val="-8"/>
          <w:szCs w:val="22"/>
          <w:lang w:val="sr-Latn-ME"/>
        </w:rPr>
        <w:t>lijeka</w:t>
      </w:r>
      <w:r w:rsidRPr="007F7C6E">
        <w:rPr>
          <w:b/>
          <w:bCs/>
          <w:spacing w:val="-8"/>
          <w:szCs w:val="22"/>
          <w:lang w:val="sr-Latn-ME"/>
        </w:rPr>
        <w:t xml:space="preserve"> na sposobnost upravljanja vozilima i rukovanj</w:t>
      </w:r>
      <w:r w:rsidR="00037FF3" w:rsidRPr="007F7C6E">
        <w:rPr>
          <w:b/>
          <w:bCs/>
          <w:spacing w:val="-8"/>
          <w:szCs w:val="22"/>
          <w:lang w:val="sr-Latn-ME"/>
        </w:rPr>
        <w:t>e</w:t>
      </w:r>
      <w:r w:rsidRPr="007F7C6E">
        <w:rPr>
          <w:b/>
          <w:bCs/>
          <w:spacing w:val="-8"/>
          <w:szCs w:val="22"/>
          <w:lang w:val="sr-Latn-ME"/>
        </w:rPr>
        <w:t xml:space="preserve"> mašinama</w:t>
      </w:r>
    </w:p>
    <w:p w14:paraId="3C8D9B60" w14:textId="77777777" w:rsidR="004B3353" w:rsidRPr="007F7C6E" w:rsidRDefault="004B3353">
      <w:pPr>
        <w:rPr>
          <w:b/>
          <w:bCs/>
          <w:spacing w:val="-8"/>
          <w:szCs w:val="22"/>
          <w:lang w:val="sr-Latn-ME"/>
        </w:rPr>
      </w:pPr>
    </w:p>
    <w:p w14:paraId="3C8D9B61" w14:textId="77777777" w:rsidR="00A54717" w:rsidRPr="007F7C6E" w:rsidRDefault="00A54717">
      <w:pPr>
        <w:tabs>
          <w:tab w:val="left" w:pos="-720"/>
          <w:tab w:val="left" w:pos="0"/>
          <w:tab w:val="num" w:pos="1170"/>
        </w:tabs>
        <w:suppressAutoHyphens/>
        <w:rPr>
          <w:szCs w:val="22"/>
          <w:lang w:val="sr-Latn-ME"/>
        </w:rPr>
      </w:pPr>
      <w:r w:rsidRPr="007F7C6E">
        <w:rPr>
          <w:szCs w:val="22"/>
          <w:lang w:val="sr-Latn-ME"/>
        </w:rPr>
        <w:t>Nije utvrđeno da klindamicin ima uticaja na sposobnost upravljanja motornim vozilima i rukovanje mašinama.</w:t>
      </w:r>
    </w:p>
    <w:p w14:paraId="3C8D9B62" w14:textId="77777777" w:rsidR="00CE09F3" w:rsidRPr="007F7C6E" w:rsidRDefault="00CE09F3">
      <w:pPr>
        <w:rPr>
          <w:szCs w:val="22"/>
          <w:lang w:val="sr-Latn-ME"/>
        </w:rPr>
      </w:pPr>
    </w:p>
    <w:p w14:paraId="3C8D9B63" w14:textId="77777777" w:rsidR="00CE09F3" w:rsidRPr="007F7C6E" w:rsidRDefault="00CE09F3">
      <w:pPr>
        <w:rPr>
          <w:b/>
          <w:bCs/>
          <w:szCs w:val="22"/>
          <w:lang w:val="sr-Latn-ME"/>
        </w:rPr>
      </w:pPr>
      <w:r w:rsidRPr="007F7C6E">
        <w:rPr>
          <w:b/>
          <w:bCs/>
          <w:szCs w:val="22"/>
          <w:lang w:val="sr-Latn-ME"/>
        </w:rPr>
        <w:lastRenderedPageBreak/>
        <w:t>4.8. Neželjena dejstva</w:t>
      </w:r>
    </w:p>
    <w:p w14:paraId="3C8D9B64" w14:textId="77777777" w:rsidR="004B3353" w:rsidRPr="007F7C6E" w:rsidRDefault="004B3353">
      <w:pPr>
        <w:rPr>
          <w:b/>
          <w:bCs/>
          <w:szCs w:val="22"/>
          <w:lang w:val="sr-Latn-ME"/>
        </w:rPr>
      </w:pPr>
    </w:p>
    <w:p w14:paraId="3C8D9B67" w14:textId="6458EC05" w:rsidR="00035FDF" w:rsidRPr="007F7C6E" w:rsidRDefault="00035FDF" w:rsidP="0001076C">
      <w:pPr>
        <w:tabs>
          <w:tab w:val="clear" w:pos="284"/>
        </w:tabs>
        <w:autoSpaceDE w:val="0"/>
        <w:autoSpaceDN w:val="0"/>
        <w:adjustRightInd w:val="0"/>
        <w:rPr>
          <w:szCs w:val="22"/>
          <w:lang w:val="sr-Latn-ME"/>
        </w:rPr>
      </w:pPr>
      <w:r w:rsidRPr="007F7C6E">
        <w:rPr>
          <w:szCs w:val="22"/>
          <w:lang w:val="sr-Latn-ME"/>
        </w:rPr>
        <w:t>Neželjena dejstva navedena su u daljem tekstu po klasama sistema organa i učestalosti javljanja. Neželjene</w:t>
      </w:r>
      <w:r w:rsidR="00B4074F" w:rsidRPr="007F7C6E">
        <w:rPr>
          <w:szCs w:val="22"/>
          <w:lang w:val="sr-Latn-ME"/>
        </w:rPr>
        <w:t xml:space="preserve"> </w:t>
      </w:r>
      <w:r w:rsidRPr="007F7C6E">
        <w:rPr>
          <w:szCs w:val="22"/>
          <w:lang w:val="sr-Latn-ME"/>
        </w:rPr>
        <w:t>reakcije koje su se javile u post-marketinškom periodu prikazane su kosim slovima. Učestalost javljanja je</w:t>
      </w:r>
      <w:r w:rsidR="00B4074F" w:rsidRPr="007F7C6E">
        <w:rPr>
          <w:szCs w:val="22"/>
          <w:lang w:val="sr-Latn-ME"/>
        </w:rPr>
        <w:t xml:space="preserve"> </w:t>
      </w:r>
      <w:r w:rsidRPr="007F7C6E">
        <w:rPr>
          <w:szCs w:val="22"/>
          <w:lang w:val="sr-Latn-ME"/>
        </w:rPr>
        <w:t xml:space="preserve">definisana kao: veoma često (≥ 1/10), često (≥ 1/100 i &lt; 1/10), povremeno (≥ 1/1000 i &lt; 1/100), </w:t>
      </w:r>
      <w:r w:rsidR="008A4F4B" w:rsidRPr="007F7C6E">
        <w:rPr>
          <w:szCs w:val="22"/>
          <w:lang w:val="sr-Latn-ME"/>
        </w:rPr>
        <w:t>rijetko</w:t>
      </w:r>
      <w:r w:rsidRPr="007F7C6E">
        <w:rPr>
          <w:szCs w:val="22"/>
          <w:lang w:val="sr-Latn-ME"/>
        </w:rPr>
        <w:t xml:space="preserve"> (≥</w:t>
      </w:r>
    </w:p>
    <w:p w14:paraId="1C4644FF" w14:textId="3D3C2AB5" w:rsidR="00E377D1" w:rsidRPr="007F7C6E" w:rsidRDefault="00035FDF" w:rsidP="00365AFC">
      <w:pPr>
        <w:rPr>
          <w:szCs w:val="22"/>
          <w:lang w:val="sr-Latn-ME"/>
        </w:rPr>
      </w:pPr>
      <w:r w:rsidRPr="007F7C6E">
        <w:rPr>
          <w:szCs w:val="22"/>
          <w:lang w:val="sr-Latn-ME"/>
        </w:rPr>
        <w:t>1/10</w:t>
      </w:r>
      <w:r w:rsidR="00B4074F" w:rsidRPr="007F7C6E">
        <w:rPr>
          <w:szCs w:val="22"/>
          <w:lang w:val="sr-Latn-ME"/>
        </w:rPr>
        <w:t xml:space="preserve"> </w:t>
      </w:r>
      <w:r w:rsidRPr="007F7C6E">
        <w:rPr>
          <w:szCs w:val="22"/>
          <w:lang w:val="sr-Latn-ME"/>
        </w:rPr>
        <w:t xml:space="preserve">000 i &lt; 1/1000) i veoma </w:t>
      </w:r>
      <w:r w:rsidR="008A4F4B" w:rsidRPr="007F7C6E">
        <w:rPr>
          <w:szCs w:val="22"/>
          <w:lang w:val="sr-Latn-ME"/>
        </w:rPr>
        <w:t>rijetko</w:t>
      </w:r>
      <w:r w:rsidRPr="007F7C6E">
        <w:rPr>
          <w:szCs w:val="22"/>
          <w:lang w:val="sr-Latn-ME"/>
        </w:rPr>
        <w:t xml:space="preserve"> (&lt;1/10</w:t>
      </w:r>
      <w:r w:rsidR="00B4074F" w:rsidRPr="007F7C6E">
        <w:rPr>
          <w:szCs w:val="22"/>
          <w:lang w:val="sr-Latn-ME"/>
        </w:rPr>
        <w:t xml:space="preserve"> </w:t>
      </w:r>
      <w:r w:rsidRPr="007F7C6E">
        <w:rPr>
          <w:szCs w:val="22"/>
          <w:lang w:val="sr-Latn-ME"/>
        </w:rPr>
        <w:t>000).</w:t>
      </w:r>
    </w:p>
    <w:p w14:paraId="3C8D9B69" w14:textId="77777777" w:rsidR="006559A6" w:rsidRPr="007F7C6E" w:rsidRDefault="006559A6" w:rsidP="00035FDF">
      <w:pPr>
        <w:rPr>
          <w:b/>
          <w:szCs w:val="22"/>
          <w:lang w:val="sr-Latn-ME"/>
        </w:rPr>
      </w:pPr>
    </w:p>
    <w:tbl>
      <w:tblPr>
        <w:tblW w:w="90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851"/>
        <w:gridCol w:w="1417"/>
        <w:gridCol w:w="1276"/>
        <w:gridCol w:w="1276"/>
        <w:gridCol w:w="1984"/>
      </w:tblGrid>
      <w:tr w:rsidR="00DF7DAB" w:rsidRPr="007F7C6E" w14:paraId="3C8D9B75" w14:textId="77777777" w:rsidTr="0001076C">
        <w:tc>
          <w:tcPr>
            <w:tcW w:w="1272" w:type="dxa"/>
          </w:tcPr>
          <w:p w14:paraId="3C8D9B6A" w14:textId="77777777" w:rsidR="00DF7DAB" w:rsidRPr="007F7C6E" w:rsidRDefault="00DF7DAB" w:rsidP="002D3995">
            <w:pPr>
              <w:rPr>
                <w:b/>
                <w:szCs w:val="22"/>
                <w:lang w:val="sr-Latn-ME"/>
              </w:rPr>
            </w:pPr>
          </w:p>
        </w:tc>
        <w:tc>
          <w:tcPr>
            <w:tcW w:w="1851" w:type="dxa"/>
          </w:tcPr>
          <w:p w14:paraId="3C8D9B6B" w14:textId="77777777" w:rsidR="00DF7DAB" w:rsidRPr="007F7C6E" w:rsidRDefault="00DF7DAB" w:rsidP="0001076C">
            <w:pPr>
              <w:jc w:val="center"/>
              <w:rPr>
                <w:b/>
                <w:i/>
                <w:szCs w:val="22"/>
                <w:lang w:val="sr-Latn-ME"/>
              </w:rPr>
            </w:pPr>
            <w:r w:rsidRPr="007F7C6E">
              <w:rPr>
                <w:b/>
                <w:i/>
                <w:szCs w:val="22"/>
                <w:lang w:val="sr-Latn-ME"/>
              </w:rPr>
              <w:t>Česta</w:t>
            </w:r>
          </w:p>
          <w:p w14:paraId="3C8D9B6C" w14:textId="257F4B9A" w:rsidR="00DF7DAB" w:rsidRPr="007F7C6E" w:rsidRDefault="00DF7DAB" w:rsidP="0001076C">
            <w:pPr>
              <w:jc w:val="center"/>
              <w:rPr>
                <w:b/>
                <w:i/>
                <w:szCs w:val="22"/>
                <w:lang w:val="sr-Latn-ME"/>
              </w:rPr>
            </w:pPr>
            <w:r w:rsidRPr="007F7C6E">
              <w:rPr>
                <w:b/>
                <w:i/>
                <w:szCs w:val="22"/>
                <w:lang w:val="sr-Latn-ME"/>
              </w:rPr>
              <w:t>(≥</w:t>
            </w:r>
            <w:r w:rsidR="00B2198D" w:rsidRPr="007F7C6E">
              <w:rPr>
                <w:b/>
                <w:i/>
                <w:szCs w:val="22"/>
                <w:lang w:val="sr-Latn-ME"/>
              </w:rPr>
              <w:t xml:space="preserve"> </w:t>
            </w:r>
            <w:r w:rsidRPr="007F7C6E">
              <w:rPr>
                <w:b/>
                <w:i/>
                <w:szCs w:val="22"/>
                <w:lang w:val="sr-Latn-ME"/>
              </w:rPr>
              <w:t>1/100, &lt;</w:t>
            </w:r>
            <w:r w:rsidR="00B2198D" w:rsidRPr="007F7C6E">
              <w:rPr>
                <w:b/>
                <w:i/>
                <w:szCs w:val="22"/>
                <w:lang w:val="sr-Latn-ME"/>
              </w:rPr>
              <w:t xml:space="preserve"> </w:t>
            </w:r>
            <w:r w:rsidRPr="007F7C6E">
              <w:rPr>
                <w:b/>
                <w:i/>
                <w:szCs w:val="22"/>
                <w:lang w:val="sr-Latn-ME"/>
              </w:rPr>
              <w:t>1/10)</w:t>
            </w:r>
          </w:p>
        </w:tc>
        <w:tc>
          <w:tcPr>
            <w:tcW w:w="1417" w:type="dxa"/>
          </w:tcPr>
          <w:p w14:paraId="3C8D9B6D" w14:textId="77777777" w:rsidR="00DF7DAB" w:rsidRPr="007F7C6E" w:rsidRDefault="00DF7DAB" w:rsidP="0001076C">
            <w:pPr>
              <w:jc w:val="center"/>
              <w:rPr>
                <w:b/>
                <w:i/>
                <w:szCs w:val="22"/>
                <w:lang w:val="sr-Latn-ME"/>
              </w:rPr>
            </w:pPr>
            <w:r w:rsidRPr="007F7C6E">
              <w:rPr>
                <w:b/>
                <w:i/>
                <w:szCs w:val="22"/>
                <w:lang w:val="sr-Latn-ME"/>
              </w:rPr>
              <w:t>Povremena</w:t>
            </w:r>
          </w:p>
          <w:p w14:paraId="3C8D9B6E" w14:textId="187CC702" w:rsidR="00DF7DAB" w:rsidRPr="007F7C6E" w:rsidRDefault="00DF7DAB" w:rsidP="0001076C">
            <w:pPr>
              <w:jc w:val="center"/>
              <w:rPr>
                <w:b/>
                <w:i/>
                <w:szCs w:val="22"/>
                <w:lang w:val="sr-Latn-ME"/>
              </w:rPr>
            </w:pPr>
            <w:r w:rsidRPr="007F7C6E">
              <w:rPr>
                <w:b/>
                <w:i/>
                <w:szCs w:val="22"/>
                <w:lang w:val="sr-Latn-ME"/>
              </w:rPr>
              <w:t>(≥</w:t>
            </w:r>
            <w:r w:rsidR="00B2198D" w:rsidRPr="007F7C6E">
              <w:rPr>
                <w:b/>
                <w:i/>
                <w:szCs w:val="22"/>
                <w:lang w:val="sr-Latn-ME"/>
              </w:rPr>
              <w:t xml:space="preserve"> </w:t>
            </w:r>
            <w:r w:rsidRPr="007F7C6E">
              <w:rPr>
                <w:b/>
                <w:i/>
                <w:szCs w:val="22"/>
                <w:lang w:val="sr-Latn-ME"/>
              </w:rPr>
              <w:t>1/1000, &lt;</w:t>
            </w:r>
            <w:r w:rsidR="00B2198D" w:rsidRPr="007F7C6E">
              <w:rPr>
                <w:b/>
                <w:i/>
                <w:szCs w:val="22"/>
                <w:lang w:val="sr-Latn-ME"/>
              </w:rPr>
              <w:t xml:space="preserve"> </w:t>
            </w:r>
            <w:r w:rsidRPr="007F7C6E">
              <w:rPr>
                <w:b/>
                <w:i/>
                <w:szCs w:val="22"/>
                <w:lang w:val="sr-Latn-ME"/>
              </w:rPr>
              <w:t>1/100)</w:t>
            </w:r>
          </w:p>
        </w:tc>
        <w:tc>
          <w:tcPr>
            <w:tcW w:w="1276" w:type="dxa"/>
          </w:tcPr>
          <w:p w14:paraId="3C8D9B6F" w14:textId="10229039" w:rsidR="00DF7DAB" w:rsidRPr="007F7C6E" w:rsidRDefault="00DF7DAB" w:rsidP="0001076C">
            <w:pPr>
              <w:jc w:val="center"/>
              <w:rPr>
                <w:b/>
                <w:i/>
                <w:szCs w:val="22"/>
                <w:lang w:val="sr-Latn-ME"/>
              </w:rPr>
            </w:pPr>
            <w:r w:rsidRPr="007F7C6E">
              <w:rPr>
                <w:b/>
                <w:i/>
                <w:szCs w:val="22"/>
                <w:lang w:val="sr-Latn-ME"/>
              </w:rPr>
              <w:t>R</w:t>
            </w:r>
            <w:r w:rsidR="0097227F" w:rsidRPr="007F7C6E">
              <w:rPr>
                <w:b/>
                <w:i/>
                <w:szCs w:val="22"/>
                <w:lang w:val="sr-Latn-ME"/>
              </w:rPr>
              <w:t>ij</w:t>
            </w:r>
            <w:r w:rsidRPr="007F7C6E">
              <w:rPr>
                <w:b/>
                <w:i/>
                <w:szCs w:val="22"/>
                <w:lang w:val="sr-Latn-ME"/>
              </w:rPr>
              <w:t>etka</w:t>
            </w:r>
          </w:p>
          <w:p w14:paraId="3C8D9B70" w14:textId="4092AAD3" w:rsidR="00DF7DAB" w:rsidRPr="007F7C6E" w:rsidRDefault="00DF7DAB" w:rsidP="0001076C">
            <w:pPr>
              <w:jc w:val="center"/>
              <w:rPr>
                <w:b/>
                <w:szCs w:val="22"/>
                <w:lang w:val="sr-Latn-ME"/>
              </w:rPr>
            </w:pPr>
            <w:r w:rsidRPr="007F7C6E">
              <w:rPr>
                <w:b/>
                <w:i/>
                <w:szCs w:val="22"/>
                <w:lang w:val="sr-Latn-ME"/>
              </w:rPr>
              <w:t>(≥</w:t>
            </w:r>
            <w:r w:rsidR="00B2198D" w:rsidRPr="007F7C6E">
              <w:rPr>
                <w:b/>
                <w:i/>
                <w:szCs w:val="22"/>
                <w:lang w:val="sr-Latn-ME"/>
              </w:rPr>
              <w:t xml:space="preserve"> </w:t>
            </w:r>
            <w:r w:rsidRPr="007F7C6E">
              <w:rPr>
                <w:b/>
                <w:i/>
                <w:szCs w:val="22"/>
                <w:lang w:val="sr-Latn-ME"/>
              </w:rPr>
              <w:t>1/10000, &lt;</w:t>
            </w:r>
            <w:r w:rsidR="00B2198D" w:rsidRPr="007F7C6E">
              <w:rPr>
                <w:b/>
                <w:i/>
                <w:szCs w:val="22"/>
                <w:lang w:val="sr-Latn-ME"/>
              </w:rPr>
              <w:t xml:space="preserve"> </w:t>
            </w:r>
            <w:r w:rsidRPr="007F7C6E">
              <w:rPr>
                <w:b/>
                <w:i/>
                <w:szCs w:val="22"/>
                <w:lang w:val="sr-Latn-ME"/>
              </w:rPr>
              <w:t>1/1000)</w:t>
            </w:r>
          </w:p>
        </w:tc>
        <w:tc>
          <w:tcPr>
            <w:tcW w:w="1276" w:type="dxa"/>
          </w:tcPr>
          <w:p w14:paraId="3C8D9B71" w14:textId="3B062511" w:rsidR="00DF7DAB" w:rsidRPr="007F7C6E" w:rsidRDefault="00DF7DAB" w:rsidP="0001076C">
            <w:pPr>
              <w:jc w:val="center"/>
              <w:rPr>
                <w:b/>
                <w:i/>
                <w:szCs w:val="22"/>
                <w:lang w:val="sr-Latn-ME"/>
              </w:rPr>
            </w:pPr>
            <w:r w:rsidRPr="007F7C6E">
              <w:rPr>
                <w:b/>
                <w:i/>
                <w:szCs w:val="22"/>
                <w:lang w:val="sr-Latn-ME"/>
              </w:rPr>
              <w:t>Veoma r</w:t>
            </w:r>
            <w:r w:rsidR="0097227F" w:rsidRPr="007F7C6E">
              <w:rPr>
                <w:b/>
                <w:i/>
                <w:szCs w:val="22"/>
                <w:lang w:val="sr-Latn-ME"/>
              </w:rPr>
              <w:t>ij</w:t>
            </w:r>
            <w:r w:rsidRPr="007F7C6E">
              <w:rPr>
                <w:b/>
                <w:i/>
                <w:szCs w:val="22"/>
                <w:lang w:val="sr-Latn-ME"/>
              </w:rPr>
              <w:t>etka</w:t>
            </w:r>
          </w:p>
          <w:p w14:paraId="3C8D9B72" w14:textId="2ECFD22F" w:rsidR="00DF7DAB" w:rsidRPr="007F7C6E" w:rsidRDefault="00DF7DAB" w:rsidP="0001076C">
            <w:pPr>
              <w:jc w:val="center"/>
              <w:rPr>
                <w:b/>
                <w:i/>
                <w:szCs w:val="22"/>
                <w:lang w:val="sr-Latn-ME"/>
              </w:rPr>
            </w:pPr>
            <w:r w:rsidRPr="007F7C6E">
              <w:rPr>
                <w:b/>
                <w:i/>
                <w:szCs w:val="22"/>
                <w:lang w:val="sr-Latn-ME"/>
              </w:rPr>
              <w:t>(&lt;</w:t>
            </w:r>
            <w:r w:rsidR="00B2198D" w:rsidRPr="007F7C6E">
              <w:rPr>
                <w:b/>
                <w:i/>
                <w:szCs w:val="22"/>
                <w:lang w:val="sr-Latn-ME"/>
              </w:rPr>
              <w:t xml:space="preserve"> </w:t>
            </w:r>
            <w:r w:rsidRPr="007F7C6E">
              <w:rPr>
                <w:b/>
                <w:i/>
                <w:szCs w:val="22"/>
                <w:lang w:val="sr-Latn-ME"/>
              </w:rPr>
              <w:t>1/10000)</w:t>
            </w:r>
          </w:p>
        </w:tc>
        <w:tc>
          <w:tcPr>
            <w:tcW w:w="1984" w:type="dxa"/>
          </w:tcPr>
          <w:p w14:paraId="3C8D9B73" w14:textId="77777777" w:rsidR="00DF7DAB" w:rsidRPr="007F7C6E" w:rsidRDefault="00DF7DAB" w:rsidP="0001076C">
            <w:pPr>
              <w:jc w:val="center"/>
              <w:rPr>
                <w:b/>
                <w:i/>
                <w:szCs w:val="22"/>
                <w:lang w:val="sr-Latn-ME"/>
              </w:rPr>
            </w:pPr>
            <w:r w:rsidRPr="007F7C6E">
              <w:rPr>
                <w:b/>
                <w:i/>
                <w:szCs w:val="22"/>
                <w:lang w:val="sr-Latn-ME"/>
              </w:rPr>
              <w:t>Nepoznata učestalost</w:t>
            </w:r>
          </w:p>
          <w:p w14:paraId="3C8D9B74" w14:textId="77777777" w:rsidR="00DF7DAB" w:rsidRPr="007F7C6E" w:rsidRDefault="00DF7DAB" w:rsidP="0001076C">
            <w:pPr>
              <w:jc w:val="center"/>
              <w:rPr>
                <w:b/>
                <w:i/>
                <w:szCs w:val="22"/>
                <w:lang w:val="sr-Latn-ME"/>
              </w:rPr>
            </w:pPr>
            <w:r w:rsidRPr="007F7C6E">
              <w:rPr>
                <w:b/>
                <w:i/>
                <w:szCs w:val="22"/>
                <w:lang w:val="sr-Latn-ME"/>
              </w:rPr>
              <w:t>(ne može se  utvrditi iz raspoloživih podataka)</w:t>
            </w:r>
          </w:p>
        </w:tc>
      </w:tr>
      <w:tr w:rsidR="00DF7DAB" w:rsidRPr="007F7C6E" w14:paraId="3C8D9B7C" w14:textId="77777777" w:rsidTr="0001076C">
        <w:tc>
          <w:tcPr>
            <w:tcW w:w="1272" w:type="dxa"/>
          </w:tcPr>
          <w:p w14:paraId="3C8D9B76" w14:textId="77777777" w:rsidR="00DF7DAB" w:rsidRPr="007F7C6E" w:rsidRDefault="00DF7DAB" w:rsidP="0001076C">
            <w:pPr>
              <w:jc w:val="left"/>
              <w:rPr>
                <w:b/>
                <w:i/>
                <w:szCs w:val="22"/>
                <w:lang w:val="sr-Latn-ME"/>
              </w:rPr>
            </w:pPr>
            <w:r w:rsidRPr="007F7C6E">
              <w:rPr>
                <w:b/>
                <w:i/>
                <w:szCs w:val="22"/>
                <w:lang w:val="sr-Latn-ME"/>
              </w:rPr>
              <w:t>Infekcije i infestacije</w:t>
            </w:r>
          </w:p>
        </w:tc>
        <w:tc>
          <w:tcPr>
            <w:tcW w:w="1851" w:type="dxa"/>
          </w:tcPr>
          <w:p w14:paraId="3C8D9B77" w14:textId="77777777" w:rsidR="00DF7DAB" w:rsidRPr="007F7C6E" w:rsidRDefault="00DF7DAB" w:rsidP="0001076C">
            <w:pPr>
              <w:jc w:val="left"/>
              <w:rPr>
                <w:b/>
                <w:szCs w:val="22"/>
                <w:lang w:val="sr-Latn-ME"/>
              </w:rPr>
            </w:pPr>
            <w:r w:rsidRPr="007F7C6E">
              <w:rPr>
                <w:szCs w:val="22"/>
                <w:lang w:val="sr-Latn-ME"/>
              </w:rPr>
              <w:t>Pseudomembranozni kolitis *</w:t>
            </w:r>
            <w:r w:rsidR="00B30F52" w:rsidRPr="007F7C6E">
              <w:rPr>
                <w:szCs w:val="22"/>
                <w:lang w:val="sr-Latn-ME"/>
              </w:rPr>
              <w:t>#</w:t>
            </w:r>
          </w:p>
        </w:tc>
        <w:tc>
          <w:tcPr>
            <w:tcW w:w="1417" w:type="dxa"/>
          </w:tcPr>
          <w:p w14:paraId="3C8D9B78" w14:textId="77777777" w:rsidR="00DF7DAB" w:rsidRPr="007F7C6E" w:rsidRDefault="00DF7DAB" w:rsidP="0001076C">
            <w:pPr>
              <w:jc w:val="left"/>
              <w:rPr>
                <w:b/>
                <w:szCs w:val="22"/>
                <w:lang w:val="sr-Latn-ME"/>
              </w:rPr>
            </w:pPr>
          </w:p>
        </w:tc>
        <w:tc>
          <w:tcPr>
            <w:tcW w:w="1276" w:type="dxa"/>
          </w:tcPr>
          <w:p w14:paraId="3C8D9B79" w14:textId="77777777" w:rsidR="00DF7DAB" w:rsidRPr="007F7C6E" w:rsidRDefault="00DF7DAB" w:rsidP="0001076C">
            <w:pPr>
              <w:jc w:val="left"/>
              <w:rPr>
                <w:b/>
                <w:szCs w:val="22"/>
                <w:lang w:val="sr-Latn-ME"/>
              </w:rPr>
            </w:pPr>
          </w:p>
        </w:tc>
        <w:tc>
          <w:tcPr>
            <w:tcW w:w="1276" w:type="dxa"/>
          </w:tcPr>
          <w:p w14:paraId="3C8D9B7A" w14:textId="77777777" w:rsidR="00DF7DAB" w:rsidRPr="007F7C6E" w:rsidRDefault="00DF7DAB" w:rsidP="0001076C">
            <w:pPr>
              <w:jc w:val="left"/>
              <w:rPr>
                <w:b/>
                <w:szCs w:val="22"/>
                <w:lang w:val="sr-Latn-ME"/>
              </w:rPr>
            </w:pPr>
          </w:p>
        </w:tc>
        <w:tc>
          <w:tcPr>
            <w:tcW w:w="1984" w:type="dxa"/>
          </w:tcPr>
          <w:p w14:paraId="3C8D9B7B" w14:textId="77777777" w:rsidR="00DF7DAB" w:rsidRPr="007F7C6E" w:rsidRDefault="00DF7DAB" w:rsidP="0001076C">
            <w:pPr>
              <w:jc w:val="left"/>
              <w:rPr>
                <w:szCs w:val="22"/>
                <w:lang w:val="sr-Latn-ME"/>
              </w:rPr>
            </w:pPr>
            <w:r w:rsidRPr="007F7C6E">
              <w:rPr>
                <w:i/>
                <w:szCs w:val="22"/>
                <w:lang w:val="sr-Latn-ME"/>
              </w:rPr>
              <w:t xml:space="preserve">Clostridium difficile </w:t>
            </w:r>
            <w:r w:rsidRPr="007F7C6E">
              <w:rPr>
                <w:szCs w:val="22"/>
                <w:lang w:val="sr-Latn-ME"/>
              </w:rPr>
              <w:t>kolitis*, vaginalna infekcija*</w:t>
            </w:r>
          </w:p>
        </w:tc>
      </w:tr>
      <w:tr w:rsidR="00DF7DAB" w:rsidRPr="007F7C6E" w14:paraId="3C8D9B85" w14:textId="77777777" w:rsidTr="0001076C">
        <w:tc>
          <w:tcPr>
            <w:tcW w:w="1272" w:type="dxa"/>
          </w:tcPr>
          <w:p w14:paraId="3C8D9B7D" w14:textId="77777777" w:rsidR="00DF7DAB" w:rsidRPr="007F7C6E" w:rsidRDefault="00DF7DAB" w:rsidP="0001076C">
            <w:pPr>
              <w:jc w:val="left"/>
              <w:rPr>
                <w:b/>
                <w:i/>
                <w:szCs w:val="22"/>
                <w:lang w:val="sr-Latn-ME"/>
              </w:rPr>
            </w:pPr>
            <w:r w:rsidRPr="007F7C6E">
              <w:rPr>
                <w:b/>
                <w:i/>
                <w:szCs w:val="22"/>
                <w:lang w:val="sr-Latn-ME"/>
              </w:rPr>
              <w:t>Poremećaj</w:t>
            </w:r>
            <w:r w:rsidR="00733B16" w:rsidRPr="007F7C6E">
              <w:rPr>
                <w:b/>
                <w:i/>
                <w:szCs w:val="22"/>
                <w:lang w:val="sr-Latn-ME"/>
              </w:rPr>
              <w:t>i</w:t>
            </w:r>
            <w:r w:rsidRPr="007F7C6E">
              <w:rPr>
                <w:b/>
                <w:i/>
                <w:szCs w:val="22"/>
                <w:lang w:val="sr-Latn-ME"/>
              </w:rPr>
              <w:t xml:space="preserve">  krvi i limfnog sistema</w:t>
            </w:r>
          </w:p>
        </w:tc>
        <w:tc>
          <w:tcPr>
            <w:tcW w:w="1851" w:type="dxa"/>
          </w:tcPr>
          <w:p w14:paraId="3C8D9B7E" w14:textId="77777777" w:rsidR="00DF7DAB" w:rsidRPr="007F7C6E" w:rsidRDefault="00DF7DAB" w:rsidP="0001076C">
            <w:pPr>
              <w:jc w:val="left"/>
              <w:rPr>
                <w:b/>
                <w:szCs w:val="22"/>
                <w:lang w:val="sr-Latn-ME"/>
              </w:rPr>
            </w:pPr>
          </w:p>
        </w:tc>
        <w:tc>
          <w:tcPr>
            <w:tcW w:w="1417" w:type="dxa"/>
          </w:tcPr>
          <w:p w14:paraId="3C8D9B7F" w14:textId="77777777" w:rsidR="00DF7DAB" w:rsidRPr="007F7C6E" w:rsidRDefault="00DF7DAB" w:rsidP="0001076C">
            <w:pPr>
              <w:jc w:val="left"/>
              <w:rPr>
                <w:b/>
                <w:szCs w:val="22"/>
                <w:lang w:val="sr-Latn-ME"/>
              </w:rPr>
            </w:pPr>
          </w:p>
        </w:tc>
        <w:tc>
          <w:tcPr>
            <w:tcW w:w="1276" w:type="dxa"/>
          </w:tcPr>
          <w:p w14:paraId="3C8D9B80" w14:textId="77777777" w:rsidR="00DF7DAB" w:rsidRPr="007F7C6E" w:rsidRDefault="00DF7DAB" w:rsidP="0001076C">
            <w:pPr>
              <w:jc w:val="left"/>
              <w:rPr>
                <w:b/>
                <w:szCs w:val="22"/>
                <w:lang w:val="sr-Latn-ME"/>
              </w:rPr>
            </w:pPr>
          </w:p>
        </w:tc>
        <w:tc>
          <w:tcPr>
            <w:tcW w:w="1276" w:type="dxa"/>
          </w:tcPr>
          <w:p w14:paraId="3C8D9B81" w14:textId="77777777" w:rsidR="00DF7DAB" w:rsidRPr="007F7C6E" w:rsidRDefault="00DF7DAB" w:rsidP="0001076C">
            <w:pPr>
              <w:jc w:val="left"/>
              <w:rPr>
                <w:b/>
                <w:szCs w:val="22"/>
                <w:lang w:val="sr-Latn-ME"/>
              </w:rPr>
            </w:pPr>
          </w:p>
        </w:tc>
        <w:tc>
          <w:tcPr>
            <w:tcW w:w="1984" w:type="dxa"/>
          </w:tcPr>
          <w:p w14:paraId="3C8D9B82" w14:textId="77777777" w:rsidR="00DF7DAB" w:rsidRPr="007F7C6E" w:rsidRDefault="00DF7DAB" w:rsidP="0001076C">
            <w:pPr>
              <w:jc w:val="left"/>
              <w:rPr>
                <w:szCs w:val="22"/>
                <w:lang w:val="sr-Latn-ME"/>
              </w:rPr>
            </w:pPr>
            <w:r w:rsidRPr="007F7C6E">
              <w:rPr>
                <w:szCs w:val="22"/>
                <w:lang w:val="sr-Latn-ME"/>
              </w:rPr>
              <w:t>Agranulocitoza*</w:t>
            </w:r>
          </w:p>
          <w:p w14:paraId="3C8D9B83" w14:textId="77777777" w:rsidR="00DF7DAB" w:rsidRPr="007F7C6E" w:rsidRDefault="00DF7DAB" w:rsidP="0001076C">
            <w:pPr>
              <w:jc w:val="left"/>
              <w:rPr>
                <w:szCs w:val="22"/>
                <w:lang w:val="sr-Latn-ME"/>
              </w:rPr>
            </w:pPr>
            <w:r w:rsidRPr="007F7C6E">
              <w:rPr>
                <w:szCs w:val="22"/>
                <w:lang w:val="sr-Latn-ME"/>
              </w:rPr>
              <w:t>neutropenija* leukopenija*</w:t>
            </w:r>
          </w:p>
          <w:p w14:paraId="3C8D9B84" w14:textId="77777777" w:rsidR="00DF7DAB" w:rsidRPr="007F7C6E" w:rsidRDefault="00DF7DAB" w:rsidP="0001076C">
            <w:pPr>
              <w:jc w:val="left"/>
              <w:rPr>
                <w:szCs w:val="22"/>
                <w:lang w:val="sr-Latn-ME"/>
              </w:rPr>
            </w:pPr>
            <w:r w:rsidRPr="007F7C6E">
              <w:rPr>
                <w:szCs w:val="22"/>
                <w:lang w:val="sr-Latn-ME"/>
              </w:rPr>
              <w:t>trombocitopenija*, eozinofilija</w:t>
            </w:r>
          </w:p>
        </w:tc>
      </w:tr>
      <w:tr w:rsidR="00DF7DAB" w:rsidRPr="007F7C6E" w14:paraId="3C8D9B8C" w14:textId="77777777" w:rsidTr="0001076C">
        <w:tc>
          <w:tcPr>
            <w:tcW w:w="1272" w:type="dxa"/>
          </w:tcPr>
          <w:p w14:paraId="3C8D9B86" w14:textId="77777777" w:rsidR="00DF7DAB" w:rsidRPr="007F7C6E" w:rsidRDefault="005C43F5" w:rsidP="0001076C">
            <w:pPr>
              <w:jc w:val="left"/>
              <w:rPr>
                <w:b/>
                <w:i/>
                <w:szCs w:val="22"/>
                <w:lang w:val="sr-Latn-ME"/>
              </w:rPr>
            </w:pPr>
            <w:r w:rsidRPr="007F7C6E">
              <w:rPr>
                <w:b/>
                <w:i/>
                <w:szCs w:val="22"/>
                <w:lang w:val="sr-Latn-ME"/>
              </w:rPr>
              <w:t>Poremećaj</w:t>
            </w:r>
            <w:r w:rsidR="00733B16" w:rsidRPr="007F7C6E">
              <w:rPr>
                <w:b/>
                <w:i/>
                <w:szCs w:val="22"/>
                <w:lang w:val="sr-Latn-ME"/>
              </w:rPr>
              <w:t xml:space="preserve">i </w:t>
            </w:r>
            <w:r w:rsidRPr="007F7C6E">
              <w:rPr>
                <w:b/>
                <w:i/>
                <w:szCs w:val="22"/>
                <w:lang w:val="sr-Latn-ME"/>
              </w:rPr>
              <w:t>imunskog sistema</w:t>
            </w:r>
          </w:p>
        </w:tc>
        <w:tc>
          <w:tcPr>
            <w:tcW w:w="1851" w:type="dxa"/>
          </w:tcPr>
          <w:p w14:paraId="3C8D9B87" w14:textId="77777777" w:rsidR="00DF7DAB" w:rsidRPr="007F7C6E" w:rsidRDefault="00DF7DAB" w:rsidP="0001076C">
            <w:pPr>
              <w:jc w:val="left"/>
              <w:rPr>
                <w:b/>
                <w:szCs w:val="22"/>
                <w:lang w:val="sr-Latn-ME"/>
              </w:rPr>
            </w:pPr>
          </w:p>
        </w:tc>
        <w:tc>
          <w:tcPr>
            <w:tcW w:w="1417" w:type="dxa"/>
          </w:tcPr>
          <w:p w14:paraId="3C8D9B88" w14:textId="77777777" w:rsidR="00DF7DAB" w:rsidRPr="007F7C6E" w:rsidRDefault="00DF7DAB" w:rsidP="0001076C">
            <w:pPr>
              <w:jc w:val="left"/>
              <w:rPr>
                <w:b/>
                <w:szCs w:val="22"/>
                <w:lang w:val="sr-Latn-ME"/>
              </w:rPr>
            </w:pPr>
          </w:p>
        </w:tc>
        <w:tc>
          <w:tcPr>
            <w:tcW w:w="1276" w:type="dxa"/>
          </w:tcPr>
          <w:p w14:paraId="3C8D9B89" w14:textId="77777777" w:rsidR="00DF7DAB" w:rsidRPr="007F7C6E" w:rsidRDefault="00DF7DAB" w:rsidP="0001076C">
            <w:pPr>
              <w:jc w:val="left"/>
              <w:rPr>
                <w:b/>
                <w:szCs w:val="22"/>
                <w:lang w:val="sr-Latn-ME"/>
              </w:rPr>
            </w:pPr>
          </w:p>
        </w:tc>
        <w:tc>
          <w:tcPr>
            <w:tcW w:w="1276" w:type="dxa"/>
          </w:tcPr>
          <w:p w14:paraId="3C8D9B8A" w14:textId="77777777" w:rsidR="00DF7DAB" w:rsidRPr="007F7C6E" w:rsidRDefault="00DF7DAB" w:rsidP="0001076C">
            <w:pPr>
              <w:jc w:val="left"/>
              <w:rPr>
                <w:b/>
                <w:szCs w:val="22"/>
                <w:lang w:val="sr-Latn-ME"/>
              </w:rPr>
            </w:pPr>
          </w:p>
        </w:tc>
        <w:tc>
          <w:tcPr>
            <w:tcW w:w="1984" w:type="dxa"/>
          </w:tcPr>
          <w:p w14:paraId="3C8D9B8B" w14:textId="77777777" w:rsidR="00DF7DAB" w:rsidRPr="007F7C6E" w:rsidRDefault="00DF7DAB" w:rsidP="0001076C">
            <w:pPr>
              <w:jc w:val="left"/>
              <w:rPr>
                <w:szCs w:val="22"/>
                <w:lang w:val="sr-Latn-ME"/>
              </w:rPr>
            </w:pPr>
            <w:r w:rsidRPr="007F7C6E">
              <w:rPr>
                <w:szCs w:val="22"/>
                <w:lang w:val="sr-Latn-ME"/>
              </w:rPr>
              <w:t>Anafilaktički šok*, anafilaktoidna reakcija*, anafilaktička reakcija*, hipersenzitivnost*</w:t>
            </w:r>
          </w:p>
        </w:tc>
      </w:tr>
      <w:tr w:rsidR="00DF7DAB" w:rsidRPr="007F7C6E" w14:paraId="3C8D9B93" w14:textId="77777777" w:rsidTr="0001076C">
        <w:tc>
          <w:tcPr>
            <w:tcW w:w="1272" w:type="dxa"/>
          </w:tcPr>
          <w:p w14:paraId="3C8D9B8D" w14:textId="77777777" w:rsidR="00DF7DAB" w:rsidRPr="007F7C6E" w:rsidRDefault="00DF7DAB" w:rsidP="0001076C">
            <w:pPr>
              <w:jc w:val="left"/>
              <w:rPr>
                <w:b/>
                <w:i/>
                <w:szCs w:val="22"/>
                <w:lang w:val="sr-Latn-ME"/>
              </w:rPr>
            </w:pPr>
            <w:r w:rsidRPr="007F7C6E">
              <w:rPr>
                <w:b/>
                <w:i/>
                <w:szCs w:val="22"/>
                <w:lang w:val="sr-Latn-ME"/>
              </w:rPr>
              <w:t>Poremećaji nervnog sistema</w:t>
            </w:r>
          </w:p>
        </w:tc>
        <w:tc>
          <w:tcPr>
            <w:tcW w:w="1851" w:type="dxa"/>
          </w:tcPr>
          <w:p w14:paraId="3C8D9B8E" w14:textId="77777777" w:rsidR="00DF7DAB" w:rsidRPr="007F7C6E" w:rsidRDefault="00DF7DAB" w:rsidP="0001076C">
            <w:pPr>
              <w:jc w:val="left"/>
              <w:rPr>
                <w:b/>
                <w:szCs w:val="22"/>
                <w:lang w:val="sr-Latn-ME"/>
              </w:rPr>
            </w:pPr>
          </w:p>
        </w:tc>
        <w:tc>
          <w:tcPr>
            <w:tcW w:w="1417" w:type="dxa"/>
          </w:tcPr>
          <w:p w14:paraId="3C8D9B8F" w14:textId="77777777" w:rsidR="00DF7DAB" w:rsidRPr="007F7C6E" w:rsidRDefault="00DF7DAB" w:rsidP="0001076C">
            <w:pPr>
              <w:jc w:val="left"/>
              <w:rPr>
                <w:b/>
                <w:szCs w:val="22"/>
                <w:lang w:val="sr-Latn-ME"/>
              </w:rPr>
            </w:pPr>
            <w:r w:rsidRPr="007F7C6E">
              <w:rPr>
                <w:szCs w:val="22"/>
                <w:lang w:val="sr-Latn-ME"/>
              </w:rPr>
              <w:t>disgeuzija</w:t>
            </w:r>
          </w:p>
        </w:tc>
        <w:tc>
          <w:tcPr>
            <w:tcW w:w="1276" w:type="dxa"/>
          </w:tcPr>
          <w:p w14:paraId="3C8D9B90" w14:textId="77777777" w:rsidR="00DF7DAB" w:rsidRPr="007F7C6E" w:rsidRDefault="00DF7DAB" w:rsidP="0001076C">
            <w:pPr>
              <w:jc w:val="left"/>
              <w:rPr>
                <w:b/>
                <w:szCs w:val="22"/>
                <w:lang w:val="sr-Latn-ME"/>
              </w:rPr>
            </w:pPr>
          </w:p>
        </w:tc>
        <w:tc>
          <w:tcPr>
            <w:tcW w:w="1276" w:type="dxa"/>
          </w:tcPr>
          <w:p w14:paraId="3C8D9B91" w14:textId="77777777" w:rsidR="00DF7DAB" w:rsidRPr="007F7C6E" w:rsidRDefault="00DF7DAB" w:rsidP="0001076C">
            <w:pPr>
              <w:jc w:val="left"/>
              <w:rPr>
                <w:b/>
                <w:szCs w:val="22"/>
                <w:lang w:val="sr-Latn-ME"/>
              </w:rPr>
            </w:pPr>
          </w:p>
        </w:tc>
        <w:tc>
          <w:tcPr>
            <w:tcW w:w="1984" w:type="dxa"/>
          </w:tcPr>
          <w:p w14:paraId="3C8D9B92" w14:textId="77777777" w:rsidR="00DF7DAB" w:rsidRPr="007F7C6E" w:rsidRDefault="00DF7DAB" w:rsidP="0001076C">
            <w:pPr>
              <w:jc w:val="left"/>
              <w:rPr>
                <w:szCs w:val="22"/>
                <w:lang w:val="sr-Latn-ME"/>
              </w:rPr>
            </w:pPr>
          </w:p>
        </w:tc>
      </w:tr>
      <w:tr w:rsidR="00DF7DAB" w:rsidRPr="007F7C6E" w14:paraId="3C8D9B9B" w14:textId="77777777" w:rsidTr="0001076C">
        <w:tc>
          <w:tcPr>
            <w:tcW w:w="1272" w:type="dxa"/>
          </w:tcPr>
          <w:p w14:paraId="3C8D9B94" w14:textId="77777777" w:rsidR="00DF7DAB" w:rsidRPr="007F7C6E" w:rsidRDefault="00DF7DAB" w:rsidP="0001076C">
            <w:pPr>
              <w:jc w:val="left"/>
              <w:rPr>
                <w:b/>
                <w:i/>
                <w:szCs w:val="22"/>
                <w:lang w:val="sr-Latn-ME"/>
              </w:rPr>
            </w:pPr>
            <w:r w:rsidRPr="007F7C6E">
              <w:rPr>
                <w:b/>
                <w:i/>
                <w:szCs w:val="22"/>
                <w:lang w:val="sr-Latn-ME"/>
              </w:rPr>
              <w:t>Kardiološki poremećaji</w:t>
            </w:r>
          </w:p>
        </w:tc>
        <w:tc>
          <w:tcPr>
            <w:tcW w:w="1851" w:type="dxa"/>
          </w:tcPr>
          <w:p w14:paraId="3C8D9B95" w14:textId="77777777" w:rsidR="00DF7DAB" w:rsidRPr="007F7C6E" w:rsidRDefault="00DF7DAB" w:rsidP="0001076C">
            <w:pPr>
              <w:jc w:val="left"/>
              <w:rPr>
                <w:b/>
                <w:szCs w:val="22"/>
                <w:lang w:val="sr-Latn-ME"/>
              </w:rPr>
            </w:pPr>
          </w:p>
        </w:tc>
        <w:tc>
          <w:tcPr>
            <w:tcW w:w="1417" w:type="dxa"/>
          </w:tcPr>
          <w:p w14:paraId="3C8D9B96" w14:textId="0629FD8D" w:rsidR="00DF7DAB" w:rsidRPr="007F7C6E" w:rsidRDefault="00DE1B44" w:rsidP="0001076C">
            <w:pPr>
              <w:jc w:val="left"/>
              <w:rPr>
                <w:szCs w:val="22"/>
                <w:lang w:val="sr-Latn-ME"/>
              </w:rPr>
            </w:pPr>
            <w:r w:rsidRPr="007F7C6E">
              <w:rPr>
                <w:szCs w:val="22"/>
                <w:lang w:val="sr-Latn-ME"/>
              </w:rPr>
              <w:t>K</w:t>
            </w:r>
            <w:r w:rsidR="00DF7DAB" w:rsidRPr="007F7C6E">
              <w:rPr>
                <w:szCs w:val="22"/>
                <w:lang w:val="sr-Latn-ME"/>
              </w:rPr>
              <w:t>ardio</w:t>
            </w:r>
            <w:r w:rsidRPr="007F7C6E">
              <w:rPr>
                <w:szCs w:val="22"/>
                <w:lang w:val="sr-Latn-ME"/>
              </w:rPr>
              <w:t>-</w:t>
            </w:r>
            <w:r w:rsidR="00DF7DAB" w:rsidRPr="007F7C6E">
              <w:rPr>
                <w:szCs w:val="22"/>
                <w:lang w:val="sr-Latn-ME"/>
              </w:rPr>
              <w:t>pulmonarni</w:t>
            </w:r>
          </w:p>
          <w:p w14:paraId="3C8D9B97" w14:textId="77777777" w:rsidR="00DF7DAB" w:rsidRPr="007F7C6E" w:rsidRDefault="00DF7DAB" w:rsidP="0001076C">
            <w:pPr>
              <w:jc w:val="left"/>
              <w:rPr>
                <w:szCs w:val="22"/>
                <w:lang w:val="sr-Latn-ME"/>
              </w:rPr>
            </w:pPr>
            <w:r w:rsidRPr="007F7C6E">
              <w:rPr>
                <w:szCs w:val="22"/>
                <w:lang w:val="sr-Latn-ME"/>
              </w:rPr>
              <w:t>arest†§</w:t>
            </w:r>
          </w:p>
        </w:tc>
        <w:tc>
          <w:tcPr>
            <w:tcW w:w="1276" w:type="dxa"/>
          </w:tcPr>
          <w:p w14:paraId="3C8D9B98" w14:textId="77777777" w:rsidR="00DF7DAB" w:rsidRPr="007F7C6E" w:rsidRDefault="00DF7DAB" w:rsidP="0001076C">
            <w:pPr>
              <w:jc w:val="left"/>
              <w:rPr>
                <w:b/>
                <w:szCs w:val="22"/>
                <w:lang w:val="sr-Latn-ME"/>
              </w:rPr>
            </w:pPr>
          </w:p>
        </w:tc>
        <w:tc>
          <w:tcPr>
            <w:tcW w:w="1276" w:type="dxa"/>
          </w:tcPr>
          <w:p w14:paraId="3C8D9B99" w14:textId="77777777" w:rsidR="00DF7DAB" w:rsidRPr="007F7C6E" w:rsidRDefault="00DF7DAB" w:rsidP="0001076C">
            <w:pPr>
              <w:jc w:val="left"/>
              <w:rPr>
                <w:b/>
                <w:szCs w:val="22"/>
                <w:lang w:val="sr-Latn-ME"/>
              </w:rPr>
            </w:pPr>
          </w:p>
        </w:tc>
        <w:tc>
          <w:tcPr>
            <w:tcW w:w="1984" w:type="dxa"/>
          </w:tcPr>
          <w:p w14:paraId="3C8D9B9A" w14:textId="77777777" w:rsidR="00DF7DAB" w:rsidRPr="007F7C6E" w:rsidRDefault="00DF7DAB" w:rsidP="0001076C">
            <w:pPr>
              <w:jc w:val="left"/>
              <w:rPr>
                <w:szCs w:val="22"/>
                <w:lang w:val="sr-Latn-ME"/>
              </w:rPr>
            </w:pPr>
          </w:p>
        </w:tc>
      </w:tr>
      <w:tr w:rsidR="00DF7DAB" w:rsidRPr="007F7C6E" w14:paraId="3C8D9BA2" w14:textId="77777777" w:rsidTr="0001076C">
        <w:tc>
          <w:tcPr>
            <w:tcW w:w="1272" w:type="dxa"/>
          </w:tcPr>
          <w:p w14:paraId="3C8D9B9C" w14:textId="77777777" w:rsidR="00DF7DAB" w:rsidRPr="007F7C6E" w:rsidRDefault="00DF7DAB" w:rsidP="0001076C">
            <w:pPr>
              <w:jc w:val="left"/>
              <w:rPr>
                <w:b/>
                <w:i/>
                <w:szCs w:val="22"/>
                <w:lang w:val="sr-Latn-ME"/>
              </w:rPr>
            </w:pPr>
            <w:r w:rsidRPr="007F7C6E">
              <w:rPr>
                <w:b/>
                <w:i/>
                <w:szCs w:val="22"/>
                <w:lang w:val="sr-Latn-ME"/>
              </w:rPr>
              <w:t>Vaskularni poremećaji</w:t>
            </w:r>
          </w:p>
        </w:tc>
        <w:tc>
          <w:tcPr>
            <w:tcW w:w="1851" w:type="dxa"/>
          </w:tcPr>
          <w:p w14:paraId="3C8D9B9D" w14:textId="77777777" w:rsidR="00DF7DAB" w:rsidRPr="007F7C6E" w:rsidRDefault="00DF7DAB" w:rsidP="0001076C">
            <w:pPr>
              <w:jc w:val="left"/>
              <w:rPr>
                <w:szCs w:val="22"/>
                <w:lang w:val="sr-Latn-ME"/>
              </w:rPr>
            </w:pPr>
            <w:r w:rsidRPr="007F7C6E">
              <w:rPr>
                <w:szCs w:val="22"/>
                <w:lang w:val="sr-Latn-ME"/>
              </w:rPr>
              <w:t>tromboflebitis†</w:t>
            </w:r>
          </w:p>
        </w:tc>
        <w:tc>
          <w:tcPr>
            <w:tcW w:w="1417" w:type="dxa"/>
          </w:tcPr>
          <w:p w14:paraId="3C8D9B9E" w14:textId="77777777" w:rsidR="00DF7DAB" w:rsidRPr="007F7C6E" w:rsidRDefault="00DF7DAB" w:rsidP="0001076C">
            <w:pPr>
              <w:jc w:val="left"/>
              <w:rPr>
                <w:szCs w:val="22"/>
                <w:lang w:val="sr-Latn-ME"/>
              </w:rPr>
            </w:pPr>
            <w:r w:rsidRPr="007F7C6E">
              <w:rPr>
                <w:szCs w:val="22"/>
                <w:lang w:val="sr-Latn-ME"/>
              </w:rPr>
              <w:t>hipotenzija†§</w:t>
            </w:r>
          </w:p>
        </w:tc>
        <w:tc>
          <w:tcPr>
            <w:tcW w:w="1276" w:type="dxa"/>
          </w:tcPr>
          <w:p w14:paraId="3C8D9B9F" w14:textId="77777777" w:rsidR="00DF7DAB" w:rsidRPr="007F7C6E" w:rsidRDefault="00DF7DAB" w:rsidP="0001076C">
            <w:pPr>
              <w:jc w:val="left"/>
              <w:rPr>
                <w:b/>
                <w:szCs w:val="22"/>
                <w:lang w:val="sr-Latn-ME"/>
              </w:rPr>
            </w:pPr>
          </w:p>
        </w:tc>
        <w:tc>
          <w:tcPr>
            <w:tcW w:w="1276" w:type="dxa"/>
          </w:tcPr>
          <w:p w14:paraId="3C8D9BA0" w14:textId="77777777" w:rsidR="00DF7DAB" w:rsidRPr="007F7C6E" w:rsidRDefault="00DF7DAB" w:rsidP="0001076C">
            <w:pPr>
              <w:jc w:val="left"/>
              <w:rPr>
                <w:szCs w:val="22"/>
                <w:lang w:val="sr-Latn-ME"/>
              </w:rPr>
            </w:pPr>
          </w:p>
        </w:tc>
        <w:tc>
          <w:tcPr>
            <w:tcW w:w="1984" w:type="dxa"/>
          </w:tcPr>
          <w:p w14:paraId="3C8D9BA1" w14:textId="77777777" w:rsidR="00DF7DAB" w:rsidRPr="007F7C6E" w:rsidRDefault="00DF7DAB" w:rsidP="0001076C">
            <w:pPr>
              <w:jc w:val="left"/>
              <w:rPr>
                <w:szCs w:val="22"/>
                <w:lang w:val="sr-Latn-ME"/>
              </w:rPr>
            </w:pPr>
          </w:p>
        </w:tc>
      </w:tr>
      <w:tr w:rsidR="00DF7DAB" w:rsidRPr="007F7C6E" w14:paraId="3C8D9BAB" w14:textId="77777777" w:rsidTr="0001076C">
        <w:tc>
          <w:tcPr>
            <w:tcW w:w="1272" w:type="dxa"/>
          </w:tcPr>
          <w:p w14:paraId="3C8D9BA3" w14:textId="77777777" w:rsidR="00DF7DAB" w:rsidRPr="007F7C6E" w:rsidRDefault="00DF7DAB" w:rsidP="0001076C">
            <w:pPr>
              <w:jc w:val="left"/>
              <w:rPr>
                <w:b/>
                <w:i/>
                <w:szCs w:val="22"/>
                <w:lang w:val="sr-Latn-ME"/>
              </w:rPr>
            </w:pPr>
            <w:r w:rsidRPr="007F7C6E">
              <w:rPr>
                <w:b/>
                <w:i/>
                <w:szCs w:val="22"/>
                <w:lang w:val="sr-Latn-ME"/>
              </w:rPr>
              <w:t>Gastrointestinalni poremećaji</w:t>
            </w:r>
          </w:p>
        </w:tc>
        <w:tc>
          <w:tcPr>
            <w:tcW w:w="1851" w:type="dxa"/>
          </w:tcPr>
          <w:p w14:paraId="3C8D9BA4" w14:textId="77777777" w:rsidR="00DF7DAB" w:rsidRPr="007F7C6E" w:rsidRDefault="00DF7DAB" w:rsidP="0001076C">
            <w:pPr>
              <w:jc w:val="left"/>
              <w:rPr>
                <w:szCs w:val="22"/>
                <w:lang w:val="sr-Latn-ME"/>
              </w:rPr>
            </w:pPr>
          </w:p>
        </w:tc>
        <w:tc>
          <w:tcPr>
            <w:tcW w:w="1417" w:type="dxa"/>
          </w:tcPr>
          <w:p w14:paraId="3C8D9BA5" w14:textId="77777777" w:rsidR="00DF7DAB" w:rsidRPr="007F7C6E" w:rsidRDefault="00DF7DAB" w:rsidP="0001076C">
            <w:pPr>
              <w:jc w:val="left"/>
              <w:rPr>
                <w:szCs w:val="22"/>
                <w:lang w:val="sr-Latn-ME"/>
              </w:rPr>
            </w:pPr>
            <w:r w:rsidRPr="007F7C6E">
              <w:rPr>
                <w:szCs w:val="22"/>
                <w:lang w:val="sr-Latn-ME"/>
              </w:rPr>
              <w:t>nauzeja,</w:t>
            </w:r>
          </w:p>
          <w:p w14:paraId="3C8D9BA6" w14:textId="77777777" w:rsidR="00DF7DAB" w:rsidRPr="007F7C6E" w:rsidRDefault="00DF7DAB" w:rsidP="0001076C">
            <w:pPr>
              <w:jc w:val="left"/>
              <w:rPr>
                <w:b/>
                <w:szCs w:val="22"/>
                <w:lang w:val="sr-Latn-ME"/>
              </w:rPr>
            </w:pPr>
            <w:r w:rsidRPr="007F7C6E">
              <w:rPr>
                <w:szCs w:val="22"/>
                <w:lang w:val="sr-Latn-ME"/>
              </w:rPr>
              <w:t>dijareja</w:t>
            </w:r>
          </w:p>
        </w:tc>
        <w:tc>
          <w:tcPr>
            <w:tcW w:w="1276" w:type="dxa"/>
          </w:tcPr>
          <w:p w14:paraId="3C8D9BA7" w14:textId="77777777" w:rsidR="00DF7DAB" w:rsidRPr="007F7C6E" w:rsidRDefault="00DF7DAB" w:rsidP="0001076C">
            <w:pPr>
              <w:jc w:val="left"/>
              <w:rPr>
                <w:b/>
                <w:szCs w:val="22"/>
                <w:lang w:val="sr-Latn-ME"/>
              </w:rPr>
            </w:pPr>
          </w:p>
        </w:tc>
        <w:tc>
          <w:tcPr>
            <w:tcW w:w="1276" w:type="dxa"/>
          </w:tcPr>
          <w:p w14:paraId="3C8D9BA8" w14:textId="77777777" w:rsidR="00DF7DAB" w:rsidRPr="007F7C6E" w:rsidRDefault="00DF7DAB" w:rsidP="0001076C">
            <w:pPr>
              <w:jc w:val="left"/>
              <w:rPr>
                <w:szCs w:val="22"/>
                <w:lang w:val="sr-Latn-ME"/>
              </w:rPr>
            </w:pPr>
          </w:p>
        </w:tc>
        <w:tc>
          <w:tcPr>
            <w:tcW w:w="1984" w:type="dxa"/>
          </w:tcPr>
          <w:p w14:paraId="3C8D9BA9" w14:textId="77777777" w:rsidR="00DF7DAB" w:rsidRPr="007F7C6E" w:rsidRDefault="00DF7DAB" w:rsidP="00B2198D">
            <w:pPr>
              <w:jc w:val="left"/>
              <w:rPr>
                <w:szCs w:val="22"/>
                <w:lang w:val="sr-Latn-ME"/>
              </w:rPr>
            </w:pPr>
            <w:r w:rsidRPr="007F7C6E">
              <w:rPr>
                <w:szCs w:val="22"/>
                <w:lang w:val="sr-Latn-ME"/>
              </w:rPr>
              <w:t>bolovi u stomaku,</w:t>
            </w:r>
          </w:p>
          <w:p w14:paraId="3C8D9BAA" w14:textId="77777777" w:rsidR="00DF7DAB" w:rsidRPr="007F7C6E" w:rsidRDefault="00DF7DAB" w:rsidP="00DE1B44">
            <w:pPr>
              <w:jc w:val="left"/>
              <w:rPr>
                <w:szCs w:val="22"/>
                <w:lang w:val="sr-Latn-ME"/>
              </w:rPr>
            </w:pPr>
            <w:r w:rsidRPr="007F7C6E">
              <w:rPr>
                <w:szCs w:val="22"/>
                <w:lang w:val="sr-Latn-ME"/>
              </w:rPr>
              <w:t>povraćanje</w:t>
            </w:r>
          </w:p>
        </w:tc>
      </w:tr>
      <w:tr w:rsidR="00DF7DAB" w:rsidRPr="007F7C6E" w14:paraId="3C8D9BB2" w14:textId="77777777" w:rsidTr="0001076C">
        <w:tc>
          <w:tcPr>
            <w:tcW w:w="1272" w:type="dxa"/>
          </w:tcPr>
          <w:p w14:paraId="3C8D9BAC" w14:textId="77777777" w:rsidR="00DF7DAB" w:rsidRPr="007F7C6E" w:rsidRDefault="00DF7DAB" w:rsidP="0001076C">
            <w:pPr>
              <w:jc w:val="left"/>
              <w:rPr>
                <w:b/>
                <w:i/>
                <w:szCs w:val="22"/>
                <w:lang w:val="sr-Latn-ME"/>
              </w:rPr>
            </w:pPr>
            <w:r w:rsidRPr="007F7C6E">
              <w:rPr>
                <w:b/>
                <w:i/>
                <w:szCs w:val="22"/>
                <w:lang w:val="sr-Latn-ME"/>
              </w:rPr>
              <w:t>Hepatobilijarni poremećaji</w:t>
            </w:r>
          </w:p>
        </w:tc>
        <w:tc>
          <w:tcPr>
            <w:tcW w:w="1851" w:type="dxa"/>
          </w:tcPr>
          <w:p w14:paraId="3C8D9BAD" w14:textId="77777777" w:rsidR="00DF7DAB" w:rsidRPr="007F7C6E" w:rsidRDefault="00DF7DAB" w:rsidP="0001076C">
            <w:pPr>
              <w:jc w:val="left"/>
              <w:rPr>
                <w:szCs w:val="22"/>
                <w:lang w:val="sr-Latn-ME"/>
              </w:rPr>
            </w:pPr>
          </w:p>
        </w:tc>
        <w:tc>
          <w:tcPr>
            <w:tcW w:w="1417" w:type="dxa"/>
          </w:tcPr>
          <w:p w14:paraId="3C8D9BAE" w14:textId="77777777" w:rsidR="00DF7DAB" w:rsidRPr="007F7C6E" w:rsidRDefault="00DF7DAB" w:rsidP="0001076C">
            <w:pPr>
              <w:jc w:val="left"/>
              <w:rPr>
                <w:b/>
                <w:szCs w:val="22"/>
                <w:lang w:val="sr-Latn-ME"/>
              </w:rPr>
            </w:pPr>
          </w:p>
        </w:tc>
        <w:tc>
          <w:tcPr>
            <w:tcW w:w="1276" w:type="dxa"/>
          </w:tcPr>
          <w:p w14:paraId="3C8D9BAF" w14:textId="77777777" w:rsidR="00DF7DAB" w:rsidRPr="007F7C6E" w:rsidRDefault="00DF7DAB" w:rsidP="0001076C">
            <w:pPr>
              <w:jc w:val="left"/>
              <w:rPr>
                <w:b/>
                <w:szCs w:val="22"/>
                <w:lang w:val="sr-Latn-ME"/>
              </w:rPr>
            </w:pPr>
          </w:p>
        </w:tc>
        <w:tc>
          <w:tcPr>
            <w:tcW w:w="1276" w:type="dxa"/>
          </w:tcPr>
          <w:p w14:paraId="3C8D9BB0" w14:textId="77777777" w:rsidR="00DF7DAB" w:rsidRPr="007F7C6E" w:rsidRDefault="00DF7DAB" w:rsidP="0001076C">
            <w:pPr>
              <w:jc w:val="left"/>
              <w:rPr>
                <w:szCs w:val="22"/>
                <w:lang w:val="sr-Latn-ME"/>
              </w:rPr>
            </w:pPr>
          </w:p>
        </w:tc>
        <w:tc>
          <w:tcPr>
            <w:tcW w:w="1984" w:type="dxa"/>
          </w:tcPr>
          <w:p w14:paraId="3C8D9BB1" w14:textId="77777777" w:rsidR="00DF7DAB" w:rsidRPr="007F7C6E" w:rsidRDefault="00DF7DAB" w:rsidP="0001076C">
            <w:pPr>
              <w:jc w:val="left"/>
              <w:rPr>
                <w:szCs w:val="22"/>
                <w:lang w:val="sr-Latn-ME"/>
              </w:rPr>
            </w:pPr>
            <w:r w:rsidRPr="007F7C6E">
              <w:rPr>
                <w:szCs w:val="22"/>
                <w:lang w:val="sr-Latn-ME"/>
              </w:rPr>
              <w:t>Žutica*</w:t>
            </w:r>
          </w:p>
        </w:tc>
      </w:tr>
      <w:tr w:rsidR="00DF7DAB" w:rsidRPr="007F7C6E" w14:paraId="3C8D9BBE" w14:textId="77777777" w:rsidTr="0001076C">
        <w:tc>
          <w:tcPr>
            <w:tcW w:w="1272" w:type="dxa"/>
          </w:tcPr>
          <w:p w14:paraId="3C8D9BB3" w14:textId="77777777" w:rsidR="00DF7DAB" w:rsidRPr="007F7C6E" w:rsidRDefault="00DF7DAB" w:rsidP="0001076C">
            <w:pPr>
              <w:jc w:val="left"/>
              <w:rPr>
                <w:b/>
                <w:i/>
                <w:szCs w:val="22"/>
                <w:lang w:val="sr-Latn-ME"/>
              </w:rPr>
            </w:pPr>
            <w:r w:rsidRPr="007F7C6E">
              <w:rPr>
                <w:b/>
                <w:i/>
                <w:szCs w:val="22"/>
                <w:lang w:val="sr-Latn-ME"/>
              </w:rPr>
              <w:t>Poremećaji  kože i potkožnog tkiva</w:t>
            </w:r>
          </w:p>
        </w:tc>
        <w:tc>
          <w:tcPr>
            <w:tcW w:w="1851" w:type="dxa"/>
          </w:tcPr>
          <w:p w14:paraId="3C8D9BB4" w14:textId="77777777" w:rsidR="00DF7DAB" w:rsidRPr="007F7C6E" w:rsidRDefault="00DF7DAB" w:rsidP="0001076C">
            <w:pPr>
              <w:jc w:val="left"/>
              <w:rPr>
                <w:szCs w:val="22"/>
                <w:lang w:val="sr-Latn-ME"/>
              </w:rPr>
            </w:pPr>
            <w:r w:rsidRPr="007F7C6E">
              <w:rPr>
                <w:szCs w:val="22"/>
                <w:lang w:val="sr-Latn-ME"/>
              </w:rPr>
              <w:t>makulopapulozna ospa</w:t>
            </w:r>
          </w:p>
        </w:tc>
        <w:tc>
          <w:tcPr>
            <w:tcW w:w="1417" w:type="dxa"/>
          </w:tcPr>
          <w:p w14:paraId="3C8D9BB5" w14:textId="77777777" w:rsidR="00DF7DAB" w:rsidRPr="007F7C6E" w:rsidRDefault="00DF7DAB" w:rsidP="0001076C">
            <w:pPr>
              <w:jc w:val="left"/>
              <w:rPr>
                <w:szCs w:val="22"/>
                <w:lang w:val="sr-Latn-ME"/>
              </w:rPr>
            </w:pPr>
            <w:r w:rsidRPr="007F7C6E">
              <w:rPr>
                <w:szCs w:val="22"/>
                <w:lang w:val="sr-Latn-ME"/>
              </w:rPr>
              <w:t>erythema multiforme,</w:t>
            </w:r>
          </w:p>
          <w:p w14:paraId="3C8D9BB6" w14:textId="77777777" w:rsidR="00DF7DAB" w:rsidRPr="007F7C6E" w:rsidRDefault="00DF7DAB" w:rsidP="0001076C">
            <w:pPr>
              <w:jc w:val="left"/>
              <w:rPr>
                <w:szCs w:val="22"/>
                <w:lang w:val="sr-Latn-ME"/>
              </w:rPr>
            </w:pPr>
            <w:r w:rsidRPr="007F7C6E">
              <w:rPr>
                <w:szCs w:val="22"/>
                <w:lang w:val="sr-Latn-ME"/>
              </w:rPr>
              <w:t>pruritus, urtikarija</w:t>
            </w:r>
          </w:p>
        </w:tc>
        <w:tc>
          <w:tcPr>
            <w:tcW w:w="1276" w:type="dxa"/>
          </w:tcPr>
          <w:p w14:paraId="3C8D9BB7" w14:textId="77777777" w:rsidR="00DF7DAB" w:rsidRPr="007F7C6E" w:rsidRDefault="00DF7DAB" w:rsidP="0001076C">
            <w:pPr>
              <w:jc w:val="left"/>
              <w:rPr>
                <w:b/>
                <w:szCs w:val="22"/>
                <w:lang w:val="sr-Latn-ME"/>
              </w:rPr>
            </w:pPr>
          </w:p>
        </w:tc>
        <w:tc>
          <w:tcPr>
            <w:tcW w:w="1276" w:type="dxa"/>
          </w:tcPr>
          <w:p w14:paraId="3C8D9BB8" w14:textId="77777777" w:rsidR="00DF7DAB" w:rsidRPr="007F7C6E" w:rsidRDefault="00DF7DAB" w:rsidP="0001076C">
            <w:pPr>
              <w:jc w:val="left"/>
              <w:rPr>
                <w:b/>
                <w:szCs w:val="22"/>
                <w:lang w:val="sr-Latn-ME"/>
              </w:rPr>
            </w:pPr>
          </w:p>
        </w:tc>
        <w:tc>
          <w:tcPr>
            <w:tcW w:w="1984" w:type="dxa"/>
          </w:tcPr>
          <w:p w14:paraId="3C8D9BB9" w14:textId="1B4246C4" w:rsidR="00DF7DAB" w:rsidRPr="007F7C6E" w:rsidRDefault="00DF7DAB" w:rsidP="0001076C">
            <w:pPr>
              <w:jc w:val="left"/>
              <w:rPr>
                <w:szCs w:val="22"/>
                <w:lang w:val="sr-Latn-ME"/>
              </w:rPr>
            </w:pPr>
            <w:r w:rsidRPr="007F7C6E">
              <w:rPr>
                <w:i/>
                <w:szCs w:val="22"/>
                <w:lang w:val="sr-Latn-ME"/>
              </w:rPr>
              <w:t>Stevens Johnson</w:t>
            </w:r>
            <w:r w:rsidRPr="007F7C6E">
              <w:rPr>
                <w:szCs w:val="22"/>
                <w:lang w:val="sr-Latn-ME"/>
              </w:rPr>
              <w:t>-ov sindrom</w:t>
            </w:r>
            <w:r w:rsidR="00E377D1" w:rsidRPr="007F7C6E">
              <w:rPr>
                <w:szCs w:val="22"/>
                <w:lang w:val="sr-Latn-ME"/>
              </w:rPr>
              <w:t xml:space="preserve"> (SJS)</w:t>
            </w:r>
            <w:r w:rsidRPr="007F7C6E">
              <w:rPr>
                <w:szCs w:val="22"/>
                <w:lang w:val="sr-Latn-ME"/>
              </w:rPr>
              <w:t>*,</w:t>
            </w:r>
          </w:p>
          <w:p w14:paraId="3C8D9BBA" w14:textId="43AB983D" w:rsidR="00DF7DAB" w:rsidRPr="007F7C6E" w:rsidRDefault="00DF7DAB" w:rsidP="0001076C">
            <w:pPr>
              <w:jc w:val="left"/>
              <w:rPr>
                <w:szCs w:val="22"/>
                <w:lang w:val="sr-Latn-ME"/>
              </w:rPr>
            </w:pPr>
            <w:r w:rsidRPr="007F7C6E">
              <w:rPr>
                <w:szCs w:val="22"/>
                <w:lang w:val="sr-Latn-ME"/>
              </w:rPr>
              <w:t>toksična epidermalna nekroliza</w:t>
            </w:r>
            <w:r w:rsidR="00E377D1" w:rsidRPr="007F7C6E">
              <w:rPr>
                <w:szCs w:val="22"/>
                <w:lang w:val="sr-Latn-ME"/>
              </w:rPr>
              <w:t xml:space="preserve"> (TEN)</w:t>
            </w:r>
            <w:r w:rsidRPr="007F7C6E">
              <w:rPr>
                <w:szCs w:val="22"/>
                <w:lang w:val="sr-Latn-ME"/>
              </w:rPr>
              <w:t>*,</w:t>
            </w:r>
          </w:p>
          <w:p w14:paraId="3C8D9BBB" w14:textId="4AF1200C" w:rsidR="00DF7DAB" w:rsidRPr="007F7C6E" w:rsidRDefault="00DF7DAB" w:rsidP="0001076C">
            <w:pPr>
              <w:jc w:val="left"/>
              <w:rPr>
                <w:szCs w:val="22"/>
                <w:lang w:val="sr-Latn-ME"/>
              </w:rPr>
            </w:pPr>
            <w:r w:rsidRPr="007F7C6E">
              <w:rPr>
                <w:szCs w:val="22"/>
                <w:lang w:val="sr-Latn-ME"/>
              </w:rPr>
              <w:t xml:space="preserve">reakcija na </w:t>
            </w:r>
            <w:r w:rsidR="0064264A" w:rsidRPr="007F7C6E">
              <w:rPr>
                <w:szCs w:val="22"/>
                <w:lang w:val="sr-Latn-ME"/>
              </w:rPr>
              <w:t>lijek</w:t>
            </w:r>
            <w:r w:rsidRPr="007F7C6E">
              <w:rPr>
                <w:szCs w:val="22"/>
                <w:lang w:val="sr-Latn-ME"/>
              </w:rPr>
              <w:t xml:space="preserve"> praćena eozinofilijom i sistemskim simptomima (</w:t>
            </w:r>
            <w:r w:rsidRPr="007F7C6E">
              <w:rPr>
                <w:i/>
                <w:iCs/>
                <w:szCs w:val="22"/>
                <w:lang w:val="sr-Latn-ME"/>
              </w:rPr>
              <w:t>DRESS</w:t>
            </w:r>
            <w:r w:rsidRPr="007F7C6E">
              <w:rPr>
                <w:szCs w:val="22"/>
                <w:lang w:val="sr-Latn-ME"/>
              </w:rPr>
              <w:t xml:space="preserve"> sindrom)*, akutna </w:t>
            </w:r>
            <w:r w:rsidRPr="007F7C6E">
              <w:rPr>
                <w:szCs w:val="22"/>
                <w:lang w:val="sr-Latn-ME"/>
              </w:rPr>
              <w:lastRenderedPageBreak/>
              <w:t>generalizovana egzantematozna pustuloza</w:t>
            </w:r>
            <w:r w:rsidR="00B30F52" w:rsidRPr="007F7C6E">
              <w:rPr>
                <w:szCs w:val="22"/>
                <w:lang w:val="sr-Latn-ME"/>
              </w:rPr>
              <w:t xml:space="preserve"> (AGEP)</w:t>
            </w:r>
            <w:r w:rsidRPr="007F7C6E">
              <w:rPr>
                <w:szCs w:val="22"/>
                <w:lang w:val="sr-Latn-ME"/>
              </w:rPr>
              <w:t>*, angioedem*, eksfolijativni dermatitis*, bulozni dermatitis*,</w:t>
            </w:r>
          </w:p>
          <w:p w14:paraId="3C8D9BBC" w14:textId="77777777" w:rsidR="00DF7DAB" w:rsidRPr="007F7C6E" w:rsidRDefault="00DF7DAB" w:rsidP="0001076C">
            <w:pPr>
              <w:jc w:val="left"/>
              <w:rPr>
                <w:szCs w:val="22"/>
                <w:lang w:val="sr-Latn-ME"/>
              </w:rPr>
            </w:pPr>
            <w:r w:rsidRPr="007F7C6E">
              <w:rPr>
                <w:szCs w:val="22"/>
                <w:lang w:val="sr-Latn-ME"/>
              </w:rPr>
              <w:t>morbilifomna ospa*</w:t>
            </w:r>
          </w:p>
          <w:p w14:paraId="3C8D9BBD" w14:textId="77777777" w:rsidR="00DF7DAB" w:rsidRPr="007F7C6E" w:rsidRDefault="00DF7DAB" w:rsidP="0001076C">
            <w:pPr>
              <w:jc w:val="left"/>
              <w:rPr>
                <w:szCs w:val="22"/>
                <w:lang w:val="sr-Latn-ME"/>
              </w:rPr>
            </w:pPr>
          </w:p>
        </w:tc>
      </w:tr>
      <w:tr w:rsidR="00742022" w:rsidRPr="007F7C6E" w14:paraId="1EA73801" w14:textId="77777777" w:rsidTr="0001076C">
        <w:tc>
          <w:tcPr>
            <w:tcW w:w="1272" w:type="dxa"/>
          </w:tcPr>
          <w:p w14:paraId="622615BA" w14:textId="325A8B40" w:rsidR="00742022" w:rsidRPr="007F7C6E" w:rsidRDefault="00742022" w:rsidP="0001076C">
            <w:pPr>
              <w:jc w:val="left"/>
              <w:rPr>
                <w:b/>
                <w:i/>
                <w:szCs w:val="22"/>
                <w:lang w:val="sr-Latn-ME"/>
              </w:rPr>
            </w:pPr>
            <w:r w:rsidRPr="007F7C6E">
              <w:rPr>
                <w:b/>
                <w:i/>
                <w:szCs w:val="22"/>
                <w:lang w:val="sr-Latn-ME"/>
              </w:rPr>
              <w:lastRenderedPageBreak/>
              <w:t>Poremećaji bubrega i urinarnog sistema</w:t>
            </w:r>
          </w:p>
        </w:tc>
        <w:tc>
          <w:tcPr>
            <w:tcW w:w="1851" w:type="dxa"/>
          </w:tcPr>
          <w:p w14:paraId="6A1C6A97" w14:textId="77777777" w:rsidR="00742022" w:rsidRPr="007F7C6E" w:rsidRDefault="00742022" w:rsidP="0001076C">
            <w:pPr>
              <w:jc w:val="left"/>
              <w:rPr>
                <w:szCs w:val="22"/>
                <w:lang w:val="sr-Latn-ME"/>
              </w:rPr>
            </w:pPr>
          </w:p>
        </w:tc>
        <w:tc>
          <w:tcPr>
            <w:tcW w:w="1417" w:type="dxa"/>
          </w:tcPr>
          <w:p w14:paraId="5F3223E1" w14:textId="77777777" w:rsidR="00742022" w:rsidRPr="007F7C6E" w:rsidRDefault="00742022" w:rsidP="0001076C">
            <w:pPr>
              <w:jc w:val="left"/>
              <w:rPr>
                <w:szCs w:val="22"/>
                <w:lang w:val="sr-Latn-ME"/>
              </w:rPr>
            </w:pPr>
          </w:p>
        </w:tc>
        <w:tc>
          <w:tcPr>
            <w:tcW w:w="1276" w:type="dxa"/>
          </w:tcPr>
          <w:p w14:paraId="219766B3" w14:textId="77777777" w:rsidR="00742022" w:rsidRPr="007F7C6E" w:rsidRDefault="00742022" w:rsidP="0001076C">
            <w:pPr>
              <w:jc w:val="left"/>
              <w:rPr>
                <w:b/>
                <w:szCs w:val="22"/>
                <w:lang w:val="sr-Latn-ME"/>
              </w:rPr>
            </w:pPr>
          </w:p>
        </w:tc>
        <w:tc>
          <w:tcPr>
            <w:tcW w:w="1276" w:type="dxa"/>
          </w:tcPr>
          <w:p w14:paraId="484BB373" w14:textId="77777777" w:rsidR="00742022" w:rsidRPr="007F7C6E" w:rsidRDefault="00742022" w:rsidP="0001076C">
            <w:pPr>
              <w:jc w:val="left"/>
              <w:rPr>
                <w:b/>
                <w:szCs w:val="22"/>
                <w:lang w:val="sr-Latn-ME"/>
              </w:rPr>
            </w:pPr>
          </w:p>
        </w:tc>
        <w:tc>
          <w:tcPr>
            <w:tcW w:w="1984" w:type="dxa"/>
          </w:tcPr>
          <w:p w14:paraId="1B301520" w14:textId="569CD9D6" w:rsidR="00742022" w:rsidRPr="007F7C6E" w:rsidRDefault="00742022" w:rsidP="0001076C">
            <w:pPr>
              <w:jc w:val="left"/>
              <w:rPr>
                <w:i/>
                <w:szCs w:val="22"/>
                <w:lang w:val="sr-Latn-ME"/>
              </w:rPr>
            </w:pPr>
            <w:r w:rsidRPr="007F7C6E">
              <w:rPr>
                <w:szCs w:val="22"/>
                <w:lang w:val="sr-Latn-ME"/>
              </w:rPr>
              <w:t>Akutna bubrežna oboljenja#</w:t>
            </w:r>
          </w:p>
        </w:tc>
      </w:tr>
      <w:tr w:rsidR="00742022" w:rsidRPr="007F7C6E" w14:paraId="3C8D9BC5" w14:textId="77777777" w:rsidTr="0001076C">
        <w:tc>
          <w:tcPr>
            <w:tcW w:w="1272" w:type="dxa"/>
          </w:tcPr>
          <w:p w14:paraId="3C8D9BBF" w14:textId="603779C3" w:rsidR="00742022" w:rsidRPr="007F7C6E" w:rsidRDefault="00742022" w:rsidP="0001076C">
            <w:pPr>
              <w:jc w:val="left"/>
              <w:rPr>
                <w:b/>
                <w:i/>
                <w:szCs w:val="22"/>
                <w:lang w:val="sr-Latn-ME"/>
              </w:rPr>
            </w:pPr>
            <w:r w:rsidRPr="007F7C6E">
              <w:rPr>
                <w:b/>
                <w:i/>
                <w:szCs w:val="22"/>
                <w:lang w:val="sr-Latn-ME"/>
              </w:rPr>
              <w:t>Opšti poremećaji i reakcije na m</w:t>
            </w:r>
            <w:r w:rsidR="00F62545" w:rsidRPr="007F7C6E">
              <w:rPr>
                <w:b/>
                <w:i/>
                <w:szCs w:val="22"/>
                <w:lang w:val="sr-Latn-ME"/>
              </w:rPr>
              <w:t>j</w:t>
            </w:r>
            <w:r w:rsidRPr="007F7C6E">
              <w:rPr>
                <w:b/>
                <w:i/>
                <w:szCs w:val="22"/>
                <w:lang w:val="sr-Latn-ME"/>
              </w:rPr>
              <w:t>estu prim</w:t>
            </w:r>
            <w:r w:rsidR="00F62545" w:rsidRPr="007F7C6E">
              <w:rPr>
                <w:b/>
                <w:i/>
                <w:szCs w:val="22"/>
                <w:lang w:val="sr-Latn-ME"/>
              </w:rPr>
              <w:t>j</w:t>
            </w:r>
            <w:r w:rsidRPr="007F7C6E">
              <w:rPr>
                <w:b/>
                <w:i/>
                <w:szCs w:val="22"/>
                <w:lang w:val="sr-Latn-ME"/>
              </w:rPr>
              <w:t>ene</w:t>
            </w:r>
          </w:p>
        </w:tc>
        <w:tc>
          <w:tcPr>
            <w:tcW w:w="1851" w:type="dxa"/>
          </w:tcPr>
          <w:p w14:paraId="3C8D9BC0" w14:textId="77777777" w:rsidR="00742022" w:rsidRPr="007F7C6E" w:rsidRDefault="00742022" w:rsidP="0001076C">
            <w:pPr>
              <w:jc w:val="left"/>
              <w:rPr>
                <w:szCs w:val="22"/>
                <w:lang w:val="sr-Latn-ME"/>
              </w:rPr>
            </w:pPr>
          </w:p>
        </w:tc>
        <w:tc>
          <w:tcPr>
            <w:tcW w:w="1417" w:type="dxa"/>
          </w:tcPr>
          <w:p w14:paraId="3C8D9BC1" w14:textId="4F2F2F54" w:rsidR="00742022" w:rsidRPr="007F7C6E" w:rsidRDefault="00742022" w:rsidP="0001076C">
            <w:pPr>
              <w:jc w:val="left"/>
              <w:rPr>
                <w:szCs w:val="22"/>
                <w:lang w:val="sr-Latn-ME"/>
              </w:rPr>
            </w:pPr>
            <w:r w:rsidRPr="007F7C6E">
              <w:rPr>
                <w:szCs w:val="22"/>
                <w:lang w:val="sr-Latn-ME"/>
              </w:rPr>
              <w:t>bol†, apsces na m</w:t>
            </w:r>
            <w:r w:rsidR="00F62545" w:rsidRPr="007F7C6E">
              <w:rPr>
                <w:szCs w:val="22"/>
                <w:lang w:val="sr-Latn-ME"/>
              </w:rPr>
              <w:t>j</w:t>
            </w:r>
            <w:r w:rsidRPr="007F7C6E">
              <w:rPr>
                <w:szCs w:val="22"/>
                <w:lang w:val="sr-Latn-ME"/>
              </w:rPr>
              <w:t>estu prim</w:t>
            </w:r>
            <w:r w:rsidR="00F62545" w:rsidRPr="007F7C6E">
              <w:rPr>
                <w:szCs w:val="22"/>
                <w:lang w:val="sr-Latn-ME"/>
              </w:rPr>
              <w:t>j</w:t>
            </w:r>
            <w:r w:rsidRPr="007F7C6E">
              <w:rPr>
                <w:szCs w:val="22"/>
                <w:lang w:val="sr-Latn-ME"/>
              </w:rPr>
              <w:t>ene†</w:t>
            </w:r>
          </w:p>
        </w:tc>
        <w:tc>
          <w:tcPr>
            <w:tcW w:w="1276" w:type="dxa"/>
          </w:tcPr>
          <w:p w14:paraId="3C8D9BC2" w14:textId="77777777" w:rsidR="00742022" w:rsidRPr="007F7C6E" w:rsidRDefault="00742022" w:rsidP="0001076C">
            <w:pPr>
              <w:jc w:val="left"/>
              <w:rPr>
                <w:b/>
                <w:szCs w:val="22"/>
                <w:lang w:val="sr-Latn-ME"/>
              </w:rPr>
            </w:pPr>
          </w:p>
        </w:tc>
        <w:tc>
          <w:tcPr>
            <w:tcW w:w="1276" w:type="dxa"/>
          </w:tcPr>
          <w:p w14:paraId="3C8D9BC3" w14:textId="77777777" w:rsidR="00742022" w:rsidRPr="007F7C6E" w:rsidRDefault="00742022" w:rsidP="0001076C">
            <w:pPr>
              <w:jc w:val="left"/>
              <w:rPr>
                <w:b/>
                <w:szCs w:val="22"/>
                <w:lang w:val="sr-Latn-ME"/>
              </w:rPr>
            </w:pPr>
          </w:p>
        </w:tc>
        <w:tc>
          <w:tcPr>
            <w:tcW w:w="1984" w:type="dxa"/>
          </w:tcPr>
          <w:p w14:paraId="3C8D9BC4" w14:textId="77777777" w:rsidR="00742022" w:rsidRPr="007F7C6E" w:rsidRDefault="00742022" w:rsidP="0001076C">
            <w:pPr>
              <w:jc w:val="left"/>
              <w:rPr>
                <w:szCs w:val="22"/>
                <w:lang w:val="sr-Latn-ME"/>
              </w:rPr>
            </w:pPr>
            <w:r w:rsidRPr="007F7C6E">
              <w:rPr>
                <w:szCs w:val="22"/>
                <w:lang w:val="sr-Latn-ME"/>
              </w:rPr>
              <w:t>lokalna iritacija†*</w:t>
            </w:r>
          </w:p>
        </w:tc>
      </w:tr>
      <w:tr w:rsidR="00742022" w:rsidRPr="007F7C6E" w14:paraId="3C8D9BCC" w14:textId="77777777" w:rsidTr="0001076C">
        <w:tc>
          <w:tcPr>
            <w:tcW w:w="1272" w:type="dxa"/>
          </w:tcPr>
          <w:p w14:paraId="3C8D9BC6" w14:textId="77777777" w:rsidR="00742022" w:rsidRPr="007F7C6E" w:rsidRDefault="00742022" w:rsidP="0001076C">
            <w:pPr>
              <w:jc w:val="left"/>
              <w:rPr>
                <w:b/>
                <w:i/>
                <w:szCs w:val="22"/>
                <w:lang w:val="sr-Latn-ME"/>
              </w:rPr>
            </w:pPr>
            <w:r w:rsidRPr="007F7C6E">
              <w:rPr>
                <w:b/>
                <w:i/>
                <w:szCs w:val="22"/>
                <w:lang w:val="sr-Latn-ME"/>
              </w:rPr>
              <w:t>Ispitivanja</w:t>
            </w:r>
          </w:p>
        </w:tc>
        <w:tc>
          <w:tcPr>
            <w:tcW w:w="1851" w:type="dxa"/>
          </w:tcPr>
          <w:p w14:paraId="3C8D9BC7" w14:textId="77777777" w:rsidR="00742022" w:rsidRPr="007F7C6E" w:rsidRDefault="00742022" w:rsidP="00B2198D">
            <w:pPr>
              <w:jc w:val="left"/>
              <w:rPr>
                <w:szCs w:val="22"/>
                <w:lang w:val="sr-Latn-ME"/>
              </w:rPr>
            </w:pPr>
            <w:r w:rsidRPr="007F7C6E">
              <w:rPr>
                <w:szCs w:val="22"/>
                <w:lang w:val="sr-Latn-ME"/>
              </w:rPr>
              <w:t>Abnormalni testovi funkcije jetre</w:t>
            </w:r>
          </w:p>
        </w:tc>
        <w:tc>
          <w:tcPr>
            <w:tcW w:w="1417" w:type="dxa"/>
          </w:tcPr>
          <w:p w14:paraId="3C8D9BC8" w14:textId="77777777" w:rsidR="00742022" w:rsidRPr="007F7C6E" w:rsidRDefault="00742022" w:rsidP="0001076C">
            <w:pPr>
              <w:jc w:val="left"/>
              <w:rPr>
                <w:szCs w:val="22"/>
                <w:lang w:val="sr-Latn-ME"/>
              </w:rPr>
            </w:pPr>
          </w:p>
        </w:tc>
        <w:tc>
          <w:tcPr>
            <w:tcW w:w="1276" w:type="dxa"/>
          </w:tcPr>
          <w:p w14:paraId="3C8D9BC9" w14:textId="77777777" w:rsidR="00742022" w:rsidRPr="007F7C6E" w:rsidRDefault="00742022" w:rsidP="0001076C">
            <w:pPr>
              <w:jc w:val="left"/>
              <w:rPr>
                <w:b/>
                <w:szCs w:val="22"/>
                <w:lang w:val="sr-Latn-ME"/>
              </w:rPr>
            </w:pPr>
          </w:p>
        </w:tc>
        <w:tc>
          <w:tcPr>
            <w:tcW w:w="1276" w:type="dxa"/>
          </w:tcPr>
          <w:p w14:paraId="3C8D9BCA" w14:textId="77777777" w:rsidR="00742022" w:rsidRPr="007F7C6E" w:rsidRDefault="00742022" w:rsidP="0001076C">
            <w:pPr>
              <w:jc w:val="left"/>
              <w:rPr>
                <w:b/>
                <w:szCs w:val="22"/>
                <w:lang w:val="sr-Latn-ME"/>
              </w:rPr>
            </w:pPr>
          </w:p>
        </w:tc>
        <w:tc>
          <w:tcPr>
            <w:tcW w:w="1984" w:type="dxa"/>
          </w:tcPr>
          <w:p w14:paraId="3C8D9BCB" w14:textId="77777777" w:rsidR="00742022" w:rsidRPr="007F7C6E" w:rsidRDefault="00742022" w:rsidP="0001076C">
            <w:pPr>
              <w:jc w:val="left"/>
              <w:rPr>
                <w:szCs w:val="22"/>
                <w:lang w:val="sr-Latn-ME"/>
              </w:rPr>
            </w:pPr>
          </w:p>
        </w:tc>
      </w:tr>
    </w:tbl>
    <w:p w14:paraId="3C8D9BCD" w14:textId="77777777" w:rsidR="007D678A" w:rsidRPr="007F7C6E" w:rsidRDefault="007D678A" w:rsidP="005E1030">
      <w:pPr>
        <w:rPr>
          <w:bCs/>
          <w:szCs w:val="22"/>
          <w:lang w:val="sr-Latn-ME"/>
        </w:rPr>
      </w:pPr>
      <w:r w:rsidRPr="007F7C6E">
        <w:rPr>
          <w:bCs/>
          <w:szCs w:val="22"/>
          <w:lang w:val="sr-Latn-ME"/>
        </w:rPr>
        <w:t>* Neželjene reakcije registrovane post-markentiški</w:t>
      </w:r>
    </w:p>
    <w:p w14:paraId="3C8D9BCE" w14:textId="77777777" w:rsidR="007D678A" w:rsidRPr="007F7C6E" w:rsidRDefault="007D678A" w:rsidP="00220F9D">
      <w:pPr>
        <w:rPr>
          <w:bCs/>
          <w:szCs w:val="22"/>
          <w:lang w:val="sr-Latn-ME"/>
        </w:rPr>
      </w:pPr>
      <w:r w:rsidRPr="007F7C6E">
        <w:rPr>
          <w:color w:val="000000"/>
          <w:szCs w:val="22"/>
          <w:lang w:val="sr-Latn-ME"/>
        </w:rPr>
        <w:t>†</w:t>
      </w:r>
      <w:r w:rsidRPr="007F7C6E">
        <w:rPr>
          <w:bCs/>
          <w:szCs w:val="22"/>
          <w:lang w:val="sr-Latn-ME"/>
        </w:rPr>
        <w:t xml:space="preserve"> Neželjene reakcije se odnose samo na parenteralne preparate</w:t>
      </w:r>
    </w:p>
    <w:p w14:paraId="3C8D9BCF" w14:textId="207C852B" w:rsidR="007D678A" w:rsidRPr="007F7C6E" w:rsidRDefault="007D678A" w:rsidP="00CD1386">
      <w:pPr>
        <w:rPr>
          <w:szCs w:val="22"/>
          <w:lang w:val="sr-Latn-ME"/>
        </w:rPr>
      </w:pPr>
      <w:r w:rsidRPr="007F7C6E">
        <w:rPr>
          <w:szCs w:val="22"/>
          <w:lang w:val="sr-Latn-ME"/>
        </w:rPr>
        <w:t>#</w:t>
      </w:r>
      <w:r w:rsidR="00F62545" w:rsidRPr="007F7C6E">
        <w:rPr>
          <w:szCs w:val="22"/>
          <w:lang w:val="sr-Latn-ME"/>
        </w:rPr>
        <w:t xml:space="preserve">pogledati dio </w:t>
      </w:r>
      <w:r w:rsidRPr="007F7C6E">
        <w:rPr>
          <w:szCs w:val="22"/>
          <w:lang w:val="sr-Latn-ME"/>
        </w:rPr>
        <w:t xml:space="preserve"> 4.4</w:t>
      </w:r>
    </w:p>
    <w:p w14:paraId="3C8D9BD0" w14:textId="483F28B6" w:rsidR="007D678A" w:rsidRPr="007F7C6E" w:rsidRDefault="007D678A" w:rsidP="002E3841">
      <w:pPr>
        <w:rPr>
          <w:noProof/>
          <w:szCs w:val="22"/>
          <w:u w:val="single"/>
          <w:lang w:val="sr-Latn-ME"/>
        </w:rPr>
      </w:pPr>
      <w:r w:rsidRPr="007F7C6E">
        <w:rPr>
          <w:szCs w:val="22"/>
          <w:lang w:val="sr-Latn-ME"/>
        </w:rPr>
        <w:t>§</w:t>
      </w:r>
      <w:r w:rsidR="008A4F4B" w:rsidRPr="007F7C6E">
        <w:rPr>
          <w:szCs w:val="22"/>
          <w:lang w:val="sr-Latn-ME"/>
        </w:rPr>
        <w:t>Rijetko</w:t>
      </w:r>
      <w:r w:rsidRPr="007F7C6E">
        <w:rPr>
          <w:szCs w:val="22"/>
          <w:lang w:val="sr-Latn-ME"/>
        </w:rPr>
        <w:t xml:space="preserve"> prijavljene reakcije nakon previše brze intravenske prim</w:t>
      </w:r>
      <w:r w:rsidR="00F62545" w:rsidRPr="007F7C6E">
        <w:rPr>
          <w:szCs w:val="22"/>
          <w:lang w:val="sr-Latn-ME"/>
        </w:rPr>
        <w:t>j</w:t>
      </w:r>
      <w:r w:rsidRPr="007F7C6E">
        <w:rPr>
          <w:szCs w:val="22"/>
          <w:lang w:val="sr-Latn-ME"/>
        </w:rPr>
        <w:t>ene (</w:t>
      </w:r>
      <w:r w:rsidR="00DE1B44" w:rsidRPr="007F7C6E">
        <w:rPr>
          <w:szCs w:val="22"/>
          <w:lang w:val="sr-Latn-ME"/>
        </w:rPr>
        <w:t xml:space="preserve">vidjeti </w:t>
      </w:r>
      <w:r w:rsidR="00F62545" w:rsidRPr="007F7C6E">
        <w:rPr>
          <w:szCs w:val="22"/>
          <w:lang w:val="sr-Latn-ME"/>
        </w:rPr>
        <w:t xml:space="preserve">dio </w:t>
      </w:r>
      <w:r w:rsidRPr="007F7C6E">
        <w:rPr>
          <w:szCs w:val="22"/>
          <w:lang w:val="sr-Latn-ME"/>
        </w:rPr>
        <w:t>4.2).</w:t>
      </w:r>
    </w:p>
    <w:p w14:paraId="3C8D9BD1" w14:textId="77777777" w:rsidR="007D678A" w:rsidRPr="007F7C6E" w:rsidRDefault="007D678A" w:rsidP="00B2198D">
      <w:pPr>
        <w:rPr>
          <w:b/>
          <w:bCs/>
          <w:szCs w:val="22"/>
          <w:lang w:val="sr-Latn-ME"/>
        </w:rPr>
      </w:pPr>
    </w:p>
    <w:p w14:paraId="3FDD2198" w14:textId="77777777" w:rsidR="00D65A01" w:rsidRPr="007F7C6E" w:rsidRDefault="00D65A01" w:rsidP="00B2198D">
      <w:pPr>
        <w:spacing w:after="200" w:line="276" w:lineRule="auto"/>
        <w:rPr>
          <w:rFonts w:eastAsia="Calibri"/>
          <w:szCs w:val="22"/>
          <w:u w:val="single"/>
          <w:lang w:val="sr-Latn-ME"/>
        </w:rPr>
      </w:pPr>
      <w:r w:rsidRPr="007F7C6E">
        <w:rPr>
          <w:rFonts w:eastAsia="Calibri"/>
          <w:szCs w:val="22"/>
          <w:u w:val="single"/>
          <w:lang w:val="sr-Latn-ME"/>
        </w:rPr>
        <w:t>Prijavljivanje sumnji na neželjena dejstva</w:t>
      </w:r>
    </w:p>
    <w:p w14:paraId="215E9418" w14:textId="77777777" w:rsidR="00D65A01" w:rsidRPr="007F7C6E" w:rsidRDefault="00D65A01" w:rsidP="00DE1B44">
      <w:pPr>
        <w:spacing w:after="200"/>
        <w:rPr>
          <w:rFonts w:eastAsia="Calibri"/>
          <w:szCs w:val="22"/>
          <w:lang w:val="sr-Latn-ME"/>
        </w:rPr>
      </w:pPr>
      <w:r w:rsidRPr="007F7C6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4642852" w14:textId="77777777" w:rsidR="00D65A01" w:rsidRPr="007F7C6E" w:rsidRDefault="00D65A01" w:rsidP="00DE1B44">
      <w:pPr>
        <w:pStyle w:val="NoSpacing"/>
        <w:jc w:val="both"/>
        <w:rPr>
          <w:rFonts w:eastAsia="Calibri"/>
          <w:sz w:val="22"/>
          <w:szCs w:val="22"/>
          <w:lang w:val="sr-Latn-ME"/>
        </w:rPr>
      </w:pPr>
      <w:r w:rsidRPr="007F7C6E">
        <w:rPr>
          <w:rFonts w:eastAsia="Calibri"/>
          <w:sz w:val="22"/>
          <w:szCs w:val="22"/>
          <w:lang w:val="sr-Latn-ME"/>
        </w:rPr>
        <w:t xml:space="preserve">Institut za ljekove i medicinska sredstva </w:t>
      </w:r>
    </w:p>
    <w:p w14:paraId="516BB631" w14:textId="77777777" w:rsidR="00D65A01" w:rsidRPr="007F7C6E" w:rsidRDefault="00D65A01" w:rsidP="00DE1B44">
      <w:pPr>
        <w:pStyle w:val="NoSpacing"/>
        <w:jc w:val="both"/>
        <w:rPr>
          <w:rFonts w:eastAsia="Calibri"/>
          <w:sz w:val="22"/>
          <w:szCs w:val="22"/>
          <w:lang w:val="sr-Latn-ME"/>
        </w:rPr>
      </w:pPr>
      <w:r w:rsidRPr="007F7C6E">
        <w:rPr>
          <w:rFonts w:eastAsia="Calibri"/>
          <w:sz w:val="22"/>
          <w:szCs w:val="22"/>
          <w:lang w:val="sr-Latn-ME"/>
        </w:rPr>
        <w:t>Odjeljenje za farmakovigilancu</w:t>
      </w:r>
    </w:p>
    <w:p w14:paraId="2C395EED" w14:textId="77777777" w:rsidR="00D65A01" w:rsidRPr="007F7C6E" w:rsidRDefault="00D65A01" w:rsidP="00DE1B44">
      <w:pPr>
        <w:pStyle w:val="NoSpacing"/>
        <w:jc w:val="both"/>
        <w:rPr>
          <w:rFonts w:eastAsia="Calibri"/>
          <w:sz w:val="22"/>
          <w:szCs w:val="22"/>
          <w:lang w:val="sr-Latn-ME"/>
        </w:rPr>
      </w:pPr>
      <w:r w:rsidRPr="007F7C6E">
        <w:rPr>
          <w:rFonts w:eastAsia="Calibri"/>
          <w:sz w:val="22"/>
          <w:szCs w:val="22"/>
          <w:lang w:val="sr-Latn-ME"/>
        </w:rPr>
        <w:t>Bulevar Ivana Crnojevića 64a, 81000 Podgorica</w:t>
      </w:r>
    </w:p>
    <w:p w14:paraId="2FFB7DDE" w14:textId="77777777" w:rsidR="00D65A01" w:rsidRPr="007F7C6E" w:rsidRDefault="00D65A01" w:rsidP="0001076C">
      <w:pPr>
        <w:pStyle w:val="NoSpacing"/>
        <w:jc w:val="both"/>
        <w:rPr>
          <w:rFonts w:eastAsia="Calibri"/>
          <w:sz w:val="22"/>
          <w:szCs w:val="22"/>
          <w:lang w:val="sr-Latn-ME"/>
        </w:rPr>
      </w:pPr>
    </w:p>
    <w:p w14:paraId="5E188A55" w14:textId="77777777" w:rsidR="00D65A01" w:rsidRPr="007F7C6E" w:rsidRDefault="00D65A01" w:rsidP="005E1030">
      <w:pPr>
        <w:pStyle w:val="NoSpacing"/>
        <w:jc w:val="both"/>
        <w:rPr>
          <w:rFonts w:eastAsia="Calibri"/>
          <w:sz w:val="22"/>
          <w:szCs w:val="22"/>
          <w:lang w:val="sr-Latn-ME"/>
        </w:rPr>
      </w:pPr>
      <w:r w:rsidRPr="007F7C6E">
        <w:rPr>
          <w:rFonts w:eastAsia="Calibri"/>
          <w:sz w:val="22"/>
          <w:szCs w:val="22"/>
          <w:lang w:val="sr-Latn-ME"/>
        </w:rPr>
        <w:t>tel: +382 (0) 20 310 280</w:t>
      </w:r>
    </w:p>
    <w:p w14:paraId="6E7FD32A" w14:textId="77777777" w:rsidR="00D65A01" w:rsidRPr="007F7C6E" w:rsidRDefault="00D65A01" w:rsidP="00220F9D">
      <w:pPr>
        <w:pStyle w:val="NoSpacing"/>
        <w:tabs>
          <w:tab w:val="left" w:pos="6720"/>
        </w:tabs>
        <w:jc w:val="both"/>
        <w:rPr>
          <w:rFonts w:eastAsia="Calibri"/>
          <w:sz w:val="22"/>
          <w:szCs w:val="22"/>
          <w:lang w:val="sr-Latn-ME"/>
        </w:rPr>
      </w:pPr>
      <w:r w:rsidRPr="007F7C6E">
        <w:rPr>
          <w:rFonts w:eastAsia="Calibri"/>
          <w:sz w:val="22"/>
          <w:szCs w:val="22"/>
          <w:lang w:val="sr-Latn-ME"/>
        </w:rPr>
        <w:t>fax: +382 (0) 20 310 581</w:t>
      </w:r>
      <w:r w:rsidRPr="007F7C6E">
        <w:rPr>
          <w:rFonts w:eastAsia="Calibri"/>
          <w:sz w:val="22"/>
          <w:szCs w:val="22"/>
          <w:lang w:val="sr-Latn-ME"/>
        </w:rPr>
        <w:tab/>
      </w:r>
    </w:p>
    <w:p w14:paraId="38D4EEDD" w14:textId="77777777" w:rsidR="00D65A01" w:rsidRPr="007F7C6E" w:rsidRDefault="00475703" w:rsidP="00CD1386">
      <w:pPr>
        <w:pStyle w:val="NoSpacing"/>
        <w:jc w:val="both"/>
        <w:rPr>
          <w:rFonts w:eastAsia="Calibri"/>
          <w:sz w:val="22"/>
          <w:szCs w:val="22"/>
          <w:lang w:val="sr-Latn-ME"/>
        </w:rPr>
      </w:pPr>
      <w:hyperlink r:id="rId11" w:history="1">
        <w:r w:rsidR="00D65A01" w:rsidRPr="007F7C6E">
          <w:rPr>
            <w:rStyle w:val="Hyperlink"/>
            <w:rFonts w:eastAsia="Calibri"/>
            <w:sz w:val="22"/>
            <w:szCs w:val="22"/>
            <w:lang w:val="sr-Latn-ME"/>
          </w:rPr>
          <w:t>www.cinmed.me</w:t>
        </w:r>
      </w:hyperlink>
    </w:p>
    <w:p w14:paraId="5BDC70D2" w14:textId="77777777" w:rsidR="00D65A01" w:rsidRPr="007F7C6E" w:rsidRDefault="00475703" w:rsidP="002E3841">
      <w:pPr>
        <w:pStyle w:val="NoSpacing"/>
        <w:jc w:val="both"/>
        <w:rPr>
          <w:rFonts w:eastAsia="Calibri"/>
          <w:color w:val="0000FF"/>
          <w:sz w:val="22"/>
          <w:szCs w:val="22"/>
          <w:u w:val="single"/>
          <w:lang w:val="sr-Latn-ME"/>
        </w:rPr>
      </w:pPr>
      <w:hyperlink r:id="rId12" w:history="1">
        <w:r w:rsidR="00D65A01" w:rsidRPr="007F7C6E">
          <w:rPr>
            <w:rStyle w:val="Hyperlink"/>
            <w:rFonts w:eastAsia="Calibri"/>
            <w:sz w:val="22"/>
            <w:szCs w:val="22"/>
            <w:lang w:val="sr-Latn-ME"/>
          </w:rPr>
          <w:t>nezeljenadejstva@cinmed.me</w:t>
        </w:r>
      </w:hyperlink>
    </w:p>
    <w:p w14:paraId="32E10EA4" w14:textId="77777777" w:rsidR="00D65A01" w:rsidRPr="007F7C6E" w:rsidRDefault="00D65A01" w:rsidP="00B2198D">
      <w:pPr>
        <w:pStyle w:val="NoSpacing"/>
        <w:jc w:val="both"/>
        <w:rPr>
          <w:rFonts w:eastAsia="Calibri"/>
          <w:sz w:val="22"/>
          <w:szCs w:val="22"/>
          <w:lang w:val="sr-Latn-ME"/>
        </w:rPr>
      </w:pPr>
      <w:r w:rsidRPr="007F7C6E">
        <w:rPr>
          <w:rFonts w:eastAsia="Calibri"/>
          <w:sz w:val="22"/>
          <w:szCs w:val="22"/>
          <w:lang w:val="sr-Latn-ME"/>
        </w:rPr>
        <w:t>putem IS zdravstvene zaštite</w:t>
      </w:r>
    </w:p>
    <w:p w14:paraId="7EFB880F" w14:textId="77777777" w:rsidR="00D65A01" w:rsidRPr="007F7C6E" w:rsidRDefault="00D65A01" w:rsidP="00B2198D">
      <w:pPr>
        <w:pStyle w:val="NoSpacing"/>
        <w:jc w:val="both"/>
        <w:rPr>
          <w:rFonts w:eastAsia="Calibri"/>
          <w:sz w:val="22"/>
          <w:szCs w:val="22"/>
          <w:lang w:val="sr-Latn-ME"/>
        </w:rPr>
      </w:pPr>
      <w:r w:rsidRPr="007F7C6E">
        <w:rPr>
          <w:rFonts w:eastAsia="Calibri"/>
          <w:sz w:val="22"/>
          <w:szCs w:val="22"/>
          <w:lang w:val="sr-Latn-ME"/>
        </w:rPr>
        <w:t>QR kod za online prijavu sumnje na neželjeno dejstvo lijeka:</w:t>
      </w:r>
    </w:p>
    <w:p w14:paraId="129FA987" w14:textId="77777777" w:rsidR="00D65A01" w:rsidRPr="007F7C6E" w:rsidRDefault="00D65A01" w:rsidP="00D65A01">
      <w:pPr>
        <w:pStyle w:val="NoSpacing"/>
        <w:rPr>
          <w:rFonts w:eastAsia="Calibri"/>
          <w:sz w:val="22"/>
          <w:szCs w:val="22"/>
          <w:lang w:val="sr-Latn-ME"/>
        </w:rPr>
      </w:pPr>
    </w:p>
    <w:p w14:paraId="1237601C" w14:textId="077EBD14" w:rsidR="00D65A01" w:rsidRPr="007F7C6E" w:rsidRDefault="00F26BB2" w:rsidP="00D65A01">
      <w:pPr>
        <w:tabs>
          <w:tab w:val="left" w:pos="540"/>
          <w:tab w:val="left" w:pos="569"/>
        </w:tabs>
        <w:rPr>
          <w:b/>
          <w:bCs/>
          <w:szCs w:val="22"/>
          <w:lang w:val="sr-Latn-ME"/>
        </w:rPr>
      </w:pPr>
      <w:r w:rsidRPr="007F7C6E">
        <w:rPr>
          <w:b/>
          <w:bCs/>
          <w:noProof/>
          <w:szCs w:val="22"/>
        </w:rPr>
        <w:drawing>
          <wp:inline distT="0" distB="0" distL="0" distR="0" wp14:anchorId="24286423" wp14:editId="37A8BBD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47EAF5F" w14:textId="77777777" w:rsidR="00D65A01" w:rsidRPr="007F7C6E" w:rsidRDefault="00D65A01" w:rsidP="00923865">
      <w:pPr>
        <w:rPr>
          <w:b/>
          <w:bCs/>
          <w:szCs w:val="22"/>
          <w:lang w:val="sr-Latn-ME"/>
        </w:rPr>
      </w:pPr>
    </w:p>
    <w:p w14:paraId="3C8D9BDE" w14:textId="1E1D48CD" w:rsidR="00CE09F3" w:rsidRPr="007F7C6E" w:rsidRDefault="00CE09F3" w:rsidP="00923865">
      <w:pPr>
        <w:rPr>
          <w:b/>
          <w:bCs/>
          <w:szCs w:val="22"/>
          <w:lang w:val="sr-Latn-ME"/>
        </w:rPr>
      </w:pPr>
      <w:r w:rsidRPr="007F7C6E">
        <w:rPr>
          <w:b/>
          <w:bCs/>
          <w:szCs w:val="22"/>
          <w:lang w:val="sr-Latn-ME"/>
        </w:rPr>
        <w:t>4.9. Predoziranje</w:t>
      </w:r>
    </w:p>
    <w:p w14:paraId="3C8D9BDF" w14:textId="77777777" w:rsidR="00A54717" w:rsidRPr="007F7C6E" w:rsidRDefault="00A54717" w:rsidP="00A54717">
      <w:pPr>
        <w:rPr>
          <w:szCs w:val="22"/>
          <w:lang w:val="sr-Latn-ME"/>
        </w:rPr>
      </w:pPr>
    </w:p>
    <w:p w14:paraId="3C8D9BE0" w14:textId="50616179" w:rsidR="00B30F52" w:rsidRPr="007F7C6E" w:rsidRDefault="00A54717" w:rsidP="00A54717">
      <w:pPr>
        <w:rPr>
          <w:szCs w:val="22"/>
          <w:lang w:val="sr-Latn-ME"/>
        </w:rPr>
      </w:pPr>
      <w:r w:rsidRPr="007F7C6E">
        <w:rPr>
          <w:szCs w:val="22"/>
          <w:lang w:val="sr-Latn-ME"/>
        </w:rPr>
        <w:t>Nema specifičnih m</w:t>
      </w:r>
      <w:r w:rsidR="00F62545" w:rsidRPr="007F7C6E">
        <w:rPr>
          <w:szCs w:val="22"/>
          <w:lang w:val="sr-Latn-ME"/>
        </w:rPr>
        <w:t>j</w:t>
      </w:r>
      <w:r w:rsidRPr="007F7C6E">
        <w:rPr>
          <w:szCs w:val="22"/>
          <w:lang w:val="sr-Latn-ME"/>
        </w:rPr>
        <w:t>era l</w:t>
      </w:r>
      <w:r w:rsidR="00C51548" w:rsidRPr="007F7C6E">
        <w:rPr>
          <w:szCs w:val="22"/>
          <w:lang w:val="sr-Latn-ME"/>
        </w:rPr>
        <w:t>ij</w:t>
      </w:r>
      <w:r w:rsidRPr="007F7C6E">
        <w:rPr>
          <w:szCs w:val="22"/>
          <w:lang w:val="sr-Latn-ME"/>
        </w:rPr>
        <w:t xml:space="preserve">ečenja za slučaj predoziranosti klindamicinom. </w:t>
      </w:r>
    </w:p>
    <w:p w14:paraId="3C8D9BE2" w14:textId="059A1CCF" w:rsidR="00A54717" w:rsidRPr="007F7C6E" w:rsidRDefault="00A54717" w:rsidP="00A54717">
      <w:pPr>
        <w:rPr>
          <w:szCs w:val="22"/>
          <w:lang w:val="sr-Latn-ME"/>
        </w:rPr>
      </w:pPr>
      <w:r w:rsidRPr="007F7C6E">
        <w:rPr>
          <w:szCs w:val="22"/>
          <w:lang w:val="sr-Latn-ME"/>
        </w:rPr>
        <w:lastRenderedPageBreak/>
        <w:t>Poluvr</w:t>
      </w:r>
      <w:r w:rsidR="00C51548" w:rsidRPr="007F7C6E">
        <w:rPr>
          <w:szCs w:val="22"/>
          <w:lang w:val="sr-Latn-ME"/>
        </w:rPr>
        <w:t>ij</w:t>
      </w:r>
      <w:r w:rsidRPr="007F7C6E">
        <w:rPr>
          <w:szCs w:val="22"/>
          <w:lang w:val="sr-Latn-ME"/>
        </w:rPr>
        <w:t>eme eliminacije iz plazme je 2,4 sata. Hemodijaliza i peritoneumska dijaliza ni</w:t>
      </w:r>
      <w:r w:rsidR="00DE1B44" w:rsidRPr="007F7C6E">
        <w:rPr>
          <w:szCs w:val="22"/>
          <w:lang w:val="sr-Latn-ME"/>
        </w:rPr>
        <w:t>je</w:t>
      </w:r>
      <w:r w:rsidRPr="007F7C6E">
        <w:rPr>
          <w:szCs w:val="22"/>
          <w:lang w:val="sr-Latn-ME"/>
        </w:rPr>
        <w:t>su efikasne u otklanjanju klindamicin</w:t>
      </w:r>
      <w:r w:rsidR="00DE1B44" w:rsidRPr="007F7C6E">
        <w:rPr>
          <w:szCs w:val="22"/>
          <w:lang w:val="sr-Latn-ME"/>
        </w:rPr>
        <w:t xml:space="preserve"> </w:t>
      </w:r>
      <w:r w:rsidRPr="007F7C6E">
        <w:rPr>
          <w:szCs w:val="22"/>
          <w:lang w:val="sr-Latn-ME"/>
        </w:rPr>
        <w:t>fofata iz krvi.</w:t>
      </w:r>
      <w:r w:rsidR="00DE1B44" w:rsidRPr="007F7C6E">
        <w:rPr>
          <w:szCs w:val="22"/>
          <w:lang w:val="sr-Latn-ME"/>
        </w:rPr>
        <w:t xml:space="preserve"> </w:t>
      </w:r>
      <w:r w:rsidRPr="007F7C6E">
        <w:rPr>
          <w:szCs w:val="22"/>
          <w:lang w:val="sr-Latn-ME"/>
        </w:rPr>
        <w:t>Ukoliko se javi alergijska reakcija, prim</w:t>
      </w:r>
      <w:r w:rsidR="00C51548" w:rsidRPr="007F7C6E">
        <w:rPr>
          <w:szCs w:val="22"/>
          <w:lang w:val="sr-Latn-ME"/>
        </w:rPr>
        <w:t>j</w:t>
      </w:r>
      <w:r w:rsidRPr="007F7C6E">
        <w:rPr>
          <w:szCs w:val="22"/>
          <w:lang w:val="sr-Latn-ME"/>
        </w:rPr>
        <w:t>enjuju se uobičajene hitne terapijske m</w:t>
      </w:r>
      <w:r w:rsidR="00C51548" w:rsidRPr="007F7C6E">
        <w:rPr>
          <w:szCs w:val="22"/>
          <w:lang w:val="sr-Latn-ME"/>
        </w:rPr>
        <w:t>j</w:t>
      </w:r>
      <w:r w:rsidRPr="007F7C6E">
        <w:rPr>
          <w:szCs w:val="22"/>
          <w:lang w:val="sr-Latn-ME"/>
        </w:rPr>
        <w:t>ere, uključujući prim</w:t>
      </w:r>
      <w:r w:rsidR="00C51548" w:rsidRPr="007F7C6E">
        <w:rPr>
          <w:szCs w:val="22"/>
          <w:lang w:val="sr-Latn-ME"/>
        </w:rPr>
        <w:t>j</w:t>
      </w:r>
      <w:r w:rsidRPr="007F7C6E">
        <w:rPr>
          <w:szCs w:val="22"/>
          <w:lang w:val="sr-Latn-ME"/>
        </w:rPr>
        <w:t>enu kortikosteroida, adrenalina i antihistaminika.</w:t>
      </w:r>
    </w:p>
    <w:p w14:paraId="3C8D9BE3" w14:textId="77777777" w:rsidR="0033680D" w:rsidRPr="007F7C6E" w:rsidRDefault="0033680D" w:rsidP="00A54717">
      <w:pPr>
        <w:rPr>
          <w:szCs w:val="22"/>
          <w:lang w:val="sr-Latn-ME"/>
        </w:rPr>
      </w:pPr>
    </w:p>
    <w:p w14:paraId="3C8D9BE4" w14:textId="460B96F3" w:rsidR="00CE09F3" w:rsidRPr="007F7C6E" w:rsidRDefault="00CE09F3" w:rsidP="0001076C">
      <w:pPr>
        <w:pStyle w:val="NASLOV123"/>
        <w:jc w:val="both"/>
        <w:rPr>
          <w:lang w:val="sr-Latn-ME"/>
        </w:rPr>
      </w:pPr>
      <w:r w:rsidRPr="007F7C6E">
        <w:rPr>
          <w:lang w:val="sr-Latn-ME"/>
        </w:rPr>
        <w:t xml:space="preserve">5. </w:t>
      </w:r>
      <w:r w:rsidR="00FE6FDC" w:rsidRPr="007F7C6E">
        <w:rPr>
          <w:lang w:val="sr-Latn-ME"/>
        </w:rPr>
        <w:tab/>
      </w:r>
      <w:r w:rsidRPr="007F7C6E">
        <w:rPr>
          <w:lang w:val="sr-Latn-ME"/>
        </w:rPr>
        <w:t>FARMAKOLOŠKI PODACI</w:t>
      </w:r>
    </w:p>
    <w:p w14:paraId="3C8D9BE5" w14:textId="77777777" w:rsidR="00CE09F3" w:rsidRPr="007F7C6E" w:rsidRDefault="00CE09F3" w:rsidP="005E1030">
      <w:pPr>
        <w:rPr>
          <w:b/>
          <w:bCs/>
          <w:szCs w:val="22"/>
          <w:lang w:val="sr-Latn-ME"/>
        </w:rPr>
      </w:pPr>
      <w:r w:rsidRPr="007F7C6E">
        <w:rPr>
          <w:b/>
          <w:bCs/>
          <w:szCs w:val="22"/>
          <w:lang w:val="sr-Latn-ME"/>
        </w:rPr>
        <w:t>5.1. Farmakodinamski podaci</w:t>
      </w:r>
    </w:p>
    <w:p w14:paraId="3C8D9BE6" w14:textId="77777777" w:rsidR="008A5904" w:rsidRPr="007F7C6E" w:rsidRDefault="008A5904" w:rsidP="00220F9D">
      <w:pPr>
        <w:rPr>
          <w:b/>
          <w:bCs/>
          <w:szCs w:val="22"/>
          <w:lang w:val="sr-Latn-ME"/>
        </w:rPr>
      </w:pPr>
    </w:p>
    <w:p w14:paraId="3C8D9BE7" w14:textId="1E5812AA" w:rsidR="00C86E91" w:rsidRPr="007F7C6E" w:rsidRDefault="00CE09F3" w:rsidP="00CD1386">
      <w:pPr>
        <w:rPr>
          <w:b/>
          <w:bCs/>
          <w:szCs w:val="22"/>
          <w:lang w:val="sr-Latn-ME"/>
        </w:rPr>
      </w:pPr>
      <w:r w:rsidRPr="007F7C6E">
        <w:rPr>
          <w:b/>
          <w:bCs/>
          <w:szCs w:val="22"/>
          <w:lang w:val="sr-Latn-ME"/>
        </w:rPr>
        <w:t>Farmakoterapijska grupa:</w:t>
      </w:r>
      <w:r w:rsidR="008A5904" w:rsidRPr="007F7C6E">
        <w:rPr>
          <w:b/>
          <w:bCs/>
          <w:szCs w:val="22"/>
          <w:lang w:val="sr-Latn-ME"/>
        </w:rPr>
        <w:t xml:space="preserve"> </w:t>
      </w:r>
      <w:r w:rsidR="00CF260A" w:rsidRPr="007F7C6E">
        <w:rPr>
          <w:szCs w:val="22"/>
          <w:lang w:val="sr-Latn-ME"/>
        </w:rPr>
        <w:t xml:space="preserve">antibakterijski </w:t>
      </w:r>
      <w:r w:rsidR="00037FF3" w:rsidRPr="007F7C6E">
        <w:rPr>
          <w:szCs w:val="22"/>
          <w:lang w:val="sr-Latn-ME"/>
        </w:rPr>
        <w:t>ljekovi</w:t>
      </w:r>
      <w:r w:rsidR="00CF260A" w:rsidRPr="007F7C6E">
        <w:rPr>
          <w:szCs w:val="22"/>
          <w:lang w:val="sr-Latn-ME"/>
        </w:rPr>
        <w:t xml:space="preserve"> za sistemsku prim</w:t>
      </w:r>
      <w:r w:rsidR="00C51548" w:rsidRPr="007F7C6E">
        <w:rPr>
          <w:szCs w:val="22"/>
          <w:lang w:val="sr-Latn-ME"/>
        </w:rPr>
        <w:t>j</w:t>
      </w:r>
      <w:r w:rsidR="00CF260A" w:rsidRPr="007F7C6E">
        <w:rPr>
          <w:szCs w:val="22"/>
          <w:lang w:val="sr-Latn-ME"/>
        </w:rPr>
        <w:t>enu</w:t>
      </w:r>
      <w:r w:rsidR="0049343F" w:rsidRPr="007F7C6E">
        <w:rPr>
          <w:szCs w:val="22"/>
          <w:lang w:val="sr-Latn-ME"/>
        </w:rPr>
        <w:t>, linkozamid</w:t>
      </w:r>
      <w:r w:rsidR="00CF260A" w:rsidRPr="007F7C6E">
        <w:rPr>
          <w:szCs w:val="22"/>
          <w:lang w:val="sr-Latn-ME"/>
        </w:rPr>
        <w:t>i</w:t>
      </w:r>
    </w:p>
    <w:p w14:paraId="562EA2E1" w14:textId="77777777" w:rsidR="00DE1B44" w:rsidRPr="007F7C6E" w:rsidRDefault="00DE1B44" w:rsidP="002E3841">
      <w:pPr>
        <w:rPr>
          <w:b/>
          <w:szCs w:val="22"/>
          <w:lang w:val="sr-Latn-ME"/>
        </w:rPr>
      </w:pPr>
    </w:p>
    <w:p w14:paraId="3C8D9BE8" w14:textId="768E8FC6" w:rsidR="0049343F" w:rsidRPr="007F7C6E" w:rsidRDefault="004B3353" w:rsidP="002E3841">
      <w:pPr>
        <w:rPr>
          <w:szCs w:val="22"/>
          <w:lang w:val="sr-Latn-ME"/>
        </w:rPr>
      </w:pPr>
      <w:r w:rsidRPr="007F7C6E">
        <w:rPr>
          <w:b/>
          <w:szCs w:val="22"/>
          <w:lang w:val="sr-Latn-ME"/>
        </w:rPr>
        <w:t>ATC kod:</w:t>
      </w:r>
      <w:r w:rsidR="00C86E91" w:rsidRPr="007F7C6E">
        <w:rPr>
          <w:szCs w:val="22"/>
          <w:lang w:val="sr-Latn-ME"/>
        </w:rPr>
        <w:t xml:space="preserve">  </w:t>
      </w:r>
      <w:r w:rsidR="0049343F" w:rsidRPr="007F7C6E">
        <w:rPr>
          <w:szCs w:val="22"/>
          <w:lang w:val="sr-Latn-ME"/>
        </w:rPr>
        <w:t>J01FF01</w:t>
      </w:r>
    </w:p>
    <w:p w14:paraId="3C8D9BE9" w14:textId="77777777" w:rsidR="00F964A4" w:rsidRPr="007F7C6E" w:rsidRDefault="00F964A4" w:rsidP="00B2198D">
      <w:pPr>
        <w:rPr>
          <w:szCs w:val="22"/>
          <w:lang w:val="sr-Latn-ME"/>
        </w:rPr>
      </w:pPr>
    </w:p>
    <w:p w14:paraId="2434020A" w14:textId="1E15774A" w:rsidR="00DE1B44" w:rsidRPr="007F7C6E" w:rsidRDefault="00DE1B44" w:rsidP="00B2198D">
      <w:pPr>
        <w:rPr>
          <w:szCs w:val="22"/>
          <w:lang w:val="sr-Latn-ME"/>
        </w:rPr>
      </w:pPr>
      <w:r w:rsidRPr="007F7C6E">
        <w:rPr>
          <w:szCs w:val="22"/>
          <w:lang w:val="sr-Latn-ME"/>
        </w:rPr>
        <w:t>Mehanizam djelovanja</w:t>
      </w:r>
    </w:p>
    <w:p w14:paraId="3C8D9BEA" w14:textId="0D30CCF8" w:rsidR="00A54717" w:rsidRPr="007F7C6E" w:rsidRDefault="00A54717" w:rsidP="00B2198D">
      <w:pPr>
        <w:rPr>
          <w:szCs w:val="22"/>
          <w:lang w:val="sr-Latn-ME"/>
        </w:rPr>
      </w:pPr>
      <w:r w:rsidRPr="007F7C6E">
        <w:rPr>
          <w:szCs w:val="22"/>
          <w:lang w:val="sr-Latn-ME"/>
        </w:rPr>
        <w:t>Klindamicin je antibiotik iz grupe linkozamida sa primarno ba</w:t>
      </w:r>
      <w:r w:rsidR="00CA71AD" w:rsidRPr="007F7C6E">
        <w:rPr>
          <w:szCs w:val="22"/>
          <w:lang w:val="sr-Latn-ME"/>
        </w:rPr>
        <w:t>kteriostatskim dejstvom protiv G</w:t>
      </w:r>
      <w:r w:rsidRPr="007F7C6E">
        <w:rPr>
          <w:szCs w:val="22"/>
          <w:lang w:val="sr-Latn-ME"/>
        </w:rPr>
        <w:t>ram-pozitivnih aerobnih i velikog broja anaerobnih bakterija. Linkozamidi kao što je klindamicin inhibiše ranu fazu sinteze proteina vezujući se za 50S subjedinicu ribozoma bakterije, slično dejstvu makrolida (kao npr. eritromicina). Dejstvo klindamicina je prevashodno bakteriostatsko, mada u visokim koncentracijama može biti i blago baktericidno za os</w:t>
      </w:r>
      <w:r w:rsidR="00C51548" w:rsidRPr="007F7C6E">
        <w:rPr>
          <w:szCs w:val="22"/>
          <w:lang w:val="sr-Latn-ME"/>
        </w:rPr>
        <w:t>j</w:t>
      </w:r>
      <w:r w:rsidRPr="007F7C6E">
        <w:rPr>
          <w:szCs w:val="22"/>
          <w:lang w:val="sr-Latn-ME"/>
        </w:rPr>
        <w:t xml:space="preserve">etljive sojeve. </w:t>
      </w:r>
    </w:p>
    <w:p w14:paraId="3C8D9BEB" w14:textId="044FE44E" w:rsidR="00A54717" w:rsidRPr="007F7C6E" w:rsidRDefault="00D82EF2" w:rsidP="0001076C">
      <w:pPr>
        <w:tabs>
          <w:tab w:val="clear" w:pos="284"/>
        </w:tabs>
        <w:autoSpaceDE w:val="0"/>
        <w:autoSpaceDN w:val="0"/>
        <w:adjustRightInd w:val="0"/>
        <w:rPr>
          <w:szCs w:val="22"/>
          <w:lang w:val="sr-Latn-ME"/>
        </w:rPr>
      </w:pPr>
      <w:r w:rsidRPr="007F7C6E">
        <w:rPr>
          <w:szCs w:val="22"/>
          <w:lang w:val="sr-Latn-ME"/>
        </w:rPr>
        <w:t>Iako je klindamicin</w:t>
      </w:r>
      <w:r w:rsidR="00DE1B44" w:rsidRPr="007F7C6E">
        <w:rPr>
          <w:szCs w:val="22"/>
          <w:lang w:val="sr-Latn-ME"/>
        </w:rPr>
        <w:t xml:space="preserve"> </w:t>
      </w:r>
      <w:r w:rsidRPr="007F7C6E">
        <w:rPr>
          <w:szCs w:val="22"/>
          <w:lang w:val="sr-Latn-ME"/>
        </w:rPr>
        <w:t xml:space="preserve">fosfat inaktivan u </w:t>
      </w:r>
      <w:r w:rsidRPr="007F7C6E">
        <w:rPr>
          <w:i/>
          <w:iCs/>
          <w:szCs w:val="22"/>
          <w:lang w:val="sr-Latn-ME"/>
        </w:rPr>
        <w:t>in vitro</w:t>
      </w:r>
      <w:r w:rsidRPr="007F7C6E">
        <w:rPr>
          <w:szCs w:val="22"/>
          <w:lang w:val="sr-Latn-ME"/>
        </w:rPr>
        <w:t xml:space="preserve"> uslovima, brzom hidrolizom u </w:t>
      </w:r>
      <w:r w:rsidRPr="007F7C6E">
        <w:rPr>
          <w:i/>
          <w:iCs/>
          <w:szCs w:val="22"/>
          <w:lang w:val="sr-Latn-ME"/>
        </w:rPr>
        <w:t>in vivo</w:t>
      </w:r>
      <w:r w:rsidRPr="007F7C6E">
        <w:rPr>
          <w:szCs w:val="22"/>
          <w:lang w:val="sr-Latn-ME"/>
        </w:rPr>
        <w:t xml:space="preserve"> uslovima prelazi u aktivni klindamicin. </w:t>
      </w:r>
      <w:r w:rsidR="00DF16C2" w:rsidRPr="007F7C6E">
        <w:rPr>
          <w:szCs w:val="22"/>
          <w:lang w:val="sr-Latn-ME"/>
        </w:rPr>
        <w:t xml:space="preserve">U uobičajenim dozama, klindamicin pokazuje bakteriostatsku aktivnost </w:t>
      </w:r>
      <w:r w:rsidR="00DF16C2" w:rsidRPr="007F7C6E">
        <w:rPr>
          <w:i/>
          <w:iCs/>
          <w:szCs w:val="22"/>
          <w:lang w:val="sr-Latn-ME"/>
        </w:rPr>
        <w:t>in vitro</w:t>
      </w:r>
      <w:r w:rsidR="00DF16C2" w:rsidRPr="007F7C6E">
        <w:rPr>
          <w:szCs w:val="22"/>
          <w:lang w:val="sr-Latn-ME"/>
        </w:rPr>
        <w:t>.</w:t>
      </w:r>
    </w:p>
    <w:p w14:paraId="3C8D9BEC" w14:textId="77777777" w:rsidR="00D82EF2" w:rsidRPr="007F7C6E" w:rsidRDefault="00D82EF2" w:rsidP="005E1030">
      <w:pPr>
        <w:rPr>
          <w:szCs w:val="22"/>
          <w:lang w:val="sr-Latn-ME"/>
        </w:rPr>
      </w:pPr>
    </w:p>
    <w:p w14:paraId="3C8D9BED" w14:textId="77777777" w:rsidR="00D82EF2" w:rsidRPr="007F7C6E" w:rsidRDefault="00D82EF2" w:rsidP="00220F9D">
      <w:pPr>
        <w:rPr>
          <w:szCs w:val="22"/>
          <w:lang w:val="sr-Latn-ME"/>
        </w:rPr>
      </w:pPr>
      <w:r w:rsidRPr="007F7C6E">
        <w:rPr>
          <w:szCs w:val="22"/>
          <w:lang w:val="sr-Latn-ME"/>
        </w:rPr>
        <w:t>Farmakodinamski efekti</w:t>
      </w:r>
    </w:p>
    <w:p w14:paraId="3C8D9BEE" w14:textId="5B78C030" w:rsidR="00D82EF2" w:rsidRPr="007F7C6E" w:rsidRDefault="00812AA1" w:rsidP="0001076C">
      <w:pPr>
        <w:tabs>
          <w:tab w:val="clear" w:pos="284"/>
        </w:tabs>
        <w:autoSpaceDE w:val="0"/>
        <w:autoSpaceDN w:val="0"/>
        <w:adjustRightInd w:val="0"/>
        <w:rPr>
          <w:rFonts w:eastAsia="TimesNewRoman"/>
          <w:szCs w:val="22"/>
          <w:lang w:val="sr-Latn-ME"/>
        </w:rPr>
      </w:pPr>
      <w:r w:rsidRPr="007F7C6E">
        <w:rPr>
          <w:rFonts w:eastAsia="TimesNewRoman"/>
          <w:szCs w:val="22"/>
          <w:lang w:val="sr-Latn-ME"/>
        </w:rPr>
        <w:t>Efikasnost zavisi od vremena tokom koga je koncentracija aktivne supstance u krvi iznad vr</w:t>
      </w:r>
      <w:r w:rsidR="00C51548" w:rsidRPr="007F7C6E">
        <w:rPr>
          <w:rFonts w:eastAsia="TimesNewRoman"/>
          <w:szCs w:val="22"/>
          <w:lang w:val="sr-Latn-ME"/>
        </w:rPr>
        <w:t>ij</w:t>
      </w:r>
      <w:r w:rsidRPr="007F7C6E">
        <w:rPr>
          <w:rFonts w:eastAsia="TimesNewRoman"/>
          <w:szCs w:val="22"/>
          <w:lang w:val="sr-Latn-ME"/>
        </w:rPr>
        <w:t xml:space="preserve">ednosti minimalne inhibitorne koncentracije </w:t>
      </w:r>
      <w:r w:rsidRPr="007F7C6E">
        <w:rPr>
          <w:szCs w:val="22"/>
          <w:lang w:val="sr-Latn-ME"/>
        </w:rPr>
        <w:t xml:space="preserve">(%T/MIC) </w:t>
      </w:r>
      <w:r w:rsidRPr="007F7C6E">
        <w:rPr>
          <w:rFonts w:eastAsia="TimesNewRoman"/>
          <w:szCs w:val="22"/>
          <w:lang w:val="sr-Latn-ME"/>
        </w:rPr>
        <w:t>za datog uzročnog agensa.</w:t>
      </w:r>
    </w:p>
    <w:p w14:paraId="3C8D9BEF" w14:textId="77777777" w:rsidR="00812AA1" w:rsidRPr="007F7C6E" w:rsidRDefault="00812AA1" w:rsidP="005E1030">
      <w:pPr>
        <w:rPr>
          <w:szCs w:val="22"/>
          <w:lang w:val="sr-Latn-ME"/>
        </w:rPr>
      </w:pPr>
    </w:p>
    <w:p w14:paraId="3C8D9BF0" w14:textId="77777777" w:rsidR="00812AA1" w:rsidRPr="007F7C6E" w:rsidRDefault="00812AA1" w:rsidP="00220F9D">
      <w:pPr>
        <w:rPr>
          <w:szCs w:val="22"/>
          <w:lang w:val="sr-Latn-ME"/>
        </w:rPr>
      </w:pPr>
      <w:r w:rsidRPr="007F7C6E">
        <w:rPr>
          <w:szCs w:val="22"/>
          <w:lang w:val="sr-Latn-ME"/>
        </w:rPr>
        <w:t>Rezistencija</w:t>
      </w:r>
    </w:p>
    <w:p w14:paraId="3C8D9BF1" w14:textId="0B15C042" w:rsidR="00812AA1" w:rsidRPr="007F7C6E" w:rsidRDefault="00812AA1" w:rsidP="00CD1386">
      <w:pPr>
        <w:tabs>
          <w:tab w:val="clear" w:pos="284"/>
        </w:tabs>
        <w:autoSpaceDE w:val="0"/>
        <w:autoSpaceDN w:val="0"/>
        <w:adjustRightInd w:val="0"/>
        <w:rPr>
          <w:rFonts w:eastAsia="TimesNewRoman"/>
          <w:szCs w:val="22"/>
          <w:lang w:val="sr-Latn-ME"/>
        </w:rPr>
      </w:pPr>
      <w:r w:rsidRPr="007F7C6E">
        <w:rPr>
          <w:rFonts w:eastAsia="TimesNewRoman"/>
          <w:szCs w:val="22"/>
          <w:lang w:val="sr-Latn-ME"/>
        </w:rPr>
        <w:t xml:space="preserve">Rezistencija na klindamicin se </w:t>
      </w:r>
      <w:r w:rsidR="00146BBA" w:rsidRPr="007F7C6E">
        <w:rPr>
          <w:rFonts w:eastAsia="TimesNewRoman"/>
          <w:szCs w:val="22"/>
          <w:lang w:val="sr-Latn-ME"/>
        </w:rPr>
        <w:t xml:space="preserve">najčešće </w:t>
      </w:r>
      <w:r w:rsidRPr="007F7C6E">
        <w:rPr>
          <w:rFonts w:eastAsia="TimesNewRoman"/>
          <w:szCs w:val="22"/>
          <w:lang w:val="sr-Latn-ME"/>
        </w:rPr>
        <w:t>zasniva na sl</w:t>
      </w:r>
      <w:r w:rsidR="00C51548" w:rsidRPr="007F7C6E">
        <w:rPr>
          <w:rFonts w:eastAsia="TimesNewRoman"/>
          <w:szCs w:val="22"/>
          <w:lang w:val="sr-Latn-ME"/>
        </w:rPr>
        <w:t>j</w:t>
      </w:r>
      <w:r w:rsidRPr="007F7C6E">
        <w:rPr>
          <w:rFonts w:eastAsia="TimesNewRoman"/>
          <w:szCs w:val="22"/>
          <w:lang w:val="sr-Latn-ME"/>
        </w:rPr>
        <w:t xml:space="preserve">edećim mehanizmima: </w:t>
      </w:r>
      <w:r w:rsidR="00146BBA" w:rsidRPr="007F7C6E">
        <w:rPr>
          <w:rFonts w:eastAsia="TimesNewRoman"/>
          <w:szCs w:val="22"/>
          <w:lang w:val="sr-Latn-ME"/>
        </w:rPr>
        <w:t>mutacije na m</w:t>
      </w:r>
      <w:r w:rsidR="00C51548" w:rsidRPr="007F7C6E">
        <w:rPr>
          <w:rFonts w:eastAsia="TimesNewRoman"/>
          <w:szCs w:val="22"/>
          <w:lang w:val="sr-Latn-ME"/>
        </w:rPr>
        <w:t>j</w:t>
      </w:r>
      <w:r w:rsidR="00146BBA" w:rsidRPr="007F7C6E">
        <w:rPr>
          <w:rFonts w:eastAsia="TimesNewRoman"/>
          <w:szCs w:val="22"/>
          <w:lang w:val="sr-Latn-ME"/>
        </w:rPr>
        <w:t>estu vezivanja antibiotika za rRNK ili porast</w:t>
      </w:r>
      <w:r w:rsidRPr="007F7C6E">
        <w:rPr>
          <w:rFonts w:eastAsia="TimesNewRoman"/>
          <w:szCs w:val="22"/>
          <w:lang w:val="sr-Latn-ME"/>
        </w:rPr>
        <w:t xml:space="preserve"> vezivanja metil- grupa za 23S rRNK </w:t>
      </w:r>
      <w:r w:rsidR="00146BBA" w:rsidRPr="007F7C6E">
        <w:rPr>
          <w:rFonts w:eastAsia="TimesNewRoman"/>
          <w:szCs w:val="22"/>
          <w:lang w:val="sr-Latn-ME"/>
        </w:rPr>
        <w:t>na 50S subjedinici ribozoma. Ovo može uticati i na ukrštenu rezistenciju između klindamicina i streptogramina (MLSB fenotip). Rezistencija je ponekad rezultat prom</w:t>
      </w:r>
      <w:r w:rsidR="00C51548" w:rsidRPr="007F7C6E">
        <w:rPr>
          <w:rFonts w:eastAsia="TimesNewRoman"/>
          <w:szCs w:val="22"/>
          <w:lang w:val="sr-Latn-ME"/>
        </w:rPr>
        <w:t>j</w:t>
      </w:r>
      <w:r w:rsidR="00146BBA" w:rsidRPr="007F7C6E">
        <w:rPr>
          <w:rFonts w:eastAsia="TimesNewRoman"/>
          <w:szCs w:val="22"/>
          <w:lang w:val="sr-Latn-ME"/>
        </w:rPr>
        <w:t>ena na ribozomalnim proteinima. Takođe, rezistencija na klindamicin može biti indu</w:t>
      </w:r>
      <w:r w:rsidR="00DE1B44" w:rsidRPr="007F7C6E">
        <w:rPr>
          <w:rFonts w:eastAsia="TimesNewRoman"/>
          <w:szCs w:val="22"/>
          <w:lang w:val="sr-Latn-ME"/>
        </w:rPr>
        <w:t>kov</w:t>
      </w:r>
      <w:r w:rsidR="00146BBA" w:rsidRPr="007F7C6E">
        <w:rPr>
          <w:rFonts w:eastAsia="TimesNewRoman"/>
          <w:szCs w:val="22"/>
          <w:lang w:val="sr-Latn-ME"/>
        </w:rPr>
        <w:t>ana makrolidima kod bakterijskih izolata koji su rezistentni na makrolide.</w:t>
      </w:r>
    </w:p>
    <w:p w14:paraId="37237FDA" w14:textId="77777777" w:rsidR="00A57B45" w:rsidRPr="007F7C6E" w:rsidRDefault="00A57B45" w:rsidP="00CD1386">
      <w:pPr>
        <w:tabs>
          <w:tab w:val="clear" w:pos="284"/>
        </w:tabs>
        <w:autoSpaceDE w:val="0"/>
        <w:autoSpaceDN w:val="0"/>
        <w:adjustRightInd w:val="0"/>
        <w:rPr>
          <w:rFonts w:eastAsia="TimesNewRoman"/>
          <w:szCs w:val="22"/>
          <w:lang w:val="sr-Latn-ME"/>
        </w:rPr>
      </w:pPr>
    </w:p>
    <w:p w14:paraId="3C8D9BF5" w14:textId="0937E48E" w:rsidR="00AA382C" w:rsidRPr="007F7C6E" w:rsidRDefault="00146BBA" w:rsidP="00DE1B44">
      <w:pPr>
        <w:tabs>
          <w:tab w:val="clear" w:pos="284"/>
        </w:tabs>
        <w:autoSpaceDE w:val="0"/>
        <w:autoSpaceDN w:val="0"/>
        <w:adjustRightInd w:val="0"/>
        <w:rPr>
          <w:rFonts w:eastAsia="TimesNewRoman"/>
          <w:szCs w:val="22"/>
          <w:lang w:val="sr-Latn-ME"/>
        </w:rPr>
      </w:pPr>
      <w:r w:rsidRPr="007F7C6E">
        <w:rPr>
          <w:rFonts w:eastAsia="TimesNewRoman"/>
          <w:szCs w:val="22"/>
          <w:lang w:val="sr-Latn-ME"/>
        </w:rPr>
        <w:t xml:space="preserve">Inducibilna rezistencija se može </w:t>
      </w:r>
      <w:r w:rsidR="009C5229" w:rsidRPr="007F7C6E">
        <w:rPr>
          <w:rFonts w:eastAsia="TimesNewRoman"/>
          <w:szCs w:val="22"/>
          <w:lang w:val="sr-Latn-ME"/>
        </w:rPr>
        <w:t>vidjeti</w:t>
      </w:r>
      <w:r w:rsidRPr="007F7C6E">
        <w:rPr>
          <w:rFonts w:eastAsia="TimesNewRoman"/>
          <w:szCs w:val="22"/>
          <w:lang w:val="sr-Latn-ME"/>
        </w:rPr>
        <w:t xml:space="preserve"> na </w:t>
      </w:r>
      <w:r w:rsidR="00AA382C" w:rsidRPr="007F7C6E">
        <w:rPr>
          <w:rFonts w:eastAsia="TimesNewRoman"/>
          <w:szCs w:val="22"/>
          <w:lang w:val="sr-Latn-ME"/>
        </w:rPr>
        <w:t>testovima (disk-difuzioni test</w:t>
      </w:r>
      <w:r w:rsidRPr="007F7C6E">
        <w:rPr>
          <w:rFonts w:eastAsia="TimesNewRoman"/>
          <w:szCs w:val="22"/>
          <w:lang w:val="sr-Latn-ME"/>
        </w:rPr>
        <w:t>)</w:t>
      </w:r>
      <w:r w:rsidR="00AA382C" w:rsidRPr="007F7C6E">
        <w:rPr>
          <w:rFonts w:eastAsia="TimesNewRoman"/>
          <w:szCs w:val="22"/>
          <w:lang w:val="sr-Latn-ME"/>
        </w:rPr>
        <w:t>. Manje mogući načini nastanka rezistencije uključuju modifikaciju antibiotika i aktivni efluks.</w:t>
      </w:r>
      <w:r w:rsidR="00A57B45" w:rsidRPr="007F7C6E">
        <w:rPr>
          <w:rFonts w:eastAsia="TimesNewRoman"/>
          <w:szCs w:val="22"/>
          <w:lang w:val="sr-Latn-ME"/>
        </w:rPr>
        <w:t xml:space="preserve"> </w:t>
      </w:r>
      <w:r w:rsidRPr="007F7C6E">
        <w:rPr>
          <w:rFonts w:eastAsia="TimesNewRoman"/>
          <w:szCs w:val="22"/>
          <w:lang w:val="sr-Latn-ME"/>
        </w:rPr>
        <w:t>P</w:t>
      </w:r>
      <w:r w:rsidR="00812AA1" w:rsidRPr="007F7C6E">
        <w:rPr>
          <w:rFonts w:eastAsia="TimesNewRoman"/>
          <w:szCs w:val="22"/>
          <w:lang w:val="sr-Latn-ME"/>
        </w:rPr>
        <w:t xml:space="preserve">ostoji potpuna ukrštena rezistencija </w:t>
      </w:r>
      <w:r w:rsidR="00AA382C" w:rsidRPr="007F7C6E">
        <w:rPr>
          <w:rFonts w:eastAsia="TimesNewRoman"/>
          <w:szCs w:val="22"/>
          <w:lang w:val="sr-Latn-ME"/>
        </w:rPr>
        <w:t xml:space="preserve">između </w:t>
      </w:r>
      <w:r w:rsidR="00812AA1" w:rsidRPr="007F7C6E">
        <w:rPr>
          <w:rFonts w:eastAsia="TimesNewRoman"/>
          <w:szCs w:val="22"/>
          <w:lang w:val="sr-Latn-ME"/>
        </w:rPr>
        <w:t>klindamicina</w:t>
      </w:r>
      <w:r w:rsidRPr="007F7C6E">
        <w:rPr>
          <w:rFonts w:eastAsia="TimesNewRoman"/>
          <w:szCs w:val="22"/>
          <w:lang w:val="sr-Latn-ME"/>
        </w:rPr>
        <w:t xml:space="preserve"> </w:t>
      </w:r>
      <w:r w:rsidR="00812AA1" w:rsidRPr="007F7C6E">
        <w:rPr>
          <w:rFonts w:eastAsia="TimesNewRoman"/>
          <w:szCs w:val="22"/>
          <w:lang w:val="sr-Latn-ME"/>
        </w:rPr>
        <w:t>i linkomicina</w:t>
      </w:r>
      <w:r w:rsidRPr="007F7C6E">
        <w:rPr>
          <w:rFonts w:eastAsia="TimesNewRoman"/>
          <w:szCs w:val="22"/>
          <w:lang w:val="sr-Latn-ME"/>
        </w:rPr>
        <w:t>. Kao i</w:t>
      </w:r>
      <w:r w:rsidR="00C51548" w:rsidRPr="007F7C6E">
        <w:rPr>
          <w:rFonts w:eastAsia="TimesNewRoman"/>
          <w:szCs w:val="22"/>
          <w:lang w:val="sr-Latn-ME"/>
        </w:rPr>
        <w:t xml:space="preserve"> </w:t>
      </w:r>
      <w:r w:rsidRPr="007F7C6E">
        <w:rPr>
          <w:rFonts w:eastAsia="TimesNewRoman"/>
          <w:szCs w:val="22"/>
          <w:lang w:val="sr-Latn-ME"/>
        </w:rPr>
        <w:t>u slučaju mnogih drugih antibiotika, incidencija rezistencije varira u zavisnosti od uzročnika i geografskog područja.</w:t>
      </w:r>
      <w:r w:rsidR="00A57B45" w:rsidRPr="007F7C6E">
        <w:rPr>
          <w:rFonts w:eastAsia="TimesNewRoman"/>
          <w:szCs w:val="22"/>
          <w:lang w:val="sr-Latn-ME"/>
        </w:rPr>
        <w:t xml:space="preserve"> </w:t>
      </w:r>
      <w:r w:rsidR="00AA382C" w:rsidRPr="007F7C6E">
        <w:rPr>
          <w:rFonts w:eastAsia="TimesNewRoman"/>
          <w:szCs w:val="22"/>
          <w:lang w:val="sr-Latn-ME"/>
        </w:rPr>
        <w:t>Rezistencija na klindamicin je veća kod meticilin-rezistentnih stafilokoka i penicilin-rezistentnih pneumokoka nego kod sojeva koji su os</w:t>
      </w:r>
      <w:r w:rsidR="00C51548" w:rsidRPr="007F7C6E">
        <w:rPr>
          <w:rFonts w:eastAsia="TimesNewRoman"/>
          <w:szCs w:val="22"/>
          <w:lang w:val="sr-Latn-ME"/>
        </w:rPr>
        <w:t>j</w:t>
      </w:r>
      <w:r w:rsidR="00AA382C" w:rsidRPr="007F7C6E">
        <w:rPr>
          <w:rFonts w:eastAsia="TimesNewRoman"/>
          <w:szCs w:val="22"/>
          <w:lang w:val="sr-Latn-ME"/>
        </w:rPr>
        <w:t>etljivi na ove antibiotike.</w:t>
      </w:r>
    </w:p>
    <w:p w14:paraId="6F9DE172" w14:textId="77777777" w:rsidR="00DE1B44" w:rsidRPr="007F7C6E" w:rsidRDefault="00DE1B44" w:rsidP="00DE1B44">
      <w:pPr>
        <w:tabs>
          <w:tab w:val="clear" w:pos="284"/>
        </w:tabs>
        <w:autoSpaceDE w:val="0"/>
        <w:autoSpaceDN w:val="0"/>
        <w:adjustRightInd w:val="0"/>
        <w:rPr>
          <w:rFonts w:eastAsia="TimesNewRoman"/>
          <w:szCs w:val="22"/>
          <w:lang w:val="sr-Latn-ME"/>
        </w:rPr>
      </w:pPr>
    </w:p>
    <w:p w14:paraId="3C8D9BF7" w14:textId="7EF60899" w:rsidR="00AA382C" w:rsidRPr="007F7C6E" w:rsidRDefault="00AA382C" w:rsidP="00DE1B44">
      <w:pPr>
        <w:rPr>
          <w:szCs w:val="22"/>
          <w:lang w:val="sr-Latn-ME"/>
        </w:rPr>
      </w:pPr>
      <w:r w:rsidRPr="007F7C6E">
        <w:rPr>
          <w:szCs w:val="22"/>
          <w:lang w:val="sr-Latn-ME"/>
        </w:rPr>
        <w:t xml:space="preserve">Većina Gram-negativnih aerobnih bakterija, uključujući </w:t>
      </w:r>
      <w:r w:rsidRPr="007F7C6E">
        <w:rPr>
          <w:i/>
          <w:szCs w:val="22"/>
          <w:lang w:val="sr-Latn-ME"/>
        </w:rPr>
        <w:t xml:space="preserve">Enterobacteriaceae, </w:t>
      </w:r>
      <w:r w:rsidRPr="007F7C6E">
        <w:rPr>
          <w:szCs w:val="22"/>
          <w:lang w:val="sr-Latn-ME"/>
        </w:rPr>
        <w:t xml:space="preserve">su rezistentne na klindamicin. Klindamicin pokazuje ukrštenu rezistenciju sa linkomicinom. U </w:t>
      </w:r>
      <w:r w:rsidRPr="007F7C6E">
        <w:rPr>
          <w:i/>
          <w:szCs w:val="22"/>
          <w:lang w:val="sr-Latn-ME"/>
        </w:rPr>
        <w:t>in vitro</w:t>
      </w:r>
      <w:r w:rsidRPr="007F7C6E">
        <w:rPr>
          <w:szCs w:val="22"/>
          <w:lang w:val="sr-Latn-ME"/>
        </w:rPr>
        <w:t xml:space="preserve"> uslovima, neki sojevi stafilokoka rezistentni na eritromicin su brzo razvili rezistenciju i na klindamicin.</w:t>
      </w:r>
      <w:r w:rsidRPr="007F7C6E">
        <w:rPr>
          <w:i/>
          <w:szCs w:val="22"/>
          <w:lang w:val="sr-Latn-ME"/>
        </w:rPr>
        <w:t xml:space="preserve"> </w:t>
      </w:r>
      <w:r w:rsidRPr="007F7C6E">
        <w:rPr>
          <w:szCs w:val="22"/>
          <w:lang w:val="sr-Latn-ME"/>
        </w:rPr>
        <w:t>Mehanizam rezistencije je isti kao kod eritromicina: metilacija m</w:t>
      </w:r>
      <w:r w:rsidR="00C51548" w:rsidRPr="007F7C6E">
        <w:rPr>
          <w:szCs w:val="22"/>
          <w:lang w:val="sr-Latn-ME"/>
        </w:rPr>
        <w:t>j</w:t>
      </w:r>
      <w:r w:rsidRPr="007F7C6E">
        <w:rPr>
          <w:szCs w:val="22"/>
          <w:lang w:val="sr-Latn-ME"/>
        </w:rPr>
        <w:t>esta vezivanja za ribozom, hromozomska mutacija proteina ribozoma i u nekoliko izolata stafilokoka, enzimska inaktivacija preko plazmidske adeniltransferaze.</w:t>
      </w:r>
    </w:p>
    <w:p w14:paraId="3C8D9BF8" w14:textId="77777777" w:rsidR="0021292F" w:rsidRPr="007F7C6E" w:rsidRDefault="0021292F" w:rsidP="00DE1B44">
      <w:pPr>
        <w:rPr>
          <w:szCs w:val="22"/>
          <w:lang w:val="sr-Latn-ME"/>
        </w:rPr>
      </w:pPr>
    </w:p>
    <w:p w14:paraId="3C8D9BF9" w14:textId="77777777" w:rsidR="00D82EF2" w:rsidRPr="007F7C6E" w:rsidRDefault="0021292F" w:rsidP="00DE1B44">
      <w:pPr>
        <w:rPr>
          <w:szCs w:val="22"/>
          <w:lang w:val="sr-Latn-ME"/>
        </w:rPr>
      </w:pPr>
      <w:r w:rsidRPr="007F7C6E">
        <w:rPr>
          <w:szCs w:val="22"/>
          <w:lang w:val="sr-Latn-ME"/>
        </w:rPr>
        <w:t>Antimikrobna aktivnost</w:t>
      </w:r>
    </w:p>
    <w:p w14:paraId="3C8D9BFA" w14:textId="3FB4E1FF" w:rsidR="00A54717" w:rsidRPr="007F7C6E" w:rsidRDefault="00A54717" w:rsidP="00DE1B44">
      <w:pPr>
        <w:rPr>
          <w:szCs w:val="22"/>
          <w:lang w:val="sr-Latn-ME"/>
        </w:rPr>
      </w:pPr>
      <w:r w:rsidRPr="007F7C6E">
        <w:rPr>
          <w:szCs w:val="22"/>
          <w:lang w:val="sr-Latn-ME"/>
        </w:rPr>
        <w:t xml:space="preserve">U </w:t>
      </w:r>
      <w:r w:rsidRPr="007F7C6E">
        <w:rPr>
          <w:i/>
          <w:szCs w:val="22"/>
          <w:lang w:val="sr-Latn-ME"/>
        </w:rPr>
        <w:t>in vitro</w:t>
      </w:r>
      <w:r w:rsidRPr="007F7C6E">
        <w:rPr>
          <w:szCs w:val="22"/>
          <w:lang w:val="sr-Latn-ME"/>
        </w:rPr>
        <w:t xml:space="preserve"> uslovima klindamicin je aktivan protiv sl</w:t>
      </w:r>
      <w:r w:rsidR="00C51548" w:rsidRPr="007F7C6E">
        <w:rPr>
          <w:szCs w:val="22"/>
          <w:lang w:val="sr-Latn-ME"/>
        </w:rPr>
        <w:t>j</w:t>
      </w:r>
      <w:r w:rsidRPr="007F7C6E">
        <w:rPr>
          <w:szCs w:val="22"/>
          <w:lang w:val="sr-Latn-ME"/>
        </w:rPr>
        <w:t>edećih mikroorganizama:</w:t>
      </w:r>
    </w:p>
    <w:p w14:paraId="3C8D9BFB" w14:textId="77777777" w:rsidR="0021292F" w:rsidRPr="007F7C6E" w:rsidRDefault="0021292F" w:rsidP="00DE1B44">
      <w:pPr>
        <w:rPr>
          <w:szCs w:val="22"/>
          <w:lang w:val="sr-Latn-ME"/>
        </w:rPr>
      </w:pPr>
    </w:p>
    <w:p w14:paraId="3C8D9BFC" w14:textId="77777777" w:rsidR="00507449" w:rsidRPr="007F7C6E" w:rsidRDefault="00507449" w:rsidP="00DE1B44">
      <w:pPr>
        <w:tabs>
          <w:tab w:val="clear" w:pos="284"/>
        </w:tabs>
        <w:ind w:left="720"/>
        <w:rPr>
          <w:szCs w:val="22"/>
          <w:u w:val="single"/>
          <w:lang w:val="sr-Latn-ME"/>
        </w:rPr>
      </w:pPr>
      <w:r w:rsidRPr="007F7C6E">
        <w:rPr>
          <w:szCs w:val="22"/>
          <w:u w:val="single"/>
          <w:lang w:val="sr-Latn-ME"/>
        </w:rPr>
        <w:t>Aerobne bakterije</w:t>
      </w:r>
    </w:p>
    <w:p w14:paraId="3C8D9BFD" w14:textId="77777777" w:rsidR="0021292F" w:rsidRPr="007F7C6E" w:rsidRDefault="0021292F">
      <w:pPr>
        <w:tabs>
          <w:tab w:val="clear" w:pos="284"/>
        </w:tabs>
        <w:ind w:left="720"/>
        <w:rPr>
          <w:i/>
          <w:szCs w:val="22"/>
          <w:lang w:val="sr-Latn-ME"/>
        </w:rPr>
      </w:pPr>
    </w:p>
    <w:p w14:paraId="3C8D9BFE" w14:textId="77777777" w:rsidR="00A54717" w:rsidRPr="007F7C6E" w:rsidRDefault="00A54717">
      <w:pPr>
        <w:tabs>
          <w:tab w:val="clear" w:pos="284"/>
        </w:tabs>
        <w:ind w:left="720"/>
        <w:rPr>
          <w:i/>
          <w:szCs w:val="22"/>
          <w:lang w:val="sr-Latn-ME"/>
        </w:rPr>
      </w:pPr>
      <w:r w:rsidRPr="007F7C6E">
        <w:rPr>
          <w:szCs w:val="22"/>
          <w:u w:val="single"/>
          <w:lang w:val="sr-Latn-ME"/>
        </w:rPr>
        <w:t xml:space="preserve">Gram-pozitivne </w:t>
      </w:r>
      <w:r w:rsidR="00507449" w:rsidRPr="007F7C6E">
        <w:rPr>
          <w:szCs w:val="22"/>
          <w:u w:val="single"/>
          <w:lang w:val="sr-Latn-ME"/>
        </w:rPr>
        <w:t>bakterije</w:t>
      </w:r>
      <w:r w:rsidRPr="007F7C6E">
        <w:rPr>
          <w:i/>
          <w:szCs w:val="22"/>
          <w:lang w:val="sr-Latn-ME"/>
        </w:rPr>
        <w:t xml:space="preserve"> </w:t>
      </w:r>
    </w:p>
    <w:p w14:paraId="3C8D9BFF" w14:textId="4047C326" w:rsidR="00A54717" w:rsidRPr="007F7C6E" w:rsidRDefault="00A54717">
      <w:pPr>
        <w:numPr>
          <w:ilvl w:val="0"/>
          <w:numId w:val="21"/>
        </w:numPr>
        <w:tabs>
          <w:tab w:val="clear" w:pos="284"/>
        </w:tabs>
        <w:rPr>
          <w:i/>
          <w:szCs w:val="22"/>
          <w:lang w:val="sr-Latn-ME"/>
        </w:rPr>
      </w:pPr>
      <w:r w:rsidRPr="007F7C6E">
        <w:rPr>
          <w:i/>
          <w:szCs w:val="22"/>
          <w:lang w:val="sr-Latn-ME"/>
        </w:rPr>
        <w:t>Staphylococcus aureus</w:t>
      </w:r>
      <w:r w:rsidR="00507449" w:rsidRPr="007F7C6E">
        <w:rPr>
          <w:i/>
          <w:szCs w:val="22"/>
          <w:lang w:val="sr-Latn-ME"/>
        </w:rPr>
        <w:t xml:space="preserve"> </w:t>
      </w:r>
      <w:r w:rsidR="0021292F" w:rsidRPr="007F7C6E">
        <w:rPr>
          <w:szCs w:val="22"/>
          <w:lang w:val="sr-Latn-ME"/>
        </w:rPr>
        <w:t>(meticilin-os</w:t>
      </w:r>
      <w:r w:rsidR="00C51548" w:rsidRPr="007F7C6E">
        <w:rPr>
          <w:szCs w:val="22"/>
          <w:lang w:val="sr-Latn-ME"/>
        </w:rPr>
        <w:t>j</w:t>
      </w:r>
      <w:r w:rsidR="00A57B45" w:rsidRPr="007F7C6E">
        <w:rPr>
          <w:szCs w:val="22"/>
          <w:lang w:val="sr-Latn-ME"/>
        </w:rPr>
        <w:t>e</w:t>
      </w:r>
      <w:r w:rsidR="0021292F" w:rsidRPr="007F7C6E">
        <w:rPr>
          <w:szCs w:val="22"/>
          <w:lang w:val="sr-Latn-ME"/>
        </w:rPr>
        <w:t xml:space="preserve">tljivi </w:t>
      </w:r>
      <w:r w:rsidR="00507449" w:rsidRPr="007F7C6E">
        <w:rPr>
          <w:szCs w:val="22"/>
          <w:lang w:val="sr-Latn-ME"/>
        </w:rPr>
        <w:t>sojevi)</w:t>
      </w:r>
    </w:p>
    <w:p w14:paraId="3C8D9C00" w14:textId="0177F89D" w:rsidR="00A54717" w:rsidRPr="007F7C6E" w:rsidRDefault="00507449">
      <w:pPr>
        <w:numPr>
          <w:ilvl w:val="0"/>
          <w:numId w:val="21"/>
        </w:numPr>
        <w:tabs>
          <w:tab w:val="clear" w:pos="284"/>
        </w:tabs>
        <w:rPr>
          <w:szCs w:val="22"/>
          <w:lang w:val="sr-Latn-ME"/>
        </w:rPr>
      </w:pPr>
      <w:r w:rsidRPr="007F7C6E">
        <w:rPr>
          <w:szCs w:val="22"/>
          <w:lang w:val="sr-Latn-ME"/>
        </w:rPr>
        <w:t>Koagulaza-negativni</w:t>
      </w:r>
      <w:r w:rsidRPr="007F7C6E">
        <w:rPr>
          <w:i/>
          <w:szCs w:val="22"/>
          <w:lang w:val="sr-Latn-ME"/>
        </w:rPr>
        <w:t xml:space="preserve"> staphylococci</w:t>
      </w:r>
      <w:r w:rsidR="00A54717" w:rsidRPr="007F7C6E">
        <w:rPr>
          <w:szCs w:val="22"/>
          <w:lang w:val="sr-Latn-ME"/>
        </w:rPr>
        <w:t xml:space="preserve"> (</w:t>
      </w:r>
      <w:r w:rsidRPr="007F7C6E">
        <w:rPr>
          <w:szCs w:val="22"/>
          <w:lang w:val="sr-Latn-ME"/>
        </w:rPr>
        <w:t>meticilin-os</w:t>
      </w:r>
      <w:r w:rsidR="00C51548" w:rsidRPr="007F7C6E">
        <w:rPr>
          <w:szCs w:val="22"/>
          <w:lang w:val="sr-Latn-ME"/>
        </w:rPr>
        <w:t>j</w:t>
      </w:r>
      <w:r w:rsidRPr="007F7C6E">
        <w:rPr>
          <w:szCs w:val="22"/>
          <w:lang w:val="sr-Latn-ME"/>
        </w:rPr>
        <w:t>etljivi sojevi</w:t>
      </w:r>
      <w:r w:rsidR="0021292F" w:rsidRPr="007F7C6E">
        <w:rPr>
          <w:szCs w:val="22"/>
          <w:lang w:val="sr-Latn-ME"/>
        </w:rPr>
        <w:t>)</w:t>
      </w:r>
    </w:p>
    <w:p w14:paraId="3C8D9C01" w14:textId="194EDCC4" w:rsidR="00A54717" w:rsidRPr="007F7C6E" w:rsidRDefault="00507449">
      <w:pPr>
        <w:numPr>
          <w:ilvl w:val="0"/>
          <w:numId w:val="21"/>
        </w:numPr>
        <w:tabs>
          <w:tab w:val="clear" w:pos="284"/>
        </w:tabs>
        <w:rPr>
          <w:szCs w:val="22"/>
          <w:lang w:val="sr-Latn-ME"/>
        </w:rPr>
      </w:pPr>
      <w:r w:rsidRPr="007F7C6E">
        <w:rPr>
          <w:i/>
          <w:szCs w:val="22"/>
          <w:lang w:val="sr-Latn-ME"/>
        </w:rPr>
        <w:t>Streptococcus pneumoniae</w:t>
      </w:r>
      <w:r w:rsidRPr="007F7C6E">
        <w:rPr>
          <w:szCs w:val="22"/>
          <w:lang w:val="sr-Latn-ME"/>
        </w:rPr>
        <w:t xml:space="preserve"> (penicilin-os</w:t>
      </w:r>
      <w:r w:rsidR="00C51548" w:rsidRPr="007F7C6E">
        <w:rPr>
          <w:szCs w:val="22"/>
          <w:lang w:val="sr-Latn-ME"/>
        </w:rPr>
        <w:t>j</w:t>
      </w:r>
      <w:r w:rsidRPr="007F7C6E">
        <w:rPr>
          <w:szCs w:val="22"/>
          <w:lang w:val="sr-Latn-ME"/>
        </w:rPr>
        <w:t>etljivi sojevi</w:t>
      </w:r>
      <w:r w:rsidR="00A54717" w:rsidRPr="007F7C6E">
        <w:rPr>
          <w:szCs w:val="22"/>
          <w:lang w:val="sr-Latn-ME"/>
        </w:rPr>
        <w:t>)</w:t>
      </w:r>
    </w:p>
    <w:p w14:paraId="3C8D9C02" w14:textId="77777777" w:rsidR="00362D51" w:rsidRPr="007F7C6E" w:rsidRDefault="00362D51">
      <w:pPr>
        <w:numPr>
          <w:ilvl w:val="0"/>
          <w:numId w:val="21"/>
        </w:numPr>
        <w:tabs>
          <w:tab w:val="clear" w:pos="284"/>
        </w:tabs>
        <w:rPr>
          <w:szCs w:val="22"/>
          <w:lang w:val="sr-Latn-ME"/>
        </w:rPr>
      </w:pPr>
      <w:r w:rsidRPr="007F7C6E">
        <w:rPr>
          <w:szCs w:val="22"/>
          <w:lang w:val="sr-Latn-ME"/>
        </w:rPr>
        <w:t>Beta-hemolitički streptokok</w:t>
      </w:r>
      <w:r w:rsidRPr="007F7C6E">
        <w:rPr>
          <w:i/>
          <w:szCs w:val="22"/>
          <w:lang w:val="sr-Latn-ME"/>
        </w:rPr>
        <w:t xml:space="preserve"> </w:t>
      </w:r>
      <w:r w:rsidRPr="007F7C6E">
        <w:rPr>
          <w:szCs w:val="22"/>
          <w:lang w:val="sr-Latn-ME"/>
        </w:rPr>
        <w:t>(grupa A, B, C i G)</w:t>
      </w:r>
    </w:p>
    <w:p w14:paraId="3C8D9C03" w14:textId="77777777" w:rsidR="00362D51" w:rsidRPr="007F7C6E" w:rsidRDefault="00362D51">
      <w:pPr>
        <w:numPr>
          <w:ilvl w:val="0"/>
          <w:numId w:val="21"/>
        </w:numPr>
        <w:tabs>
          <w:tab w:val="clear" w:pos="284"/>
        </w:tabs>
        <w:rPr>
          <w:szCs w:val="22"/>
          <w:lang w:val="sr-Latn-ME"/>
        </w:rPr>
      </w:pPr>
      <w:r w:rsidRPr="007F7C6E">
        <w:rPr>
          <w:szCs w:val="22"/>
          <w:lang w:val="sr-Latn-ME"/>
        </w:rPr>
        <w:lastRenderedPageBreak/>
        <w:t xml:space="preserve">Viridans </w:t>
      </w:r>
      <w:r w:rsidR="0021292F" w:rsidRPr="007F7C6E">
        <w:rPr>
          <w:szCs w:val="22"/>
          <w:lang w:val="sr-Latn-ME"/>
        </w:rPr>
        <w:t xml:space="preserve">grupa </w:t>
      </w:r>
      <w:r w:rsidRPr="007F7C6E">
        <w:rPr>
          <w:szCs w:val="22"/>
          <w:lang w:val="sr-Latn-ME"/>
        </w:rPr>
        <w:t>streptokok</w:t>
      </w:r>
      <w:r w:rsidR="0021292F" w:rsidRPr="007F7C6E">
        <w:rPr>
          <w:szCs w:val="22"/>
          <w:lang w:val="sr-Latn-ME"/>
        </w:rPr>
        <w:t>a</w:t>
      </w:r>
    </w:p>
    <w:p w14:paraId="3C8D9C04" w14:textId="77777777" w:rsidR="00362D51" w:rsidRPr="007F7C6E" w:rsidRDefault="00362D51">
      <w:pPr>
        <w:numPr>
          <w:ilvl w:val="0"/>
          <w:numId w:val="21"/>
        </w:numPr>
        <w:tabs>
          <w:tab w:val="clear" w:pos="284"/>
        </w:tabs>
        <w:rPr>
          <w:szCs w:val="22"/>
          <w:lang w:val="sr-Latn-ME"/>
        </w:rPr>
      </w:pPr>
      <w:r w:rsidRPr="007F7C6E">
        <w:rPr>
          <w:i/>
          <w:iCs/>
          <w:szCs w:val="22"/>
          <w:lang w:val="sr-Latn-ME"/>
        </w:rPr>
        <w:t>Corynebacterium spp.</w:t>
      </w:r>
    </w:p>
    <w:p w14:paraId="3C8D9C05" w14:textId="77777777" w:rsidR="00362D51" w:rsidRPr="007F7C6E" w:rsidRDefault="00362D51">
      <w:pPr>
        <w:tabs>
          <w:tab w:val="clear" w:pos="284"/>
        </w:tabs>
        <w:ind w:left="1440"/>
        <w:rPr>
          <w:szCs w:val="22"/>
          <w:lang w:val="sr-Latn-ME"/>
        </w:rPr>
      </w:pPr>
    </w:p>
    <w:p w14:paraId="3C8D9C06" w14:textId="77777777" w:rsidR="00362D51" w:rsidRPr="007F7C6E" w:rsidRDefault="00362D51">
      <w:pPr>
        <w:tabs>
          <w:tab w:val="clear" w:pos="284"/>
        </w:tabs>
        <w:ind w:left="720"/>
        <w:rPr>
          <w:iCs/>
          <w:szCs w:val="22"/>
          <w:u w:val="single"/>
          <w:lang w:val="sr-Latn-ME"/>
        </w:rPr>
      </w:pPr>
      <w:r w:rsidRPr="007F7C6E">
        <w:rPr>
          <w:iCs/>
          <w:szCs w:val="22"/>
          <w:u w:val="single"/>
          <w:lang w:val="sr-Latn-ME"/>
        </w:rPr>
        <w:t>Gram-negativne bakterije</w:t>
      </w:r>
    </w:p>
    <w:p w14:paraId="3C8D9C07" w14:textId="77777777" w:rsidR="00362D51" w:rsidRPr="007F7C6E" w:rsidRDefault="00362D51">
      <w:pPr>
        <w:tabs>
          <w:tab w:val="clear" w:pos="284"/>
        </w:tabs>
        <w:ind w:left="720"/>
        <w:rPr>
          <w:szCs w:val="22"/>
          <w:lang w:val="sr-Latn-ME"/>
        </w:rPr>
      </w:pPr>
      <w:r w:rsidRPr="007F7C6E">
        <w:rPr>
          <w:i/>
          <w:iCs/>
          <w:szCs w:val="22"/>
          <w:lang w:val="sr-Latn-ME"/>
        </w:rPr>
        <w:t>Chlamydia trachomatis</w:t>
      </w:r>
    </w:p>
    <w:p w14:paraId="3C8D9C08" w14:textId="77777777" w:rsidR="00A54717" w:rsidRPr="007F7C6E" w:rsidRDefault="00A54717">
      <w:pPr>
        <w:tabs>
          <w:tab w:val="clear" w:pos="284"/>
        </w:tabs>
        <w:ind w:left="1080"/>
        <w:rPr>
          <w:szCs w:val="22"/>
          <w:lang w:val="sr-Latn-ME"/>
        </w:rPr>
      </w:pPr>
    </w:p>
    <w:p w14:paraId="3C8D9C09" w14:textId="77777777" w:rsidR="00A54717" w:rsidRPr="007F7C6E" w:rsidRDefault="009F6788">
      <w:pPr>
        <w:tabs>
          <w:tab w:val="clear" w:pos="284"/>
        </w:tabs>
        <w:ind w:left="720"/>
        <w:rPr>
          <w:szCs w:val="22"/>
          <w:u w:val="single"/>
          <w:lang w:val="sr-Latn-ME"/>
        </w:rPr>
      </w:pPr>
      <w:r w:rsidRPr="007F7C6E">
        <w:rPr>
          <w:szCs w:val="22"/>
          <w:u w:val="single"/>
          <w:lang w:val="sr-Latn-ME"/>
        </w:rPr>
        <w:t>Anaerobn</w:t>
      </w:r>
      <w:r w:rsidR="00362D51" w:rsidRPr="007F7C6E">
        <w:rPr>
          <w:szCs w:val="22"/>
          <w:u w:val="single"/>
          <w:lang w:val="sr-Latn-ME"/>
        </w:rPr>
        <w:t>e bakterije</w:t>
      </w:r>
    </w:p>
    <w:p w14:paraId="3C8D9C0A" w14:textId="77777777" w:rsidR="0021292F" w:rsidRPr="007F7C6E" w:rsidRDefault="0021292F">
      <w:pPr>
        <w:tabs>
          <w:tab w:val="clear" w:pos="284"/>
        </w:tabs>
        <w:ind w:left="720"/>
        <w:rPr>
          <w:szCs w:val="22"/>
          <w:lang w:val="sr-Latn-ME"/>
        </w:rPr>
      </w:pPr>
    </w:p>
    <w:p w14:paraId="3C8D9C0B" w14:textId="77777777" w:rsidR="00362D51" w:rsidRPr="007F7C6E" w:rsidRDefault="00362D51">
      <w:pPr>
        <w:tabs>
          <w:tab w:val="clear" w:pos="284"/>
        </w:tabs>
        <w:ind w:left="720"/>
        <w:rPr>
          <w:szCs w:val="22"/>
          <w:u w:val="single"/>
          <w:lang w:val="sr-Latn-ME"/>
        </w:rPr>
      </w:pPr>
      <w:r w:rsidRPr="007F7C6E">
        <w:rPr>
          <w:szCs w:val="22"/>
          <w:u w:val="single"/>
          <w:lang w:val="sr-Latn-ME"/>
        </w:rPr>
        <w:t>Gram-pozitivne bakterije</w:t>
      </w:r>
    </w:p>
    <w:p w14:paraId="3C8D9C0C" w14:textId="77777777" w:rsidR="00362D51" w:rsidRPr="007F7C6E" w:rsidRDefault="00362D51">
      <w:pPr>
        <w:tabs>
          <w:tab w:val="clear" w:pos="284"/>
        </w:tabs>
        <w:ind w:left="720"/>
        <w:rPr>
          <w:szCs w:val="22"/>
          <w:u w:val="single"/>
          <w:lang w:val="sr-Latn-ME"/>
        </w:rPr>
      </w:pPr>
      <w:r w:rsidRPr="007F7C6E">
        <w:rPr>
          <w:i/>
          <w:iCs/>
          <w:szCs w:val="22"/>
          <w:lang w:val="sr-Latn-ME"/>
        </w:rPr>
        <w:t>Actinomyces spp.</w:t>
      </w:r>
    </w:p>
    <w:p w14:paraId="3C8D9C0D" w14:textId="77777777" w:rsidR="00362D51" w:rsidRPr="007F7C6E" w:rsidRDefault="0021292F">
      <w:pPr>
        <w:tabs>
          <w:tab w:val="clear" w:pos="284"/>
        </w:tabs>
        <w:ind w:left="720"/>
        <w:rPr>
          <w:szCs w:val="22"/>
          <w:u w:val="single"/>
          <w:lang w:val="sr-Latn-ME"/>
        </w:rPr>
      </w:pPr>
      <w:r w:rsidRPr="007F7C6E">
        <w:rPr>
          <w:i/>
          <w:iCs/>
          <w:szCs w:val="22"/>
          <w:lang w:val="sr-Latn-ME"/>
        </w:rPr>
        <w:t xml:space="preserve">Clostridium spp. </w:t>
      </w:r>
      <w:r w:rsidRPr="007F7C6E">
        <w:rPr>
          <w:iCs/>
          <w:szCs w:val="22"/>
          <w:lang w:val="sr-Latn-ME"/>
        </w:rPr>
        <w:t>(osim</w:t>
      </w:r>
      <w:r w:rsidR="00362D51" w:rsidRPr="007F7C6E">
        <w:rPr>
          <w:i/>
          <w:iCs/>
          <w:szCs w:val="22"/>
          <w:lang w:val="sr-Latn-ME"/>
        </w:rPr>
        <w:t xml:space="preserve"> Clostridium difficile</w:t>
      </w:r>
      <w:r w:rsidRPr="007F7C6E">
        <w:rPr>
          <w:iCs/>
          <w:szCs w:val="22"/>
          <w:lang w:val="sr-Latn-ME"/>
        </w:rPr>
        <w:t>)</w:t>
      </w:r>
    </w:p>
    <w:p w14:paraId="3C8D9C0E" w14:textId="77777777" w:rsidR="00362D51" w:rsidRPr="007F7C6E" w:rsidRDefault="00362D51">
      <w:pPr>
        <w:tabs>
          <w:tab w:val="clear" w:pos="284"/>
        </w:tabs>
        <w:ind w:left="720"/>
        <w:rPr>
          <w:szCs w:val="22"/>
          <w:u w:val="single"/>
          <w:lang w:val="sr-Latn-ME"/>
        </w:rPr>
      </w:pPr>
      <w:r w:rsidRPr="007F7C6E">
        <w:rPr>
          <w:i/>
          <w:iCs/>
          <w:szCs w:val="22"/>
          <w:lang w:val="sr-Latn-ME"/>
        </w:rPr>
        <w:t>Eggerthella (Eubacterium) spp.</w:t>
      </w:r>
    </w:p>
    <w:p w14:paraId="3C8D9C0F" w14:textId="77777777" w:rsidR="00362D51" w:rsidRPr="007F7C6E" w:rsidRDefault="00362D51">
      <w:pPr>
        <w:tabs>
          <w:tab w:val="clear" w:pos="284"/>
        </w:tabs>
        <w:ind w:left="720"/>
        <w:rPr>
          <w:szCs w:val="22"/>
          <w:u w:val="single"/>
          <w:lang w:val="sr-Latn-ME"/>
        </w:rPr>
      </w:pPr>
      <w:r w:rsidRPr="007F7C6E">
        <w:rPr>
          <w:i/>
          <w:iCs/>
          <w:szCs w:val="22"/>
          <w:lang w:val="sr-Latn-ME"/>
        </w:rPr>
        <w:t>Peptococcus spp.</w:t>
      </w:r>
    </w:p>
    <w:p w14:paraId="3C8D9C10" w14:textId="77777777" w:rsidR="00362D51" w:rsidRPr="007F7C6E" w:rsidRDefault="00362D51">
      <w:pPr>
        <w:tabs>
          <w:tab w:val="clear" w:pos="284"/>
        </w:tabs>
        <w:ind w:left="720"/>
        <w:rPr>
          <w:szCs w:val="22"/>
          <w:u w:val="single"/>
          <w:lang w:val="sr-Latn-ME"/>
        </w:rPr>
      </w:pPr>
      <w:r w:rsidRPr="007F7C6E">
        <w:rPr>
          <w:i/>
          <w:iCs/>
          <w:szCs w:val="22"/>
          <w:lang w:val="sr-Latn-ME"/>
        </w:rPr>
        <w:t>Peptostreptococcus spp. (Finegoldia magna, Micromonas micros)</w:t>
      </w:r>
    </w:p>
    <w:p w14:paraId="3C8D9C11" w14:textId="77777777" w:rsidR="00362D51" w:rsidRPr="007F7C6E" w:rsidRDefault="00362D51">
      <w:pPr>
        <w:tabs>
          <w:tab w:val="clear" w:pos="284"/>
        </w:tabs>
        <w:ind w:left="720"/>
        <w:rPr>
          <w:szCs w:val="22"/>
          <w:u w:val="single"/>
          <w:lang w:val="sr-Latn-ME"/>
        </w:rPr>
      </w:pPr>
      <w:r w:rsidRPr="007F7C6E">
        <w:rPr>
          <w:i/>
          <w:iCs/>
          <w:szCs w:val="22"/>
          <w:lang w:val="sr-Latn-ME"/>
        </w:rPr>
        <w:t>Propionibacterium acnes</w:t>
      </w:r>
    </w:p>
    <w:p w14:paraId="3C8D9C12" w14:textId="77777777" w:rsidR="0041216E" w:rsidRPr="007F7C6E" w:rsidRDefault="0041216E">
      <w:pPr>
        <w:tabs>
          <w:tab w:val="clear" w:pos="284"/>
        </w:tabs>
        <w:ind w:left="720"/>
        <w:rPr>
          <w:szCs w:val="22"/>
          <w:u w:val="single"/>
          <w:lang w:val="sr-Latn-ME"/>
        </w:rPr>
      </w:pPr>
    </w:p>
    <w:p w14:paraId="3C8D9C13" w14:textId="77777777" w:rsidR="0041216E" w:rsidRPr="007F7C6E" w:rsidRDefault="0041216E">
      <w:pPr>
        <w:tabs>
          <w:tab w:val="clear" w:pos="284"/>
        </w:tabs>
        <w:ind w:left="720"/>
        <w:rPr>
          <w:szCs w:val="22"/>
          <w:u w:val="single"/>
          <w:lang w:val="sr-Latn-ME"/>
        </w:rPr>
      </w:pPr>
      <w:r w:rsidRPr="007F7C6E">
        <w:rPr>
          <w:szCs w:val="22"/>
          <w:u w:val="single"/>
          <w:lang w:val="sr-Latn-ME"/>
        </w:rPr>
        <w:t>Gram-negativne bakterije</w:t>
      </w:r>
    </w:p>
    <w:p w14:paraId="3C8D9C14" w14:textId="77777777" w:rsidR="0041216E" w:rsidRPr="007F7C6E" w:rsidRDefault="00A54717">
      <w:pPr>
        <w:tabs>
          <w:tab w:val="clear" w:pos="284"/>
        </w:tabs>
        <w:ind w:left="720"/>
        <w:rPr>
          <w:szCs w:val="22"/>
          <w:u w:val="single"/>
          <w:lang w:val="sr-Latn-ME"/>
        </w:rPr>
      </w:pPr>
      <w:r w:rsidRPr="007F7C6E">
        <w:rPr>
          <w:i/>
          <w:szCs w:val="22"/>
          <w:lang w:val="sr-Latn-ME"/>
        </w:rPr>
        <w:t>Bacteroides spp</w:t>
      </w:r>
      <w:r w:rsidR="0021292F" w:rsidRPr="007F7C6E">
        <w:rPr>
          <w:i/>
          <w:szCs w:val="22"/>
          <w:lang w:val="sr-Latn-ME"/>
        </w:rPr>
        <w:t>.</w:t>
      </w:r>
    </w:p>
    <w:p w14:paraId="3C8D9C15" w14:textId="77777777" w:rsidR="0041216E" w:rsidRPr="007F7C6E" w:rsidRDefault="00A54717">
      <w:pPr>
        <w:tabs>
          <w:tab w:val="clear" w:pos="284"/>
        </w:tabs>
        <w:ind w:left="720"/>
        <w:rPr>
          <w:i/>
          <w:szCs w:val="22"/>
          <w:lang w:val="sr-Latn-ME"/>
        </w:rPr>
      </w:pPr>
      <w:r w:rsidRPr="007F7C6E">
        <w:rPr>
          <w:i/>
          <w:szCs w:val="22"/>
          <w:lang w:val="sr-Latn-ME"/>
        </w:rPr>
        <w:t>Fusobacterium spp.</w:t>
      </w:r>
    </w:p>
    <w:p w14:paraId="3C8D9C16" w14:textId="77777777" w:rsidR="0041216E" w:rsidRPr="007F7C6E" w:rsidRDefault="0041216E">
      <w:pPr>
        <w:tabs>
          <w:tab w:val="clear" w:pos="284"/>
        </w:tabs>
        <w:ind w:left="720"/>
        <w:rPr>
          <w:i/>
          <w:szCs w:val="22"/>
          <w:lang w:val="sr-Latn-ME"/>
        </w:rPr>
      </w:pPr>
      <w:r w:rsidRPr="007F7C6E">
        <w:rPr>
          <w:i/>
          <w:iCs/>
          <w:szCs w:val="22"/>
          <w:lang w:val="sr-Latn-ME"/>
        </w:rPr>
        <w:t>Gardnerella vaginalis</w:t>
      </w:r>
    </w:p>
    <w:p w14:paraId="3C8D9C17" w14:textId="77777777" w:rsidR="0041216E" w:rsidRPr="007F7C6E" w:rsidRDefault="0041216E">
      <w:pPr>
        <w:tabs>
          <w:tab w:val="clear" w:pos="284"/>
        </w:tabs>
        <w:ind w:left="720"/>
        <w:rPr>
          <w:i/>
          <w:szCs w:val="22"/>
          <w:lang w:val="sr-Latn-ME"/>
        </w:rPr>
      </w:pPr>
      <w:r w:rsidRPr="007F7C6E">
        <w:rPr>
          <w:i/>
          <w:iCs/>
          <w:szCs w:val="22"/>
          <w:lang w:val="sr-Latn-ME"/>
        </w:rPr>
        <w:t>Prevotella spp.</w:t>
      </w:r>
    </w:p>
    <w:p w14:paraId="3C8D9C18" w14:textId="77777777" w:rsidR="0041216E" w:rsidRPr="007F7C6E" w:rsidRDefault="0041216E">
      <w:pPr>
        <w:tabs>
          <w:tab w:val="clear" w:pos="284"/>
        </w:tabs>
        <w:ind w:left="720"/>
        <w:rPr>
          <w:szCs w:val="22"/>
          <w:u w:val="single"/>
          <w:lang w:val="sr-Latn-ME"/>
        </w:rPr>
      </w:pPr>
    </w:p>
    <w:p w14:paraId="3C8D9C19" w14:textId="77777777" w:rsidR="0041216E" w:rsidRPr="007F7C6E" w:rsidRDefault="0041216E">
      <w:pPr>
        <w:tabs>
          <w:tab w:val="clear" w:pos="284"/>
        </w:tabs>
        <w:ind w:left="720"/>
        <w:rPr>
          <w:szCs w:val="22"/>
          <w:u w:val="single"/>
          <w:lang w:val="sr-Latn-ME"/>
        </w:rPr>
      </w:pPr>
      <w:r w:rsidRPr="007F7C6E">
        <w:rPr>
          <w:szCs w:val="22"/>
          <w:u w:val="single"/>
          <w:lang w:val="sr-Latn-ME"/>
        </w:rPr>
        <w:t>Glivice</w:t>
      </w:r>
    </w:p>
    <w:p w14:paraId="3C8D9C1A" w14:textId="77777777" w:rsidR="0041216E" w:rsidRPr="007F7C6E" w:rsidRDefault="0041216E">
      <w:pPr>
        <w:tabs>
          <w:tab w:val="clear" w:pos="284"/>
        </w:tabs>
        <w:ind w:left="720"/>
        <w:rPr>
          <w:i/>
          <w:iCs/>
          <w:szCs w:val="22"/>
          <w:lang w:val="sr-Latn-ME"/>
        </w:rPr>
      </w:pPr>
      <w:r w:rsidRPr="007F7C6E">
        <w:rPr>
          <w:i/>
          <w:iCs/>
          <w:szCs w:val="22"/>
          <w:lang w:val="sr-Latn-ME"/>
        </w:rPr>
        <w:t>Pneumocystis jirovecii</w:t>
      </w:r>
    </w:p>
    <w:p w14:paraId="3C8D9C1B" w14:textId="77777777" w:rsidR="0041216E" w:rsidRPr="007F7C6E" w:rsidRDefault="0041216E">
      <w:pPr>
        <w:tabs>
          <w:tab w:val="clear" w:pos="284"/>
        </w:tabs>
        <w:ind w:left="720"/>
        <w:rPr>
          <w:i/>
          <w:iCs/>
          <w:szCs w:val="22"/>
          <w:lang w:val="sr-Latn-ME"/>
        </w:rPr>
      </w:pPr>
    </w:p>
    <w:p w14:paraId="3C8D9C1C" w14:textId="77777777" w:rsidR="0041216E" w:rsidRPr="007F7C6E" w:rsidRDefault="0041216E">
      <w:pPr>
        <w:tabs>
          <w:tab w:val="clear" w:pos="284"/>
        </w:tabs>
        <w:ind w:left="720"/>
        <w:rPr>
          <w:iCs/>
          <w:szCs w:val="22"/>
          <w:u w:val="single"/>
          <w:lang w:val="sr-Latn-ME"/>
        </w:rPr>
      </w:pPr>
      <w:r w:rsidRPr="007F7C6E">
        <w:rPr>
          <w:iCs/>
          <w:szCs w:val="22"/>
          <w:u w:val="single"/>
          <w:lang w:val="sr-Latn-ME"/>
        </w:rPr>
        <w:t>Protozoe</w:t>
      </w:r>
    </w:p>
    <w:p w14:paraId="3C8D9C1D" w14:textId="77777777" w:rsidR="0041216E" w:rsidRPr="007F7C6E" w:rsidRDefault="0041216E">
      <w:pPr>
        <w:tabs>
          <w:tab w:val="clear" w:pos="284"/>
        </w:tabs>
        <w:ind w:left="720"/>
        <w:rPr>
          <w:i/>
          <w:iCs/>
          <w:szCs w:val="22"/>
          <w:lang w:val="sr-Latn-ME"/>
        </w:rPr>
      </w:pPr>
      <w:r w:rsidRPr="007F7C6E">
        <w:rPr>
          <w:i/>
          <w:iCs/>
          <w:szCs w:val="22"/>
          <w:lang w:val="sr-Latn-ME"/>
        </w:rPr>
        <w:t>Toxoplasma gondii</w:t>
      </w:r>
    </w:p>
    <w:p w14:paraId="3C8D9C1E" w14:textId="77777777" w:rsidR="0041216E" w:rsidRPr="007F7C6E" w:rsidRDefault="0041216E">
      <w:pPr>
        <w:tabs>
          <w:tab w:val="clear" w:pos="284"/>
        </w:tabs>
        <w:ind w:left="720"/>
        <w:rPr>
          <w:szCs w:val="22"/>
          <w:u w:val="single"/>
          <w:lang w:val="sr-Latn-ME"/>
        </w:rPr>
      </w:pPr>
      <w:r w:rsidRPr="007F7C6E">
        <w:rPr>
          <w:i/>
          <w:iCs/>
          <w:szCs w:val="22"/>
          <w:lang w:val="sr-Latn-ME"/>
        </w:rPr>
        <w:t>Plasmodium falciparum</w:t>
      </w:r>
      <w:r w:rsidR="00AA382C" w:rsidRPr="007F7C6E">
        <w:rPr>
          <w:i/>
          <w:iCs/>
          <w:szCs w:val="22"/>
          <w:lang w:val="sr-Latn-ME"/>
        </w:rPr>
        <w:t>.</w:t>
      </w:r>
    </w:p>
    <w:p w14:paraId="3C8D9C1F" w14:textId="77777777" w:rsidR="0019124F" w:rsidRPr="007F7C6E" w:rsidRDefault="0019124F">
      <w:pPr>
        <w:rPr>
          <w:b/>
          <w:bCs/>
          <w:szCs w:val="22"/>
          <w:lang w:val="sr-Latn-ME"/>
        </w:rPr>
      </w:pPr>
    </w:p>
    <w:p w14:paraId="3C8D9C20" w14:textId="0C15C203" w:rsidR="00812AA1" w:rsidRPr="007F7C6E" w:rsidRDefault="00812AA1">
      <w:pPr>
        <w:tabs>
          <w:tab w:val="clear" w:pos="284"/>
        </w:tabs>
        <w:autoSpaceDE w:val="0"/>
        <w:autoSpaceDN w:val="0"/>
        <w:adjustRightInd w:val="0"/>
        <w:rPr>
          <w:rFonts w:eastAsia="TimesNewRoman"/>
          <w:szCs w:val="22"/>
          <w:lang w:val="sr-Latn-ME"/>
        </w:rPr>
      </w:pPr>
      <w:r w:rsidRPr="007F7C6E">
        <w:rPr>
          <w:rFonts w:eastAsia="TimesNewRoman"/>
          <w:szCs w:val="22"/>
          <w:lang w:val="sr-Latn-ME"/>
        </w:rPr>
        <w:t>Granične vr</w:t>
      </w:r>
      <w:r w:rsidR="000A2208" w:rsidRPr="007F7C6E">
        <w:rPr>
          <w:rFonts w:eastAsia="TimesNewRoman"/>
          <w:szCs w:val="22"/>
          <w:lang w:val="sr-Latn-ME"/>
        </w:rPr>
        <w:t>ij</w:t>
      </w:r>
      <w:r w:rsidRPr="007F7C6E">
        <w:rPr>
          <w:rFonts w:eastAsia="TimesNewRoman"/>
          <w:szCs w:val="22"/>
          <w:lang w:val="sr-Latn-ME"/>
        </w:rPr>
        <w:t>ednosti</w:t>
      </w:r>
    </w:p>
    <w:p w14:paraId="3C8D9C24" w14:textId="1132606F" w:rsidR="0019124F" w:rsidRPr="007F7C6E" w:rsidRDefault="00812AA1">
      <w:pPr>
        <w:tabs>
          <w:tab w:val="clear" w:pos="284"/>
        </w:tabs>
        <w:autoSpaceDE w:val="0"/>
        <w:autoSpaceDN w:val="0"/>
        <w:adjustRightInd w:val="0"/>
        <w:rPr>
          <w:rFonts w:eastAsia="TimesNewRoman"/>
          <w:szCs w:val="22"/>
          <w:lang w:val="sr-Latn-ME"/>
        </w:rPr>
      </w:pPr>
      <w:r w:rsidRPr="007F7C6E">
        <w:rPr>
          <w:rFonts w:eastAsia="TimesNewRoman"/>
          <w:szCs w:val="22"/>
          <w:lang w:val="sr-Latn-ME"/>
        </w:rPr>
        <w:t>Rasprostranjenost stečene rezistencije kod nekih sojeva razlikuje se po m</w:t>
      </w:r>
      <w:r w:rsidR="000A2208" w:rsidRPr="007F7C6E">
        <w:rPr>
          <w:rFonts w:eastAsia="TimesNewRoman"/>
          <w:szCs w:val="22"/>
          <w:lang w:val="sr-Latn-ME"/>
        </w:rPr>
        <w:t>j</w:t>
      </w:r>
      <w:r w:rsidRPr="007F7C6E">
        <w:rPr>
          <w:rFonts w:eastAsia="TimesNewRoman"/>
          <w:szCs w:val="22"/>
          <w:lang w:val="sr-Latn-ME"/>
        </w:rPr>
        <w:t>estu i vremenu. Zbog toga su, naročito zbog odgovarajućeg l</w:t>
      </w:r>
      <w:r w:rsidR="000A2208" w:rsidRPr="007F7C6E">
        <w:rPr>
          <w:rFonts w:eastAsia="TimesNewRoman"/>
          <w:szCs w:val="22"/>
          <w:lang w:val="sr-Latn-ME"/>
        </w:rPr>
        <w:t>ij</w:t>
      </w:r>
      <w:r w:rsidRPr="007F7C6E">
        <w:rPr>
          <w:rFonts w:eastAsia="TimesNewRoman"/>
          <w:szCs w:val="22"/>
          <w:lang w:val="sr-Latn-ME"/>
        </w:rPr>
        <w:t>ečenja teških infekcija, lokalni podaci o bakterijskoj rezistenciji neophodni. U</w:t>
      </w:r>
      <w:r w:rsidR="000A2208" w:rsidRPr="007F7C6E">
        <w:rPr>
          <w:rFonts w:eastAsia="TimesNewRoman"/>
          <w:szCs w:val="22"/>
          <w:lang w:val="sr-Latn-ME"/>
        </w:rPr>
        <w:t xml:space="preserve"> </w:t>
      </w:r>
      <w:r w:rsidRPr="007F7C6E">
        <w:rPr>
          <w:rFonts w:eastAsia="TimesNewRoman"/>
          <w:szCs w:val="22"/>
          <w:lang w:val="sr-Latn-ME"/>
        </w:rPr>
        <w:t>slučaju da je, na osnovu lokalnih podataka o rezistenciji, opravdanost upotrebe klindamicina pod sumnjom,</w:t>
      </w:r>
      <w:r w:rsidR="000A2208" w:rsidRPr="007F7C6E">
        <w:rPr>
          <w:rFonts w:eastAsia="TimesNewRoman"/>
          <w:szCs w:val="22"/>
          <w:lang w:val="sr-Latn-ME"/>
        </w:rPr>
        <w:t xml:space="preserve"> </w:t>
      </w:r>
      <w:r w:rsidRPr="007F7C6E">
        <w:rPr>
          <w:rFonts w:eastAsia="TimesNewRoman"/>
          <w:szCs w:val="22"/>
          <w:lang w:val="sr-Latn-ME"/>
        </w:rPr>
        <w:t>treba konsultovati stručnjaka da bi se odredila odgovarajuća terapija. Naročito kod neusp</w:t>
      </w:r>
      <w:r w:rsidR="000A2208" w:rsidRPr="007F7C6E">
        <w:rPr>
          <w:rFonts w:eastAsia="TimesNewRoman"/>
          <w:szCs w:val="22"/>
          <w:lang w:val="sr-Latn-ME"/>
        </w:rPr>
        <w:t>j</w:t>
      </w:r>
      <w:r w:rsidRPr="007F7C6E">
        <w:rPr>
          <w:rFonts w:eastAsia="TimesNewRoman"/>
          <w:szCs w:val="22"/>
          <w:lang w:val="sr-Latn-ME"/>
        </w:rPr>
        <w:t>ešnog l</w:t>
      </w:r>
      <w:r w:rsidR="000A2208" w:rsidRPr="007F7C6E">
        <w:rPr>
          <w:rFonts w:eastAsia="TimesNewRoman"/>
          <w:szCs w:val="22"/>
          <w:lang w:val="sr-Latn-ME"/>
        </w:rPr>
        <w:t>ij</w:t>
      </w:r>
      <w:r w:rsidRPr="007F7C6E">
        <w:rPr>
          <w:rFonts w:eastAsia="TimesNewRoman"/>
          <w:szCs w:val="22"/>
          <w:lang w:val="sr-Latn-ME"/>
        </w:rPr>
        <w:t>ečenja</w:t>
      </w:r>
      <w:r w:rsidR="000A2208" w:rsidRPr="007F7C6E">
        <w:rPr>
          <w:rFonts w:eastAsia="TimesNewRoman"/>
          <w:szCs w:val="22"/>
          <w:lang w:val="sr-Latn-ME"/>
        </w:rPr>
        <w:t xml:space="preserve"> </w:t>
      </w:r>
      <w:r w:rsidRPr="007F7C6E">
        <w:rPr>
          <w:rFonts w:eastAsia="TimesNewRoman"/>
          <w:szCs w:val="22"/>
          <w:lang w:val="sr-Latn-ME"/>
        </w:rPr>
        <w:t>teških infekcija, treba da se razmotri mikrobiološka dijagnoza uzročnika i njihove os</w:t>
      </w:r>
      <w:r w:rsidR="000A2208" w:rsidRPr="007F7C6E">
        <w:rPr>
          <w:rFonts w:eastAsia="TimesNewRoman"/>
          <w:szCs w:val="22"/>
          <w:lang w:val="sr-Latn-ME"/>
        </w:rPr>
        <w:t>j</w:t>
      </w:r>
      <w:r w:rsidRPr="007F7C6E">
        <w:rPr>
          <w:rFonts w:eastAsia="TimesNewRoman"/>
          <w:szCs w:val="22"/>
          <w:lang w:val="sr-Latn-ME"/>
        </w:rPr>
        <w:t>etljivosti na klindamicin.</w:t>
      </w:r>
    </w:p>
    <w:p w14:paraId="3C8D9C25" w14:textId="77777777" w:rsidR="00AA382C" w:rsidRPr="007F7C6E" w:rsidRDefault="00AA382C">
      <w:pPr>
        <w:tabs>
          <w:tab w:val="clear" w:pos="284"/>
        </w:tabs>
        <w:autoSpaceDE w:val="0"/>
        <w:autoSpaceDN w:val="0"/>
        <w:adjustRightInd w:val="0"/>
        <w:rPr>
          <w:rFonts w:eastAsia="TimesNewRoman"/>
          <w:szCs w:val="22"/>
          <w:lang w:val="sr-Latn-ME"/>
        </w:rPr>
      </w:pPr>
    </w:p>
    <w:p w14:paraId="3C8D9C26" w14:textId="21D8DFE5" w:rsidR="00AA382C" w:rsidRPr="007F7C6E" w:rsidRDefault="00AA382C">
      <w:pPr>
        <w:tabs>
          <w:tab w:val="clear" w:pos="284"/>
        </w:tabs>
        <w:autoSpaceDE w:val="0"/>
        <w:autoSpaceDN w:val="0"/>
        <w:adjustRightInd w:val="0"/>
        <w:rPr>
          <w:rFonts w:eastAsia="TimesNewRoman"/>
          <w:szCs w:val="22"/>
          <w:lang w:val="sr-Latn-ME"/>
        </w:rPr>
      </w:pPr>
      <w:r w:rsidRPr="007F7C6E">
        <w:rPr>
          <w:rFonts w:eastAsia="TimesNewRoman"/>
          <w:szCs w:val="22"/>
          <w:lang w:val="sr-Latn-ME"/>
        </w:rPr>
        <w:t>Rezistencija je obično definisana preko graničnih vr</w:t>
      </w:r>
      <w:r w:rsidR="000A2208" w:rsidRPr="007F7C6E">
        <w:rPr>
          <w:rFonts w:eastAsia="TimesNewRoman"/>
          <w:szCs w:val="22"/>
          <w:lang w:val="sr-Latn-ME"/>
        </w:rPr>
        <w:t>ij</w:t>
      </w:r>
      <w:r w:rsidRPr="007F7C6E">
        <w:rPr>
          <w:rFonts w:eastAsia="TimesNewRoman"/>
          <w:szCs w:val="22"/>
          <w:lang w:val="sr-Latn-ME"/>
        </w:rPr>
        <w:t xml:space="preserve">ednosti koje su ustanovljene od strane EUCAST (Evropski Komitet za ispitivanje antimikrobne osetljivosti - </w:t>
      </w:r>
      <w:r w:rsidRPr="007F7C6E">
        <w:rPr>
          <w:rFonts w:eastAsia="TimesNewRoman"/>
          <w:i/>
          <w:szCs w:val="22"/>
          <w:lang w:val="sr-Latn-ME"/>
        </w:rPr>
        <w:t>European Commitee on Antimicrobial Susceptibility testing</w:t>
      </w:r>
      <w:r w:rsidR="002D3995" w:rsidRPr="007F7C6E">
        <w:rPr>
          <w:rFonts w:eastAsia="TimesNewRoman"/>
          <w:szCs w:val="22"/>
          <w:lang w:val="sr-Latn-ME"/>
        </w:rPr>
        <w:t>).</w:t>
      </w:r>
    </w:p>
    <w:p w14:paraId="3C8D9C27" w14:textId="77777777" w:rsidR="002D3995" w:rsidRPr="007F7C6E" w:rsidRDefault="002D3995">
      <w:pPr>
        <w:tabs>
          <w:tab w:val="clear" w:pos="284"/>
        </w:tabs>
        <w:autoSpaceDE w:val="0"/>
        <w:autoSpaceDN w:val="0"/>
        <w:adjustRightInd w:val="0"/>
        <w:rPr>
          <w:rFonts w:eastAsia="TimesNewRoman"/>
          <w:szCs w:val="22"/>
          <w:lang w:val="sr-Latn-ME"/>
        </w:rPr>
      </w:pPr>
    </w:p>
    <w:p w14:paraId="3C8D9C2B" w14:textId="0A6EB240" w:rsidR="002D3995" w:rsidRPr="007F7C6E" w:rsidRDefault="00FF1002">
      <w:pPr>
        <w:tabs>
          <w:tab w:val="clear" w:pos="284"/>
        </w:tabs>
        <w:autoSpaceDE w:val="0"/>
        <w:autoSpaceDN w:val="0"/>
        <w:adjustRightInd w:val="0"/>
        <w:rPr>
          <w:rFonts w:eastAsia="TimesNewRoman"/>
          <w:szCs w:val="22"/>
          <w:lang w:val="sr-Latn-ME"/>
        </w:rPr>
      </w:pPr>
      <w:r w:rsidRPr="007F7C6E">
        <w:rPr>
          <w:rFonts w:eastAsia="TimesNewRoman"/>
          <w:szCs w:val="22"/>
          <w:lang w:val="sr-Latn-ME"/>
        </w:rPr>
        <w:t>EUCAST</w:t>
      </w:r>
      <w:r w:rsidR="0021292F" w:rsidRPr="007F7C6E">
        <w:rPr>
          <w:rFonts w:eastAsia="TimesNewRoman"/>
          <w:szCs w:val="22"/>
          <w:lang w:val="sr-Latn-ME"/>
        </w:rPr>
        <w:t xml:space="preserve"> Granične vr</w:t>
      </w:r>
      <w:r w:rsidR="000A2208" w:rsidRPr="007F7C6E">
        <w:rPr>
          <w:rFonts w:eastAsia="TimesNewRoman"/>
          <w:szCs w:val="22"/>
          <w:lang w:val="sr-Latn-ME"/>
        </w:rPr>
        <w:t>ij</w:t>
      </w:r>
      <w:r w:rsidR="0021292F" w:rsidRPr="007F7C6E">
        <w:rPr>
          <w:rFonts w:eastAsia="TimesNewRoman"/>
          <w:szCs w:val="22"/>
          <w:lang w:val="sr-Latn-ME"/>
        </w:rPr>
        <w:t xml:space="preserve">ednosti </w:t>
      </w:r>
      <w:r w:rsidR="00856442" w:rsidRPr="007F7C6E">
        <w:rPr>
          <w:rFonts w:eastAsia="TimesNewRoman"/>
          <w:szCs w:val="22"/>
          <w:lang w:val="sr-Latn-ME"/>
        </w:rPr>
        <w:t>su prikazane u tabeli</w:t>
      </w:r>
      <w:r w:rsidR="002D3995" w:rsidRPr="007F7C6E">
        <w:rPr>
          <w:rFonts w:eastAsia="TimesNewRoman"/>
          <w:szCs w:val="22"/>
          <w:lang w:val="sr-Latn-ME"/>
        </w:rPr>
        <w:t xml:space="preserve"> 1</w:t>
      </w:r>
      <w:r w:rsidR="00856442" w:rsidRPr="007F7C6E">
        <w:rPr>
          <w:rFonts w:eastAsia="TimesNewRoman"/>
          <w:szCs w:val="22"/>
          <w:lang w:val="sr-Latn-ME"/>
        </w:rPr>
        <w:t>.</w:t>
      </w:r>
    </w:p>
    <w:p w14:paraId="3C8D9C2C" w14:textId="77777777" w:rsidR="002D3995" w:rsidRPr="007F7C6E" w:rsidRDefault="002D3995">
      <w:pPr>
        <w:tabs>
          <w:tab w:val="clear" w:pos="284"/>
        </w:tabs>
        <w:autoSpaceDE w:val="0"/>
        <w:autoSpaceDN w:val="0"/>
        <w:adjustRightInd w:val="0"/>
        <w:rPr>
          <w:rFonts w:eastAsia="TimesNewRoman"/>
          <w:b/>
          <w:szCs w:val="22"/>
          <w:lang w:val="sr-Latn-ME"/>
        </w:rPr>
      </w:pPr>
    </w:p>
    <w:p w14:paraId="3C8D9C2D" w14:textId="53B8E72A" w:rsidR="00856442" w:rsidRPr="007F7C6E" w:rsidRDefault="00856442">
      <w:pPr>
        <w:tabs>
          <w:tab w:val="clear" w:pos="284"/>
        </w:tabs>
        <w:autoSpaceDE w:val="0"/>
        <w:autoSpaceDN w:val="0"/>
        <w:adjustRightInd w:val="0"/>
        <w:rPr>
          <w:rFonts w:eastAsia="TimesNewRoman"/>
          <w:b/>
          <w:szCs w:val="22"/>
          <w:lang w:val="sr-Latn-ME"/>
        </w:rPr>
      </w:pPr>
      <w:r w:rsidRPr="007F7C6E">
        <w:rPr>
          <w:rFonts w:eastAsia="TimesNewRoman"/>
          <w:b/>
          <w:szCs w:val="22"/>
          <w:lang w:val="sr-Latn-ME"/>
        </w:rPr>
        <w:t>Tabela</w:t>
      </w:r>
      <w:r w:rsidR="002D3995" w:rsidRPr="007F7C6E">
        <w:rPr>
          <w:rFonts w:eastAsia="TimesNewRoman"/>
          <w:b/>
          <w:szCs w:val="22"/>
          <w:lang w:val="sr-Latn-ME"/>
        </w:rPr>
        <w:t xml:space="preserve"> </w:t>
      </w:r>
      <w:r w:rsidRPr="007F7C6E">
        <w:rPr>
          <w:rFonts w:eastAsia="TimesNewRoman"/>
          <w:b/>
          <w:szCs w:val="22"/>
          <w:lang w:val="sr-Latn-ME"/>
        </w:rPr>
        <w:t>1. EUCAST Kriterijumi za određivanje os</w:t>
      </w:r>
      <w:r w:rsidR="000A2208" w:rsidRPr="007F7C6E">
        <w:rPr>
          <w:rFonts w:eastAsia="TimesNewRoman"/>
          <w:b/>
          <w:szCs w:val="22"/>
          <w:lang w:val="sr-Latn-ME"/>
        </w:rPr>
        <w:t>j</w:t>
      </w:r>
      <w:r w:rsidRPr="007F7C6E">
        <w:rPr>
          <w:rFonts w:eastAsia="TimesNewRoman"/>
          <w:b/>
          <w:szCs w:val="22"/>
          <w:lang w:val="sr-Latn-ME"/>
        </w:rPr>
        <w:t>etljivosti na klindamicin</w:t>
      </w:r>
    </w:p>
    <w:p w14:paraId="3C8D9C2E" w14:textId="77777777" w:rsidR="00856442" w:rsidRPr="007F7C6E" w:rsidRDefault="00856442" w:rsidP="0021292F">
      <w:pPr>
        <w:tabs>
          <w:tab w:val="clear" w:pos="284"/>
        </w:tabs>
        <w:autoSpaceDE w:val="0"/>
        <w:autoSpaceDN w:val="0"/>
        <w:adjustRightInd w:val="0"/>
        <w:rPr>
          <w:rFonts w:eastAsia="TimesNewRoman"/>
          <w:szCs w:val="22"/>
          <w:lang w:val="sr-Latn-ME"/>
        </w:rPr>
      </w:pPr>
    </w:p>
    <w:tbl>
      <w:tblPr>
        <w:tblStyle w:val="TableGrid"/>
        <w:tblW w:w="0" w:type="auto"/>
        <w:tblLook w:val="04A0" w:firstRow="1" w:lastRow="0" w:firstColumn="1" w:lastColumn="0" w:noHBand="0" w:noVBand="1"/>
      </w:tblPr>
      <w:tblGrid>
        <w:gridCol w:w="1965"/>
        <w:gridCol w:w="1920"/>
        <w:gridCol w:w="1914"/>
        <w:gridCol w:w="1916"/>
        <w:gridCol w:w="1914"/>
      </w:tblGrid>
      <w:tr w:rsidR="00856442" w:rsidRPr="007F7C6E" w14:paraId="3C8D9C32" w14:textId="77777777" w:rsidTr="002D3995">
        <w:tc>
          <w:tcPr>
            <w:tcW w:w="1971" w:type="dxa"/>
          </w:tcPr>
          <w:p w14:paraId="3C8D9C2F" w14:textId="77777777" w:rsidR="00856442" w:rsidRPr="007F7C6E" w:rsidRDefault="00856442" w:rsidP="00812AA1">
            <w:pPr>
              <w:tabs>
                <w:tab w:val="clear" w:pos="284"/>
              </w:tabs>
              <w:autoSpaceDE w:val="0"/>
              <w:autoSpaceDN w:val="0"/>
              <w:adjustRightInd w:val="0"/>
              <w:rPr>
                <w:rFonts w:eastAsia="TimesNewRoman"/>
                <w:szCs w:val="22"/>
                <w:lang w:val="sr-Latn-ME"/>
              </w:rPr>
            </w:pPr>
          </w:p>
        </w:tc>
        <w:tc>
          <w:tcPr>
            <w:tcW w:w="3942" w:type="dxa"/>
            <w:gridSpan w:val="2"/>
          </w:tcPr>
          <w:p w14:paraId="3C8D9C30" w14:textId="1C165F0D" w:rsidR="00856442" w:rsidRPr="007F7C6E" w:rsidRDefault="00856442" w:rsidP="0001076C">
            <w:pPr>
              <w:tabs>
                <w:tab w:val="clear" w:pos="284"/>
              </w:tabs>
              <w:autoSpaceDE w:val="0"/>
              <w:autoSpaceDN w:val="0"/>
              <w:adjustRightInd w:val="0"/>
              <w:jc w:val="center"/>
              <w:rPr>
                <w:rFonts w:eastAsia="TimesNewRoman"/>
                <w:b/>
                <w:szCs w:val="22"/>
                <w:lang w:val="sr-Latn-ME"/>
              </w:rPr>
            </w:pPr>
            <w:r w:rsidRPr="007F7C6E">
              <w:rPr>
                <w:rFonts w:eastAsia="TimesNewRoman"/>
                <w:b/>
                <w:szCs w:val="22"/>
                <w:lang w:val="sr-Latn-ME"/>
              </w:rPr>
              <w:t>Vr</w:t>
            </w:r>
            <w:r w:rsidR="000A2208" w:rsidRPr="007F7C6E">
              <w:rPr>
                <w:rFonts w:eastAsia="TimesNewRoman"/>
                <w:b/>
                <w:szCs w:val="22"/>
                <w:lang w:val="sr-Latn-ME"/>
              </w:rPr>
              <w:t>ij</w:t>
            </w:r>
            <w:r w:rsidRPr="007F7C6E">
              <w:rPr>
                <w:rFonts w:eastAsia="TimesNewRoman"/>
                <w:b/>
                <w:szCs w:val="22"/>
                <w:lang w:val="sr-Latn-ME"/>
              </w:rPr>
              <w:t>ednosti MIC (mg/</w:t>
            </w:r>
            <w:r w:rsidR="007B4F2D" w:rsidRPr="007F7C6E">
              <w:rPr>
                <w:rFonts w:eastAsia="TimesNewRoman"/>
                <w:b/>
                <w:szCs w:val="22"/>
                <w:lang w:val="sr-Latn-ME"/>
              </w:rPr>
              <w:t>l</w:t>
            </w:r>
            <w:r w:rsidRPr="007F7C6E">
              <w:rPr>
                <w:rFonts w:eastAsia="TimesNewRoman"/>
                <w:b/>
                <w:szCs w:val="22"/>
                <w:lang w:val="sr-Latn-ME"/>
              </w:rPr>
              <w:t>)</w:t>
            </w:r>
          </w:p>
        </w:tc>
        <w:tc>
          <w:tcPr>
            <w:tcW w:w="3942" w:type="dxa"/>
            <w:gridSpan w:val="2"/>
          </w:tcPr>
          <w:p w14:paraId="3C8D9C31" w14:textId="77777777" w:rsidR="00856442" w:rsidRPr="007F7C6E" w:rsidRDefault="00856442" w:rsidP="0001076C">
            <w:pPr>
              <w:tabs>
                <w:tab w:val="clear" w:pos="284"/>
              </w:tabs>
              <w:autoSpaceDE w:val="0"/>
              <w:autoSpaceDN w:val="0"/>
              <w:adjustRightInd w:val="0"/>
              <w:jc w:val="center"/>
              <w:rPr>
                <w:rFonts w:eastAsia="TimesNewRoman"/>
                <w:b/>
                <w:szCs w:val="22"/>
                <w:vertAlign w:val="superscript"/>
                <w:lang w:val="sr-Latn-ME"/>
              </w:rPr>
            </w:pPr>
            <w:r w:rsidRPr="007F7C6E">
              <w:rPr>
                <w:rFonts w:eastAsia="TimesNewRoman"/>
                <w:b/>
                <w:szCs w:val="22"/>
                <w:lang w:val="sr-Latn-ME"/>
              </w:rPr>
              <w:t>Dijametar zone (mm)</w:t>
            </w:r>
            <w:r w:rsidRPr="007F7C6E">
              <w:rPr>
                <w:rFonts w:eastAsia="TimesNewRoman"/>
                <w:b/>
                <w:szCs w:val="22"/>
                <w:vertAlign w:val="superscript"/>
                <w:lang w:val="sr-Latn-ME"/>
              </w:rPr>
              <w:t>a</w:t>
            </w:r>
          </w:p>
        </w:tc>
      </w:tr>
      <w:tr w:rsidR="00856442" w:rsidRPr="007F7C6E" w14:paraId="3C8D9C38" w14:textId="77777777" w:rsidTr="00856442">
        <w:tc>
          <w:tcPr>
            <w:tcW w:w="1971" w:type="dxa"/>
          </w:tcPr>
          <w:p w14:paraId="3C8D9C33" w14:textId="77777777" w:rsidR="00856442" w:rsidRPr="007F7C6E" w:rsidRDefault="00856442" w:rsidP="0001076C">
            <w:pPr>
              <w:tabs>
                <w:tab w:val="clear" w:pos="284"/>
              </w:tabs>
              <w:autoSpaceDE w:val="0"/>
              <w:autoSpaceDN w:val="0"/>
              <w:adjustRightInd w:val="0"/>
              <w:jc w:val="left"/>
              <w:rPr>
                <w:rFonts w:eastAsia="TimesNewRoman"/>
                <w:b/>
                <w:szCs w:val="22"/>
                <w:lang w:val="sr-Latn-ME"/>
              </w:rPr>
            </w:pPr>
            <w:r w:rsidRPr="007F7C6E">
              <w:rPr>
                <w:rFonts w:eastAsia="TimesNewRoman"/>
                <w:b/>
                <w:szCs w:val="22"/>
                <w:lang w:val="sr-Latn-ME"/>
              </w:rPr>
              <w:t>Mikroorganizam</w:t>
            </w:r>
          </w:p>
        </w:tc>
        <w:tc>
          <w:tcPr>
            <w:tcW w:w="1971" w:type="dxa"/>
          </w:tcPr>
          <w:p w14:paraId="3C8D9C34" w14:textId="23428F22"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S</w:t>
            </w:r>
            <w:r w:rsidR="007B4F2D" w:rsidRPr="007F7C6E">
              <w:rPr>
                <w:rFonts w:eastAsia="TimesNewRoman"/>
                <w:szCs w:val="22"/>
                <w:lang w:val="sr-Latn-ME"/>
              </w:rPr>
              <w:t xml:space="preserve"> </w:t>
            </w:r>
            <w:r w:rsidRPr="007F7C6E">
              <w:rPr>
                <w:rFonts w:eastAsia="TimesNewRoman"/>
                <w:szCs w:val="22"/>
                <w:lang w:val="sr-Latn-ME"/>
              </w:rPr>
              <w:t>≤</w:t>
            </w:r>
          </w:p>
        </w:tc>
        <w:tc>
          <w:tcPr>
            <w:tcW w:w="1971" w:type="dxa"/>
          </w:tcPr>
          <w:p w14:paraId="3C8D9C35" w14:textId="762BA394"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R</w:t>
            </w:r>
            <w:r w:rsidR="007B4F2D" w:rsidRPr="007F7C6E">
              <w:rPr>
                <w:rFonts w:eastAsia="TimesNewRoman"/>
                <w:szCs w:val="22"/>
                <w:lang w:val="sr-Latn-ME"/>
              </w:rPr>
              <w:t xml:space="preserve"> </w:t>
            </w:r>
            <w:r w:rsidRPr="007F7C6E">
              <w:rPr>
                <w:rFonts w:eastAsia="TimesNewRoman"/>
                <w:szCs w:val="22"/>
                <w:lang w:val="sr-Latn-ME"/>
              </w:rPr>
              <w:t>&gt;</w:t>
            </w:r>
          </w:p>
        </w:tc>
        <w:tc>
          <w:tcPr>
            <w:tcW w:w="1971" w:type="dxa"/>
          </w:tcPr>
          <w:p w14:paraId="3C8D9C36" w14:textId="6E20C0DC"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S</w:t>
            </w:r>
            <w:r w:rsidR="007B4F2D" w:rsidRPr="007F7C6E">
              <w:rPr>
                <w:rFonts w:eastAsia="TimesNewRoman"/>
                <w:szCs w:val="22"/>
                <w:lang w:val="sr-Latn-ME"/>
              </w:rPr>
              <w:t xml:space="preserve"> </w:t>
            </w:r>
            <w:r w:rsidRPr="007F7C6E">
              <w:rPr>
                <w:rFonts w:eastAsia="TimesNewRoman"/>
                <w:szCs w:val="22"/>
                <w:lang w:val="sr-Latn-ME"/>
              </w:rPr>
              <w:t>≥</w:t>
            </w:r>
          </w:p>
        </w:tc>
        <w:tc>
          <w:tcPr>
            <w:tcW w:w="1971" w:type="dxa"/>
          </w:tcPr>
          <w:p w14:paraId="3C8D9C37" w14:textId="4B275364"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R</w:t>
            </w:r>
            <w:r w:rsidR="007B4F2D" w:rsidRPr="007F7C6E">
              <w:rPr>
                <w:rFonts w:eastAsia="TimesNewRoman"/>
                <w:szCs w:val="22"/>
                <w:lang w:val="sr-Latn-ME"/>
              </w:rPr>
              <w:t xml:space="preserve"> </w:t>
            </w:r>
            <w:r w:rsidRPr="007F7C6E">
              <w:rPr>
                <w:rFonts w:eastAsia="TimesNewRoman"/>
                <w:szCs w:val="22"/>
                <w:lang w:val="sr-Latn-ME"/>
              </w:rPr>
              <w:t>&lt;</w:t>
            </w:r>
          </w:p>
        </w:tc>
      </w:tr>
      <w:tr w:rsidR="00856442" w:rsidRPr="007F7C6E" w14:paraId="3C8D9C3E" w14:textId="77777777" w:rsidTr="00856442">
        <w:tc>
          <w:tcPr>
            <w:tcW w:w="1971" w:type="dxa"/>
          </w:tcPr>
          <w:p w14:paraId="3C8D9C39"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i/>
                <w:iCs/>
                <w:szCs w:val="22"/>
                <w:lang w:val="sr-Latn-ME"/>
              </w:rPr>
              <w:t xml:space="preserve">Staphylococcus </w:t>
            </w:r>
            <w:r w:rsidRPr="007F7C6E">
              <w:rPr>
                <w:szCs w:val="22"/>
                <w:lang w:val="sr-Latn-ME"/>
              </w:rPr>
              <w:t>spp</w:t>
            </w:r>
            <w:r w:rsidRPr="007F7C6E">
              <w:rPr>
                <w:i/>
                <w:iCs/>
                <w:szCs w:val="22"/>
                <w:lang w:val="sr-Latn-ME"/>
              </w:rPr>
              <w:t>.</w:t>
            </w:r>
          </w:p>
        </w:tc>
        <w:tc>
          <w:tcPr>
            <w:tcW w:w="1971" w:type="dxa"/>
          </w:tcPr>
          <w:p w14:paraId="3C8D9C3A"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25</w:t>
            </w:r>
          </w:p>
        </w:tc>
        <w:tc>
          <w:tcPr>
            <w:tcW w:w="1971" w:type="dxa"/>
          </w:tcPr>
          <w:p w14:paraId="3C8D9C3B"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3C"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22</w:t>
            </w:r>
          </w:p>
        </w:tc>
        <w:tc>
          <w:tcPr>
            <w:tcW w:w="1971" w:type="dxa"/>
          </w:tcPr>
          <w:p w14:paraId="3C8D9C3D"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19</w:t>
            </w:r>
          </w:p>
        </w:tc>
      </w:tr>
      <w:tr w:rsidR="00856442" w:rsidRPr="007F7C6E" w14:paraId="3C8D9C44" w14:textId="77777777" w:rsidTr="00856442">
        <w:tc>
          <w:tcPr>
            <w:tcW w:w="1971" w:type="dxa"/>
          </w:tcPr>
          <w:p w14:paraId="3C8D9C3F"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i/>
                <w:iCs/>
                <w:szCs w:val="22"/>
                <w:lang w:val="sr-Latn-ME"/>
              </w:rPr>
              <w:t>Streptococcus (grupa A, B, C i G)</w:t>
            </w:r>
          </w:p>
        </w:tc>
        <w:tc>
          <w:tcPr>
            <w:tcW w:w="1971" w:type="dxa"/>
          </w:tcPr>
          <w:p w14:paraId="3C8D9C40"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41"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42"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17</w:t>
            </w:r>
          </w:p>
        </w:tc>
        <w:tc>
          <w:tcPr>
            <w:tcW w:w="1971" w:type="dxa"/>
          </w:tcPr>
          <w:p w14:paraId="3C8D9C43"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17</w:t>
            </w:r>
          </w:p>
        </w:tc>
      </w:tr>
      <w:tr w:rsidR="00856442" w:rsidRPr="007F7C6E" w14:paraId="3C8D9C4B" w14:textId="77777777" w:rsidTr="00856442">
        <w:tc>
          <w:tcPr>
            <w:tcW w:w="1971" w:type="dxa"/>
          </w:tcPr>
          <w:p w14:paraId="3C8D9C45" w14:textId="77777777" w:rsidR="00856442" w:rsidRPr="007F7C6E" w:rsidRDefault="00856442" w:rsidP="007B4F2D">
            <w:pPr>
              <w:tabs>
                <w:tab w:val="clear" w:pos="284"/>
              </w:tabs>
              <w:autoSpaceDE w:val="0"/>
              <w:autoSpaceDN w:val="0"/>
              <w:adjustRightInd w:val="0"/>
              <w:jc w:val="left"/>
              <w:rPr>
                <w:i/>
                <w:iCs/>
                <w:szCs w:val="22"/>
                <w:lang w:val="sr-Latn-ME"/>
              </w:rPr>
            </w:pPr>
            <w:r w:rsidRPr="007F7C6E">
              <w:rPr>
                <w:i/>
                <w:iCs/>
                <w:szCs w:val="22"/>
                <w:lang w:val="sr-Latn-ME"/>
              </w:rPr>
              <w:t>Streptococcus</w:t>
            </w:r>
          </w:p>
          <w:p w14:paraId="3C8D9C46"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i/>
                <w:iCs/>
                <w:szCs w:val="22"/>
                <w:lang w:val="sr-Latn-ME"/>
              </w:rPr>
              <w:t>pneumoniae</w:t>
            </w:r>
          </w:p>
        </w:tc>
        <w:tc>
          <w:tcPr>
            <w:tcW w:w="1971" w:type="dxa"/>
          </w:tcPr>
          <w:p w14:paraId="3C8D9C47"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48"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49"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19</w:t>
            </w:r>
          </w:p>
        </w:tc>
        <w:tc>
          <w:tcPr>
            <w:tcW w:w="1971" w:type="dxa"/>
          </w:tcPr>
          <w:p w14:paraId="3C8D9C4A"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19</w:t>
            </w:r>
          </w:p>
        </w:tc>
      </w:tr>
      <w:tr w:rsidR="00856442" w:rsidRPr="007F7C6E" w14:paraId="3C8D9C52" w14:textId="77777777" w:rsidTr="00856442">
        <w:tc>
          <w:tcPr>
            <w:tcW w:w="1971" w:type="dxa"/>
          </w:tcPr>
          <w:p w14:paraId="3C8D9C4C" w14:textId="77777777" w:rsidR="00856442" w:rsidRPr="007F7C6E" w:rsidRDefault="00856442" w:rsidP="007B4F2D">
            <w:pPr>
              <w:tabs>
                <w:tab w:val="clear" w:pos="284"/>
              </w:tabs>
              <w:autoSpaceDE w:val="0"/>
              <w:autoSpaceDN w:val="0"/>
              <w:adjustRightInd w:val="0"/>
              <w:jc w:val="left"/>
              <w:rPr>
                <w:i/>
                <w:iCs/>
                <w:szCs w:val="22"/>
                <w:lang w:val="sr-Latn-ME"/>
              </w:rPr>
            </w:pPr>
            <w:r w:rsidRPr="007F7C6E">
              <w:rPr>
                <w:i/>
                <w:iCs/>
                <w:szCs w:val="22"/>
                <w:lang w:val="sr-Latn-ME"/>
              </w:rPr>
              <w:t>Viridans grupa</w:t>
            </w:r>
          </w:p>
          <w:p w14:paraId="3C8D9C4D"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i/>
                <w:iCs/>
                <w:szCs w:val="22"/>
                <w:lang w:val="sr-Latn-ME"/>
              </w:rPr>
              <w:t>streptococci</w:t>
            </w:r>
          </w:p>
        </w:tc>
        <w:tc>
          <w:tcPr>
            <w:tcW w:w="1971" w:type="dxa"/>
          </w:tcPr>
          <w:p w14:paraId="3C8D9C4E"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0.5</w:t>
            </w:r>
          </w:p>
        </w:tc>
        <w:tc>
          <w:tcPr>
            <w:tcW w:w="1971" w:type="dxa"/>
          </w:tcPr>
          <w:p w14:paraId="3C8D9C4F"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0.5</w:t>
            </w:r>
          </w:p>
        </w:tc>
        <w:tc>
          <w:tcPr>
            <w:tcW w:w="1971" w:type="dxa"/>
          </w:tcPr>
          <w:p w14:paraId="3C8D9C50"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19</w:t>
            </w:r>
          </w:p>
        </w:tc>
        <w:tc>
          <w:tcPr>
            <w:tcW w:w="1971" w:type="dxa"/>
          </w:tcPr>
          <w:p w14:paraId="3C8D9C51"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19</w:t>
            </w:r>
          </w:p>
        </w:tc>
      </w:tr>
      <w:tr w:rsidR="00856442" w:rsidRPr="007F7C6E" w14:paraId="3C8D9C58" w14:textId="77777777" w:rsidTr="00856442">
        <w:tc>
          <w:tcPr>
            <w:tcW w:w="1971" w:type="dxa"/>
          </w:tcPr>
          <w:p w14:paraId="3C8D9C53"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rFonts w:eastAsia="TimesNewRoman"/>
                <w:szCs w:val="22"/>
                <w:lang w:val="sr-Latn-ME"/>
              </w:rPr>
              <w:lastRenderedPageBreak/>
              <w:t>Gram-pozitivne anaerobne</w:t>
            </w:r>
          </w:p>
        </w:tc>
        <w:tc>
          <w:tcPr>
            <w:tcW w:w="1971" w:type="dxa"/>
          </w:tcPr>
          <w:p w14:paraId="3C8D9C54"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4</w:t>
            </w:r>
          </w:p>
        </w:tc>
        <w:tc>
          <w:tcPr>
            <w:tcW w:w="1971" w:type="dxa"/>
          </w:tcPr>
          <w:p w14:paraId="3C8D9C55"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4</w:t>
            </w:r>
          </w:p>
        </w:tc>
        <w:tc>
          <w:tcPr>
            <w:tcW w:w="1971" w:type="dxa"/>
          </w:tcPr>
          <w:p w14:paraId="3C8D9C56"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NA</w:t>
            </w:r>
          </w:p>
        </w:tc>
        <w:tc>
          <w:tcPr>
            <w:tcW w:w="1971" w:type="dxa"/>
          </w:tcPr>
          <w:p w14:paraId="3C8D9C57"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NA</w:t>
            </w:r>
          </w:p>
        </w:tc>
      </w:tr>
      <w:tr w:rsidR="00856442" w:rsidRPr="007F7C6E" w14:paraId="3C8D9C5E" w14:textId="77777777" w:rsidTr="00856442">
        <w:tc>
          <w:tcPr>
            <w:tcW w:w="1971" w:type="dxa"/>
          </w:tcPr>
          <w:p w14:paraId="3C8D9C59"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rFonts w:eastAsia="TimesNewRoman"/>
                <w:szCs w:val="22"/>
                <w:lang w:val="sr-Latn-ME"/>
              </w:rPr>
              <w:t>Gram-negativne anaerobne</w:t>
            </w:r>
          </w:p>
        </w:tc>
        <w:tc>
          <w:tcPr>
            <w:tcW w:w="1971" w:type="dxa"/>
          </w:tcPr>
          <w:p w14:paraId="3C8D9C5A"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4</w:t>
            </w:r>
          </w:p>
        </w:tc>
        <w:tc>
          <w:tcPr>
            <w:tcW w:w="1971" w:type="dxa"/>
          </w:tcPr>
          <w:p w14:paraId="3C8D9C5B"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4</w:t>
            </w:r>
          </w:p>
        </w:tc>
        <w:tc>
          <w:tcPr>
            <w:tcW w:w="1971" w:type="dxa"/>
          </w:tcPr>
          <w:p w14:paraId="3C8D9C5C"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NA</w:t>
            </w:r>
          </w:p>
        </w:tc>
        <w:tc>
          <w:tcPr>
            <w:tcW w:w="1971" w:type="dxa"/>
          </w:tcPr>
          <w:p w14:paraId="3C8D9C5D"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NA</w:t>
            </w:r>
          </w:p>
        </w:tc>
      </w:tr>
      <w:tr w:rsidR="00856442" w:rsidRPr="007F7C6E" w14:paraId="3C8D9C64" w14:textId="77777777" w:rsidTr="00856442">
        <w:tc>
          <w:tcPr>
            <w:tcW w:w="1971" w:type="dxa"/>
          </w:tcPr>
          <w:p w14:paraId="3C8D9C5F"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i/>
                <w:iCs/>
                <w:szCs w:val="22"/>
                <w:lang w:val="sr-Latn-ME"/>
              </w:rPr>
              <w:t>Corynebacterium spp.</w:t>
            </w:r>
          </w:p>
        </w:tc>
        <w:tc>
          <w:tcPr>
            <w:tcW w:w="1971" w:type="dxa"/>
          </w:tcPr>
          <w:p w14:paraId="3C8D9C60"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61"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0</w:t>
            </w:r>
            <w:r w:rsidR="00DC5290" w:rsidRPr="007F7C6E">
              <w:rPr>
                <w:rFonts w:eastAsia="TimesNewRoman"/>
                <w:szCs w:val="22"/>
                <w:lang w:val="sr-Latn-ME"/>
              </w:rPr>
              <w:t>,</w:t>
            </w:r>
            <w:r w:rsidRPr="007F7C6E">
              <w:rPr>
                <w:rFonts w:eastAsia="TimesNewRoman"/>
                <w:szCs w:val="22"/>
                <w:lang w:val="sr-Latn-ME"/>
              </w:rPr>
              <w:t>5</w:t>
            </w:r>
          </w:p>
        </w:tc>
        <w:tc>
          <w:tcPr>
            <w:tcW w:w="1971" w:type="dxa"/>
          </w:tcPr>
          <w:p w14:paraId="3C8D9C62"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20</w:t>
            </w:r>
          </w:p>
        </w:tc>
        <w:tc>
          <w:tcPr>
            <w:tcW w:w="1971" w:type="dxa"/>
          </w:tcPr>
          <w:p w14:paraId="3C8D9C63" w14:textId="77777777" w:rsidR="00856442" w:rsidRPr="007F7C6E" w:rsidRDefault="00856442" w:rsidP="0001076C">
            <w:pPr>
              <w:tabs>
                <w:tab w:val="clear" w:pos="284"/>
              </w:tabs>
              <w:autoSpaceDE w:val="0"/>
              <w:autoSpaceDN w:val="0"/>
              <w:adjustRightInd w:val="0"/>
              <w:jc w:val="center"/>
              <w:rPr>
                <w:rFonts w:eastAsia="TimesNewRoman"/>
                <w:szCs w:val="22"/>
                <w:lang w:val="sr-Latn-ME"/>
              </w:rPr>
            </w:pPr>
            <w:r w:rsidRPr="007F7C6E">
              <w:rPr>
                <w:rFonts w:eastAsia="TimesNewRoman"/>
                <w:szCs w:val="22"/>
                <w:lang w:val="sr-Latn-ME"/>
              </w:rPr>
              <w:t>20</w:t>
            </w:r>
          </w:p>
        </w:tc>
      </w:tr>
      <w:tr w:rsidR="00856442" w:rsidRPr="007F7C6E" w14:paraId="3C8D9C68" w14:textId="77777777" w:rsidTr="002D3995">
        <w:tc>
          <w:tcPr>
            <w:tcW w:w="9855" w:type="dxa"/>
            <w:gridSpan w:val="5"/>
          </w:tcPr>
          <w:p w14:paraId="3C8D9C65" w14:textId="77777777"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rFonts w:eastAsia="TimesNewRoman"/>
                <w:szCs w:val="22"/>
                <w:vertAlign w:val="superscript"/>
                <w:lang w:val="sr-Latn-ME"/>
              </w:rPr>
              <w:t xml:space="preserve">a </w:t>
            </w:r>
            <w:r w:rsidRPr="007F7C6E">
              <w:rPr>
                <w:rFonts w:eastAsia="TimesNewRoman"/>
                <w:szCs w:val="22"/>
                <w:lang w:val="sr-Latn-ME"/>
              </w:rPr>
              <w:t>Koncentracija klindamicina u disku 2 μg</w:t>
            </w:r>
          </w:p>
          <w:p w14:paraId="3C8D9C66" w14:textId="10549E89"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rFonts w:eastAsia="TimesNewRoman"/>
                <w:szCs w:val="22"/>
                <w:lang w:val="sr-Latn-ME"/>
              </w:rPr>
              <w:t>NA – nije prim</w:t>
            </w:r>
            <w:r w:rsidR="000A2208" w:rsidRPr="007F7C6E">
              <w:rPr>
                <w:rFonts w:eastAsia="TimesNewRoman"/>
                <w:szCs w:val="22"/>
                <w:lang w:val="sr-Latn-ME"/>
              </w:rPr>
              <w:t>j</w:t>
            </w:r>
            <w:r w:rsidRPr="007F7C6E">
              <w:rPr>
                <w:rFonts w:eastAsia="TimesNewRoman"/>
                <w:szCs w:val="22"/>
                <w:lang w:val="sr-Latn-ME"/>
              </w:rPr>
              <w:t>enljivo</w:t>
            </w:r>
          </w:p>
          <w:p w14:paraId="3C8D9C67" w14:textId="1952AAC4" w:rsidR="00856442" w:rsidRPr="007F7C6E" w:rsidRDefault="00856442" w:rsidP="0001076C">
            <w:pPr>
              <w:tabs>
                <w:tab w:val="clear" w:pos="284"/>
              </w:tabs>
              <w:autoSpaceDE w:val="0"/>
              <w:autoSpaceDN w:val="0"/>
              <w:adjustRightInd w:val="0"/>
              <w:jc w:val="left"/>
              <w:rPr>
                <w:rFonts w:eastAsia="TimesNewRoman"/>
                <w:szCs w:val="22"/>
                <w:lang w:val="sr-Latn-ME"/>
              </w:rPr>
            </w:pPr>
            <w:r w:rsidRPr="007F7C6E">
              <w:rPr>
                <w:rFonts w:eastAsia="TimesNewRoman"/>
                <w:szCs w:val="22"/>
                <w:lang w:val="sr-Latn-ME"/>
              </w:rPr>
              <w:t>S – os</w:t>
            </w:r>
            <w:r w:rsidR="000A2208" w:rsidRPr="007F7C6E">
              <w:rPr>
                <w:rFonts w:eastAsia="TimesNewRoman"/>
                <w:szCs w:val="22"/>
                <w:lang w:val="sr-Latn-ME"/>
              </w:rPr>
              <w:t>j</w:t>
            </w:r>
            <w:r w:rsidRPr="007F7C6E">
              <w:rPr>
                <w:rFonts w:eastAsia="TimesNewRoman"/>
                <w:szCs w:val="22"/>
                <w:lang w:val="sr-Latn-ME"/>
              </w:rPr>
              <w:t>etljiv</w:t>
            </w:r>
            <w:r w:rsidR="002D3995" w:rsidRPr="007F7C6E">
              <w:rPr>
                <w:rFonts w:eastAsia="TimesNewRoman"/>
                <w:szCs w:val="22"/>
                <w:lang w:val="sr-Latn-ME"/>
              </w:rPr>
              <w:t xml:space="preserve">, </w:t>
            </w:r>
            <w:r w:rsidRPr="007F7C6E">
              <w:rPr>
                <w:rFonts w:eastAsia="TimesNewRoman"/>
                <w:szCs w:val="22"/>
                <w:lang w:val="sr-Latn-ME"/>
              </w:rPr>
              <w:t>R - rezistentan</w:t>
            </w:r>
          </w:p>
        </w:tc>
      </w:tr>
    </w:tbl>
    <w:p w14:paraId="3C8D9C69" w14:textId="77777777" w:rsidR="00FF1002" w:rsidRPr="007F7C6E" w:rsidRDefault="00FF1002" w:rsidP="00812AA1">
      <w:pPr>
        <w:tabs>
          <w:tab w:val="clear" w:pos="284"/>
        </w:tabs>
        <w:autoSpaceDE w:val="0"/>
        <w:autoSpaceDN w:val="0"/>
        <w:adjustRightInd w:val="0"/>
        <w:rPr>
          <w:rFonts w:eastAsia="TimesNewRoman"/>
          <w:szCs w:val="22"/>
          <w:lang w:val="sr-Latn-ME"/>
        </w:rPr>
      </w:pPr>
    </w:p>
    <w:p w14:paraId="3C8D9C6A" w14:textId="17490356" w:rsidR="00FF1002" w:rsidRPr="007F7C6E" w:rsidRDefault="002D3995" w:rsidP="00812AA1">
      <w:pPr>
        <w:tabs>
          <w:tab w:val="clear" w:pos="284"/>
        </w:tabs>
        <w:autoSpaceDE w:val="0"/>
        <w:autoSpaceDN w:val="0"/>
        <w:adjustRightInd w:val="0"/>
        <w:rPr>
          <w:rFonts w:eastAsia="TimesNewRoman"/>
          <w:szCs w:val="22"/>
          <w:lang w:val="sr-Latn-ME"/>
        </w:rPr>
      </w:pPr>
      <w:r w:rsidRPr="007F7C6E">
        <w:rPr>
          <w:rFonts w:eastAsia="TimesNewRoman"/>
          <w:szCs w:val="22"/>
          <w:lang w:val="sr-Latn-ME"/>
        </w:rPr>
        <w:t>EUCAST QC opseg za MIC</w:t>
      </w:r>
      <w:r w:rsidR="000A2208" w:rsidRPr="007F7C6E">
        <w:rPr>
          <w:rFonts w:eastAsia="TimesNewRoman"/>
          <w:szCs w:val="22"/>
          <w:lang w:val="sr-Latn-ME"/>
        </w:rPr>
        <w:t xml:space="preserve"> </w:t>
      </w:r>
      <w:r w:rsidRPr="007F7C6E">
        <w:rPr>
          <w:rFonts w:eastAsia="TimesNewRoman"/>
          <w:szCs w:val="22"/>
          <w:lang w:val="sr-Latn-ME"/>
        </w:rPr>
        <w:t>vr</w:t>
      </w:r>
      <w:r w:rsidR="000A2208" w:rsidRPr="007F7C6E">
        <w:rPr>
          <w:rFonts w:eastAsia="TimesNewRoman"/>
          <w:szCs w:val="22"/>
          <w:lang w:val="sr-Latn-ME"/>
        </w:rPr>
        <w:t>ij</w:t>
      </w:r>
      <w:r w:rsidRPr="007F7C6E">
        <w:rPr>
          <w:rFonts w:eastAsia="TimesNewRoman"/>
          <w:szCs w:val="22"/>
          <w:lang w:val="sr-Latn-ME"/>
        </w:rPr>
        <w:t>ednosti  i dijametar zone su prikazane u tabeli 2.</w:t>
      </w:r>
    </w:p>
    <w:p w14:paraId="6711C1DF" w14:textId="77777777" w:rsidR="005E0862" w:rsidRPr="007F7C6E" w:rsidRDefault="005E0862" w:rsidP="00812AA1">
      <w:pPr>
        <w:tabs>
          <w:tab w:val="clear" w:pos="284"/>
        </w:tabs>
        <w:autoSpaceDE w:val="0"/>
        <w:autoSpaceDN w:val="0"/>
        <w:adjustRightInd w:val="0"/>
        <w:rPr>
          <w:rFonts w:eastAsia="TimesNewRoman"/>
          <w:szCs w:val="22"/>
          <w:lang w:val="sr-Latn-ME"/>
        </w:rPr>
      </w:pPr>
    </w:p>
    <w:p w14:paraId="3C8D9C6B" w14:textId="3F34B4E8" w:rsidR="002D3995" w:rsidRPr="007F7C6E" w:rsidRDefault="002D3995" w:rsidP="0001076C">
      <w:pPr>
        <w:tabs>
          <w:tab w:val="clear" w:pos="284"/>
        </w:tabs>
        <w:autoSpaceDE w:val="0"/>
        <w:autoSpaceDN w:val="0"/>
        <w:adjustRightInd w:val="0"/>
        <w:jc w:val="center"/>
        <w:rPr>
          <w:rFonts w:eastAsia="TimesNewRoman"/>
          <w:b/>
          <w:szCs w:val="22"/>
          <w:lang w:val="sr-Latn-ME"/>
        </w:rPr>
      </w:pPr>
      <w:r w:rsidRPr="007F7C6E">
        <w:rPr>
          <w:rFonts w:eastAsia="TimesNewRoman"/>
          <w:b/>
          <w:szCs w:val="22"/>
          <w:lang w:val="sr-Latn-ME"/>
        </w:rPr>
        <w:t>Tabela 2. EUCAST kontrola kvaliteta opsega vr</w:t>
      </w:r>
      <w:r w:rsidR="000A2208" w:rsidRPr="007F7C6E">
        <w:rPr>
          <w:rFonts w:eastAsia="TimesNewRoman"/>
          <w:b/>
          <w:szCs w:val="22"/>
          <w:lang w:val="sr-Latn-ME"/>
        </w:rPr>
        <w:t>ij</w:t>
      </w:r>
      <w:r w:rsidRPr="007F7C6E">
        <w:rPr>
          <w:rFonts w:eastAsia="TimesNewRoman"/>
          <w:b/>
          <w:szCs w:val="22"/>
          <w:lang w:val="sr-Latn-ME"/>
        </w:rPr>
        <w:t>ednosti za klindamicin (validacija rezultata testova os</w:t>
      </w:r>
      <w:r w:rsidR="000A2208" w:rsidRPr="007F7C6E">
        <w:rPr>
          <w:rFonts w:eastAsia="TimesNewRoman"/>
          <w:b/>
          <w:szCs w:val="22"/>
          <w:lang w:val="sr-Latn-ME"/>
        </w:rPr>
        <w:t>j</w:t>
      </w:r>
      <w:r w:rsidRPr="007F7C6E">
        <w:rPr>
          <w:rFonts w:eastAsia="TimesNewRoman"/>
          <w:b/>
          <w:szCs w:val="22"/>
          <w:lang w:val="sr-Latn-ME"/>
        </w:rPr>
        <w:t>etljivosti)</w:t>
      </w:r>
    </w:p>
    <w:tbl>
      <w:tblPr>
        <w:tblStyle w:val="TableGrid"/>
        <w:tblW w:w="0" w:type="auto"/>
        <w:tblLook w:val="04A0" w:firstRow="1" w:lastRow="0" w:firstColumn="1" w:lastColumn="0" w:noHBand="0" w:noVBand="1"/>
      </w:tblPr>
      <w:tblGrid>
        <w:gridCol w:w="3219"/>
        <w:gridCol w:w="3205"/>
        <w:gridCol w:w="3205"/>
      </w:tblGrid>
      <w:tr w:rsidR="002D3995" w:rsidRPr="007F7C6E" w14:paraId="3C8D9C70" w14:textId="77777777" w:rsidTr="002D3995">
        <w:tc>
          <w:tcPr>
            <w:tcW w:w="3285" w:type="dxa"/>
          </w:tcPr>
          <w:p w14:paraId="3C8D9C6C" w14:textId="77777777" w:rsidR="002D3995" w:rsidRPr="007F7C6E" w:rsidRDefault="002D3995" w:rsidP="0001076C">
            <w:pPr>
              <w:tabs>
                <w:tab w:val="clear" w:pos="284"/>
              </w:tabs>
              <w:autoSpaceDE w:val="0"/>
              <w:autoSpaceDN w:val="0"/>
              <w:adjustRightInd w:val="0"/>
              <w:jc w:val="center"/>
              <w:rPr>
                <w:rFonts w:eastAsia="TimesNewRoman"/>
                <w:b/>
                <w:szCs w:val="22"/>
                <w:lang w:val="sr-Latn-ME"/>
              </w:rPr>
            </w:pPr>
            <w:r w:rsidRPr="007F7C6E">
              <w:rPr>
                <w:rFonts w:eastAsia="TimesNewRoman"/>
                <w:b/>
                <w:szCs w:val="22"/>
                <w:lang w:val="sr-Latn-ME"/>
              </w:rPr>
              <w:t>QC soj</w:t>
            </w:r>
          </w:p>
        </w:tc>
        <w:tc>
          <w:tcPr>
            <w:tcW w:w="3285" w:type="dxa"/>
          </w:tcPr>
          <w:p w14:paraId="3C8D9C6D" w14:textId="21492BD3"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rFonts w:eastAsia="TimesNewRoman"/>
                <w:b/>
                <w:szCs w:val="22"/>
                <w:lang w:val="sr-Latn-ME"/>
              </w:rPr>
              <w:t>Opseg vr</w:t>
            </w:r>
            <w:r w:rsidR="000A2208" w:rsidRPr="007F7C6E">
              <w:rPr>
                <w:rFonts w:eastAsia="TimesNewRoman"/>
                <w:b/>
                <w:szCs w:val="22"/>
                <w:lang w:val="sr-Latn-ME"/>
              </w:rPr>
              <w:t>ij</w:t>
            </w:r>
            <w:r w:rsidRPr="007F7C6E">
              <w:rPr>
                <w:rFonts w:eastAsia="TimesNewRoman"/>
                <w:b/>
                <w:szCs w:val="22"/>
                <w:lang w:val="sr-Latn-ME"/>
              </w:rPr>
              <w:t>ednosti MIC (mcg/m</w:t>
            </w:r>
            <w:r w:rsidR="005E0862" w:rsidRPr="007F7C6E">
              <w:rPr>
                <w:rFonts w:eastAsia="TimesNewRoman"/>
                <w:b/>
                <w:szCs w:val="22"/>
                <w:lang w:val="sr-Latn-ME"/>
              </w:rPr>
              <w:t>l</w:t>
            </w:r>
            <w:r w:rsidRPr="007F7C6E">
              <w:rPr>
                <w:rFonts w:eastAsia="TimesNewRoman"/>
                <w:b/>
                <w:szCs w:val="22"/>
                <w:lang w:val="sr-Latn-ME"/>
              </w:rPr>
              <w:t>)</w:t>
            </w:r>
          </w:p>
        </w:tc>
        <w:tc>
          <w:tcPr>
            <w:tcW w:w="3285" w:type="dxa"/>
          </w:tcPr>
          <w:p w14:paraId="3C8D9C6E" w14:textId="65D872D0" w:rsidR="002D3995" w:rsidRPr="007F7C6E" w:rsidRDefault="002D3995" w:rsidP="0001076C">
            <w:pPr>
              <w:tabs>
                <w:tab w:val="clear" w:pos="284"/>
              </w:tabs>
              <w:autoSpaceDE w:val="0"/>
              <w:autoSpaceDN w:val="0"/>
              <w:adjustRightInd w:val="0"/>
              <w:jc w:val="center"/>
              <w:rPr>
                <w:rFonts w:eastAsia="TimesNewRoman"/>
                <w:b/>
                <w:szCs w:val="22"/>
                <w:lang w:val="sr-Latn-ME"/>
              </w:rPr>
            </w:pPr>
            <w:r w:rsidRPr="007F7C6E">
              <w:rPr>
                <w:rFonts w:eastAsia="TimesNewRoman"/>
                <w:b/>
                <w:szCs w:val="22"/>
                <w:lang w:val="sr-Latn-ME"/>
              </w:rPr>
              <w:t>Opseg vr</w:t>
            </w:r>
            <w:r w:rsidR="000A2208" w:rsidRPr="007F7C6E">
              <w:rPr>
                <w:rFonts w:eastAsia="TimesNewRoman"/>
                <w:b/>
                <w:szCs w:val="22"/>
                <w:lang w:val="sr-Latn-ME"/>
              </w:rPr>
              <w:t>ij</w:t>
            </w:r>
            <w:r w:rsidRPr="007F7C6E">
              <w:rPr>
                <w:rFonts w:eastAsia="TimesNewRoman"/>
                <w:b/>
                <w:szCs w:val="22"/>
                <w:lang w:val="sr-Latn-ME"/>
              </w:rPr>
              <w:t>ednosti za disk-difuzioni metod</w:t>
            </w:r>
          </w:p>
          <w:p w14:paraId="3C8D9C6F" w14:textId="77777777"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rFonts w:eastAsia="TimesNewRoman"/>
                <w:b/>
                <w:szCs w:val="22"/>
                <w:lang w:val="sr-Latn-ME"/>
              </w:rPr>
              <w:t>(dijametar zone - mm)</w:t>
            </w:r>
          </w:p>
        </w:tc>
      </w:tr>
      <w:tr w:rsidR="002D3995" w:rsidRPr="007F7C6E" w14:paraId="3C8D9C75" w14:textId="77777777" w:rsidTr="002D3995">
        <w:tc>
          <w:tcPr>
            <w:tcW w:w="3285" w:type="dxa"/>
          </w:tcPr>
          <w:p w14:paraId="3C8D9C71" w14:textId="77777777" w:rsidR="002D3995" w:rsidRPr="007F7C6E" w:rsidRDefault="002D3995" w:rsidP="00812AA1">
            <w:pPr>
              <w:tabs>
                <w:tab w:val="clear" w:pos="284"/>
              </w:tabs>
              <w:autoSpaceDE w:val="0"/>
              <w:autoSpaceDN w:val="0"/>
              <w:adjustRightInd w:val="0"/>
              <w:rPr>
                <w:i/>
                <w:iCs/>
                <w:szCs w:val="22"/>
                <w:lang w:val="sr-Latn-ME"/>
              </w:rPr>
            </w:pPr>
            <w:r w:rsidRPr="007F7C6E">
              <w:rPr>
                <w:i/>
                <w:iCs/>
                <w:szCs w:val="22"/>
                <w:lang w:val="sr-Latn-ME"/>
              </w:rPr>
              <w:t>Staphylococcus aureus</w:t>
            </w:r>
          </w:p>
          <w:p w14:paraId="3C8D9C72" w14:textId="77777777" w:rsidR="002D3995" w:rsidRPr="007F7C6E" w:rsidRDefault="002D3995" w:rsidP="00812AA1">
            <w:pPr>
              <w:tabs>
                <w:tab w:val="clear" w:pos="284"/>
              </w:tabs>
              <w:autoSpaceDE w:val="0"/>
              <w:autoSpaceDN w:val="0"/>
              <w:adjustRightInd w:val="0"/>
              <w:rPr>
                <w:rFonts w:eastAsia="TimesNewRoman"/>
                <w:szCs w:val="22"/>
                <w:lang w:val="sr-Latn-ME"/>
              </w:rPr>
            </w:pPr>
            <w:r w:rsidRPr="007F7C6E">
              <w:rPr>
                <w:i/>
                <w:iCs/>
                <w:szCs w:val="22"/>
                <w:lang w:val="sr-Latn-ME"/>
              </w:rPr>
              <w:t>ATCC 29213</w:t>
            </w:r>
          </w:p>
        </w:tc>
        <w:tc>
          <w:tcPr>
            <w:tcW w:w="3285" w:type="dxa"/>
          </w:tcPr>
          <w:p w14:paraId="3C8D9C73" w14:textId="4C187A78"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szCs w:val="22"/>
                <w:lang w:val="sr-Latn-ME"/>
              </w:rPr>
              <w:t>0</w:t>
            </w:r>
            <w:r w:rsidR="00DC5290" w:rsidRPr="007F7C6E">
              <w:rPr>
                <w:szCs w:val="22"/>
                <w:lang w:val="sr-Latn-ME"/>
              </w:rPr>
              <w:t>,</w:t>
            </w:r>
            <w:r w:rsidRPr="007F7C6E">
              <w:rPr>
                <w:szCs w:val="22"/>
                <w:lang w:val="sr-Latn-ME"/>
              </w:rPr>
              <w:t>06</w:t>
            </w:r>
            <w:r w:rsidR="005E0862" w:rsidRPr="007F7C6E">
              <w:rPr>
                <w:szCs w:val="22"/>
                <w:lang w:val="sr-Latn-ME"/>
              </w:rPr>
              <w:t xml:space="preserve"> </w:t>
            </w:r>
            <w:r w:rsidRPr="007F7C6E">
              <w:rPr>
                <w:szCs w:val="22"/>
                <w:lang w:val="sr-Latn-ME"/>
              </w:rPr>
              <w:t>–</w:t>
            </w:r>
            <w:r w:rsidR="005E0862" w:rsidRPr="007F7C6E">
              <w:rPr>
                <w:szCs w:val="22"/>
                <w:lang w:val="sr-Latn-ME"/>
              </w:rPr>
              <w:t xml:space="preserve"> </w:t>
            </w:r>
            <w:r w:rsidRPr="007F7C6E">
              <w:rPr>
                <w:szCs w:val="22"/>
                <w:lang w:val="sr-Latn-ME"/>
              </w:rPr>
              <w:t>0</w:t>
            </w:r>
            <w:r w:rsidR="00DC5290" w:rsidRPr="007F7C6E">
              <w:rPr>
                <w:szCs w:val="22"/>
                <w:lang w:val="sr-Latn-ME"/>
              </w:rPr>
              <w:t>,</w:t>
            </w:r>
            <w:r w:rsidRPr="007F7C6E">
              <w:rPr>
                <w:szCs w:val="22"/>
                <w:lang w:val="sr-Latn-ME"/>
              </w:rPr>
              <w:t>2</w:t>
            </w:r>
            <w:r w:rsidR="004709B5" w:rsidRPr="007F7C6E">
              <w:rPr>
                <w:szCs w:val="22"/>
                <w:lang w:val="sr-Latn-ME"/>
              </w:rPr>
              <w:t>5</w:t>
            </w:r>
          </w:p>
        </w:tc>
        <w:tc>
          <w:tcPr>
            <w:tcW w:w="3285" w:type="dxa"/>
          </w:tcPr>
          <w:p w14:paraId="3C8D9C74" w14:textId="53DF4990"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szCs w:val="22"/>
                <w:lang w:val="sr-Latn-ME"/>
              </w:rPr>
              <w:t>23</w:t>
            </w:r>
            <w:r w:rsidR="005E0862" w:rsidRPr="007F7C6E">
              <w:rPr>
                <w:szCs w:val="22"/>
                <w:lang w:val="sr-Latn-ME"/>
              </w:rPr>
              <w:t xml:space="preserve"> </w:t>
            </w:r>
            <w:r w:rsidRPr="007F7C6E">
              <w:rPr>
                <w:szCs w:val="22"/>
                <w:lang w:val="sr-Latn-ME"/>
              </w:rPr>
              <w:t>-</w:t>
            </w:r>
            <w:r w:rsidR="005E0862" w:rsidRPr="007F7C6E">
              <w:rPr>
                <w:szCs w:val="22"/>
                <w:lang w:val="sr-Latn-ME"/>
              </w:rPr>
              <w:t xml:space="preserve"> </w:t>
            </w:r>
            <w:r w:rsidRPr="007F7C6E">
              <w:rPr>
                <w:szCs w:val="22"/>
                <w:lang w:val="sr-Latn-ME"/>
              </w:rPr>
              <w:t>29</w:t>
            </w:r>
          </w:p>
        </w:tc>
      </w:tr>
      <w:tr w:rsidR="002D3995" w:rsidRPr="007F7C6E" w14:paraId="3C8D9C7B" w14:textId="77777777" w:rsidTr="002D3995">
        <w:tc>
          <w:tcPr>
            <w:tcW w:w="3285" w:type="dxa"/>
          </w:tcPr>
          <w:p w14:paraId="3C8D9C76" w14:textId="77777777" w:rsidR="002D3995" w:rsidRPr="007F7C6E" w:rsidRDefault="002D3995" w:rsidP="002D3995">
            <w:pPr>
              <w:tabs>
                <w:tab w:val="clear" w:pos="284"/>
              </w:tabs>
              <w:autoSpaceDE w:val="0"/>
              <w:autoSpaceDN w:val="0"/>
              <w:adjustRightInd w:val="0"/>
              <w:jc w:val="left"/>
              <w:rPr>
                <w:i/>
                <w:iCs/>
                <w:szCs w:val="22"/>
                <w:lang w:val="sr-Latn-ME"/>
              </w:rPr>
            </w:pPr>
            <w:r w:rsidRPr="007F7C6E">
              <w:rPr>
                <w:i/>
                <w:iCs/>
                <w:szCs w:val="22"/>
                <w:lang w:val="sr-Latn-ME"/>
              </w:rPr>
              <w:t>Streptococcus</w:t>
            </w:r>
          </w:p>
          <w:p w14:paraId="3C8D9C77" w14:textId="77777777" w:rsidR="002D3995" w:rsidRPr="007F7C6E" w:rsidRDefault="002D3995" w:rsidP="002D3995">
            <w:pPr>
              <w:tabs>
                <w:tab w:val="clear" w:pos="284"/>
              </w:tabs>
              <w:autoSpaceDE w:val="0"/>
              <w:autoSpaceDN w:val="0"/>
              <w:adjustRightInd w:val="0"/>
              <w:rPr>
                <w:i/>
                <w:iCs/>
                <w:szCs w:val="22"/>
                <w:lang w:val="sr-Latn-ME"/>
              </w:rPr>
            </w:pPr>
            <w:r w:rsidRPr="007F7C6E">
              <w:rPr>
                <w:i/>
                <w:iCs/>
                <w:szCs w:val="22"/>
                <w:lang w:val="sr-Latn-ME"/>
              </w:rPr>
              <w:t>Pneumoniae</w:t>
            </w:r>
          </w:p>
          <w:p w14:paraId="3C8D9C78" w14:textId="77777777" w:rsidR="002D3995" w:rsidRPr="007F7C6E" w:rsidRDefault="002D3995" w:rsidP="002D3995">
            <w:pPr>
              <w:tabs>
                <w:tab w:val="clear" w:pos="284"/>
              </w:tabs>
              <w:autoSpaceDE w:val="0"/>
              <w:autoSpaceDN w:val="0"/>
              <w:adjustRightInd w:val="0"/>
              <w:rPr>
                <w:rFonts w:eastAsia="TimesNewRoman"/>
                <w:szCs w:val="22"/>
                <w:lang w:val="sr-Latn-ME"/>
              </w:rPr>
            </w:pPr>
            <w:r w:rsidRPr="007F7C6E">
              <w:rPr>
                <w:i/>
                <w:iCs/>
                <w:szCs w:val="22"/>
                <w:lang w:val="sr-Latn-ME"/>
              </w:rPr>
              <w:t>ATCC 49619</w:t>
            </w:r>
          </w:p>
        </w:tc>
        <w:tc>
          <w:tcPr>
            <w:tcW w:w="3285" w:type="dxa"/>
          </w:tcPr>
          <w:p w14:paraId="3C8D9C79" w14:textId="3A9AA573"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szCs w:val="22"/>
                <w:lang w:val="sr-Latn-ME"/>
              </w:rPr>
              <w:t>0</w:t>
            </w:r>
            <w:r w:rsidR="00DC5290" w:rsidRPr="007F7C6E">
              <w:rPr>
                <w:szCs w:val="22"/>
                <w:lang w:val="sr-Latn-ME"/>
              </w:rPr>
              <w:t>,</w:t>
            </w:r>
            <w:r w:rsidRPr="007F7C6E">
              <w:rPr>
                <w:szCs w:val="22"/>
                <w:lang w:val="sr-Latn-ME"/>
              </w:rPr>
              <w:t>03</w:t>
            </w:r>
            <w:r w:rsidR="005E0862" w:rsidRPr="007F7C6E">
              <w:rPr>
                <w:szCs w:val="22"/>
                <w:lang w:val="sr-Latn-ME"/>
              </w:rPr>
              <w:t xml:space="preserve"> </w:t>
            </w:r>
            <w:r w:rsidRPr="007F7C6E">
              <w:rPr>
                <w:szCs w:val="22"/>
                <w:lang w:val="sr-Latn-ME"/>
              </w:rPr>
              <w:t>–</w:t>
            </w:r>
            <w:r w:rsidR="005E0862" w:rsidRPr="007F7C6E">
              <w:rPr>
                <w:szCs w:val="22"/>
                <w:lang w:val="sr-Latn-ME"/>
              </w:rPr>
              <w:t xml:space="preserve"> </w:t>
            </w:r>
            <w:r w:rsidRPr="007F7C6E">
              <w:rPr>
                <w:szCs w:val="22"/>
                <w:lang w:val="sr-Latn-ME"/>
              </w:rPr>
              <w:t>0</w:t>
            </w:r>
            <w:r w:rsidR="00DC5290" w:rsidRPr="007F7C6E">
              <w:rPr>
                <w:szCs w:val="22"/>
                <w:lang w:val="sr-Latn-ME"/>
              </w:rPr>
              <w:t>,</w:t>
            </w:r>
            <w:r w:rsidRPr="007F7C6E">
              <w:rPr>
                <w:szCs w:val="22"/>
                <w:lang w:val="sr-Latn-ME"/>
              </w:rPr>
              <w:t>12</w:t>
            </w:r>
            <w:r w:rsidR="004709B5" w:rsidRPr="007F7C6E">
              <w:rPr>
                <w:szCs w:val="22"/>
                <w:lang w:val="sr-Latn-ME"/>
              </w:rPr>
              <w:t>5</w:t>
            </w:r>
          </w:p>
        </w:tc>
        <w:tc>
          <w:tcPr>
            <w:tcW w:w="3285" w:type="dxa"/>
          </w:tcPr>
          <w:p w14:paraId="3C8D9C7A" w14:textId="2266117E" w:rsidR="002D3995" w:rsidRPr="007F7C6E" w:rsidRDefault="002D3995" w:rsidP="0001076C">
            <w:pPr>
              <w:tabs>
                <w:tab w:val="clear" w:pos="284"/>
              </w:tabs>
              <w:autoSpaceDE w:val="0"/>
              <w:autoSpaceDN w:val="0"/>
              <w:adjustRightInd w:val="0"/>
              <w:jc w:val="center"/>
              <w:rPr>
                <w:rFonts w:eastAsia="TimesNewRoman"/>
                <w:szCs w:val="22"/>
                <w:lang w:val="sr-Latn-ME"/>
              </w:rPr>
            </w:pPr>
            <w:r w:rsidRPr="007F7C6E">
              <w:rPr>
                <w:szCs w:val="22"/>
                <w:lang w:val="sr-Latn-ME"/>
              </w:rPr>
              <w:t>22</w:t>
            </w:r>
            <w:r w:rsidR="005E0862" w:rsidRPr="007F7C6E">
              <w:rPr>
                <w:szCs w:val="22"/>
                <w:lang w:val="sr-Latn-ME"/>
              </w:rPr>
              <w:t xml:space="preserve"> </w:t>
            </w:r>
            <w:r w:rsidRPr="007F7C6E">
              <w:rPr>
                <w:szCs w:val="22"/>
                <w:lang w:val="sr-Latn-ME"/>
              </w:rPr>
              <w:t>-</w:t>
            </w:r>
            <w:r w:rsidR="005E0862" w:rsidRPr="007F7C6E">
              <w:rPr>
                <w:szCs w:val="22"/>
                <w:lang w:val="sr-Latn-ME"/>
              </w:rPr>
              <w:t xml:space="preserve"> </w:t>
            </w:r>
            <w:r w:rsidRPr="007F7C6E">
              <w:rPr>
                <w:szCs w:val="22"/>
                <w:lang w:val="sr-Latn-ME"/>
              </w:rPr>
              <w:t>28</w:t>
            </w:r>
          </w:p>
        </w:tc>
      </w:tr>
    </w:tbl>
    <w:p w14:paraId="3C8D9C7C" w14:textId="24466AE9" w:rsidR="002D3995" w:rsidRPr="007F7C6E" w:rsidRDefault="002D3995" w:rsidP="00812AA1">
      <w:pPr>
        <w:tabs>
          <w:tab w:val="clear" w:pos="284"/>
        </w:tabs>
        <w:autoSpaceDE w:val="0"/>
        <w:autoSpaceDN w:val="0"/>
        <w:adjustRightInd w:val="0"/>
        <w:rPr>
          <w:rFonts w:eastAsia="TimesNewRoman"/>
          <w:szCs w:val="22"/>
          <w:lang w:val="sr-Latn-ME"/>
        </w:rPr>
      </w:pPr>
      <w:r w:rsidRPr="007F7C6E">
        <w:rPr>
          <w:rFonts w:eastAsia="TimesNewRoman"/>
          <w:szCs w:val="22"/>
          <w:lang w:val="sr-Latn-ME"/>
        </w:rPr>
        <w:t>ATCC</w:t>
      </w:r>
      <w:r w:rsidRPr="007F7C6E">
        <w:rPr>
          <w:rFonts w:eastAsia="TimesNewRoman"/>
          <w:szCs w:val="22"/>
          <w:vertAlign w:val="superscript"/>
          <w:lang w:val="sr-Latn-ME"/>
        </w:rPr>
        <w:t>®</w:t>
      </w:r>
      <w:r w:rsidRPr="007F7C6E">
        <w:rPr>
          <w:rFonts w:eastAsia="TimesNewRoman"/>
          <w:szCs w:val="22"/>
          <w:lang w:val="sr-Latn-ME"/>
        </w:rPr>
        <w:t xml:space="preserve"> – Zaštićena oznaka za Američki tip kulture soja</w:t>
      </w:r>
      <w:r w:rsidR="005E0862" w:rsidRPr="007F7C6E">
        <w:rPr>
          <w:rFonts w:eastAsia="TimesNewRoman"/>
          <w:szCs w:val="22"/>
          <w:lang w:val="sr-Latn-ME"/>
        </w:rPr>
        <w:t xml:space="preserve"> (engl. </w:t>
      </w:r>
      <w:r w:rsidR="0060704C" w:rsidRPr="007F7C6E">
        <w:rPr>
          <w:rFonts w:eastAsia="TimesNewRoman"/>
          <w:i/>
          <w:szCs w:val="22"/>
          <w:lang w:val="sr-Latn-ME"/>
        </w:rPr>
        <w:t>T</w:t>
      </w:r>
      <w:r w:rsidR="005E0862" w:rsidRPr="007F7C6E">
        <w:rPr>
          <w:rFonts w:eastAsia="TimesNewRoman"/>
          <w:i/>
          <w:szCs w:val="22"/>
          <w:lang w:val="sr-Latn-ME"/>
        </w:rPr>
        <w:t>he American Type Culture Collection</w:t>
      </w:r>
      <w:r w:rsidR="005E0862" w:rsidRPr="007F7C6E">
        <w:rPr>
          <w:rFonts w:eastAsia="TimesNewRoman"/>
          <w:szCs w:val="22"/>
          <w:lang w:val="sr-Latn-ME"/>
        </w:rPr>
        <w:t>)</w:t>
      </w:r>
    </w:p>
    <w:p w14:paraId="3C8D9C7D" w14:textId="77777777" w:rsidR="00812AA1" w:rsidRPr="007F7C6E" w:rsidRDefault="00812AA1" w:rsidP="00812AA1">
      <w:pPr>
        <w:rPr>
          <w:b/>
          <w:bCs/>
          <w:szCs w:val="22"/>
          <w:lang w:val="sr-Latn-ME"/>
        </w:rPr>
      </w:pPr>
    </w:p>
    <w:p w14:paraId="3C8D9C7E" w14:textId="77777777" w:rsidR="00CE09F3" w:rsidRPr="007F7C6E" w:rsidRDefault="00CE09F3" w:rsidP="00923865">
      <w:pPr>
        <w:rPr>
          <w:b/>
          <w:bCs/>
          <w:szCs w:val="22"/>
          <w:lang w:val="sr-Latn-ME"/>
        </w:rPr>
      </w:pPr>
      <w:r w:rsidRPr="007F7C6E">
        <w:rPr>
          <w:b/>
          <w:bCs/>
          <w:szCs w:val="22"/>
          <w:lang w:val="sr-Latn-ME"/>
        </w:rPr>
        <w:t>5.2. Farmakokinetički podaci</w:t>
      </w:r>
    </w:p>
    <w:p w14:paraId="3C8D9C7F" w14:textId="77777777" w:rsidR="00CA71AD" w:rsidRPr="007F7C6E" w:rsidRDefault="00CA71AD" w:rsidP="0012602F">
      <w:pPr>
        <w:rPr>
          <w:szCs w:val="22"/>
          <w:lang w:val="sr-Latn-ME"/>
        </w:rPr>
      </w:pPr>
    </w:p>
    <w:p w14:paraId="3C8D9C80" w14:textId="77777777" w:rsidR="0012602F" w:rsidRPr="007F7C6E" w:rsidRDefault="00CA71AD" w:rsidP="0012602F">
      <w:pPr>
        <w:rPr>
          <w:szCs w:val="22"/>
          <w:u w:val="single"/>
          <w:lang w:val="sr-Latn-ME"/>
        </w:rPr>
      </w:pPr>
      <w:r w:rsidRPr="007F7C6E">
        <w:rPr>
          <w:szCs w:val="22"/>
          <w:u w:val="single"/>
          <w:lang w:val="sr-Latn-ME"/>
        </w:rPr>
        <w:t>Opšte karakteristike aktivne supstance</w:t>
      </w:r>
    </w:p>
    <w:p w14:paraId="3C8D9C81" w14:textId="41FDB318" w:rsidR="00A54717" w:rsidRPr="007F7C6E" w:rsidRDefault="00A54717" w:rsidP="00A54717">
      <w:pPr>
        <w:rPr>
          <w:szCs w:val="22"/>
          <w:lang w:val="sr-Latn-ME"/>
        </w:rPr>
      </w:pPr>
      <w:r w:rsidRPr="007F7C6E">
        <w:rPr>
          <w:szCs w:val="22"/>
          <w:lang w:val="sr-Latn-ME"/>
        </w:rPr>
        <w:t>Nakon parenteralne prim</w:t>
      </w:r>
      <w:r w:rsidR="000A2208" w:rsidRPr="007F7C6E">
        <w:rPr>
          <w:szCs w:val="22"/>
          <w:lang w:val="sr-Latn-ME"/>
        </w:rPr>
        <w:t>j</w:t>
      </w:r>
      <w:r w:rsidRPr="007F7C6E">
        <w:rPr>
          <w:szCs w:val="22"/>
          <w:lang w:val="sr-Latn-ME"/>
        </w:rPr>
        <w:t>ene, biološki neaktivan klindamicin</w:t>
      </w:r>
      <w:r w:rsidR="0060704C" w:rsidRPr="007F7C6E">
        <w:rPr>
          <w:szCs w:val="22"/>
          <w:lang w:val="sr-Latn-ME"/>
        </w:rPr>
        <w:t xml:space="preserve"> </w:t>
      </w:r>
      <w:r w:rsidRPr="007F7C6E">
        <w:rPr>
          <w:szCs w:val="22"/>
          <w:lang w:val="sr-Latn-ME"/>
        </w:rPr>
        <w:t>fosfat hidrolizuje u klindamicin. Prilikom intramuskularne prim</w:t>
      </w:r>
      <w:r w:rsidR="000A2208" w:rsidRPr="007F7C6E">
        <w:rPr>
          <w:szCs w:val="22"/>
          <w:lang w:val="sr-Latn-ME"/>
        </w:rPr>
        <w:t>j</w:t>
      </w:r>
      <w:r w:rsidRPr="007F7C6E">
        <w:rPr>
          <w:szCs w:val="22"/>
          <w:lang w:val="sr-Latn-ME"/>
        </w:rPr>
        <w:t>ene klindamicin</w:t>
      </w:r>
      <w:r w:rsidR="0060704C" w:rsidRPr="007F7C6E">
        <w:rPr>
          <w:szCs w:val="22"/>
          <w:lang w:val="sr-Latn-ME"/>
        </w:rPr>
        <w:t xml:space="preserve"> </w:t>
      </w:r>
      <w:r w:rsidRPr="007F7C6E">
        <w:rPr>
          <w:szCs w:val="22"/>
          <w:lang w:val="sr-Latn-ME"/>
        </w:rPr>
        <w:t>fosfata u dozi od 300 mg, pros</w:t>
      </w:r>
      <w:r w:rsidR="000A2208" w:rsidRPr="007F7C6E">
        <w:rPr>
          <w:szCs w:val="22"/>
          <w:lang w:val="sr-Latn-ME"/>
        </w:rPr>
        <w:t>j</w:t>
      </w:r>
      <w:r w:rsidRPr="007F7C6E">
        <w:rPr>
          <w:szCs w:val="22"/>
          <w:lang w:val="sr-Latn-ME"/>
        </w:rPr>
        <w:t xml:space="preserve">ečne maksimalne koncentracije u plazmi od 6 </w:t>
      </w:r>
      <w:r w:rsidR="00DC5290" w:rsidRPr="007F7C6E">
        <w:rPr>
          <w:szCs w:val="22"/>
          <w:lang w:val="sr-Latn-ME"/>
        </w:rPr>
        <w:t>mikro</w:t>
      </w:r>
      <w:r w:rsidRPr="007F7C6E">
        <w:rPr>
          <w:szCs w:val="22"/>
          <w:lang w:val="sr-Latn-ME"/>
        </w:rPr>
        <w:t>g</w:t>
      </w:r>
      <w:r w:rsidR="00DC5290" w:rsidRPr="007F7C6E">
        <w:rPr>
          <w:szCs w:val="22"/>
          <w:lang w:val="sr-Latn-ME"/>
        </w:rPr>
        <w:t>rama</w:t>
      </w:r>
      <w:r w:rsidRPr="007F7C6E">
        <w:rPr>
          <w:szCs w:val="22"/>
          <w:lang w:val="sr-Latn-ME"/>
        </w:rPr>
        <w:t>/m</w:t>
      </w:r>
      <w:r w:rsidR="0060704C" w:rsidRPr="007F7C6E">
        <w:rPr>
          <w:szCs w:val="22"/>
          <w:lang w:val="sr-Latn-ME"/>
        </w:rPr>
        <w:t>l</w:t>
      </w:r>
      <w:r w:rsidRPr="007F7C6E">
        <w:rPr>
          <w:szCs w:val="22"/>
          <w:lang w:val="sr-Latn-ME"/>
        </w:rPr>
        <w:t xml:space="preserve"> se postižu u roku od tri sata, a prilikom prim</w:t>
      </w:r>
      <w:r w:rsidR="000A2208" w:rsidRPr="007F7C6E">
        <w:rPr>
          <w:szCs w:val="22"/>
          <w:lang w:val="sr-Latn-ME"/>
        </w:rPr>
        <w:t>j</w:t>
      </w:r>
      <w:r w:rsidRPr="007F7C6E">
        <w:rPr>
          <w:szCs w:val="22"/>
          <w:lang w:val="sr-Latn-ME"/>
        </w:rPr>
        <w:t xml:space="preserve">ene 600 mg se postiže 9 </w:t>
      </w:r>
      <w:r w:rsidR="00DC5290" w:rsidRPr="007F7C6E">
        <w:rPr>
          <w:szCs w:val="22"/>
          <w:lang w:val="sr-Latn-ME"/>
        </w:rPr>
        <w:t>mikro</w:t>
      </w:r>
      <w:r w:rsidRPr="007F7C6E">
        <w:rPr>
          <w:szCs w:val="22"/>
          <w:lang w:val="sr-Latn-ME"/>
        </w:rPr>
        <w:t>g</w:t>
      </w:r>
      <w:r w:rsidR="00DC5290" w:rsidRPr="007F7C6E">
        <w:rPr>
          <w:szCs w:val="22"/>
          <w:lang w:val="sr-Latn-ME"/>
        </w:rPr>
        <w:t>rama</w:t>
      </w:r>
      <w:r w:rsidRPr="007F7C6E">
        <w:rPr>
          <w:szCs w:val="22"/>
          <w:lang w:val="sr-Latn-ME"/>
        </w:rPr>
        <w:t>/m</w:t>
      </w:r>
      <w:r w:rsidR="0060704C" w:rsidRPr="007F7C6E">
        <w:rPr>
          <w:szCs w:val="22"/>
          <w:lang w:val="sr-Latn-ME"/>
        </w:rPr>
        <w:t>l</w:t>
      </w:r>
      <w:r w:rsidRPr="007F7C6E">
        <w:rPr>
          <w:szCs w:val="22"/>
          <w:lang w:val="sr-Latn-ME"/>
        </w:rPr>
        <w:t>. Kod d</w:t>
      </w:r>
      <w:r w:rsidR="000A2208" w:rsidRPr="007F7C6E">
        <w:rPr>
          <w:szCs w:val="22"/>
          <w:lang w:val="sr-Latn-ME"/>
        </w:rPr>
        <w:t>j</w:t>
      </w:r>
      <w:r w:rsidRPr="007F7C6E">
        <w:rPr>
          <w:szCs w:val="22"/>
          <w:lang w:val="sr-Latn-ME"/>
        </w:rPr>
        <w:t>ece, maksimalne koncentracije se postižu u roku od sat vremena. Prilikom prim</w:t>
      </w:r>
      <w:r w:rsidR="000A2208" w:rsidRPr="007F7C6E">
        <w:rPr>
          <w:szCs w:val="22"/>
          <w:lang w:val="sr-Latn-ME"/>
        </w:rPr>
        <w:t>j</w:t>
      </w:r>
      <w:r w:rsidRPr="007F7C6E">
        <w:rPr>
          <w:szCs w:val="22"/>
          <w:lang w:val="sr-Latn-ME"/>
        </w:rPr>
        <w:t>ene istih doza intravenskim putem, već pred kraj infuzije postižu se maksimalne koncentracije od 7 i 10</w:t>
      </w:r>
      <w:r w:rsidR="001A1937" w:rsidRPr="007F7C6E">
        <w:rPr>
          <w:szCs w:val="22"/>
          <w:lang w:val="sr-Latn-ME"/>
        </w:rPr>
        <w:t xml:space="preserve"> </w:t>
      </w:r>
      <w:r w:rsidR="00F22EA3" w:rsidRPr="007F7C6E">
        <w:rPr>
          <w:szCs w:val="22"/>
          <w:lang w:val="sr-Latn-ME"/>
        </w:rPr>
        <w:t>mikrograma</w:t>
      </w:r>
      <w:r w:rsidRPr="007F7C6E">
        <w:rPr>
          <w:szCs w:val="22"/>
          <w:lang w:val="sr-Latn-ME"/>
        </w:rPr>
        <w:t>/m</w:t>
      </w:r>
      <w:r w:rsidR="0060704C" w:rsidRPr="007F7C6E">
        <w:rPr>
          <w:szCs w:val="22"/>
          <w:lang w:val="sr-Latn-ME"/>
        </w:rPr>
        <w:t>l</w:t>
      </w:r>
      <w:r w:rsidRPr="007F7C6E">
        <w:rPr>
          <w:szCs w:val="22"/>
          <w:lang w:val="sr-Latn-ME"/>
        </w:rPr>
        <w:t>.</w:t>
      </w:r>
    </w:p>
    <w:p w14:paraId="6FFA018C" w14:textId="77777777" w:rsidR="00F4431C" w:rsidRPr="007F7C6E" w:rsidRDefault="00F4431C" w:rsidP="00A54717">
      <w:pPr>
        <w:rPr>
          <w:szCs w:val="22"/>
          <w:lang w:val="sr-Latn-ME"/>
        </w:rPr>
      </w:pPr>
    </w:p>
    <w:p w14:paraId="3BA9127A" w14:textId="5BA1AF8C" w:rsidR="00F4431C" w:rsidRPr="007F7C6E" w:rsidRDefault="00A54717" w:rsidP="00A54717">
      <w:pPr>
        <w:rPr>
          <w:szCs w:val="22"/>
          <w:lang w:val="sr-Latn-ME"/>
        </w:rPr>
      </w:pPr>
      <w:r w:rsidRPr="007F7C6E">
        <w:rPr>
          <w:szCs w:val="22"/>
          <w:lang w:val="sr-Latn-ME"/>
        </w:rPr>
        <w:t xml:space="preserve">Klindamicin se </w:t>
      </w:r>
      <w:r w:rsidR="00CA71AD" w:rsidRPr="007F7C6E">
        <w:rPr>
          <w:szCs w:val="22"/>
          <w:lang w:val="sr-Latn-ME"/>
        </w:rPr>
        <w:t>široko distribuiše</w:t>
      </w:r>
      <w:r w:rsidRPr="007F7C6E">
        <w:rPr>
          <w:szCs w:val="22"/>
          <w:lang w:val="sr-Latn-ME"/>
        </w:rPr>
        <w:t xml:space="preserve"> u t</w:t>
      </w:r>
      <w:r w:rsidR="000A2208" w:rsidRPr="007F7C6E">
        <w:rPr>
          <w:szCs w:val="22"/>
          <w:lang w:val="sr-Latn-ME"/>
        </w:rPr>
        <w:t>j</w:t>
      </w:r>
      <w:r w:rsidRPr="007F7C6E">
        <w:rPr>
          <w:szCs w:val="22"/>
          <w:lang w:val="sr-Latn-ME"/>
        </w:rPr>
        <w:t xml:space="preserve">elesna tkiva i tečnosti, uključujući i kosti, ali ne prelazi u cerebrospinalnu tečnost u klinički značajnim </w:t>
      </w:r>
      <w:r w:rsidR="00CA71AD" w:rsidRPr="007F7C6E">
        <w:rPr>
          <w:szCs w:val="22"/>
          <w:lang w:val="sr-Latn-ME"/>
        </w:rPr>
        <w:t xml:space="preserve">terapijskim </w:t>
      </w:r>
      <w:r w:rsidRPr="007F7C6E">
        <w:rPr>
          <w:szCs w:val="22"/>
          <w:lang w:val="sr-Latn-ME"/>
        </w:rPr>
        <w:t xml:space="preserve">koncentracijama. </w:t>
      </w:r>
    </w:p>
    <w:p w14:paraId="2D77470F" w14:textId="77777777" w:rsidR="00F4431C" w:rsidRPr="007F7C6E" w:rsidRDefault="00F4431C" w:rsidP="00A54717">
      <w:pPr>
        <w:rPr>
          <w:szCs w:val="22"/>
          <w:lang w:val="sr-Latn-ME"/>
        </w:rPr>
      </w:pPr>
    </w:p>
    <w:p w14:paraId="050D53B2" w14:textId="72D7C0D3" w:rsidR="00D62DD7" w:rsidRPr="007F7C6E" w:rsidRDefault="00473132" w:rsidP="00473132">
      <w:pPr>
        <w:tabs>
          <w:tab w:val="clear" w:pos="284"/>
        </w:tabs>
        <w:autoSpaceDE w:val="0"/>
        <w:autoSpaceDN w:val="0"/>
        <w:adjustRightInd w:val="0"/>
        <w:rPr>
          <w:szCs w:val="22"/>
          <w:lang w:val="sr-Latn-ME"/>
        </w:rPr>
      </w:pPr>
      <w:r w:rsidRPr="007F7C6E">
        <w:rPr>
          <w:szCs w:val="22"/>
          <w:lang w:val="sr-Latn-ME"/>
        </w:rPr>
        <w:t xml:space="preserve">Koncentracije </w:t>
      </w:r>
      <w:r w:rsidR="0064264A" w:rsidRPr="007F7C6E">
        <w:rPr>
          <w:szCs w:val="22"/>
          <w:lang w:val="sr-Latn-ME"/>
        </w:rPr>
        <w:t>lijeka</w:t>
      </w:r>
      <w:r w:rsidRPr="007F7C6E">
        <w:rPr>
          <w:szCs w:val="22"/>
          <w:lang w:val="sr-Latn-ME"/>
        </w:rPr>
        <w:t xml:space="preserve"> u m</w:t>
      </w:r>
      <w:r w:rsidR="0064264A" w:rsidRPr="007F7C6E">
        <w:rPr>
          <w:szCs w:val="22"/>
          <w:lang w:val="sr-Latn-ME"/>
        </w:rPr>
        <w:t>lijek</w:t>
      </w:r>
      <w:r w:rsidRPr="007F7C6E">
        <w:rPr>
          <w:szCs w:val="22"/>
          <w:lang w:val="sr-Latn-ME"/>
        </w:rPr>
        <w:t>u dojilja su do 3,8 mg/m</w:t>
      </w:r>
      <w:r w:rsidR="0060704C" w:rsidRPr="007F7C6E">
        <w:rPr>
          <w:szCs w:val="22"/>
          <w:lang w:val="sr-Latn-ME"/>
        </w:rPr>
        <w:t>l</w:t>
      </w:r>
      <w:r w:rsidRPr="007F7C6E">
        <w:rPr>
          <w:szCs w:val="22"/>
          <w:lang w:val="sr-Latn-ME"/>
        </w:rPr>
        <w:t>, ubrzo nakon IV prim</w:t>
      </w:r>
      <w:r w:rsidR="000A2208" w:rsidRPr="007F7C6E">
        <w:rPr>
          <w:szCs w:val="22"/>
          <w:lang w:val="sr-Latn-ME"/>
        </w:rPr>
        <w:t>j</w:t>
      </w:r>
      <w:r w:rsidRPr="007F7C6E">
        <w:rPr>
          <w:szCs w:val="22"/>
          <w:lang w:val="sr-Latn-ME"/>
        </w:rPr>
        <w:t>ene doze od 600 mg, da bi se smanjile na oko 1 mg/m</w:t>
      </w:r>
      <w:r w:rsidR="0060704C" w:rsidRPr="007F7C6E">
        <w:rPr>
          <w:szCs w:val="22"/>
          <w:lang w:val="sr-Latn-ME"/>
        </w:rPr>
        <w:t>l</w:t>
      </w:r>
      <w:r w:rsidRPr="007F7C6E">
        <w:rPr>
          <w:szCs w:val="22"/>
          <w:lang w:val="sr-Latn-ME"/>
        </w:rPr>
        <w:t xml:space="preserve">, za oko 2 h. Maksimalne koncentracije </w:t>
      </w:r>
      <w:r w:rsidR="0064264A" w:rsidRPr="007F7C6E">
        <w:rPr>
          <w:szCs w:val="22"/>
          <w:lang w:val="sr-Latn-ME"/>
        </w:rPr>
        <w:t>lijeka</w:t>
      </w:r>
      <w:r w:rsidRPr="007F7C6E">
        <w:rPr>
          <w:szCs w:val="22"/>
          <w:lang w:val="sr-Latn-ME"/>
        </w:rPr>
        <w:t xml:space="preserve"> (Cmax.) nakon oralne prim</w:t>
      </w:r>
      <w:r w:rsidR="000A2208" w:rsidRPr="007F7C6E">
        <w:rPr>
          <w:szCs w:val="22"/>
          <w:lang w:val="sr-Latn-ME"/>
        </w:rPr>
        <w:t>j</w:t>
      </w:r>
      <w:r w:rsidRPr="007F7C6E">
        <w:rPr>
          <w:szCs w:val="22"/>
          <w:lang w:val="sr-Latn-ME"/>
        </w:rPr>
        <w:t>ene ni</w:t>
      </w:r>
      <w:r w:rsidR="0060704C" w:rsidRPr="007F7C6E">
        <w:rPr>
          <w:szCs w:val="22"/>
          <w:lang w:val="sr-Latn-ME"/>
        </w:rPr>
        <w:t>je</w:t>
      </w:r>
      <w:r w:rsidRPr="007F7C6E">
        <w:rPr>
          <w:szCs w:val="22"/>
          <w:lang w:val="sr-Latn-ME"/>
        </w:rPr>
        <w:t>su poznate, ali su registrovane koncentracije do 1,2 mg/m</w:t>
      </w:r>
      <w:r w:rsidR="0060704C" w:rsidRPr="007F7C6E">
        <w:rPr>
          <w:szCs w:val="22"/>
          <w:lang w:val="sr-Latn-ME"/>
        </w:rPr>
        <w:t>l</w:t>
      </w:r>
      <w:r w:rsidRPr="007F7C6E">
        <w:rPr>
          <w:szCs w:val="22"/>
          <w:lang w:val="sr-Latn-ME"/>
        </w:rPr>
        <w:t xml:space="preserve"> u m</w:t>
      </w:r>
      <w:r w:rsidR="0064264A" w:rsidRPr="007F7C6E">
        <w:rPr>
          <w:szCs w:val="22"/>
          <w:lang w:val="sr-Latn-ME"/>
        </w:rPr>
        <w:t>lijek</w:t>
      </w:r>
      <w:r w:rsidRPr="007F7C6E">
        <w:rPr>
          <w:szCs w:val="22"/>
          <w:lang w:val="sr-Latn-ME"/>
        </w:rPr>
        <w:t>u dojilja, nakon oralne prim</w:t>
      </w:r>
      <w:r w:rsidR="000A2208" w:rsidRPr="007F7C6E">
        <w:rPr>
          <w:szCs w:val="22"/>
          <w:lang w:val="sr-Latn-ME"/>
        </w:rPr>
        <w:t>j</w:t>
      </w:r>
      <w:r w:rsidRPr="007F7C6E">
        <w:rPr>
          <w:szCs w:val="22"/>
          <w:lang w:val="sr-Latn-ME"/>
        </w:rPr>
        <w:t xml:space="preserve">ene doze od 150 mg. </w:t>
      </w:r>
      <w:r w:rsidR="00A54717" w:rsidRPr="007F7C6E">
        <w:rPr>
          <w:szCs w:val="22"/>
          <w:lang w:val="sr-Latn-ME"/>
        </w:rPr>
        <w:t>Prolazi kroz placentu u fetalnu koncentraciju i u m</w:t>
      </w:r>
      <w:r w:rsidR="0064264A" w:rsidRPr="007F7C6E">
        <w:rPr>
          <w:szCs w:val="22"/>
          <w:lang w:val="sr-Latn-ME"/>
        </w:rPr>
        <w:t>lijek</w:t>
      </w:r>
      <w:r w:rsidR="00A54717" w:rsidRPr="007F7C6E">
        <w:rPr>
          <w:szCs w:val="22"/>
          <w:lang w:val="sr-Latn-ME"/>
        </w:rPr>
        <w:t>o dojilja.</w:t>
      </w:r>
      <w:r w:rsidR="00F02507" w:rsidRPr="007F7C6E">
        <w:rPr>
          <w:szCs w:val="22"/>
          <w:lang w:val="sr-Latn-ME"/>
        </w:rPr>
        <w:t xml:space="preserve"> </w:t>
      </w:r>
    </w:p>
    <w:p w14:paraId="0B23C457" w14:textId="77777777" w:rsidR="00D62DD7" w:rsidRPr="007F7C6E" w:rsidRDefault="00D62DD7" w:rsidP="00A54717">
      <w:pPr>
        <w:rPr>
          <w:szCs w:val="22"/>
          <w:lang w:val="sr-Latn-ME"/>
        </w:rPr>
      </w:pPr>
    </w:p>
    <w:p w14:paraId="3C8D9C83" w14:textId="5A0D5DF4" w:rsidR="00A54717" w:rsidRPr="007F7C6E" w:rsidRDefault="00A54717" w:rsidP="00A54717">
      <w:pPr>
        <w:rPr>
          <w:szCs w:val="22"/>
          <w:lang w:val="sr-Latn-ME"/>
        </w:rPr>
      </w:pPr>
      <w:r w:rsidRPr="007F7C6E">
        <w:rPr>
          <w:szCs w:val="22"/>
          <w:lang w:val="sr-Latn-ME"/>
        </w:rPr>
        <w:t xml:space="preserve">Visoke koncentracije se postižu i u žuči. Akumulira se u leukocitima i makrofagama. Više od 90% klindamicina u cirkulaciji je vezano za proteine plazme. </w:t>
      </w:r>
      <w:r w:rsidR="00F02507" w:rsidRPr="007F7C6E">
        <w:rPr>
          <w:i/>
          <w:iCs/>
          <w:szCs w:val="22"/>
          <w:lang w:val="sr-Latn-ME"/>
        </w:rPr>
        <w:t>In vitro</w:t>
      </w:r>
      <w:r w:rsidR="00F02507" w:rsidRPr="007F7C6E">
        <w:rPr>
          <w:szCs w:val="22"/>
          <w:lang w:val="sr-Latn-ME"/>
        </w:rPr>
        <w:t xml:space="preserve"> studije na mikrozomima jetre i cr</w:t>
      </w:r>
      <w:r w:rsidR="000A2208" w:rsidRPr="007F7C6E">
        <w:rPr>
          <w:szCs w:val="22"/>
          <w:lang w:val="sr-Latn-ME"/>
        </w:rPr>
        <w:t>ij</w:t>
      </w:r>
      <w:r w:rsidR="00F02507" w:rsidRPr="007F7C6E">
        <w:rPr>
          <w:szCs w:val="22"/>
          <w:lang w:val="sr-Latn-ME"/>
        </w:rPr>
        <w:t>eva kod čoveka pokazale su da se klindamicin prevashodno oksidiše preko enzima CYP3A4, a vrlo malo preko CYP3A5, do klindamicin</w:t>
      </w:r>
      <w:r w:rsidR="0060704C" w:rsidRPr="007F7C6E">
        <w:rPr>
          <w:szCs w:val="22"/>
          <w:lang w:val="sr-Latn-ME"/>
        </w:rPr>
        <w:t xml:space="preserve"> </w:t>
      </w:r>
      <w:r w:rsidR="00F02507" w:rsidRPr="007F7C6E">
        <w:rPr>
          <w:szCs w:val="22"/>
          <w:lang w:val="sr-Latn-ME"/>
        </w:rPr>
        <w:t xml:space="preserve">sulfoksida i minor metabolita N-desmetilklindamicina. </w:t>
      </w:r>
      <w:r w:rsidRPr="007F7C6E">
        <w:rPr>
          <w:szCs w:val="22"/>
          <w:lang w:val="sr-Latn-ME"/>
        </w:rPr>
        <w:t>Poluvr</w:t>
      </w:r>
      <w:r w:rsidR="000A2208" w:rsidRPr="007F7C6E">
        <w:rPr>
          <w:szCs w:val="22"/>
          <w:lang w:val="sr-Latn-ME"/>
        </w:rPr>
        <w:t>ij</w:t>
      </w:r>
      <w:r w:rsidRPr="007F7C6E">
        <w:rPr>
          <w:szCs w:val="22"/>
          <w:lang w:val="sr-Latn-ME"/>
        </w:rPr>
        <w:t>eme eliminacije je 2-3 sata, iako može biti produženo kod prevremeno rođenih beba i pacijenata sa teškim renalnim oštećenjem.</w:t>
      </w:r>
    </w:p>
    <w:p w14:paraId="637E7DBC" w14:textId="77777777" w:rsidR="00D533ED" w:rsidRPr="007F7C6E" w:rsidRDefault="00D533ED" w:rsidP="00A54717">
      <w:pPr>
        <w:rPr>
          <w:szCs w:val="22"/>
          <w:lang w:val="sr-Latn-ME"/>
        </w:rPr>
      </w:pPr>
    </w:p>
    <w:p w14:paraId="3C8D9C84" w14:textId="7B321B9B" w:rsidR="00A54717" w:rsidRPr="007F7C6E" w:rsidRDefault="00A54717" w:rsidP="00A54717">
      <w:pPr>
        <w:rPr>
          <w:szCs w:val="22"/>
          <w:lang w:val="sr-Latn-ME"/>
        </w:rPr>
      </w:pPr>
      <w:r w:rsidRPr="007F7C6E">
        <w:rPr>
          <w:szCs w:val="22"/>
          <w:lang w:val="sr-Latn-ME"/>
        </w:rPr>
        <w:t xml:space="preserve">Kindamicin se metaboliše i stvaraju se aktivni N-demetil i sulfoksidni metaboliti i neki neaktivni metaboliti. Oko 10 % </w:t>
      </w:r>
      <w:r w:rsidR="0064264A" w:rsidRPr="007F7C6E">
        <w:rPr>
          <w:szCs w:val="22"/>
          <w:lang w:val="sr-Latn-ME"/>
        </w:rPr>
        <w:t>lijeka</w:t>
      </w:r>
      <w:r w:rsidRPr="007F7C6E">
        <w:rPr>
          <w:szCs w:val="22"/>
          <w:lang w:val="sr-Latn-ME"/>
        </w:rPr>
        <w:t xml:space="preserve"> se izlučuje urinom kao aktivan </w:t>
      </w:r>
      <w:r w:rsidR="0064264A" w:rsidRPr="007F7C6E">
        <w:rPr>
          <w:szCs w:val="22"/>
          <w:lang w:val="sr-Latn-ME"/>
        </w:rPr>
        <w:t>lijek</w:t>
      </w:r>
      <w:r w:rsidRPr="007F7C6E">
        <w:rPr>
          <w:szCs w:val="22"/>
          <w:lang w:val="sr-Latn-ME"/>
        </w:rPr>
        <w:t xml:space="preserve"> ili metabolit, a oko 4% preko fecesa; ostatak se izlučuje u obliku neaktivnih metabolita. Izlučivanje je sporo i traje nekoliko dana. Dijalizom se ne može efikasno ukloniti </w:t>
      </w:r>
      <w:r w:rsidR="0064264A" w:rsidRPr="007F7C6E">
        <w:rPr>
          <w:szCs w:val="22"/>
          <w:lang w:val="sr-Latn-ME"/>
        </w:rPr>
        <w:t>lijek</w:t>
      </w:r>
      <w:r w:rsidRPr="007F7C6E">
        <w:rPr>
          <w:szCs w:val="22"/>
          <w:lang w:val="sr-Latn-ME"/>
        </w:rPr>
        <w:t xml:space="preserve"> iz krvi.</w:t>
      </w:r>
    </w:p>
    <w:p w14:paraId="3C8D9C85" w14:textId="483B9A57" w:rsidR="0041216E" w:rsidRDefault="0041216E" w:rsidP="00A54717">
      <w:pPr>
        <w:rPr>
          <w:szCs w:val="22"/>
          <w:lang w:val="sr-Latn-ME"/>
        </w:rPr>
      </w:pPr>
    </w:p>
    <w:p w14:paraId="319CE93A" w14:textId="77280645" w:rsidR="00D15AD4" w:rsidRDefault="00D15AD4" w:rsidP="00A54717">
      <w:pPr>
        <w:rPr>
          <w:szCs w:val="22"/>
          <w:lang w:val="sr-Latn-ME"/>
        </w:rPr>
      </w:pPr>
    </w:p>
    <w:p w14:paraId="55857BD4" w14:textId="34598123" w:rsidR="00D15AD4" w:rsidRDefault="00D15AD4" w:rsidP="00A54717">
      <w:pPr>
        <w:rPr>
          <w:szCs w:val="22"/>
          <w:lang w:val="sr-Latn-ME"/>
        </w:rPr>
      </w:pPr>
    </w:p>
    <w:p w14:paraId="68BBDABA" w14:textId="77777777" w:rsidR="00D15AD4" w:rsidRPr="007F7C6E" w:rsidRDefault="00D15AD4" w:rsidP="00A54717">
      <w:pPr>
        <w:rPr>
          <w:szCs w:val="22"/>
          <w:lang w:val="sr-Latn-ME"/>
        </w:rPr>
      </w:pPr>
    </w:p>
    <w:p w14:paraId="0B3A1AC4" w14:textId="3138470E" w:rsidR="00DD471B" w:rsidRDefault="00DD471B" w:rsidP="00CC51B7">
      <w:pPr>
        <w:tabs>
          <w:tab w:val="clear" w:pos="284"/>
        </w:tabs>
        <w:autoSpaceDE w:val="0"/>
        <w:autoSpaceDN w:val="0"/>
        <w:adjustRightInd w:val="0"/>
        <w:rPr>
          <w:szCs w:val="22"/>
          <w:lang w:val="sr-Latn-ME"/>
        </w:rPr>
      </w:pPr>
      <w:r w:rsidRPr="007F7C6E">
        <w:rPr>
          <w:szCs w:val="22"/>
          <w:u w:val="single"/>
          <w:lang w:val="sr-Latn-ME"/>
        </w:rPr>
        <w:lastRenderedPageBreak/>
        <w:t>Gojazni pedijatrijski pacijenti uzrasta od 2 do 18 godina i gojazni mladi uzrasta od 18 do 20 godina</w:t>
      </w:r>
      <w:r w:rsidRPr="007F7C6E">
        <w:rPr>
          <w:szCs w:val="22"/>
          <w:lang w:val="sr-Latn-ME"/>
        </w:rPr>
        <w:t>:</w:t>
      </w:r>
    </w:p>
    <w:p w14:paraId="570AB78E" w14:textId="77777777" w:rsidR="00D15AD4" w:rsidRPr="007F7C6E" w:rsidRDefault="00D15AD4" w:rsidP="00CC51B7">
      <w:pPr>
        <w:tabs>
          <w:tab w:val="clear" w:pos="284"/>
        </w:tabs>
        <w:autoSpaceDE w:val="0"/>
        <w:autoSpaceDN w:val="0"/>
        <w:adjustRightInd w:val="0"/>
        <w:rPr>
          <w:szCs w:val="22"/>
          <w:lang w:val="sr-Latn-ME"/>
        </w:rPr>
      </w:pPr>
    </w:p>
    <w:p w14:paraId="3C8D9C88" w14:textId="304C36A8" w:rsidR="004B3353" w:rsidRPr="007F7C6E" w:rsidRDefault="00DD471B" w:rsidP="00235DFA">
      <w:pPr>
        <w:tabs>
          <w:tab w:val="clear" w:pos="284"/>
        </w:tabs>
        <w:autoSpaceDE w:val="0"/>
        <w:autoSpaceDN w:val="0"/>
        <w:adjustRightInd w:val="0"/>
        <w:rPr>
          <w:szCs w:val="22"/>
          <w:lang w:val="sr-Latn-ME"/>
        </w:rPr>
      </w:pPr>
      <w:r w:rsidRPr="007F7C6E">
        <w:rPr>
          <w:szCs w:val="22"/>
          <w:lang w:val="sr-Latn-ME"/>
        </w:rPr>
        <w:t>Analiza farmakokineti</w:t>
      </w:r>
      <w:r w:rsidR="00235DFA" w:rsidRPr="007F7C6E">
        <w:rPr>
          <w:szCs w:val="22"/>
          <w:lang w:val="sr-Latn-ME"/>
        </w:rPr>
        <w:t>č</w:t>
      </w:r>
      <w:r w:rsidRPr="007F7C6E">
        <w:rPr>
          <w:szCs w:val="22"/>
          <w:lang w:val="sr-Latn-ME"/>
        </w:rPr>
        <w:t>kih podataka kod pedijatrijskih pacijenata (uzrasta od 2 do 18 godina) i</w:t>
      </w:r>
      <w:r w:rsidR="00235DFA" w:rsidRPr="007F7C6E">
        <w:rPr>
          <w:szCs w:val="22"/>
          <w:lang w:val="sr-Latn-ME"/>
        </w:rPr>
        <w:t xml:space="preserve"> </w:t>
      </w:r>
      <w:r w:rsidRPr="007F7C6E">
        <w:rPr>
          <w:szCs w:val="22"/>
          <w:lang w:val="sr-Latn-ME"/>
        </w:rPr>
        <w:t>mladih (uzrasta od 18 do 20 godina), pokazala je da klirens i volumen distribucije klindamicina,</w:t>
      </w:r>
      <w:r w:rsidR="00235DFA" w:rsidRPr="007F7C6E">
        <w:rPr>
          <w:szCs w:val="22"/>
          <w:lang w:val="sr-Latn-ME"/>
        </w:rPr>
        <w:t xml:space="preserve"> </w:t>
      </w:r>
      <w:r w:rsidRPr="007F7C6E">
        <w:rPr>
          <w:szCs w:val="22"/>
          <w:lang w:val="sr-Latn-ME"/>
        </w:rPr>
        <w:t>kada se propi</w:t>
      </w:r>
      <w:r w:rsidR="00235DFA" w:rsidRPr="007F7C6E">
        <w:rPr>
          <w:szCs w:val="22"/>
          <w:lang w:val="sr-Latn-ME"/>
        </w:rPr>
        <w:t>š</w:t>
      </w:r>
      <w:r w:rsidRPr="007F7C6E">
        <w:rPr>
          <w:szCs w:val="22"/>
          <w:lang w:val="sr-Latn-ME"/>
        </w:rPr>
        <w:t xml:space="preserve">e u odnosu na ukupnu </w:t>
      </w:r>
      <w:r w:rsidR="008A4F4B" w:rsidRPr="007F7C6E">
        <w:rPr>
          <w:szCs w:val="22"/>
          <w:lang w:val="sr-Latn-ME"/>
        </w:rPr>
        <w:t>tjelesnu</w:t>
      </w:r>
      <w:r w:rsidRPr="007F7C6E">
        <w:rPr>
          <w:szCs w:val="22"/>
          <w:lang w:val="sr-Latn-ME"/>
        </w:rPr>
        <w:t xml:space="preserve"> masu, uporediv je izme</w:t>
      </w:r>
      <w:r w:rsidR="00235DFA" w:rsidRPr="007F7C6E">
        <w:rPr>
          <w:szCs w:val="22"/>
          <w:lang w:val="sr-Latn-ME"/>
        </w:rPr>
        <w:t>đ</w:t>
      </w:r>
      <w:r w:rsidRPr="007F7C6E">
        <w:rPr>
          <w:szCs w:val="22"/>
          <w:lang w:val="sr-Latn-ME"/>
        </w:rPr>
        <w:t>u pacijenata koji su gojazni i</w:t>
      </w:r>
      <w:r w:rsidR="00235DFA" w:rsidRPr="007F7C6E">
        <w:rPr>
          <w:szCs w:val="22"/>
          <w:lang w:val="sr-Latn-ME"/>
        </w:rPr>
        <w:t xml:space="preserve"> </w:t>
      </w:r>
      <w:r w:rsidRPr="007F7C6E">
        <w:rPr>
          <w:szCs w:val="22"/>
          <w:lang w:val="sr-Latn-ME"/>
        </w:rPr>
        <w:t>onih koji to ni</w:t>
      </w:r>
      <w:r w:rsidR="002F2CA2" w:rsidRPr="007F7C6E">
        <w:rPr>
          <w:szCs w:val="22"/>
          <w:lang w:val="sr-Latn-ME"/>
        </w:rPr>
        <w:t>je</w:t>
      </w:r>
      <w:r w:rsidRPr="007F7C6E">
        <w:rPr>
          <w:szCs w:val="22"/>
          <w:lang w:val="sr-Latn-ME"/>
        </w:rPr>
        <w:t>su.</w:t>
      </w:r>
    </w:p>
    <w:p w14:paraId="0EB3D819" w14:textId="77777777" w:rsidR="00DD471B" w:rsidRPr="007F7C6E" w:rsidRDefault="00DD471B" w:rsidP="00DD471B">
      <w:pPr>
        <w:rPr>
          <w:szCs w:val="22"/>
          <w:lang w:val="sr-Latn-ME"/>
        </w:rPr>
      </w:pPr>
    </w:p>
    <w:p w14:paraId="3C8D9C89" w14:textId="6ECD7C87" w:rsidR="00CE09F3" w:rsidRPr="007F7C6E" w:rsidRDefault="00CE09F3" w:rsidP="00923865">
      <w:pPr>
        <w:rPr>
          <w:b/>
          <w:bCs/>
          <w:szCs w:val="22"/>
          <w:lang w:val="sr-Latn-ME"/>
        </w:rPr>
      </w:pPr>
      <w:r w:rsidRPr="007F7C6E">
        <w:rPr>
          <w:b/>
          <w:bCs/>
          <w:szCs w:val="22"/>
          <w:lang w:val="sr-Latn-ME"/>
        </w:rPr>
        <w:t>5.3. Pretklinički podaci o bezb</w:t>
      </w:r>
      <w:r w:rsidR="00D65A01" w:rsidRPr="007F7C6E">
        <w:rPr>
          <w:b/>
          <w:bCs/>
          <w:szCs w:val="22"/>
          <w:lang w:val="sr-Latn-ME"/>
        </w:rPr>
        <w:t>j</w:t>
      </w:r>
      <w:r w:rsidRPr="007F7C6E">
        <w:rPr>
          <w:b/>
          <w:bCs/>
          <w:szCs w:val="22"/>
          <w:lang w:val="sr-Latn-ME"/>
        </w:rPr>
        <w:t>ednosti</w:t>
      </w:r>
    </w:p>
    <w:p w14:paraId="3C8D9C8A" w14:textId="77777777" w:rsidR="00723419" w:rsidRPr="007F7C6E" w:rsidRDefault="00723419" w:rsidP="00923865">
      <w:pPr>
        <w:rPr>
          <w:szCs w:val="22"/>
          <w:lang w:val="sr-Latn-ME"/>
        </w:rPr>
      </w:pPr>
    </w:p>
    <w:p w14:paraId="3C8D9C8B" w14:textId="77777777" w:rsidR="00F44B0B" w:rsidRPr="007F7C6E" w:rsidRDefault="00F44B0B" w:rsidP="00F44B0B">
      <w:pPr>
        <w:rPr>
          <w:i/>
          <w:szCs w:val="22"/>
          <w:lang w:val="sr-Latn-ME"/>
        </w:rPr>
      </w:pPr>
      <w:r w:rsidRPr="007F7C6E">
        <w:rPr>
          <w:i/>
          <w:szCs w:val="22"/>
          <w:lang w:val="sr-Latn-ME"/>
        </w:rPr>
        <w:t>Karcinogenost</w:t>
      </w:r>
    </w:p>
    <w:p w14:paraId="3C8D9C8C" w14:textId="4DDA4ADB" w:rsidR="00F44B0B" w:rsidRPr="007F7C6E" w:rsidRDefault="00F44B0B" w:rsidP="00F44B0B">
      <w:pPr>
        <w:rPr>
          <w:szCs w:val="22"/>
          <w:lang w:val="sr-Latn-ME"/>
        </w:rPr>
      </w:pPr>
      <w:r w:rsidRPr="007F7C6E">
        <w:rPr>
          <w:szCs w:val="22"/>
          <w:lang w:val="sr-Latn-ME"/>
        </w:rPr>
        <w:t>Ni</w:t>
      </w:r>
      <w:r w:rsidR="002F2CA2" w:rsidRPr="007F7C6E">
        <w:rPr>
          <w:szCs w:val="22"/>
          <w:lang w:val="sr-Latn-ME"/>
        </w:rPr>
        <w:t>j</w:t>
      </w:r>
      <w:r w:rsidR="009D08B8" w:rsidRPr="007F7C6E">
        <w:rPr>
          <w:szCs w:val="22"/>
          <w:lang w:val="sr-Latn-ME"/>
        </w:rPr>
        <w:t>e</w:t>
      </w:r>
      <w:r w:rsidRPr="007F7C6E">
        <w:rPr>
          <w:szCs w:val="22"/>
          <w:lang w:val="sr-Latn-ME"/>
        </w:rPr>
        <w:t>su rađene dugo</w:t>
      </w:r>
      <w:r w:rsidR="002F2CA2" w:rsidRPr="007F7C6E">
        <w:rPr>
          <w:szCs w:val="22"/>
          <w:lang w:val="sr-Latn-ME"/>
        </w:rPr>
        <w:t>trajne</w:t>
      </w:r>
      <w:r w:rsidRPr="007F7C6E">
        <w:rPr>
          <w:szCs w:val="22"/>
          <w:lang w:val="sr-Latn-ME"/>
        </w:rPr>
        <w:t xml:space="preserve"> studije sa klindamicinom kod životinja, da bi se utvrdio njegov karcinogeni potencijal.</w:t>
      </w:r>
    </w:p>
    <w:p w14:paraId="3C8D9C8D" w14:textId="77777777" w:rsidR="00F44B0B" w:rsidRPr="007F7C6E" w:rsidRDefault="00F44B0B" w:rsidP="00F44B0B">
      <w:pPr>
        <w:rPr>
          <w:szCs w:val="22"/>
          <w:lang w:val="sr-Latn-ME"/>
        </w:rPr>
      </w:pPr>
    </w:p>
    <w:p w14:paraId="3C8D9C8E" w14:textId="77777777" w:rsidR="00F44B0B" w:rsidRPr="007F7C6E" w:rsidRDefault="00F44B0B" w:rsidP="00F44B0B">
      <w:pPr>
        <w:rPr>
          <w:i/>
          <w:szCs w:val="22"/>
          <w:lang w:val="sr-Latn-ME"/>
        </w:rPr>
      </w:pPr>
      <w:r w:rsidRPr="007F7C6E">
        <w:rPr>
          <w:i/>
          <w:szCs w:val="22"/>
          <w:lang w:val="sr-Latn-ME"/>
        </w:rPr>
        <w:t>Mutagenost</w:t>
      </w:r>
    </w:p>
    <w:p w14:paraId="3C8D9C8F" w14:textId="77777777" w:rsidR="00F44B0B" w:rsidRPr="007F7C6E" w:rsidRDefault="00F44B0B" w:rsidP="00F44B0B">
      <w:pPr>
        <w:rPr>
          <w:szCs w:val="22"/>
          <w:lang w:val="sr-Latn-ME"/>
        </w:rPr>
      </w:pPr>
      <w:r w:rsidRPr="007F7C6E">
        <w:rPr>
          <w:szCs w:val="22"/>
          <w:lang w:val="sr-Latn-ME"/>
        </w:rPr>
        <w:t>Rađeni su testovi genotoksičnosti (mikronukleusni test pacova i Ames-ov test reverznih mutacija na salmoneli). Oba testa su bila negativna.</w:t>
      </w:r>
    </w:p>
    <w:p w14:paraId="3C8D9C90" w14:textId="77777777" w:rsidR="00F44B0B" w:rsidRPr="007F7C6E" w:rsidRDefault="00F44B0B" w:rsidP="00F44B0B">
      <w:pPr>
        <w:rPr>
          <w:szCs w:val="22"/>
          <w:lang w:val="sr-Latn-ME"/>
        </w:rPr>
      </w:pPr>
    </w:p>
    <w:p w14:paraId="3C8D9C91" w14:textId="77777777" w:rsidR="00F44B0B" w:rsidRPr="007F7C6E" w:rsidRDefault="00F44B0B" w:rsidP="00F44B0B">
      <w:pPr>
        <w:rPr>
          <w:i/>
          <w:szCs w:val="22"/>
          <w:lang w:val="sr-Latn-ME"/>
        </w:rPr>
      </w:pPr>
      <w:r w:rsidRPr="007F7C6E">
        <w:rPr>
          <w:i/>
          <w:szCs w:val="22"/>
          <w:lang w:val="sr-Latn-ME"/>
        </w:rPr>
        <w:t xml:space="preserve">Uticaj na fertilitet </w:t>
      </w:r>
    </w:p>
    <w:p w14:paraId="3C8D9C92" w14:textId="6372D0F7" w:rsidR="00F44B0B" w:rsidRPr="007F7C6E" w:rsidRDefault="00F44B0B" w:rsidP="00F44B0B">
      <w:pPr>
        <w:rPr>
          <w:szCs w:val="22"/>
          <w:lang w:val="sr-Latn-ME"/>
        </w:rPr>
      </w:pPr>
      <w:r w:rsidRPr="007F7C6E">
        <w:rPr>
          <w:szCs w:val="22"/>
          <w:lang w:val="sr-Latn-ME"/>
        </w:rPr>
        <w:t>Studije fertiliteta na pacovima kad je oralno prim</w:t>
      </w:r>
      <w:r w:rsidR="000A2208" w:rsidRPr="007F7C6E">
        <w:rPr>
          <w:szCs w:val="22"/>
          <w:lang w:val="sr-Latn-ME"/>
        </w:rPr>
        <w:t>j</w:t>
      </w:r>
      <w:r w:rsidRPr="007F7C6E">
        <w:rPr>
          <w:szCs w:val="22"/>
          <w:lang w:val="sr-Latn-ME"/>
        </w:rPr>
        <w:t>enjivan klindamicin u dozama do 300 mg/kg/dan (što predstavlja 1,1 puta veću od najveće preporučene doze kod ljudi, bazirano na mg/m</w:t>
      </w:r>
      <w:r w:rsidRPr="007F7C6E">
        <w:rPr>
          <w:szCs w:val="22"/>
          <w:vertAlign w:val="superscript"/>
          <w:lang w:val="sr-Latn-ME"/>
        </w:rPr>
        <w:t>2</w:t>
      </w:r>
      <w:r w:rsidRPr="007F7C6E">
        <w:rPr>
          <w:szCs w:val="22"/>
          <w:lang w:val="sr-Latn-ME"/>
        </w:rPr>
        <w:t>) ni</w:t>
      </w:r>
      <w:r w:rsidR="002F2CA2" w:rsidRPr="007F7C6E">
        <w:rPr>
          <w:szCs w:val="22"/>
          <w:lang w:val="sr-Latn-ME"/>
        </w:rPr>
        <w:t>je</w:t>
      </w:r>
      <w:r w:rsidRPr="007F7C6E">
        <w:rPr>
          <w:szCs w:val="22"/>
          <w:lang w:val="sr-Latn-ME"/>
        </w:rPr>
        <w:t>su pokazale uticaj na fertilitet i parenje.</w:t>
      </w:r>
    </w:p>
    <w:p w14:paraId="46C77FEE" w14:textId="77777777" w:rsidR="002F2CA2" w:rsidRPr="007F7C6E" w:rsidRDefault="002F2CA2" w:rsidP="00F44B0B">
      <w:pPr>
        <w:rPr>
          <w:szCs w:val="22"/>
          <w:lang w:val="sr-Latn-ME"/>
        </w:rPr>
      </w:pPr>
    </w:p>
    <w:p w14:paraId="3C8D9C93" w14:textId="4A769F01" w:rsidR="00F44B0B" w:rsidRPr="007F7C6E" w:rsidRDefault="0047252A" w:rsidP="00D010CE">
      <w:pPr>
        <w:rPr>
          <w:szCs w:val="22"/>
          <w:lang w:val="sr-Latn-ME"/>
        </w:rPr>
      </w:pPr>
      <w:r w:rsidRPr="007F7C6E">
        <w:rPr>
          <w:szCs w:val="22"/>
          <w:lang w:val="sr-Latn-ME"/>
        </w:rPr>
        <w:t xml:space="preserve">U </w:t>
      </w:r>
      <w:r w:rsidR="00EA10AE" w:rsidRPr="007F7C6E">
        <w:rPr>
          <w:szCs w:val="22"/>
          <w:lang w:val="sr-Latn-ME"/>
        </w:rPr>
        <w:t xml:space="preserve">embrio-fetalnim </w:t>
      </w:r>
      <w:r w:rsidRPr="007F7C6E">
        <w:rPr>
          <w:szCs w:val="22"/>
          <w:lang w:val="sr-Latn-ME"/>
        </w:rPr>
        <w:t>studijama na pacovima (oralno prim</w:t>
      </w:r>
      <w:r w:rsidR="000A2208" w:rsidRPr="007F7C6E">
        <w:rPr>
          <w:szCs w:val="22"/>
          <w:lang w:val="sr-Latn-ME"/>
        </w:rPr>
        <w:t>j</w:t>
      </w:r>
      <w:r w:rsidRPr="007F7C6E">
        <w:rPr>
          <w:szCs w:val="22"/>
          <w:lang w:val="sr-Latn-ME"/>
        </w:rPr>
        <w:t xml:space="preserve">enjivan klindamicin) i </w:t>
      </w:r>
      <w:r w:rsidR="00EA10AE" w:rsidRPr="007F7C6E">
        <w:rPr>
          <w:szCs w:val="22"/>
          <w:lang w:val="sr-Latn-ME"/>
        </w:rPr>
        <w:t xml:space="preserve">studijama na pacovima i </w:t>
      </w:r>
      <w:r w:rsidR="002F2CA2" w:rsidRPr="007F7C6E">
        <w:rPr>
          <w:szCs w:val="22"/>
          <w:lang w:val="sr-Latn-ME"/>
        </w:rPr>
        <w:t>k</w:t>
      </w:r>
      <w:r w:rsidR="00791403" w:rsidRPr="007F7C6E">
        <w:rPr>
          <w:szCs w:val="22"/>
          <w:lang w:val="sr-Latn-ME"/>
        </w:rPr>
        <w:t>u</w:t>
      </w:r>
      <w:r w:rsidR="002F2CA2" w:rsidRPr="007F7C6E">
        <w:rPr>
          <w:szCs w:val="22"/>
          <w:lang w:val="sr-Latn-ME"/>
        </w:rPr>
        <w:t xml:space="preserve">nićima </w:t>
      </w:r>
      <w:r w:rsidR="00EA10AE" w:rsidRPr="007F7C6E">
        <w:rPr>
          <w:szCs w:val="22"/>
          <w:lang w:val="sr-Latn-ME"/>
        </w:rPr>
        <w:t>(potkožno prim</w:t>
      </w:r>
      <w:r w:rsidR="000A2208" w:rsidRPr="007F7C6E">
        <w:rPr>
          <w:szCs w:val="22"/>
          <w:lang w:val="sr-Latn-ME"/>
        </w:rPr>
        <w:t>j</w:t>
      </w:r>
      <w:r w:rsidR="00EA10AE" w:rsidRPr="007F7C6E">
        <w:rPr>
          <w:szCs w:val="22"/>
          <w:lang w:val="sr-Latn-ME"/>
        </w:rPr>
        <w:t>enjivan klindamicin), nije zapažena razvojna toksičnost, sem za doze za koje utvrđeno da izazivaju maternalnu toksičnost.</w:t>
      </w:r>
    </w:p>
    <w:p w14:paraId="7037B550" w14:textId="0CF55FB6" w:rsidR="00E1338E" w:rsidRPr="007F7C6E" w:rsidRDefault="00E1338E" w:rsidP="0001076C">
      <w:pPr>
        <w:pStyle w:val="NASLOV123"/>
        <w:spacing w:before="0" w:after="0"/>
        <w:rPr>
          <w:lang w:val="sr-Latn-ME"/>
        </w:rPr>
      </w:pPr>
    </w:p>
    <w:p w14:paraId="3C656FA2" w14:textId="77777777" w:rsidR="00E1338E" w:rsidRPr="007F7C6E" w:rsidRDefault="00E1338E" w:rsidP="0001076C">
      <w:pPr>
        <w:pStyle w:val="NASLOV123"/>
        <w:spacing w:before="0" w:after="0"/>
        <w:rPr>
          <w:lang w:val="sr-Latn-ME"/>
        </w:rPr>
      </w:pPr>
    </w:p>
    <w:p w14:paraId="3C8D9C94" w14:textId="2AE22B0C" w:rsidR="00A33196" w:rsidRPr="007F7C6E" w:rsidRDefault="00CE09F3" w:rsidP="0001076C">
      <w:pPr>
        <w:pStyle w:val="NASLOV123"/>
        <w:spacing w:before="0" w:after="0"/>
        <w:jc w:val="both"/>
        <w:rPr>
          <w:lang w:val="sr-Latn-ME"/>
        </w:rPr>
      </w:pPr>
      <w:r w:rsidRPr="007F7C6E">
        <w:rPr>
          <w:lang w:val="sr-Latn-ME"/>
        </w:rPr>
        <w:t xml:space="preserve">6. </w:t>
      </w:r>
      <w:r w:rsidR="00FE6FDC" w:rsidRPr="007F7C6E">
        <w:rPr>
          <w:lang w:val="sr-Latn-ME"/>
        </w:rPr>
        <w:tab/>
      </w:r>
      <w:r w:rsidRPr="007F7C6E">
        <w:rPr>
          <w:lang w:val="sr-Latn-ME"/>
        </w:rPr>
        <w:t>FARMACEUTSKI PODACI</w:t>
      </w:r>
    </w:p>
    <w:p w14:paraId="500D967E" w14:textId="77777777" w:rsidR="00E1338E" w:rsidRPr="007F7C6E" w:rsidRDefault="00E1338E" w:rsidP="005E1030">
      <w:pPr>
        <w:rPr>
          <w:b/>
          <w:bCs/>
          <w:szCs w:val="22"/>
          <w:lang w:val="sr-Latn-ME"/>
        </w:rPr>
      </w:pPr>
    </w:p>
    <w:p w14:paraId="3C8D9C95" w14:textId="2EA0208D" w:rsidR="00CE09F3" w:rsidRPr="007F7C6E" w:rsidRDefault="00CE09F3" w:rsidP="00220F9D">
      <w:pPr>
        <w:rPr>
          <w:b/>
          <w:bCs/>
          <w:szCs w:val="22"/>
          <w:lang w:val="sr-Latn-ME"/>
        </w:rPr>
      </w:pPr>
      <w:r w:rsidRPr="007F7C6E">
        <w:rPr>
          <w:b/>
          <w:bCs/>
          <w:szCs w:val="22"/>
          <w:lang w:val="sr-Latn-ME"/>
        </w:rPr>
        <w:t>6.1. Lista pomoćnih supstanci</w:t>
      </w:r>
      <w:r w:rsidR="00E328B1" w:rsidRPr="007F7C6E">
        <w:rPr>
          <w:b/>
          <w:bCs/>
          <w:szCs w:val="22"/>
          <w:lang w:val="sr-Latn-ME"/>
        </w:rPr>
        <w:t xml:space="preserve"> (ekscipijenasa)</w:t>
      </w:r>
    </w:p>
    <w:p w14:paraId="3C8D9C96" w14:textId="77777777" w:rsidR="00CE7214" w:rsidRPr="007F7C6E" w:rsidRDefault="00CE7214" w:rsidP="00A13FE2">
      <w:pPr>
        <w:rPr>
          <w:b/>
          <w:szCs w:val="22"/>
          <w:lang w:val="sr-Latn-ME"/>
        </w:rPr>
      </w:pPr>
    </w:p>
    <w:p w14:paraId="3C8D9C97" w14:textId="46317ECA" w:rsidR="00A54717" w:rsidRPr="007F7C6E" w:rsidRDefault="00A54717" w:rsidP="0001076C">
      <w:pPr>
        <w:tabs>
          <w:tab w:val="clear" w:pos="284"/>
        </w:tabs>
        <w:rPr>
          <w:szCs w:val="22"/>
          <w:lang w:val="sr-Latn-ME"/>
        </w:rPr>
      </w:pPr>
      <w:r w:rsidRPr="007F7C6E">
        <w:rPr>
          <w:szCs w:val="22"/>
          <w:lang w:val="sr-Latn-ME"/>
        </w:rPr>
        <w:t>Benzil</w:t>
      </w:r>
      <w:r w:rsidR="00D010CE" w:rsidRPr="007F7C6E">
        <w:rPr>
          <w:szCs w:val="22"/>
          <w:lang w:val="sr-Latn-ME"/>
        </w:rPr>
        <w:t xml:space="preserve"> </w:t>
      </w:r>
      <w:r w:rsidRPr="007F7C6E">
        <w:rPr>
          <w:szCs w:val="22"/>
          <w:lang w:val="sr-Latn-ME"/>
        </w:rPr>
        <w:t>alkohol</w:t>
      </w:r>
    </w:p>
    <w:p w14:paraId="3C8D9C98" w14:textId="43BED556" w:rsidR="00A54717" w:rsidRPr="007F7C6E" w:rsidRDefault="00A54717" w:rsidP="0001076C">
      <w:pPr>
        <w:tabs>
          <w:tab w:val="clear" w:pos="284"/>
        </w:tabs>
        <w:rPr>
          <w:szCs w:val="22"/>
          <w:lang w:val="sr-Latn-ME"/>
        </w:rPr>
      </w:pPr>
      <w:r w:rsidRPr="007F7C6E">
        <w:rPr>
          <w:szCs w:val="22"/>
          <w:lang w:val="sr-Latn-ME"/>
        </w:rPr>
        <w:t>Dinatrijum</w:t>
      </w:r>
      <w:r w:rsidR="00E1338E" w:rsidRPr="007F7C6E">
        <w:rPr>
          <w:szCs w:val="22"/>
          <w:lang w:val="sr-Latn-ME"/>
        </w:rPr>
        <w:t xml:space="preserve"> </w:t>
      </w:r>
      <w:r w:rsidRPr="007F7C6E">
        <w:rPr>
          <w:szCs w:val="22"/>
          <w:lang w:val="sr-Latn-ME"/>
        </w:rPr>
        <w:t>edetat</w:t>
      </w:r>
    </w:p>
    <w:p w14:paraId="3C8D9C99" w14:textId="0B0B1445" w:rsidR="00A54717" w:rsidRPr="007F7C6E" w:rsidRDefault="00A54717" w:rsidP="0001076C">
      <w:pPr>
        <w:tabs>
          <w:tab w:val="clear" w:pos="284"/>
        </w:tabs>
        <w:rPr>
          <w:szCs w:val="22"/>
          <w:lang w:val="sr-Latn-ME"/>
        </w:rPr>
      </w:pPr>
      <w:r w:rsidRPr="007F7C6E">
        <w:rPr>
          <w:szCs w:val="22"/>
          <w:lang w:val="sr-Latn-ME"/>
        </w:rPr>
        <w:t>Natrijum</w:t>
      </w:r>
      <w:r w:rsidR="00E1338E" w:rsidRPr="007F7C6E">
        <w:rPr>
          <w:szCs w:val="22"/>
          <w:lang w:val="sr-Latn-ME"/>
        </w:rPr>
        <w:t xml:space="preserve"> </w:t>
      </w:r>
      <w:r w:rsidRPr="007F7C6E">
        <w:rPr>
          <w:szCs w:val="22"/>
          <w:lang w:val="sr-Latn-ME"/>
        </w:rPr>
        <w:t>hidroksid</w:t>
      </w:r>
    </w:p>
    <w:p w14:paraId="3C8D9C9A" w14:textId="43154E3E" w:rsidR="00A54717" w:rsidRPr="007F7C6E" w:rsidRDefault="00A54717" w:rsidP="0001076C">
      <w:pPr>
        <w:tabs>
          <w:tab w:val="clear" w:pos="284"/>
        </w:tabs>
        <w:rPr>
          <w:i/>
          <w:szCs w:val="22"/>
          <w:lang w:val="sr-Latn-ME"/>
        </w:rPr>
      </w:pPr>
      <w:r w:rsidRPr="007F7C6E">
        <w:rPr>
          <w:szCs w:val="22"/>
          <w:lang w:val="sr-Latn-ME"/>
        </w:rPr>
        <w:t>Voda za injekcije</w:t>
      </w:r>
    </w:p>
    <w:p w14:paraId="3C8D9C9B" w14:textId="77777777" w:rsidR="00BF658C" w:rsidRPr="007F7C6E" w:rsidRDefault="00BF658C" w:rsidP="005E1030">
      <w:pPr>
        <w:tabs>
          <w:tab w:val="clear" w:pos="284"/>
        </w:tabs>
        <w:rPr>
          <w:szCs w:val="22"/>
          <w:lang w:val="sr-Latn-ME"/>
        </w:rPr>
      </w:pPr>
    </w:p>
    <w:p w14:paraId="3C8D9C9C" w14:textId="778254B0" w:rsidR="00CE09F3" w:rsidRPr="007F7C6E" w:rsidRDefault="00CE09F3" w:rsidP="00220F9D">
      <w:pPr>
        <w:rPr>
          <w:b/>
          <w:bCs/>
          <w:szCs w:val="22"/>
          <w:lang w:val="sr-Latn-ME"/>
        </w:rPr>
      </w:pPr>
      <w:r w:rsidRPr="007F7C6E">
        <w:rPr>
          <w:b/>
          <w:bCs/>
          <w:szCs w:val="22"/>
          <w:lang w:val="sr-Latn-ME"/>
        </w:rPr>
        <w:t>6.2. Inkompatibilnost</w:t>
      </w:r>
      <w:r w:rsidR="003C6383" w:rsidRPr="007F7C6E">
        <w:rPr>
          <w:b/>
          <w:bCs/>
          <w:szCs w:val="22"/>
          <w:lang w:val="sr-Latn-ME"/>
        </w:rPr>
        <w:t>i</w:t>
      </w:r>
    </w:p>
    <w:p w14:paraId="3C8D9C9D" w14:textId="77777777" w:rsidR="00B442CF" w:rsidRPr="007F7C6E" w:rsidRDefault="00B442CF" w:rsidP="00A13FE2">
      <w:pPr>
        <w:rPr>
          <w:bCs/>
          <w:szCs w:val="22"/>
          <w:lang w:val="sr-Latn-ME"/>
        </w:rPr>
      </w:pPr>
    </w:p>
    <w:p w14:paraId="3C8D9C9E" w14:textId="46697F06" w:rsidR="00A54717" w:rsidRPr="007F7C6E" w:rsidRDefault="00A54717" w:rsidP="00CD1386">
      <w:pPr>
        <w:rPr>
          <w:szCs w:val="22"/>
          <w:lang w:val="sr-Latn-ME"/>
        </w:rPr>
      </w:pPr>
      <w:r w:rsidRPr="007F7C6E">
        <w:rPr>
          <w:szCs w:val="22"/>
          <w:lang w:val="sr-Latn-ME"/>
        </w:rPr>
        <w:t xml:space="preserve">Rastvori soli klindamicina imaju nizak pH i sa razlogom se može očekivati inkompatibilnost sa alkalnim preparatima ili </w:t>
      </w:r>
      <w:r w:rsidR="00037FF3" w:rsidRPr="007F7C6E">
        <w:rPr>
          <w:szCs w:val="22"/>
          <w:lang w:val="sr-Latn-ME"/>
        </w:rPr>
        <w:t>ljekovi</w:t>
      </w:r>
      <w:r w:rsidRPr="007F7C6E">
        <w:rPr>
          <w:szCs w:val="22"/>
          <w:lang w:val="sr-Latn-ME"/>
        </w:rPr>
        <w:t>ma koji su nestabilni na niskoj pH.</w:t>
      </w:r>
    </w:p>
    <w:p w14:paraId="3C8D9C9F" w14:textId="4BDF2C37" w:rsidR="00A54717" w:rsidRPr="007F7C6E" w:rsidRDefault="00A54717" w:rsidP="00CD1386">
      <w:pPr>
        <w:rPr>
          <w:b/>
          <w:szCs w:val="22"/>
          <w:lang w:val="sr-Latn-ME"/>
        </w:rPr>
      </w:pPr>
      <w:r w:rsidRPr="007F7C6E">
        <w:rPr>
          <w:szCs w:val="22"/>
          <w:lang w:val="sr-Latn-ME"/>
        </w:rPr>
        <w:t>Sl</w:t>
      </w:r>
      <w:r w:rsidR="000A2208" w:rsidRPr="007F7C6E">
        <w:rPr>
          <w:szCs w:val="22"/>
          <w:lang w:val="sr-Latn-ME"/>
        </w:rPr>
        <w:t>j</w:t>
      </w:r>
      <w:r w:rsidRPr="007F7C6E">
        <w:rPr>
          <w:szCs w:val="22"/>
          <w:lang w:val="sr-Latn-ME"/>
        </w:rPr>
        <w:t xml:space="preserve">edeći </w:t>
      </w:r>
      <w:r w:rsidR="00037FF3" w:rsidRPr="007F7C6E">
        <w:rPr>
          <w:szCs w:val="22"/>
          <w:lang w:val="sr-Latn-ME"/>
        </w:rPr>
        <w:t>ljekovi</w:t>
      </w:r>
      <w:r w:rsidRPr="007F7C6E">
        <w:rPr>
          <w:szCs w:val="22"/>
          <w:lang w:val="sr-Latn-ME"/>
        </w:rPr>
        <w:t xml:space="preserve"> su </w:t>
      </w:r>
      <w:r w:rsidR="008B7E93" w:rsidRPr="007F7C6E">
        <w:rPr>
          <w:szCs w:val="22"/>
          <w:lang w:val="sr-Latn-ME"/>
        </w:rPr>
        <w:t xml:space="preserve">fizički </w:t>
      </w:r>
      <w:r w:rsidRPr="007F7C6E">
        <w:rPr>
          <w:szCs w:val="22"/>
          <w:lang w:val="sr-Latn-ME"/>
        </w:rPr>
        <w:t>inkompatibilni sa klindamicin</w:t>
      </w:r>
      <w:r w:rsidR="00E1338E" w:rsidRPr="007F7C6E">
        <w:rPr>
          <w:szCs w:val="22"/>
          <w:lang w:val="sr-Latn-ME"/>
        </w:rPr>
        <w:t xml:space="preserve"> </w:t>
      </w:r>
      <w:r w:rsidRPr="007F7C6E">
        <w:rPr>
          <w:szCs w:val="22"/>
          <w:lang w:val="sr-Latn-ME"/>
        </w:rPr>
        <w:t>fosfatom: ampicilin</w:t>
      </w:r>
      <w:r w:rsidR="00E1338E" w:rsidRPr="007F7C6E">
        <w:rPr>
          <w:szCs w:val="22"/>
          <w:lang w:val="sr-Latn-ME"/>
        </w:rPr>
        <w:t xml:space="preserve"> </w:t>
      </w:r>
      <w:r w:rsidRPr="007F7C6E">
        <w:rPr>
          <w:szCs w:val="22"/>
          <w:lang w:val="sr-Latn-ME"/>
        </w:rPr>
        <w:t>natrijum, fenitoin</w:t>
      </w:r>
      <w:r w:rsidR="00E1338E" w:rsidRPr="007F7C6E">
        <w:rPr>
          <w:szCs w:val="22"/>
          <w:lang w:val="sr-Latn-ME"/>
        </w:rPr>
        <w:t xml:space="preserve"> </w:t>
      </w:r>
      <w:r w:rsidRPr="007F7C6E">
        <w:rPr>
          <w:szCs w:val="22"/>
          <w:lang w:val="sr-Latn-ME"/>
        </w:rPr>
        <w:t>natrijum, barbiturati,</w:t>
      </w:r>
      <w:r w:rsidR="00E1338E" w:rsidRPr="007F7C6E">
        <w:rPr>
          <w:szCs w:val="22"/>
          <w:lang w:val="sr-Latn-ME"/>
        </w:rPr>
        <w:t xml:space="preserve"> </w:t>
      </w:r>
      <w:r w:rsidRPr="007F7C6E">
        <w:rPr>
          <w:szCs w:val="22"/>
          <w:lang w:val="sr-Latn-ME"/>
        </w:rPr>
        <w:t>aminofilin, kalcijum</w:t>
      </w:r>
      <w:r w:rsidR="00E1338E" w:rsidRPr="007F7C6E">
        <w:rPr>
          <w:szCs w:val="22"/>
          <w:lang w:val="sr-Latn-ME"/>
        </w:rPr>
        <w:t xml:space="preserve"> </w:t>
      </w:r>
      <w:r w:rsidRPr="007F7C6E">
        <w:rPr>
          <w:szCs w:val="22"/>
          <w:lang w:val="sr-Latn-ME"/>
        </w:rPr>
        <w:t>glukonat, magnezijum</w:t>
      </w:r>
      <w:r w:rsidR="00E1338E" w:rsidRPr="007F7C6E">
        <w:rPr>
          <w:szCs w:val="22"/>
          <w:lang w:val="sr-Latn-ME"/>
        </w:rPr>
        <w:t xml:space="preserve"> </w:t>
      </w:r>
      <w:r w:rsidRPr="007F7C6E">
        <w:rPr>
          <w:szCs w:val="22"/>
          <w:lang w:val="sr-Latn-ME"/>
        </w:rPr>
        <w:t>sulfat, ceftriakson</w:t>
      </w:r>
      <w:r w:rsidR="00E1338E" w:rsidRPr="007F7C6E">
        <w:rPr>
          <w:szCs w:val="22"/>
          <w:lang w:val="sr-Latn-ME"/>
        </w:rPr>
        <w:t xml:space="preserve"> </w:t>
      </w:r>
      <w:r w:rsidRPr="007F7C6E">
        <w:rPr>
          <w:szCs w:val="22"/>
          <w:lang w:val="sr-Latn-ME"/>
        </w:rPr>
        <w:t>natrijum, ciprofloksacin, difenilhidantion,</w:t>
      </w:r>
      <w:r w:rsidRPr="007F7C6E">
        <w:rPr>
          <w:color w:val="FF0000"/>
          <w:szCs w:val="22"/>
          <w:lang w:val="sr-Latn-ME"/>
        </w:rPr>
        <w:t xml:space="preserve"> </w:t>
      </w:r>
      <w:r w:rsidRPr="007F7C6E">
        <w:rPr>
          <w:szCs w:val="22"/>
          <w:lang w:val="sr-Latn-ME"/>
        </w:rPr>
        <w:t>idarubicin</w:t>
      </w:r>
      <w:r w:rsidR="00E1338E" w:rsidRPr="007F7C6E">
        <w:rPr>
          <w:szCs w:val="22"/>
          <w:lang w:val="sr-Latn-ME"/>
        </w:rPr>
        <w:t xml:space="preserve"> </w:t>
      </w:r>
      <w:r w:rsidRPr="007F7C6E">
        <w:rPr>
          <w:szCs w:val="22"/>
          <w:lang w:val="sr-Latn-ME"/>
        </w:rPr>
        <w:t>hidrohlorid i ranitidin</w:t>
      </w:r>
      <w:r w:rsidR="00E1338E" w:rsidRPr="007F7C6E">
        <w:rPr>
          <w:szCs w:val="22"/>
          <w:lang w:val="sr-Latn-ME"/>
        </w:rPr>
        <w:t xml:space="preserve"> </w:t>
      </w:r>
      <w:r w:rsidRPr="007F7C6E">
        <w:rPr>
          <w:szCs w:val="22"/>
          <w:lang w:val="sr-Latn-ME"/>
        </w:rPr>
        <w:t>hidrohlorid.</w:t>
      </w:r>
    </w:p>
    <w:p w14:paraId="3C8D9CA0" w14:textId="77777777" w:rsidR="0049343F" w:rsidRPr="007F7C6E" w:rsidRDefault="0049343F" w:rsidP="0001076C">
      <w:pPr>
        <w:rPr>
          <w:bCs/>
          <w:szCs w:val="22"/>
          <w:lang w:val="sr-Latn-ME"/>
        </w:rPr>
      </w:pPr>
    </w:p>
    <w:p w14:paraId="3C8D9CA1" w14:textId="77777777" w:rsidR="00CE09F3" w:rsidRPr="007F7C6E" w:rsidRDefault="00CE09F3" w:rsidP="005E1030">
      <w:pPr>
        <w:rPr>
          <w:b/>
          <w:bCs/>
          <w:szCs w:val="22"/>
          <w:lang w:val="sr-Latn-ME"/>
        </w:rPr>
      </w:pPr>
      <w:r w:rsidRPr="007F7C6E">
        <w:rPr>
          <w:b/>
          <w:bCs/>
          <w:szCs w:val="22"/>
          <w:lang w:val="sr-Latn-ME"/>
        </w:rPr>
        <w:t>6.3. Rok upotrebe</w:t>
      </w:r>
    </w:p>
    <w:p w14:paraId="3C8D9CA2" w14:textId="77777777" w:rsidR="00A8532A" w:rsidRPr="007F7C6E" w:rsidRDefault="00A8532A" w:rsidP="00220F9D">
      <w:pPr>
        <w:rPr>
          <w:b/>
          <w:bCs/>
          <w:szCs w:val="22"/>
          <w:lang w:val="sr-Latn-ME"/>
        </w:rPr>
      </w:pPr>
    </w:p>
    <w:p w14:paraId="3C8D9CA3" w14:textId="77777777" w:rsidR="004B3353" w:rsidRPr="007F7C6E" w:rsidRDefault="00A8532A" w:rsidP="00A13FE2">
      <w:pPr>
        <w:rPr>
          <w:bCs/>
          <w:szCs w:val="22"/>
          <w:lang w:val="sr-Latn-ME"/>
        </w:rPr>
      </w:pPr>
      <w:r w:rsidRPr="007F7C6E">
        <w:rPr>
          <w:bCs/>
          <w:szCs w:val="22"/>
          <w:lang w:val="sr-Latn-ME"/>
        </w:rPr>
        <w:t>2 godine.</w:t>
      </w:r>
    </w:p>
    <w:p w14:paraId="673ECB6B" w14:textId="77777777" w:rsidR="003C46C1" w:rsidRPr="007F7C6E" w:rsidRDefault="003C46C1" w:rsidP="00CD1386">
      <w:pPr>
        <w:rPr>
          <w:bCs/>
          <w:szCs w:val="22"/>
          <w:lang w:val="sr-Latn-ME"/>
        </w:rPr>
      </w:pPr>
    </w:p>
    <w:p w14:paraId="79EFBA9A" w14:textId="46EAB640" w:rsidR="0047387C" w:rsidRPr="007F7C6E" w:rsidRDefault="0047387C" w:rsidP="002E3841">
      <w:pPr>
        <w:rPr>
          <w:szCs w:val="22"/>
          <w:lang w:val="sr-Latn-ME"/>
        </w:rPr>
      </w:pPr>
      <w:r w:rsidRPr="007F7C6E">
        <w:rPr>
          <w:szCs w:val="22"/>
          <w:lang w:val="sr-Latn-ME"/>
        </w:rPr>
        <w:t xml:space="preserve">Rok upotrebe nakon </w:t>
      </w:r>
      <w:r w:rsidR="00380A59" w:rsidRPr="007F7C6E">
        <w:rPr>
          <w:szCs w:val="22"/>
          <w:lang w:val="sr-Latn-ME"/>
        </w:rPr>
        <w:t xml:space="preserve">prvog </w:t>
      </w:r>
      <w:r w:rsidRPr="007F7C6E">
        <w:rPr>
          <w:szCs w:val="22"/>
          <w:lang w:val="sr-Latn-ME"/>
        </w:rPr>
        <w:t xml:space="preserve">otvaranja: </w:t>
      </w:r>
      <w:r w:rsidR="00251590" w:rsidRPr="007F7C6E">
        <w:rPr>
          <w:szCs w:val="22"/>
          <w:lang w:val="sr-Latn-ME"/>
        </w:rPr>
        <w:t>upotr</w:t>
      </w:r>
      <w:r w:rsidR="00E1338E" w:rsidRPr="007F7C6E">
        <w:rPr>
          <w:szCs w:val="22"/>
          <w:lang w:val="sr-Latn-ME"/>
        </w:rPr>
        <w:t>ij</w:t>
      </w:r>
      <w:r w:rsidR="00251590" w:rsidRPr="007F7C6E">
        <w:rPr>
          <w:szCs w:val="22"/>
          <w:lang w:val="sr-Latn-ME"/>
        </w:rPr>
        <w:t>ebiti odmah.</w:t>
      </w:r>
      <w:r w:rsidRPr="007F7C6E">
        <w:rPr>
          <w:szCs w:val="22"/>
          <w:lang w:val="sr-Latn-ME"/>
        </w:rPr>
        <w:t xml:space="preserve"> </w:t>
      </w:r>
    </w:p>
    <w:p w14:paraId="719FBD6E" w14:textId="77777777" w:rsidR="00D57A28" w:rsidRPr="007F7C6E" w:rsidRDefault="00D57A28" w:rsidP="002E3841">
      <w:pPr>
        <w:rPr>
          <w:szCs w:val="22"/>
          <w:lang w:val="sr-Latn-ME"/>
        </w:rPr>
      </w:pPr>
    </w:p>
    <w:p w14:paraId="4AEF1AF4" w14:textId="4BB02919" w:rsidR="00124321" w:rsidRPr="007F7C6E" w:rsidRDefault="008A66F0" w:rsidP="002E3841">
      <w:pPr>
        <w:rPr>
          <w:szCs w:val="22"/>
          <w:lang w:val="sr-Latn-ME"/>
        </w:rPr>
      </w:pPr>
      <w:r w:rsidRPr="007F7C6E">
        <w:rPr>
          <w:szCs w:val="22"/>
          <w:lang w:val="sr-Latn-ME"/>
        </w:rPr>
        <w:t>Rok upotrebe nakon razblaž</w:t>
      </w:r>
      <w:r w:rsidR="00855F57" w:rsidRPr="007F7C6E">
        <w:rPr>
          <w:szCs w:val="22"/>
          <w:lang w:val="sr-Latn-ME"/>
        </w:rPr>
        <w:t>iva</w:t>
      </w:r>
      <w:r w:rsidRPr="007F7C6E">
        <w:rPr>
          <w:szCs w:val="22"/>
          <w:lang w:val="sr-Latn-ME"/>
        </w:rPr>
        <w:t xml:space="preserve">nja: </w:t>
      </w:r>
      <w:r w:rsidR="00D57A28" w:rsidRPr="007F7C6E">
        <w:rPr>
          <w:szCs w:val="22"/>
          <w:lang w:val="sr-Latn-ME"/>
        </w:rPr>
        <w:t>D</w:t>
      </w:r>
      <w:r w:rsidR="006D5A03" w:rsidRPr="007F7C6E">
        <w:rPr>
          <w:szCs w:val="22"/>
          <w:lang w:val="sr-Latn-ME"/>
        </w:rPr>
        <w:t>okazana je hemijska i fizička stabilnost u prim</w:t>
      </w:r>
      <w:r w:rsidR="000A2208" w:rsidRPr="007F7C6E">
        <w:rPr>
          <w:szCs w:val="22"/>
          <w:lang w:val="sr-Latn-ME"/>
        </w:rPr>
        <w:t>j</w:t>
      </w:r>
      <w:r w:rsidR="006D5A03" w:rsidRPr="007F7C6E">
        <w:rPr>
          <w:szCs w:val="22"/>
          <w:lang w:val="sr-Latn-ME"/>
        </w:rPr>
        <w:t>eni do 1 sata na temperaturi do 25 °C</w:t>
      </w:r>
      <w:r w:rsidR="00A20D01" w:rsidRPr="007F7C6E">
        <w:rPr>
          <w:szCs w:val="22"/>
          <w:lang w:val="sr-Latn-ME"/>
        </w:rPr>
        <w:t xml:space="preserve"> </w:t>
      </w:r>
      <w:r w:rsidR="006606F8" w:rsidRPr="007F7C6E">
        <w:rPr>
          <w:szCs w:val="22"/>
          <w:lang w:val="sr-Latn-ME"/>
        </w:rPr>
        <w:t>nakon razblaživanja sa 0,9% rastvorom natrijum</w:t>
      </w:r>
      <w:r w:rsidR="00E1338E" w:rsidRPr="007F7C6E">
        <w:rPr>
          <w:szCs w:val="22"/>
          <w:lang w:val="sr-Latn-ME"/>
        </w:rPr>
        <w:t xml:space="preserve"> </w:t>
      </w:r>
      <w:r w:rsidR="006606F8" w:rsidRPr="007F7C6E">
        <w:rPr>
          <w:szCs w:val="22"/>
          <w:lang w:val="sr-Latn-ME"/>
        </w:rPr>
        <w:t xml:space="preserve">hlorida ili 5% rastvorom glukoze. </w:t>
      </w:r>
      <w:r w:rsidR="00124321" w:rsidRPr="007F7C6E">
        <w:rPr>
          <w:szCs w:val="22"/>
          <w:lang w:val="sr-Latn-ME"/>
        </w:rPr>
        <w:t>S mikrobiološke tačke gledišta rastvor treba odmah prim</w:t>
      </w:r>
      <w:r w:rsidR="000A2208" w:rsidRPr="007F7C6E">
        <w:rPr>
          <w:szCs w:val="22"/>
          <w:lang w:val="sr-Latn-ME"/>
        </w:rPr>
        <w:t>ij</w:t>
      </w:r>
      <w:r w:rsidR="00124321" w:rsidRPr="007F7C6E">
        <w:rPr>
          <w:szCs w:val="22"/>
          <w:lang w:val="sr-Latn-ME"/>
        </w:rPr>
        <w:t>eniti nakon pripreme za upotrebu. Ako se odmah ne upotr</w:t>
      </w:r>
      <w:r w:rsidR="00E1338E" w:rsidRPr="007F7C6E">
        <w:rPr>
          <w:szCs w:val="22"/>
          <w:lang w:val="sr-Latn-ME"/>
        </w:rPr>
        <w:t>ij</w:t>
      </w:r>
      <w:r w:rsidR="00124321" w:rsidRPr="007F7C6E">
        <w:rPr>
          <w:szCs w:val="22"/>
          <w:lang w:val="sr-Latn-ME"/>
        </w:rPr>
        <w:t>ebi, vr</w:t>
      </w:r>
      <w:r w:rsidR="000A2208" w:rsidRPr="007F7C6E">
        <w:rPr>
          <w:szCs w:val="22"/>
          <w:lang w:val="sr-Latn-ME"/>
        </w:rPr>
        <w:t>ij</w:t>
      </w:r>
      <w:r w:rsidR="00124321" w:rsidRPr="007F7C6E">
        <w:rPr>
          <w:szCs w:val="22"/>
          <w:lang w:val="sr-Latn-ME"/>
        </w:rPr>
        <w:t>eme i uslovi čuvanja pr</w:t>
      </w:r>
      <w:r w:rsidR="000A2208" w:rsidRPr="007F7C6E">
        <w:rPr>
          <w:szCs w:val="22"/>
          <w:lang w:val="sr-Latn-ME"/>
        </w:rPr>
        <w:t>ij</w:t>
      </w:r>
      <w:r w:rsidR="00124321" w:rsidRPr="007F7C6E">
        <w:rPr>
          <w:szCs w:val="22"/>
          <w:lang w:val="sr-Latn-ME"/>
        </w:rPr>
        <w:t>e upotrebe su odgovornost korisnika i ne bi sm</w:t>
      </w:r>
      <w:r w:rsidR="000A2208" w:rsidRPr="007F7C6E">
        <w:rPr>
          <w:szCs w:val="22"/>
          <w:lang w:val="sr-Latn-ME"/>
        </w:rPr>
        <w:t>j</w:t>
      </w:r>
      <w:r w:rsidR="00124321" w:rsidRPr="007F7C6E">
        <w:rPr>
          <w:szCs w:val="22"/>
          <w:lang w:val="sr-Latn-ME"/>
        </w:rPr>
        <w:t>eli da budu duži od 1 h na temperaturi do 25 °C osim ako se razblaživanje ne vrši u kontrolisanim i validiranim aseptičnim uslovima.</w:t>
      </w:r>
    </w:p>
    <w:p w14:paraId="2661749B" w14:textId="3759F849" w:rsidR="007F7C6E" w:rsidRPr="007F7C6E" w:rsidRDefault="007F7C6E" w:rsidP="00B2198D">
      <w:pPr>
        <w:rPr>
          <w:szCs w:val="22"/>
          <w:lang w:val="sr-Latn-ME"/>
        </w:rPr>
      </w:pPr>
    </w:p>
    <w:p w14:paraId="3C8D9CA5" w14:textId="42ADB8CA" w:rsidR="00CE09F3" w:rsidRPr="007F7C6E" w:rsidRDefault="00CE09F3" w:rsidP="00B2198D">
      <w:pPr>
        <w:rPr>
          <w:b/>
          <w:bCs/>
          <w:szCs w:val="22"/>
          <w:lang w:val="sr-Latn-ME"/>
        </w:rPr>
      </w:pPr>
      <w:r w:rsidRPr="007F7C6E">
        <w:rPr>
          <w:b/>
          <w:bCs/>
          <w:szCs w:val="22"/>
          <w:lang w:val="sr-Latn-ME"/>
        </w:rPr>
        <w:lastRenderedPageBreak/>
        <w:t>6.4. Posebne m</w:t>
      </w:r>
      <w:r w:rsidR="003C6383" w:rsidRPr="007F7C6E">
        <w:rPr>
          <w:b/>
          <w:bCs/>
          <w:szCs w:val="22"/>
          <w:lang w:val="sr-Latn-ME"/>
        </w:rPr>
        <w:t>j</w:t>
      </w:r>
      <w:r w:rsidRPr="007F7C6E">
        <w:rPr>
          <w:b/>
          <w:bCs/>
          <w:szCs w:val="22"/>
          <w:lang w:val="sr-Latn-ME"/>
        </w:rPr>
        <w:t xml:space="preserve">ere </w:t>
      </w:r>
      <w:r w:rsidR="003C6383" w:rsidRPr="007F7C6E">
        <w:rPr>
          <w:b/>
          <w:bCs/>
          <w:szCs w:val="22"/>
          <w:lang w:val="sr-Latn-ME"/>
        </w:rPr>
        <w:t>upozorenja</w:t>
      </w:r>
      <w:r w:rsidRPr="007F7C6E">
        <w:rPr>
          <w:b/>
          <w:bCs/>
          <w:szCs w:val="22"/>
          <w:lang w:val="sr-Latn-ME"/>
        </w:rPr>
        <w:t xml:space="preserve"> pri čuvanju</w:t>
      </w:r>
      <w:r w:rsidR="003C6383" w:rsidRPr="007F7C6E">
        <w:rPr>
          <w:b/>
          <w:bCs/>
          <w:szCs w:val="22"/>
          <w:lang w:val="sr-Latn-ME"/>
        </w:rPr>
        <w:t xml:space="preserve"> lijeka</w:t>
      </w:r>
    </w:p>
    <w:p w14:paraId="3C8D9CA6" w14:textId="77777777" w:rsidR="00CE7214" w:rsidRPr="007F7C6E" w:rsidRDefault="00CE7214" w:rsidP="00DE1B44">
      <w:pPr>
        <w:rPr>
          <w:b/>
          <w:bCs/>
          <w:szCs w:val="22"/>
          <w:lang w:val="sr-Latn-ME"/>
        </w:rPr>
      </w:pPr>
    </w:p>
    <w:p w14:paraId="3C8D9CA7" w14:textId="77777777" w:rsidR="00A8532A" w:rsidRPr="007F7C6E" w:rsidRDefault="00A8532A" w:rsidP="00DE1B44">
      <w:pPr>
        <w:rPr>
          <w:bCs/>
          <w:iCs/>
          <w:szCs w:val="22"/>
          <w:lang w:val="sr-Latn-ME"/>
        </w:rPr>
      </w:pPr>
      <w:r w:rsidRPr="007F7C6E">
        <w:rPr>
          <w:bCs/>
          <w:iCs/>
          <w:szCs w:val="22"/>
          <w:lang w:val="sr-Latn-ME"/>
        </w:rPr>
        <w:t>Čuvati na temperaturi do 25ºC.</w:t>
      </w:r>
    </w:p>
    <w:p w14:paraId="3C8D9CA8" w14:textId="34B21FA1" w:rsidR="00A8532A" w:rsidRPr="007F7C6E" w:rsidRDefault="00A8532A" w:rsidP="00DE1B44">
      <w:pPr>
        <w:rPr>
          <w:bCs/>
          <w:iCs/>
          <w:szCs w:val="22"/>
          <w:lang w:val="sr-Latn-ME"/>
        </w:rPr>
      </w:pPr>
      <w:r w:rsidRPr="007F7C6E">
        <w:rPr>
          <w:bCs/>
          <w:iCs/>
          <w:szCs w:val="22"/>
          <w:lang w:val="sr-Latn-ME"/>
        </w:rPr>
        <w:t>Čuvati u originalnom pakovanju radi zaštite od sv</w:t>
      </w:r>
      <w:r w:rsidR="000A2208" w:rsidRPr="007F7C6E">
        <w:rPr>
          <w:bCs/>
          <w:iCs/>
          <w:szCs w:val="22"/>
          <w:lang w:val="sr-Latn-ME"/>
        </w:rPr>
        <w:t>j</w:t>
      </w:r>
      <w:r w:rsidRPr="007F7C6E">
        <w:rPr>
          <w:bCs/>
          <w:iCs/>
          <w:szCs w:val="22"/>
          <w:lang w:val="sr-Latn-ME"/>
        </w:rPr>
        <w:t>etlosti.</w:t>
      </w:r>
    </w:p>
    <w:p w14:paraId="1CB5C133" w14:textId="40258C3C" w:rsidR="005D5EC6" w:rsidRPr="007F7C6E" w:rsidRDefault="005D5EC6" w:rsidP="00DE1B44">
      <w:pPr>
        <w:rPr>
          <w:szCs w:val="22"/>
          <w:lang w:val="sr-Latn-ME"/>
        </w:rPr>
      </w:pPr>
      <w:r w:rsidRPr="007F7C6E">
        <w:rPr>
          <w:szCs w:val="22"/>
          <w:lang w:val="sr-Latn-ME"/>
        </w:rPr>
        <w:t xml:space="preserve">Za uslove čuvanja nakon prvog otvaranja </w:t>
      </w:r>
      <w:r w:rsidR="001A7083" w:rsidRPr="007F7C6E">
        <w:rPr>
          <w:szCs w:val="22"/>
          <w:lang w:val="sr-Latn-ME"/>
        </w:rPr>
        <w:t>i ra</w:t>
      </w:r>
      <w:r w:rsidR="00855F57" w:rsidRPr="007F7C6E">
        <w:rPr>
          <w:szCs w:val="22"/>
          <w:lang w:val="sr-Latn-ME"/>
        </w:rPr>
        <w:t xml:space="preserve">zblaživanja </w:t>
      </w:r>
      <w:r w:rsidR="0064264A" w:rsidRPr="007F7C6E">
        <w:rPr>
          <w:szCs w:val="22"/>
          <w:lang w:val="sr-Latn-ME"/>
        </w:rPr>
        <w:t>lijeka</w:t>
      </w:r>
      <w:r w:rsidRPr="007F7C6E">
        <w:rPr>
          <w:szCs w:val="22"/>
          <w:lang w:val="sr-Latn-ME"/>
        </w:rPr>
        <w:t xml:space="preserve">, </w:t>
      </w:r>
      <w:r w:rsidR="008A4F4B" w:rsidRPr="007F7C6E">
        <w:rPr>
          <w:szCs w:val="22"/>
          <w:lang w:val="sr-Latn-ME"/>
        </w:rPr>
        <w:t xml:space="preserve">pogledati dio </w:t>
      </w:r>
      <w:r w:rsidRPr="007F7C6E">
        <w:rPr>
          <w:szCs w:val="22"/>
          <w:lang w:val="sr-Latn-ME"/>
        </w:rPr>
        <w:t>6.3</w:t>
      </w:r>
      <w:r w:rsidR="00602B99" w:rsidRPr="007F7C6E">
        <w:rPr>
          <w:szCs w:val="22"/>
          <w:lang w:val="sr-Latn-ME"/>
        </w:rPr>
        <w:t>.</w:t>
      </w:r>
    </w:p>
    <w:p w14:paraId="3C8D9CA9" w14:textId="77777777" w:rsidR="00095E53" w:rsidRPr="007F7C6E" w:rsidRDefault="00095E53" w:rsidP="00DE1B44">
      <w:pPr>
        <w:rPr>
          <w:b/>
          <w:bCs/>
          <w:szCs w:val="22"/>
          <w:lang w:val="sr-Latn-ME"/>
        </w:rPr>
      </w:pPr>
    </w:p>
    <w:p w14:paraId="3C8D9CAA" w14:textId="6E90FF12" w:rsidR="00CE09F3" w:rsidRPr="007F7C6E" w:rsidRDefault="0022223A" w:rsidP="00DE1B44">
      <w:pPr>
        <w:rPr>
          <w:b/>
          <w:bCs/>
          <w:szCs w:val="22"/>
          <w:lang w:val="sr-Latn-ME"/>
        </w:rPr>
      </w:pPr>
      <w:r w:rsidRPr="007F7C6E">
        <w:rPr>
          <w:b/>
          <w:bCs/>
          <w:szCs w:val="22"/>
          <w:lang w:val="sr-Latn-ME"/>
        </w:rPr>
        <w:t xml:space="preserve">6.5. </w:t>
      </w:r>
      <w:r w:rsidR="003C6383" w:rsidRPr="007F7C6E">
        <w:rPr>
          <w:b/>
          <w:bCs/>
          <w:szCs w:val="22"/>
          <w:lang w:val="sr-Latn-ME"/>
        </w:rPr>
        <w:t>Vrsta</w:t>
      </w:r>
      <w:r w:rsidR="00CE09F3" w:rsidRPr="007F7C6E">
        <w:rPr>
          <w:b/>
          <w:bCs/>
          <w:szCs w:val="22"/>
          <w:lang w:val="sr-Latn-ME"/>
        </w:rPr>
        <w:t xml:space="preserve"> i sadržaj pakovanja</w:t>
      </w:r>
    </w:p>
    <w:p w14:paraId="3C8D9CAB" w14:textId="77777777" w:rsidR="004808BB" w:rsidRPr="007F7C6E" w:rsidRDefault="004808BB" w:rsidP="00DE1B44">
      <w:pPr>
        <w:rPr>
          <w:b/>
          <w:bCs/>
          <w:szCs w:val="22"/>
          <w:lang w:val="sr-Latn-ME"/>
        </w:rPr>
      </w:pPr>
    </w:p>
    <w:p w14:paraId="687E691E" w14:textId="77777777" w:rsidR="00B42B71" w:rsidRPr="007F7C6E" w:rsidRDefault="0093416E" w:rsidP="00DE1B44">
      <w:pPr>
        <w:tabs>
          <w:tab w:val="left" w:pos="1080"/>
        </w:tabs>
        <w:rPr>
          <w:szCs w:val="22"/>
          <w:lang w:val="sr-Latn-ME"/>
        </w:rPr>
      </w:pPr>
      <w:r w:rsidRPr="007F7C6E">
        <w:rPr>
          <w:szCs w:val="22"/>
          <w:lang w:val="sr-Latn-ME"/>
        </w:rPr>
        <w:t xml:space="preserve">Unutrašnje pakovanje </w:t>
      </w:r>
      <w:r w:rsidR="0064264A" w:rsidRPr="007F7C6E">
        <w:rPr>
          <w:szCs w:val="22"/>
          <w:lang w:val="sr-Latn-ME"/>
        </w:rPr>
        <w:t>lijeka</w:t>
      </w:r>
      <w:r w:rsidRPr="007F7C6E">
        <w:rPr>
          <w:szCs w:val="22"/>
          <w:lang w:val="sr-Latn-ME"/>
        </w:rPr>
        <w:t xml:space="preserve"> je ampula od bezbojnog stakla hidrolitičke otpornosti tip I. Intermedijarno pakovanje </w:t>
      </w:r>
      <w:r w:rsidR="0064264A" w:rsidRPr="007F7C6E">
        <w:rPr>
          <w:szCs w:val="22"/>
          <w:lang w:val="sr-Latn-ME"/>
        </w:rPr>
        <w:t>lijeka</w:t>
      </w:r>
      <w:r w:rsidRPr="007F7C6E">
        <w:rPr>
          <w:szCs w:val="22"/>
          <w:lang w:val="sr-Latn-ME"/>
        </w:rPr>
        <w:t xml:space="preserve"> je blister. U jednom blisteru se nalazi 5 ampula.</w:t>
      </w:r>
    </w:p>
    <w:p w14:paraId="3C8D9CAC" w14:textId="554C7FAD" w:rsidR="0093416E" w:rsidRPr="007F7C6E" w:rsidRDefault="0093416E" w:rsidP="00DE1B44">
      <w:pPr>
        <w:tabs>
          <w:tab w:val="left" w:pos="1080"/>
        </w:tabs>
        <w:rPr>
          <w:szCs w:val="22"/>
          <w:lang w:val="sr-Latn-ME"/>
        </w:rPr>
      </w:pPr>
      <w:r w:rsidRPr="007F7C6E">
        <w:rPr>
          <w:szCs w:val="22"/>
          <w:lang w:val="sr-Latn-ME"/>
        </w:rPr>
        <w:t xml:space="preserve">Spoljašnje pakovanje </w:t>
      </w:r>
      <w:r w:rsidR="0064264A" w:rsidRPr="007F7C6E">
        <w:rPr>
          <w:szCs w:val="22"/>
          <w:lang w:val="sr-Latn-ME"/>
        </w:rPr>
        <w:t>lijeka</w:t>
      </w:r>
      <w:r w:rsidRPr="007F7C6E">
        <w:rPr>
          <w:szCs w:val="22"/>
          <w:lang w:val="sr-Latn-ME"/>
        </w:rPr>
        <w:t xml:space="preserve"> je složiva kartonska kutija u kojoj se na</w:t>
      </w:r>
      <w:r w:rsidR="00344B44" w:rsidRPr="007F7C6E">
        <w:rPr>
          <w:szCs w:val="22"/>
          <w:lang w:val="sr-Latn-ME"/>
        </w:rPr>
        <w:t>laze 2 blistera sa po 5 ampula (</w:t>
      </w:r>
      <w:r w:rsidRPr="007F7C6E">
        <w:rPr>
          <w:szCs w:val="22"/>
          <w:lang w:val="sr-Latn-ME"/>
        </w:rPr>
        <w:t xml:space="preserve">ukupno 10 ampula) i Uputstvo za </w:t>
      </w:r>
      <w:r w:rsidR="0064264A" w:rsidRPr="007F7C6E">
        <w:rPr>
          <w:szCs w:val="22"/>
          <w:lang w:val="sr-Latn-ME"/>
        </w:rPr>
        <w:t>lijek</w:t>
      </w:r>
      <w:r w:rsidRPr="007F7C6E">
        <w:rPr>
          <w:szCs w:val="22"/>
          <w:lang w:val="sr-Latn-ME"/>
        </w:rPr>
        <w:t>.</w:t>
      </w:r>
    </w:p>
    <w:p w14:paraId="3C8D9CAD" w14:textId="77777777" w:rsidR="00CE09F3" w:rsidRPr="007F7C6E" w:rsidRDefault="00CE09F3" w:rsidP="00DE1B44">
      <w:pPr>
        <w:rPr>
          <w:szCs w:val="22"/>
          <w:lang w:val="sr-Latn-ME"/>
        </w:rPr>
      </w:pPr>
    </w:p>
    <w:p w14:paraId="3C8D9CAE" w14:textId="5FCEDE14" w:rsidR="00CE09F3" w:rsidRPr="007F7C6E" w:rsidRDefault="00CE09F3" w:rsidP="005E0862">
      <w:pPr>
        <w:rPr>
          <w:b/>
          <w:bCs/>
          <w:szCs w:val="22"/>
          <w:lang w:val="sr-Latn-ME"/>
        </w:rPr>
      </w:pPr>
      <w:r w:rsidRPr="007F7C6E">
        <w:rPr>
          <w:b/>
          <w:bCs/>
          <w:szCs w:val="22"/>
          <w:lang w:val="sr-Latn-ME"/>
        </w:rPr>
        <w:t>6.6. Posebne m</w:t>
      </w:r>
      <w:r w:rsidR="003C6383" w:rsidRPr="007F7C6E">
        <w:rPr>
          <w:b/>
          <w:bCs/>
          <w:szCs w:val="22"/>
          <w:lang w:val="sr-Latn-ME"/>
        </w:rPr>
        <w:t>j</w:t>
      </w:r>
      <w:r w:rsidRPr="007F7C6E">
        <w:rPr>
          <w:b/>
          <w:bCs/>
          <w:szCs w:val="22"/>
          <w:lang w:val="sr-Latn-ME"/>
        </w:rPr>
        <w:t>ere opreza pri odlaganju materijala koji treba odbaciti nakon prim</w:t>
      </w:r>
      <w:r w:rsidR="003C6383" w:rsidRPr="007F7C6E">
        <w:rPr>
          <w:b/>
          <w:bCs/>
          <w:szCs w:val="22"/>
          <w:lang w:val="sr-Latn-ME"/>
        </w:rPr>
        <w:t>j</w:t>
      </w:r>
      <w:r w:rsidRPr="007F7C6E">
        <w:rPr>
          <w:b/>
          <w:bCs/>
          <w:szCs w:val="22"/>
          <w:lang w:val="sr-Latn-ME"/>
        </w:rPr>
        <w:t xml:space="preserve">ene </w:t>
      </w:r>
      <w:r w:rsidR="0064264A" w:rsidRPr="007F7C6E">
        <w:rPr>
          <w:b/>
          <w:bCs/>
          <w:szCs w:val="22"/>
          <w:lang w:val="sr-Latn-ME"/>
        </w:rPr>
        <w:t>lijeka</w:t>
      </w:r>
      <w:r w:rsidRPr="007F7C6E">
        <w:rPr>
          <w:b/>
          <w:bCs/>
          <w:szCs w:val="22"/>
          <w:lang w:val="sr-Latn-ME"/>
        </w:rPr>
        <w:t xml:space="preserve"> (i druga uputstva za rukovanje </w:t>
      </w:r>
      <w:r w:rsidR="0064264A" w:rsidRPr="007F7C6E">
        <w:rPr>
          <w:b/>
          <w:bCs/>
          <w:szCs w:val="22"/>
          <w:lang w:val="sr-Latn-ME"/>
        </w:rPr>
        <w:t>lijek</w:t>
      </w:r>
      <w:r w:rsidRPr="007F7C6E">
        <w:rPr>
          <w:b/>
          <w:bCs/>
          <w:szCs w:val="22"/>
          <w:lang w:val="sr-Latn-ME"/>
        </w:rPr>
        <w:t>om)</w:t>
      </w:r>
    </w:p>
    <w:p w14:paraId="16CE8751" w14:textId="77777777" w:rsidR="0021321D" w:rsidRPr="007F7C6E" w:rsidRDefault="0021321D" w:rsidP="002F2CA2">
      <w:pPr>
        <w:rPr>
          <w:szCs w:val="22"/>
          <w:lang w:val="sr-Latn-ME"/>
        </w:rPr>
      </w:pPr>
    </w:p>
    <w:p w14:paraId="16202522" w14:textId="704D06CC" w:rsidR="0021321D" w:rsidRPr="007F7C6E" w:rsidRDefault="0021321D">
      <w:pPr>
        <w:rPr>
          <w:szCs w:val="22"/>
          <w:lang w:val="sr-Latn-ME"/>
        </w:rPr>
      </w:pPr>
      <w:r w:rsidRPr="007F7C6E">
        <w:rPr>
          <w:szCs w:val="22"/>
          <w:lang w:val="sr-Latn-ME"/>
        </w:rPr>
        <w:t xml:space="preserve">Uputstvo o razblaživanju </w:t>
      </w:r>
      <w:r w:rsidR="0064264A" w:rsidRPr="007F7C6E">
        <w:rPr>
          <w:szCs w:val="22"/>
          <w:lang w:val="sr-Latn-ME"/>
        </w:rPr>
        <w:t>lijeka</w:t>
      </w:r>
      <w:r w:rsidRPr="007F7C6E">
        <w:rPr>
          <w:szCs w:val="22"/>
          <w:lang w:val="sr-Latn-ME"/>
        </w:rPr>
        <w:t xml:space="preserve"> pr</w:t>
      </w:r>
      <w:r w:rsidR="0074498E" w:rsidRPr="007F7C6E">
        <w:rPr>
          <w:szCs w:val="22"/>
          <w:lang w:val="sr-Latn-ME"/>
        </w:rPr>
        <w:t>ij</w:t>
      </w:r>
      <w:r w:rsidRPr="007F7C6E">
        <w:rPr>
          <w:szCs w:val="22"/>
          <w:lang w:val="sr-Latn-ME"/>
        </w:rPr>
        <w:t>e prim</w:t>
      </w:r>
      <w:r w:rsidR="003C6383" w:rsidRPr="007F7C6E">
        <w:rPr>
          <w:szCs w:val="22"/>
          <w:lang w:val="sr-Latn-ME"/>
        </w:rPr>
        <w:t>j</w:t>
      </w:r>
      <w:r w:rsidRPr="007F7C6E">
        <w:rPr>
          <w:szCs w:val="22"/>
          <w:lang w:val="sr-Latn-ME"/>
        </w:rPr>
        <w:t>ene</w:t>
      </w:r>
    </w:p>
    <w:p w14:paraId="560AB273" w14:textId="77777777" w:rsidR="00B2693A" w:rsidRPr="007F7C6E" w:rsidRDefault="00B2693A">
      <w:pPr>
        <w:rPr>
          <w:szCs w:val="22"/>
          <w:lang w:val="sr-Latn-ME"/>
        </w:rPr>
      </w:pPr>
    </w:p>
    <w:p w14:paraId="110960AB" w14:textId="5A1ABFD9" w:rsidR="00B2693A" w:rsidRPr="007F7C6E" w:rsidRDefault="00164B9F" w:rsidP="0001076C">
      <w:pPr>
        <w:rPr>
          <w:szCs w:val="22"/>
          <w:lang w:val="sr-Latn-ME"/>
        </w:rPr>
      </w:pPr>
      <w:r w:rsidRPr="007F7C6E">
        <w:rPr>
          <w:szCs w:val="22"/>
          <w:lang w:val="sr-Latn-ME"/>
        </w:rPr>
        <w:t>Pr</w:t>
      </w:r>
      <w:r w:rsidR="0074498E" w:rsidRPr="007F7C6E">
        <w:rPr>
          <w:szCs w:val="22"/>
          <w:lang w:val="sr-Latn-ME"/>
        </w:rPr>
        <w:t>ij</w:t>
      </w:r>
      <w:r w:rsidRPr="007F7C6E">
        <w:rPr>
          <w:szCs w:val="22"/>
          <w:lang w:val="sr-Latn-ME"/>
        </w:rPr>
        <w:t>e intravenske prim</w:t>
      </w:r>
      <w:r w:rsidR="0074498E" w:rsidRPr="007F7C6E">
        <w:rPr>
          <w:szCs w:val="22"/>
          <w:lang w:val="sr-Latn-ME"/>
        </w:rPr>
        <w:t>j</w:t>
      </w:r>
      <w:r w:rsidRPr="007F7C6E">
        <w:rPr>
          <w:szCs w:val="22"/>
          <w:lang w:val="sr-Latn-ME"/>
        </w:rPr>
        <w:t xml:space="preserve">ene klindamicin se </w:t>
      </w:r>
      <w:r w:rsidRPr="007F7C6E">
        <w:rPr>
          <w:b/>
          <w:szCs w:val="22"/>
          <w:lang w:val="sr-Latn-ME"/>
        </w:rPr>
        <w:t>mora</w:t>
      </w:r>
      <w:r w:rsidRPr="007F7C6E">
        <w:rPr>
          <w:szCs w:val="22"/>
          <w:lang w:val="sr-Latn-ME"/>
        </w:rPr>
        <w:t xml:space="preserve"> razblažiti i dati u intravenskoj</w:t>
      </w:r>
      <w:r w:rsidR="00522A98" w:rsidRPr="007F7C6E">
        <w:rPr>
          <w:szCs w:val="22"/>
          <w:lang w:val="sr-Latn-ME"/>
        </w:rPr>
        <w:t xml:space="preserve"> </w:t>
      </w:r>
      <w:r w:rsidRPr="007F7C6E">
        <w:rPr>
          <w:szCs w:val="22"/>
          <w:lang w:val="sr-Latn-ME"/>
        </w:rPr>
        <w:t>infuziji</w:t>
      </w:r>
      <w:r w:rsidRPr="007F7C6E">
        <w:rPr>
          <w:color w:val="FF0000"/>
          <w:szCs w:val="22"/>
          <w:lang w:val="sr-Latn-ME"/>
        </w:rPr>
        <w:t xml:space="preserve"> </w:t>
      </w:r>
      <w:r w:rsidRPr="007F7C6E">
        <w:rPr>
          <w:szCs w:val="22"/>
          <w:lang w:val="sr-Latn-ME"/>
        </w:rPr>
        <w:t>u trajanju od 10-60</w:t>
      </w:r>
      <w:r w:rsidR="00B2693A" w:rsidRPr="007F7C6E">
        <w:rPr>
          <w:szCs w:val="22"/>
          <w:lang w:val="sr-Latn-ME"/>
        </w:rPr>
        <w:t xml:space="preserve"> </w:t>
      </w:r>
    </w:p>
    <w:p w14:paraId="493D2125" w14:textId="7156E9B5" w:rsidR="00164B9F" w:rsidRPr="007F7C6E" w:rsidRDefault="00B2693A" w:rsidP="0001076C">
      <w:pPr>
        <w:rPr>
          <w:szCs w:val="22"/>
          <w:lang w:val="sr-Latn-ME"/>
        </w:rPr>
      </w:pPr>
      <w:r w:rsidRPr="007F7C6E">
        <w:rPr>
          <w:szCs w:val="22"/>
          <w:lang w:val="sr-Latn-ME"/>
        </w:rPr>
        <w:t>minuta.</w:t>
      </w:r>
    </w:p>
    <w:p w14:paraId="00467B27" w14:textId="77777777" w:rsidR="00164B9F" w:rsidRPr="007F7C6E" w:rsidRDefault="00164B9F" w:rsidP="005E1030">
      <w:pPr>
        <w:rPr>
          <w:bCs/>
          <w:szCs w:val="22"/>
          <w:lang w:val="sr-Latn-ME"/>
        </w:rPr>
      </w:pPr>
    </w:p>
    <w:p w14:paraId="3B66BC02" w14:textId="295D0432" w:rsidR="009E140F" w:rsidRPr="007F7C6E" w:rsidRDefault="009E140F" w:rsidP="00220F9D">
      <w:pPr>
        <w:rPr>
          <w:szCs w:val="22"/>
          <w:lang w:val="sr-Latn-ME"/>
        </w:rPr>
      </w:pPr>
      <w:r w:rsidRPr="007F7C6E">
        <w:rPr>
          <w:szCs w:val="22"/>
          <w:lang w:val="sr-Latn-ME"/>
        </w:rPr>
        <w:t>Koncentracija klindamicina u rastvoru za infuziju ne bi trebalo da bude viša od 18 mg/ml, a brzina prim</w:t>
      </w:r>
      <w:r w:rsidR="0074498E" w:rsidRPr="007F7C6E">
        <w:rPr>
          <w:szCs w:val="22"/>
          <w:lang w:val="sr-Latn-ME"/>
        </w:rPr>
        <w:t>j</w:t>
      </w:r>
      <w:r w:rsidRPr="007F7C6E">
        <w:rPr>
          <w:szCs w:val="22"/>
          <w:lang w:val="sr-Latn-ME"/>
        </w:rPr>
        <w:t xml:space="preserve">ene infuzije ne bi trebalo da prelazi 30 mg/min. </w:t>
      </w:r>
    </w:p>
    <w:p w14:paraId="782F92B0" w14:textId="77777777" w:rsidR="006E5A36" w:rsidRPr="007F7C6E" w:rsidRDefault="006E5A36" w:rsidP="00CD1386">
      <w:pPr>
        <w:rPr>
          <w:szCs w:val="22"/>
          <w:lang w:val="sr-Latn-ME"/>
        </w:rPr>
      </w:pPr>
    </w:p>
    <w:p w14:paraId="6F4776E9" w14:textId="6ABAC718" w:rsidR="009E140F" w:rsidRPr="007F7C6E" w:rsidRDefault="009E140F" w:rsidP="00CD1386">
      <w:pPr>
        <w:rPr>
          <w:szCs w:val="22"/>
          <w:lang w:val="sr-Latn-ME"/>
        </w:rPr>
      </w:pPr>
      <w:r w:rsidRPr="007F7C6E">
        <w:rPr>
          <w:szCs w:val="22"/>
          <w:lang w:val="sr-Latn-ME"/>
        </w:rPr>
        <w:t>Klindamicin</w:t>
      </w:r>
      <w:r w:rsidR="00D010CE" w:rsidRPr="007F7C6E">
        <w:rPr>
          <w:szCs w:val="22"/>
          <w:lang w:val="sr-Latn-ME"/>
        </w:rPr>
        <w:t xml:space="preserve"> </w:t>
      </w:r>
      <w:r w:rsidRPr="007F7C6E">
        <w:rPr>
          <w:szCs w:val="22"/>
          <w:lang w:val="sr-Latn-ME"/>
        </w:rPr>
        <w:t>fosfat je kompatibilan sa rastvorom 5% glukoze i rastvorom 0,9% natrijum</w:t>
      </w:r>
      <w:r w:rsidR="00D010CE" w:rsidRPr="007F7C6E">
        <w:rPr>
          <w:szCs w:val="22"/>
          <w:lang w:val="sr-Latn-ME"/>
        </w:rPr>
        <w:t xml:space="preserve"> </w:t>
      </w:r>
      <w:r w:rsidRPr="007F7C6E">
        <w:rPr>
          <w:szCs w:val="22"/>
          <w:lang w:val="sr-Latn-ME"/>
        </w:rPr>
        <w:t>hlorida.</w:t>
      </w:r>
    </w:p>
    <w:p w14:paraId="167A432B" w14:textId="77777777" w:rsidR="006E5A36" w:rsidRPr="007F7C6E" w:rsidRDefault="006E5A36" w:rsidP="002E3841">
      <w:pPr>
        <w:rPr>
          <w:szCs w:val="22"/>
          <w:lang w:val="sr-Latn-ME"/>
        </w:rPr>
      </w:pPr>
    </w:p>
    <w:p w14:paraId="23A9AED9" w14:textId="7076B1A0" w:rsidR="009E140F" w:rsidRPr="007F7C6E" w:rsidRDefault="009E140F" w:rsidP="00B2198D">
      <w:pPr>
        <w:rPr>
          <w:szCs w:val="22"/>
          <w:lang w:val="sr-Latn-ME"/>
        </w:rPr>
      </w:pPr>
      <w:r w:rsidRPr="007F7C6E">
        <w:rPr>
          <w:szCs w:val="22"/>
          <w:lang w:val="sr-Latn-ME"/>
        </w:rPr>
        <w:t>Uobičajena priprema rastvora za intravensku prim</w:t>
      </w:r>
      <w:r w:rsidR="0074498E" w:rsidRPr="007F7C6E">
        <w:rPr>
          <w:szCs w:val="22"/>
          <w:lang w:val="sr-Latn-ME"/>
        </w:rPr>
        <w:t>j</w:t>
      </w:r>
      <w:r w:rsidRPr="007F7C6E">
        <w:rPr>
          <w:szCs w:val="22"/>
          <w:lang w:val="sr-Latn-ME"/>
        </w:rPr>
        <w:t>enu i trajanje infuzije su:</w:t>
      </w:r>
    </w:p>
    <w:p w14:paraId="3FA58B61" w14:textId="77777777" w:rsidR="009E140F" w:rsidRPr="007F7C6E" w:rsidRDefault="009E140F" w:rsidP="00B2198D">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216"/>
        <w:gridCol w:w="3210"/>
      </w:tblGrid>
      <w:tr w:rsidR="009E140F" w:rsidRPr="007F7C6E" w14:paraId="0AEB915E" w14:textId="77777777" w:rsidTr="00E1338E">
        <w:tc>
          <w:tcPr>
            <w:tcW w:w="3285" w:type="dxa"/>
          </w:tcPr>
          <w:p w14:paraId="4CE0EC31" w14:textId="77777777" w:rsidR="009E140F" w:rsidRPr="007F7C6E" w:rsidRDefault="009E140F" w:rsidP="00B2198D">
            <w:pPr>
              <w:rPr>
                <w:i/>
                <w:szCs w:val="22"/>
                <w:lang w:val="sr-Latn-ME"/>
              </w:rPr>
            </w:pPr>
            <w:r w:rsidRPr="007F7C6E">
              <w:rPr>
                <w:i/>
                <w:szCs w:val="22"/>
                <w:lang w:val="sr-Latn-ME"/>
              </w:rPr>
              <w:t>Doza</w:t>
            </w:r>
          </w:p>
        </w:tc>
        <w:tc>
          <w:tcPr>
            <w:tcW w:w="3285" w:type="dxa"/>
          </w:tcPr>
          <w:p w14:paraId="6BD1F97A" w14:textId="77777777" w:rsidR="009E140F" w:rsidRPr="007F7C6E" w:rsidRDefault="009E140F" w:rsidP="00DE1B44">
            <w:pPr>
              <w:rPr>
                <w:i/>
                <w:szCs w:val="22"/>
                <w:lang w:val="sr-Latn-ME"/>
              </w:rPr>
            </w:pPr>
            <w:r w:rsidRPr="007F7C6E">
              <w:rPr>
                <w:i/>
                <w:szCs w:val="22"/>
                <w:lang w:val="sr-Latn-ME"/>
              </w:rPr>
              <w:t>Rastvarač</w:t>
            </w:r>
          </w:p>
        </w:tc>
        <w:tc>
          <w:tcPr>
            <w:tcW w:w="3285" w:type="dxa"/>
          </w:tcPr>
          <w:p w14:paraId="715CA9D0" w14:textId="70A4DD4B" w:rsidR="009E140F" w:rsidRPr="007F7C6E" w:rsidRDefault="009E140F" w:rsidP="00DE1B44">
            <w:pPr>
              <w:rPr>
                <w:i/>
                <w:szCs w:val="22"/>
                <w:lang w:val="sr-Latn-ME"/>
              </w:rPr>
            </w:pPr>
            <w:r w:rsidRPr="007F7C6E">
              <w:rPr>
                <w:i/>
                <w:szCs w:val="22"/>
                <w:lang w:val="sr-Latn-ME"/>
              </w:rPr>
              <w:t>Vr</w:t>
            </w:r>
            <w:r w:rsidR="0074498E" w:rsidRPr="007F7C6E">
              <w:rPr>
                <w:i/>
                <w:szCs w:val="22"/>
                <w:lang w:val="sr-Latn-ME"/>
              </w:rPr>
              <w:t>ij</w:t>
            </w:r>
            <w:r w:rsidRPr="007F7C6E">
              <w:rPr>
                <w:i/>
                <w:szCs w:val="22"/>
                <w:lang w:val="sr-Latn-ME"/>
              </w:rPr>
              <w:t>eme</w:t>
            </w:r>
          </w:p>
        </w:tc>
      </w:tr>
      <w:tr w:rsidR="009E140F" w:rsidRPr="007F7C6E" w14:paraId="64B765DE" w14:textId="77777777" w:rsidTr="00E1338E">
        <w:tc>
          <w:tcPr>
            <w:tcW w:w="3285" w:type="dxa"/>
          </w:tcPr>
          <w:p w14:paraId="0A347FEB" w14:textId="77777777" w:rsidR="009E140F" w:rsidRPr="007F7C6E" w:rsidRDefault="009E140F" w:rsidP="005E1030">
            <w:pPr>
              <w:rPr>
                <w:szCs w:val="22"/>
                <w:lang w:val="sr-Latn-ME"/>
              </w:rPr>
            </w:pPr>
            <w:r w:rsidRPr="007F7C6E">
              <w:rPr>
                <w:szCs w:val="22"/>
                <w:lang w:val="sr-Latn-ME"/>
              </w:rPr>
              <w:t>300 mg</w:t>
            </w:r>
          </w:p>
        </w:tc>
        <w:tc>
          <w:tcPr>
            <w:tcW w:w="3285" w:type="dxa"/>
          </w:tcPr>
          <w:p w14:paraId="1B1C19C3" w14:textId="1A74DADB" w:rsidR="009E140F" w:rsidRPr="007F7C6E" w:rsidRDefault="009E140F" w:rsidP="00365AFC">
            <w:pPr>
              <w:rPr>
                <w:szCs w:val="22"/>
                <w:lang w:val="sr-Latn-ME"/>
              </w:rPr>
            </w:pPr>
            <w:r w:rsidRPr="007F7C6E">
              <w:rPr>
                <w:szCs w:val="22"/>
                <w:lang w:val="sr-Latn-ME"/>
              </w:rPr>
              <w:t>50 m</w:t>
            </w:r>
            <w:r w:rsidR="00D010CE" w:rsidRPr="007F7C6E">
              <w:rPr>
                <w:szCs w:val="22"/>
                <w:lang w:val="sr-Latn-ME"/>
              </w:rPr>
              <w:t>l</w:t>
            </w:r>
          </w:p>
        </w:tc>
        <w:tc>
          <w:tcPr>
            <w:tcW w:w="3285" w:type="dxa"/>
          </w:tcPr>
          <w:p w14:paraId="20151AF1" w14:textId="77777777" w:rsidR="009E140F" w:rsidRPr="007F7C6E" w:rsidRDefault="009E140F" w:rsidP="00220F9D">
            <w:pPr>
              <w:rPr>
                <w:szCs w:val="22"/>
                <w:lang w:val="sr-Latn-ME"/>
              </w:rPr>
            </w:pPr>
            <w:r w:rsidRPr="007F7C6E">
              <w:rPr>
                <w:szCs w:val="22"/>
                <w:lang w:val="sr-Latn-ME"/>
              </w:rPr>
              <w:t>10 min</w:t>
            </w:r>
          </w:p>
        </w:tc>
      </w:tr>
      <w:tr w:rsidR="009E140F" w:rsidRPr="007F7C6E" w14:paraId="2C76CABD" w14:textId="77777777" w:rsidTr="00E1338E">
        <w:tc>
          <w:tcPr>
            <w:tcW w:w="3285" w:type="dxa"/>
          </w:tcPr>
          <w:p w14:paraId="6ACBD913" w14:textId="77777777" w:rsidR="009E140F" w:rsidRPr="007F7C6E" w:rsidRDefault="009E140F" w:rsidP="005E1030">
            <w:pPr>
              <w:rPr>
                <w:szCs w:val="22"/>
                <w:lang w:val="sr-Latn-ME"/>
              </w:rPr>
            </w:pPr>
            <w:r w:rsidRPr="007F7C6E">
              <w:rPr>
                <w:szCs w:val="22"/>
                <w:lang w:val="sr-Latn-ME"/>
              </w:rPr>
              <w:t>600 mg</w:t>
            </w:r>
          </w:p>
        </w:tc>
        <w:tc>
          <w:tcPr>
            <w:tcW w:w="3285" w:type="dxa"/>
          </w:tcPr>
          <w:p w14:paraId="2953AF88" w14:textId="0FFCD60F" w:rsidR="009E140F" w:rsidRPr="007F7C6E" w:rsidRDefault="009E140F" w:rsidP="00365AFC">
            <w:pPr>
              <w:rPr>
                <w:szCs w:val="22"/>
                <w:lang w:val="sr-Latn-ME"/>
              </w:rPr>
            </w:pPr>
            <w:r w:rsidRPr="007F7C6E">
              <w:rPr>
                <w:szCs w:val="22"/>
                <w:lang w:val="sr-Latn-ME"/>
              </w:rPr>
              <w:t>50 m</w:t>
            </w:r>
            <w:r w:rsidR="00D010CE" w:rsidRPr="007F7C6E">
              <w:rPr>
                <w:szCs w:val="22"/>
                <w:lang w:val="sr-Latn-ME"/>
              </w:rPr>
              <w:t>l</w:t>
            </w:r>
          </w:p>
        </w:tc>
        <w:tc>
          <w:tcPr>
            <w:tcW w:w="3285" w:type="dxa"/>
          </w:tcPr>
          <w:p w14:paraId="0A81B12D" w14:textId="77777777" w:rsidR="009E140F" w:rsidRPr="007F7C6E" w:rsidRDefault="009E140F" w:rsidP="00220F9D">
            <w:pPr>
              <w:rPr>
                <w:szCs w:val="22"/>
                <w:lang w:val="sr-Latn-ME"/>
              </w:rPr>
            </w:pPr>
            <w:r w:rsidRPr="007F7C6E">
              <w:rPr>
                <w:szCs w:val="22"/>
                <w:lang w:val="sr-Latn-ME"/>
              </w:rPr>
              <w:t>20 min</w:t>
            </w:r>
          </w:p>
        </w:tc>
      </w:tr>
      <w:tr w:rsidR="009E140F" w:rsidRPr="007F7C6E" w14:paraId="5DD2C1A1" w14:textId="77777777" w:rsidTr="00E1338E">
        <w:tc>
          <w:tcPr>
            <w:tcW w:w="3285" w:type="dxa"/>
          </w:tcPr>
          <w:p w14:paraId="644C81C2" w14:textId="77777777" w:rsidR="009E140F" w:rsidRPr="007F7C6E" w:rsidRDefault="009E140F" w:rsidP="005E1030">
            <w:pPr>
              <w:rPr>
                <w:szCs w:val="22"/>
                <w:lang w:val="sr-Latn-ME"/>
              </w:rPr>
            </w:pPr>
            <w:r w:rsidRPr="007F7C6E">
              <w:rPr>
                <w:szCs w:val="22"/>
                <w:lang w:val="sr-Latn-ME"/>
              </w:rPr>
              <w:t>900 mg</w:t>
            </w:r>
          </w:p>
        </w:tc>
        <w:tc>
          <w:tcPr>
            <w:tcW w:w="3285" w:type="dxa"/>
          </w:tcPr>
          <w:p w14:paraId="661AEC28" w14:textId="71ACB066" w:rsidR="009E140F" w:rsidRPr="007F7C6E" w:rsidRDefault="009E140F" w:rsidP="00365AFC">
            <w:pPr>
              <w:rPr>
                <w:szCs w:val="22"/>
                <w:lang w:val="sr-Latn-ME"/>
              </w:rPr>
            </w:pPr>
            <w:r w:rsidRPr="007F7C6E">
              <w:rPr>
                <w:szCs w:val="22"/>
                <w:lang w:val="sr-Latn-ME"/>
              </w:rPr>
              <w:t>50-100 m</w:t>
            </w:r>
            <w:r w:rsidR="00D010CE" w:rsidRPr="007F7C6E">
              <w:rPr>
                <w:szCs w:val="22"/>
                <w:lang w:val="sr-Latn-ME"/>
              </w:rPr>
              <w:t>l</w:t>
            </w:r>
          </w:p>
        </w:tc>
        <w:tc>
          <w:tcPr>
            <w:tcW w:w="3285" w:type="dxa"/>
          </w:tcPr>
          <w:p w14:paraId="31E29DF6" w14:textId="77777777" w:rsidR="009E140F" w:rsidRPr="007F7C6E" w:rsidRDefault="009E140F" w:rsidP="00220F9D">
            <w:pPr>
              <w:rPr>
                <w:szCs w:val="22"/>
                <w:lang w:val="sr-Latn-ME"/>
              </w:rPr>
            </w:pPr>
            <w:r w:rsidRPr="007F7C6E">
              <w:rPr>
                <w:szCs w:val="22"/>
                <w:lang w:val="sr-Latn-ME"/>
              </w:rPr>
              <w:t>30 min</w:t>
            </w:r>
          </w:p>
        </w:tc>
      </w:tr>
      <w:tr w:rsidR="009E140F" w:rsidRPr="007F7C6E" w14:paraId="1BC888FB" w14:textId="77777777" w:rsidTr="00E1338E">
        <w:tc>
          <w:tcPr>
            <w:tcW w:w="3285" w:type="dxa"/>
          </w:tcPr>
          <w:p w14:paraId="795B2077" w14:textId="77777777" w:rsidR="009E140F" w:rsidRPr="007F7C6E" w:rsidRDefault="009E140F" w:rsidP="005E1030">
            <w:pPr>
              <w:rPr>
                <w:szCs w:val="22"/>
                <w:lang w:val="sr-Latn-ME"/>
              </w:rPr>
            </w:pPr>
            <w:r w:rsidRPr="007F7C6E">
              <w:rPr>
                <w:szCs w:val="22"/>
                <w:lang w:val="sr-Latn-ME"/>
              </w:rPr>
              <w:t>1200 mg</w:t>
            </w:r>
          </w:p>
        </w:tc>
        <w:tc>
          <w:tcPr>
            <w:tcW w:w="3285" w:type="dxa"/>
          </w:tcPr>
          <w:p w14:paraId="37F97369" w14:textId="08F826AE" w:rsidR="009E140F" w:rsidRPr="007F7C6E" w:rsidRDefault="009E140F" w:rsidP="00365AFC">
            <w:pPr>
              <w:rPr>
                <w:szCs w:val="22"/>
                <w:lang w:val="sr-Latn-ME"/>
              </w:rPr>
            </w:pPr>
            <w:r w:rsidRPr="007F7C6E">
              <w:rPr>
                <w:szCs w:val="22"/>
                <w:lang w:val="sr-Latn-ME"/>
              </w:rPr>
              <w:t>100 m</w:t>
            </w:r>
            <w:r w:rsidR="00D010CE" w:rsidRPr="007F7C6E">
              <w:rPr>
                <w:szCs w:val="22"/>
                <w:lang w:val="sr-Latn-ME"/>
              </w:rPr>
              <w:t>l</w:t>
            </w:r>
          </w:p>
        </w:tc>
        <w:tc>
          <w:tcPr>
            <w:tcW w:w="3285" w:type="dxa"/>
          </w:tcPr>
          <w:p w14:paraId="77CD587C" w14:textId="77777777" w:rsidR="009E140F" w:rsidRPr="007F7C6E" w:rsidRDefault="009E140F" w:rsidP="00220F9D">
            <w:pPr>
              <w:rPr>
                <w:szCs w:val="22"/>
                <w:lang w:val="sr-Latn-ME"/>
              </w:rPr>
            </w:pPr>
            <w:r w:rsidRPr="007F7C6E">
              <w:rPr>
                <w:szCs w:val="22"/>
                <w:lang w:val="sr-Latn-ME"/>
              </w:rPr>
              <w:t>40 min</w:t>
            </w:r>
          </w:p>
        </w:tc>
      </w:tr>
    </w:tbl>
    <w:p w14:paraId="18F9F135" w14:textId="77777777" w:rsidR="009E140F" w:rsidRPr="007F7C6E" w:rsidRDefault="009E140F" w:rsidP="005E1030">
      <w:pPr>
        <w:rPr>
          <w:szCs w:val="22"/>
          <w:lang w:val="sr-Latn-ME"/>
        </w:rPr>
      </w:pPr>
    </w:p>
    <w:p w14:paraId="404B6319" w14:textId="7FCA77FC" w:rsidR="004446E1" w:rsidRPr="007F7C6E" w:rsidRDefault="004446E1" w:rsidP="00220F9D">
      <w:pPr>
        <w:ind w:left="567" w:hanging="567"/>
        <w:rPr>
          <w:szCs w:val="22"/>
          <w:lang w:val="sr-Latn-ME"/>
        </w:rPr>
      </w:pPr>
      <w:r w:rsidRPr="007F7C6E">
        <w:rPr>
          <w:szCs w:val="22"/>
          <w:lang w:val="sr-Latn-ME"/>
        </w:rPr>
        <w:t>Ukoliko se prim</w:t>
      </w:r>
      <w:r w:rsidR="0074498E" w:rsidRPr="007F7C6E">
        <w:rPr>
          <w:szCs w:val="22"/>
          <w:lang w:val="sr-Latn-ME"/>
        </w:rPr>
        <w:t>j</w:t>
      </w:r>
      <w:r w:rsidRPr="007F7C6E">
        <w:rPr>
          <w:szCs w:val="22"/>
          <w:lang w:val="sr-Latn-ME"/>
        </w:rPr>
        <w:t xml:space="preserve">enjuje intramuskularno, nije potrebno prethodno razblaživanje klindamicina. </w:t>
      </w:r>
    </w:p>
    <w:p w14:paraId="2EA0E945" w14:textId="77777777" w:rsidR="00EE5B0C" w:rsidRPr="007F7C6E" w:rsidRDefault="00EE5B0C" w:rsidP="00CD1386">
      <w:pPr>
        <w:rPr>
          <w:szCs w:val="22"/>
          <w:lang w:val="sr-Latn-ME"/>
        </w:rPr>
      </w:pPr>
    </w:p>
    <w:p w14:paraId="3C8D9CB2" w14:textId="4854557B" w:rsidR="00CE09F3" w:rsidRPr="007F7C6E" w:rsidRDefault="00F45F8D" w:rsidP="002E3841">
      <w:pPr>
        <w:rPr>
          <w:szCs w:val="22"/>
          <w:lang w:val="sr-Latn-ME"/>
        </w:rPr>
      </w:pPr>
      <w:r w:rsidRPr="007F7C6E">
        <w:rPr>
          <w:szCs w:val="22"/>
          <w:lang w:val="sr-Latn-ME"/>
        </w:rPr>
        <w:t xml:space="preserve">Svu neiskorišćenu količinu </w:t>
      </w:r>
      <w:r w:rsidR="0064264A" w:rsidRPr="007F7C6E">
        <w:rPr>
          <w:szCs w:val="22"/>
          <w:lang w:val="sr-Latn-ME"/>
        </w:rPr>
        <w:t>lijeka</w:t>
      </w:r>
      <w:r w:rsidRPr="007F7C6E">
        <w:rPr>
          <w:szCs w:val="22"/>
          <w:lang w:val="sr-Latn-ME"/>
        </w:rPr>
        <w:t xml:space="preserve"> ili otpadnog materijala nakon njegove upotrebe treba ukloniti, u skladu sa važećim propisima.</w:t>
      </w:r>
    </w:p>
    <w:p w14:paraId="7194D987" w14:textId="77777777" w:rsidR="00E83782" w:rsidRPr="007F7C6E" w:rsidRDefault="00E83782" w:rsidP="00B2198D">
      <w:pPr>
        <w:rPr>
          <w:szCs w:val="22"/>
          <w:lang w:val="sr-Latn-ME"/>
        </w:rPr>
      </w:pPr>
    </w:p>
    <w:p w14:paraId="22E9020B" w14:textId="7A7D37A1" w:rsidR="00E83782" w:rsidRPr="007F7C6E" w:rsidRDefault="009C5229" w:rsidP="00B2198D">
      <w:pPr>
        <w:rPr>
          <w:szCs w:val="22"/>
          <w:lang w:val="sr-Latn-ME"/>
        </w:rPr>
      </w:pPr>
      <w:r w:rsidRPr="007F7C6E">
        <w:rPr>
          <w:szCs w:val="22"/>
          <w:lang w:val="sr-Latn-ME"/>
        </w:rPr>
        <w:t>Vidjeti</w:t>
      </w:r>
      <w:r w:rsidR="00E83782" w:rsidRPr="007F7C6E">
        <w:rPr>
          <w:szCs w:val="22"/>
          <w:lang w:val="sr-Latn-ME"/>
        </w:rPr>
        <w:t xml:space="preserve"> inkompatibilnosti u </w:t>
      </w:r>
      <w:r w:rsidRPr="007F7C6E">
        <w:rPr>
          <w:szCs w:val="22"/>
          <w:lang w:val="sr-Latn-ME"/>
        </w:rPr>
        <w:t>dijelu</w:t>
      </w:r>
      <w:r w:rsidR="00E83782" w:rsidRPr="007F7C6E">
        <w:rPr>
          <w:szCs w:val="22"/>
          <w:lang w:val="sr-Latn-ME"/>
        </w:rPr>
        <w:t xml:space="preserve"> 6.2.</w:t>
      </w:r>
    </w:p>
    <w:p w14:paraId="30CC0D15" w14:textId="0C137CFC" w:rsidR="00D010CE" w:rsidRPr="007F7C6E" w:rsidRDefault="00D010CE" w:rsidP="00DE1B44">
      <w:pPr>
        <w:rPr>
          <w:szCs w:val="22"/>
          <w:lang w:val="sr-Latn-ME"/>
        </w:rPr>
      </w:pPr>
    </w:p>
    <w:p w14:paraId="62AE984D" w14:textId="77777777" w:rsidR="00D010CE" w:rsidRPr="007F7C6E" w:rsidRDefault="00D010CE" w:rsidP="00DE1B44">
      <w:pPr>
        <w:rPr>
          <w:szCs w:val="22"/>
          <w:lang w:val="sr-Latn-ME"/>
        </w:rPr>
      </w:pPr>
    </w:p>
    <w:p w14:paraId="3C8D9CB3" w14:textId="37390F34" w:rsidR="00CE09F3" w:rsidRPr="007F7C6E" w:rsidRDefault="00CE09F3" w:rsidP="0001076C">
      <w:pPr>
        <w:pStyle w:val="NASLOV123"/>
        <w:spacing w:before="0" w:after="0"/>
        <w:jc w:val="both"/>
        <w:rPr>
          <w:lang w:val="sr-Latn-ME"/>
        </w:rPr>
      </w:pPr>
      <w:r w:rsidRPr="007F7C6E">
        <w:rPr>
          <w:lang w:val="sr-Latn-ME"/>
        </w:rPr>
        <w:t xml:space="preserve">7. </w:t>
      </w:r>
      <w:r w:rsidR="00FE6FDC" w:rsidRPr="007F7C6E">
        <w:rPr>
          <w:lang w:val="sr-Latn-ME"/>
        </w:rPr>
        <w:tab/>
      </w:r>
      <w:r w:rsidRPr="007F7C6E">
        <w:rPr>
          <w:lang w:val="sr-Latn-ME"/>
        </w:rPr>
        <w:t xml:space="preserve">NOSILAC DOZVOLE </w:t>
      </w:r>
    </w:p>
    <w:p w14:paraId="5E8E7508" w14:textId="77777777" w:rsidR="00D010CE" w:rsidRPr="007F7C6E" w:rsidRDefault="00D010CE" w:rsidP="0001076C">
      <w:pPr>
        <w:pStyle w:val="NASLOV123"/>
        <w:spacing w:before="0" w:after="0"/>
        <w:jc w:val="both"/>
        <w:rPr>
          <w:lang w:val="sr-Latn-ME"/>
        </w:rPr>
      </w:pPr>
    </w:p>
    <w:p w14:paraId="5E7494E8" w14:textId="77777777" w:rsidR="000C2B95" w:rsidRPr="007F7C6E" w:rsidRDefault="000C2B95" w:rsidP="005E1030">
      <w:pPr>
        <w:widowControl w:val="0"/>
        <w:autoSpaceDE w:val="0"/>
        <w:autoSpaceDN w:val="0"/>
        <w:rPr>
          <w:bCs/>
          <w:szCs w:val="22"/>
          <w:lang w:val="sr-Latn-ME"/>
        </w:rPr>
      </w:pPr>
      <w:r w:rsidRPr="007F7C6E">
        <w:rPr>
          <w:bCs/>
          <w:szCs w:val="22"/>
          <w:lang w:val="sr-Latn-ME"/>
        </w:rPr>
        <w:t>Hemofarm AD Vršac PJ Podgorica</w:t>
      </w:r>
    </w:p>
    <w:p w14:paraId="39817E98" w14:textId="2137CE0A" w:rsidR="000C2B95" w:rsidRPr="007F7C6E" w:rsidRDefault="000C2B95" w:rsidP="00220F9D">
      <w:pPr>
        <w:widowControl w:val="0"/>
        <w:autoSpaceDE w:val="0"/>
        <w:autoSpaceDN w:val="0"/>
        <w:rPr>
          <w:bCs/>
          <w:szCs w:val="22"/>
          <w:lang w:val="sr-Latn-ME"/>
        </w:rPr>
      </w:pPr>
      <w:r w:rsidRPr="007F7C6E">
        <w:rPr>
          <w:bCs/>
          <w:szCs w:val="22"/>
          <w:lang w:val="sr-Latn-ME"/>
        </w:rPr>
        <w:t>8 marta 55A,</w:t>
      </w:r>
      <w:r w:rsidR="00D010CE" w:rsidRPr="007F7C6E">
        <w:rPr>
          <w:bCs/>
          <w:szCs w:val="22"/>
          <w:lang w:val="sr-Latn-ME"/>
        </w:rPr>
        <w:t xml:space="preserve"> </w:t>
      </w:r>
      <w:r w:rsidRPr="007F7C6E">
        <w:rPr>
          <w:bCs/>
          <w:szCs w:val="22"/>
          <w:lang w:val="sr-Latn-ME"/>
        </w:rPr>
        <w:t>Podgorica,</w:t>
      </w:r>
      <w:r w:rsidR="00D010CE" w:rsidRPr="007F7C6E">
        <w:rPr>
          <w:bCs/>
          <w:szCs w:val="22"/>
          <w:lang w:val="sr-Latn-ME"/>
        </w:rPr>
        <w:t xml:space="preserve"> </w:t>
      </w:r>
      <w:r w:rsidRPr="007F7C6E">
        <w:rPr>
          <w:bCs/>
          <w:szCs w:val="22"/>
          <w:lang w:val="sr-Latn-ME"/>
        </w:rPr>
        <w:t>Crna Gora</w:t>
      </w:r>
    </w:p>
    <w:p w14:paraId="3C8D9CB7" w14:textId="2A090D6F" w:rsidR="00CE09F3" w:rsidRPr="007F7C6E" w:rsidRDefault="00CE09F3" w:rsidP="00CD1386">
      <w:pPr>
        <w:rPr>
          <w:szCs w:val="22"/>
          <w:lang w:val="sr-Latn-ME"/>
        </w:rPr>
      </w:pPr>
    </w:p>
    <w:p w14:paraId="38552BB9" w14:textId="77777777" w:rsidR="00D010CE" w:rsidRPr="007F7C6E" w:rsidRDefault="00D010CE" w:rsidP="00CD1386">
      <w:pPr>
        <w:rPr>
          <w:szCs w:val="22"/>
          <w:lang w:val="sr-Latn-ME"/>
        </w:rPr>
      </w:pPr>
    </w:p>
    <w:p w14:paraId="70450AF4" w14:textId="7C86B89C" w:rsidR="000C2B95" w:rsidRPr="007F7C6E" w:rsidRDefault="00CE09F3" w:rsidP="0001076C">
      <w:pPr>
        <w:pStyle w:val="NASLOV123"/>
        <w:spacing w:before="0" w:after="0"/>
        <w:jc w:val="both"/>
        <w:rPr>
          <w:bCs/>
          <w:lang w:val="sr-Latn-ME"/>
        </w:rPr>
      </w:pPr>
      <w:r w:rsidRPr="007F7C6E">
        <w:rPr>
          <w:lang w:val="sr-Latn-ME"/>
        </w:rPr>
        <w:t xml:space="preserve">8. </w:t>
      </w:r>
      <w:r w:rsidR="00FE6FDC" w:rsidRPr="007F7C6E">
        <w:rPr>
          <w:lang w:val="sr-Latn-ME"/>
        </w:rPr>
        <w:tab/>
      </w:r>
      <w:r w:rsidR="00E328B1" w:rsidRPr="007F7C6E">
        <w:rPr>
          <w:bCs/>
          <w:lang w:val="sr-Latn-ME"/>
        </w:rPr>
        <w:t>BROJ DOZVOLE ZA STAVLJANJE LIJEKA U PROMET</w:t>
      </w:r>
    </w:p>
    <w:p w14:paraId="766C6112" w14:textId="19A540AD" w:rsidR="00D010CE" w:rsidRPr="007F7C6E" w:rsidRDefault="00D010CE" w:rsidP="0001076C">
      <w:pPr>
        <w:pStyle w:val="NASLOV123"/>
        <w:spacing w:before="0" w:after="0"/>
        <w:jc w:val="both"/>
        <w:rPr>
          <w:b w:val="0"/>
          <w:bCs/>
          <w:lang w:val="sr-Latn-ME"/>
        </w:rPr>
      </w:pPr>
    </w:p>
    <w:p w14:paraId="73AEE052" w14:textId="02B396CF" w:rsidR="007F7C6E" w:rsidRPr="007F7C6E" w:rsidRDefault="007F7C6E" w:rsidP="0001076C">
      <w:pPr>
        <w:pStyle w:val="NASLOV123"/>
        <w:spacing w:before="0" w:after="0"/>
        <w:jc w:val="both"/>
        <w:rPr>
          <w:b w:val="0"/>
          <w:bCs/>
          <w:lang w:val="sr-Latn-ME"/>
        </w:rPr>
      </w:pPr>
      <w:r w:rsidRPr="007F7C6E">
        <w:rPr>
          <w:b w:val="0"/>
          <w:lang w:val="sr-Latn-ME"/>
        </w:rPr>
        <w:t>2030/25/2437 – 5329</w:t>
      </w:r>
    </w:p>
    <w:p w14:paraId="0FDD5DAA" w14:textId="3F694D40" w:rsidR="00D010CE" w:rsidRDefault="00D010CE" w:rsidP="0001076C">
      <w:pPr>
        <w:pStyle w:val="NASLOV123"/>
        <w:spacing w:before="0" w:after="0"/>
        <w:jc w:val="both"/>
        <w:rPr>
          <w:b w:val="0"/>
          <w:bCs/>
          <w:lang w:val="sr-Latn-ME"/>
        </w:rPr>
      </w:pPr>
    </w:p>
    <w:p w14:paraId="45C56B37" w14:textId="12C0AB06" w:rsidR="007F7C6E" w:rsidRDefault="007F7C6E" w:rsidP="0001076C">
      <w:pPr>
        <w:pStyle w:val="NASLOV123"/>
        <w:spacing w:before="0" w:after="0"/>
        <w:jc w:val="both"/>
        <w:rPr>
          <w:b w:val="0"/>
          <w:bCs/>
          <w:lang w:val="sr-Latn-ME"/>
        </w:rPr>
      </w:pPr>
    </w:p>
    <w:p w14:paraId="046DC0C0" w14:textId="367790B9" w:rsidR="007F7C6E" w:rsidRDefault="007F7C6E" w:rsidP="0001076C">
      <w:pPr>
        <w:pStyle w:val="NASLOV123"/>
        <w:spacing w:before="0" w:after="0"/>
        <w:jc w:val="both"/>
        <w:rPr>
          <w:b w:val="0"/>
          <w:bCs/>
          <w:lang w:val="sr-Latn-ME"/>
        </w:rPr>
      </w:pPr>
    </w:p>
    <w:p w14:paraId="23F7E3B9" w14:textId="77777777" w:rsidR="007F7C6E" w:rsidRPr="007F7C6E" w:rsidRDefault="007F7C6E" w:rsidP="0001076C">
      <w:pPr>
        <w:pStyle w:val="NASLOV123"/>
        <w:spacing w:before="0" w:after="0"/>
        <w:jc w:val="both"/>
        <w:rPr>
          <w:b w:val="0"/>
          <w:bCs/>
          <w:lang w:val="sr-Latn-ME"/>
        </w:rPr>
      </w:pPr>
    </w:p>
    <w:p w14:paraId="3C8D9CBA" w14:textId="3624F967" w:rsidR="00CE09F3" w:rsidRPr="007F7C6E" w:rsidRDefault="00CE09F3" w:rsidP="0001076C">
      <w:pPr>
        <w:pStyle w:val="NASLOV123"/>
        <w:spacing w:before="0" w:after="0"/>
        <w:jc w:val="both"/>
        <w:rPr>
          <w:lang w:val="sr-Latn-ME"/>
        </w:rPr>
      </w:pPr>
      <w:r w:rsidRPr="007F7C6E">
        <w:rPr>
          <w:lang w:val="sr-Latn-ME"/>
        </w:rPr>
        <w:lastRenderedPageBreak/>
        <w:t xml:space="preserve">9. </w:t>
      </w:r>
      <w:r w:rsidR="00FE6FDC" w:rsidRPr="007F7C6E">
        <w:rPr>
          <w:lang w:val="sr-Latn-ME"/>
        </w:rPr>
        <w:tab/>
      </w:r>
      <w:r w:rsidR="00E328B1" w:rsidRPr="007F7C6E">
        <w:rPr>
          <w:bCs/>
          <w:lang w:val="sr-Latn-ME"/>
        </w:rPr>
        <w:t xml:space="preserve">DATUM </w:t>
      </w:r>
      <w:bookmarkStart w:id="0" w:name="_GoBack"/>
      <w:bookmarkEnd w:id="0"/>
      <w:r w:rsidR="00E328B1" w:rsidRPr="007F7C6E">
        <w:rPr>
          <w:bCs/>
          <w:lang w:val="sr-Latn-ME"/>
        </w:rPr>
        <w:t>PRVE DOZVOLE/OBNOVE DOZVOLE ZA STAVLJANJE LIJEKA U PROMET</w:t>
      </w:r>
    </w:p>
    <w:p w14:paraId="04E837EA" w14:textId="6B9E496D" w:rsidR="00CD30C2" w:rsidRPr="007F7C6E" w:rsidRDefault="00CD30C2" w:rsidP="0001076C">
      <w:pPr>
        <w:pStyle w:val="NASLOV123"/>
        <w:spacing w:before="0" w:after="0"/>
        <w:jc w:val="both"/>
        <w:rPr>
          <w:lang w:val="sr-Latn-ME"/>
        </w:rPr>
      </w:pPr>
    </w:p>
    <w:p w14:paraId="3273D6FB" w14:textId="59EAD343" w:rsidR="00F26BB2" w:rsidRPr="007F7C6E" w:rsidRDefault="00FE6FDC" w:rsidP="0001076C">
      <w:pPr>
        <w:pStyle w:val="NASLOV123"/>
        <w:spacing w:before="0" w:after="0"/>
        <w:jc w:val="both"/>
        <w:rPr>
          <w:b w:val="0"/>
          <w:lang w:val="sr-Latn-ME"/>
        </w:rPr>
      </w:pPr>
      <w:r w:rsidRPr="007F7C6E">
        <w:rPr>
          <w:b w:val="0"/>
          <w:lang w:val="sr-Latn-ME"/>
        </w:rPr>
        <w:t xml:space="preserve">Datum prve dozvole: </w:t>
      </w:r>
      <w:r w:rsidR="00F26BB2" w:rsidRPr="007F7C6E">
        <w:rPr>
          <w:b w:val="0"/>
          <w:lang w:val="sr-Latn-ME"/>
        </w:rPr>
        <w:t>08.04.2016. godine</w:t>
      </w:r>
    </w:p>
    <w:p w14:paraId="20B79812" w14:textId="172380CF" w:rsidR="00FE6FDC" w:rsidRPr="007F7C6E" w:rsidRDefault="00FE6FDC" w:rsidP="0001076C">
      <w:pPr>
        <w:pStyle w:val="NASLOV123"/>
        <w:spacing w:before="0" w:after="0"/>
        <w:jc w:val="both"/>
        <w:rPr>
          <w:b w:val="0"/>
          <w:lang w:val="sr-Latn-ME"/>
        </w:rPr>
      </w:pPr>
      <w:r w:rsidRPr="007F7C6E">
        <w:rPr>
          <w:b w:val="0"/>
          <w:lang w:val="sr-Latn-ME"/>
        </w:rPr>
        <w:t xml:space="preserve">Datum poslednje obnove dozvole: </w:t>
      </w:r>
      <w:r w:rsidR="007F7C6E" w:rsidRPr="007F7C6E">
        <w:rPr>
          <w:b w:val="0"/>
          <w:lang w:val="sr-Latn-ME"/>
        </w:rPr>
        <w:t>24.06.2025. godine</w:t>
      </w:r>
    </w:p>
    <w:p w14:paraId="0739C4F0" w14:textId="59ED506B" w:rsidR="00D010CE" w:rsidRPr="007F7C6E" w:rsidRDefault="00D010CE" w:rsidP="0001076C">
      <w:pPr>
        <w:pStyle w:val="NASLOV123"/>
        <w:spacing w:before="0" w:after="0"/>
        <w:jc w:val="both"/>
        <w:rPr>
          <w:lang w:val="sr-Latn-ME"/>
        </w:rPr>
      </w:pPr>
    </w:p>
    <w:p w14:paraId="00331089" w14:textId="77777777" w:rsidR="00F26BB2" w:rsidRPr="007F7C6E" w:rsidRDefault="00F26BB2" w:rsidP="0001076C">
      <w:pPr>
        <w:pStyle w:val="NASLOV123"/>
        <w:spacing w:before="0" w:after="0"/>
        <w:jc w:val="both"/>
        <w:rPr>
          <w:lang w:val="sr-Latn-ME"/>
        </w:rPr>
      </w:pPr>
    </w:p>
    <w:p w14:paraId="3C8D9CBD" w14:textId="0A4B3FED" w:rsidR="00CE09F3" w:rsidRPr="007F7C6E" w:rsidRDefault="00CE09F3" w:rsidP="0001076C">
      <w:pPr>
        <w:pStyle w:val="NASLOV123"/>
        <w:spacing w:before="0" w:after="0"/>
        <w:jc w:val="both"/>
        <w:rPr>
          <w:lang w:val="sr-Latn-ME"/>
        </w:rPr>
      </w:pPr>
      <w:r w:rsidRPr="007F7C6E">
        <w:rPr>
          <w:lang w:val="sr-Latn-ME"/>
        </w:rPr>
        <w:t>10. DATUM REVIZIJE TEKSTA</w:t>
      </w:r>
    </w:p>
    <w:p w14:paraId="0A5242BF" w14:textId="77777777" w:rsidR="00D010CE" w:rsidRPr="007F7C6E" w:rsidRDefault="00D010CE" w:rsidP="0001076C">
      <w:pPr>
        <w:pStyle w:val="NASLOV123"/>
        <w:spacing w:before="0" w:after="0"/>
        <w:rPr>
          <w:b w:val="0"/>
          <w:lang w:val="sr-Latn-ME"/>
        </w:rPr>
      </w:pPr>
    </w:p>
    <w:p w14:paraId="3C8D9CC0" w14:textId="745FBEED" w:rsidR="00923865" w:rsidRPr="007F7C6E" w:rsidRDefault="007F7C6E" w:rsidP="00923865">
      <w:pPr>
        <w:rPr>
          <w:szCs w:val="22"/>
          <w:lang w:val="sr-Latn-ME"/>
        </w:rPr>
      </w:pPr>
      <w:r w:rsidRPr="007F7C6E">
        <w:rPr>
          <w:szCs w:val="22"/>
          <w:lang w:val="sr-Latn-ME"/>
        </w:rPr>
        <w:t>Jun, 2025. godine</w:t>
      </w:r>
      <w:r w:rsidR="00095E53" w:rsidRPr="007F7C6E">
        <w:rPr>
          <w:szCs w:val="22"/>
          <w:lang w:val="sr-Latn-ME"/>
        </w:rPr>
        <w:tab/>
      </w:r>
      <w:r w:rsidR="00095E53" w:rsidRPr="007F7C6E">
        <w:rPr>
          <w:szCs w:val="22"/>
          <w:lang w:val="sr-Latn-ME"/>
        </w:rPr>
        <w:tab/>
      </w:r>
      <w:r w:rsidR="00095E53" w:rsidRPr="007F7C6E">
        <w:rPr>
          <w:szCs w:val="22"/>
          <w:lang w:val="sr-Latn-ME"/>
        </w:rPr>
        <w:tab/>
      </w:r>
      <w:r w:rsidR="00095E53" w:rsidRPr="007F7C6E">
        <w:rPr>
          <w:szCs w:val="22"/>
          <w:lang w:val="sr-Latn-ME"/>
        </w:rPr>
        <w:tab/>
      </w:r>
      <w:r w:rsidR="00095E53" w:rsidRPr="007F7C6E">
        <w:rPr>
          <w:szCs w:val="22"/>
          <w:lang w:val="sr-Latn-ME"/>
        </w:rPr>
        <w:tab/>
      </w:r>
      <w:r w:rsidR="00095E53" w:rsidRPr="007F7C6E">
        <w:rPr>
          <w:szCs w:val="22"/>
          <w:lang w:val="sr-Latn-ME"/>
        </w:rPr>
        <w:tab/>
      </w:r>
      <w:r w:rsidR="00095E53" w:rsidRPr="007F7C6E">
        <w:rPr>
          <w:szCs w:val="22"/>
          <w:lang w:val="sr-Latn-ME"/>
        </w:rPr>
        <w:tab/>
      </w:r>
    </w:p>
    <w:sectPr w:rsidR="00923865" w:rsidRPr="007F7C6E" w:rsidSect="00F26BB2">
      <w:footerReference w:type="even" r:id="rId15"/>
      <w:footerReference w:type="default" r:id="rId16"/>
      <w:pgSz w:w="11907" w:h="16840" w:code="9"/>
      <w:pgMar w:top="1134"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D97C9" w14:textId="77777777" w:rsidR="00475703" w:rsidRDefault="00475703">
      <w:r>
        <w:separator/>
      </w:r>
    </w:p>
  </w:endnote>
  <w:endnote w:type="continuationSeparator" w:id="0">
    <w:p w14:paraId="26F97DEF" w14:textId="77777777" w:rsidR="00475703" w:rsidRDefault="0047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9CC5" w14:textId="73D91E8F" w:rsidR="00F26BB2" w:rsidRDefault="00F26BB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C8D9CC6" w14:textId="77777777" w:rsidR="00F26BB2" w:rsidRDefault="00F26B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9CC7" w14:textId="7E4C763B" w:rsidR="00F26BB2" w:rsidRDefault="00475703"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F26BB2" w:rsidRPr="00D15AD4">
              <w:rPr>
                <w:szCs w:val="22"/>
              </w:rPr>
              <w:fldChar w:fldCharType="begin"/>
            </w:r>
            <w:r w:rsidR="00F26BB2" w:rsidRPr="00D15AD4">
              <w:rPr>
                <w:szCs w:val="22"/>
              </w:rPr>
              <w:instrText xml:space="preserve"> PAGE </w:instrText>
            </w:r>
            <w:r w:rsidR="00F26BB2" w:rsidRPr="00D15AD4">
              <w:rPr>
                <w:szCs w:val="22"/>
              </w:rPr>
              <w:fldChar w:fldCharType="separate"/>
            </w:r>
            <w:r w:rsidR="00D15AD4">
              <w:rPr>
                <w:noProof/>
                <w:szCs w:val="22"/>
              </w:rPr>
              <w:t>13</w:t>
            </w:r>
            <w:r w:rsidR="00F26BB2" w:rsidRPr="00D15AD4">
              <w:rPr>
                <w:szCs w:val="22"/>
              </w:rPr>
              <w:fldChar w:fldCharType="end"/>
            </w:r>
            <w:r w:rsidR="00F26BB2" w:rsidRPr="00D15AD4">
              <w:rPr>
                <w:szCs w:val="22"/>
              </w:rPr>
              <w:t>/</w:t>
            </w:r>
            <w:r w:rsidR="00F26BB2" w:rsidRPr="00D15AD4">
              <w:rPr>
                <w:szCs w:val="22"/>
              </w:rPr>
              <w:fldChar w:fldCharType="begin"/>
            </w:r>
            <w:r w:rsidR="00F26BB2" w:rsidRPr="00D15AD4">
              <w:rPr>
                <w:szCs w:val="22"/>
              </w:rPr>
              <w:instrText xml:space="preserve"> NUMPAGES  </w:instrText>
            </w:r>
            <w:r w:rsidR="00F26BB2" w:rsidRPr="00D15AD4">
              <w:rPr>
                <w:szCs w:val="22"/>
              </w:rPr>
              <w:fldChar w:fldCharType="separate"/>
            </w:r>
            <w:r w:rsidR="00D15AD4">
              <w:rPr>
                <w:noProof/>
                <w:szCs w:val="22"/>
              </w:rPr>
              <w:t>13</w:t>
            </w:r>
            <w:r w:rsidR="00F26BB2" w:rsidRPr="00D15AD4">
              <w:rPr>
                <w:szCs w:val="22"/>
              </w:rPr>
              <w:fldChar w:fldCharType="end"/>
            </w:r>
          </w:sdtContent>
        </w:sdt>
      </w:sdtContent>
    </w:sdt>
  </w:p>
  <w:p w14:paraId="3C8D9CC8" w14:textId="77777777" w:rsidR="00F26BB2" w:rsidRPr="00C536C2" w:rsidRDefault="00F26BB2"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7C638" w14:textId="77777777" w:rsidR="00475703" w:rsidRDefault="00475703">
      <w:r>
        <w:separator/>
      </w:r>
    </w:p>
  </w:footnote>
  <w:footnote w:type="continuationSeparator" w:id="0">
    <w:p w14:paraId="65592886" w14:textId="77777777" w:rsidR="00475703" w:rsidRDefault="0047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15:restartNumberingAfterBreak="0">
    <w:nsid w:val="031C796C"/>
    <w:multiLevelType w:val="hybridMultilevel"/>
    <w:tmpl w:val="D35A9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8276970"/>
    <w:multiLevelType w:val="hybridMultilevel"/>
    <w:tmpl w:val="7F346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A44D2"/>
    <w:multiLevelType w:val="hybridMultilevel"/>
    <w:tmpl w:val="C7188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91C08"/>
    <w:multiLevelType w:val="hybridMultilevel"/>
    <w:tmpl w:val="628C0F6C"/>
    <w:lvl w:ilvl="0" w:tplc="DF6AA6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D71B09"/>
    <w:multiLevelType w:val="hybridMultilevel"/>
    <w:tmpl w:val="1B9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958E7"/>
    <w:multiLevelType w:val="hybridMultilevel"/>
    <w:tmpl w:val="AC0AA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53054"/>
    <w:multiLevelType w:val="hybridMultilevel"/>
    <w:tmpl w:val="3DFAF3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D0A65"/>
    <w:multiLevelType w:val="hybridMultilevel"/>
    <w:tmpl w:val="714834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DF6E80"/>
    <w:multiLevelType w:val="multilevel"/>
    <w:tmpl w:val="C504D4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04B19"/>
    <w:multiLevelType w:val="hybridMultilevel"/>
    <w:tmpl w:val="7D66232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2A750345"/>
    <w:multiLevelType w:val="hybridMultilevel"/>
    <w:tmpl w:val="E82EEF1C"/>
    <w:lvl w:ilvl="0" w:tplc="6A34E27A">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333EE"/>
    <w:multiLevelType w:val="hybridMultilevel"/>
    <w:tmpl w:val="9324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C0704"/>
    <w:multiLevelType w:val="hybridMultilevel"/>
    <w:tmpl w:val="8652A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2C7B2D"/>
    <w:multiLevelType w:val="hybridMultilevel"/>
    <w:tmpl w:val="E1E0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87ED4"/>
    <w:multiLevelType w:val="hybridMultilevel"/>
    <w:tmpl w:val="C11E1206"/>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7" w15:restartNumberingAfterBreak="0">
    <w:nsid w:val="51A02AE4"/>
    <w:multiLevelType w:val="hybridMultilevel"/>
    <w:tmpl w:val="3884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43386"/>
    <w:multiLevelType w:val="hybridMultilevel"/>
    <w:tmpl w:val="B6E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16A7F"/>
    <w:multiLevelType w:val="hybridMultilevel"/>
    <w:tmpl w:val="BF42C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F57F6D"/>
    <w:multiLevelType w:val="hybridMultilevel"/>
    <w:tmpl w:val="8A8493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60BE1B1A"/>
    <w:multiLevelType w:val="hybridMultilevel"/>
    <w:tmpl w:val="E884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43B3"/>
    <w:multiLevelType w:val="hybridMultilevel"/>
    <w:tmpl w:val="D414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30169"/>
    <w:multiLevelType w:val="hybridMultilevel"/>
    <w:tmpl w:val="89C4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B5D99"/>
    <w:multiLevelType w:val="hybridMultilevel"/>
    <w:tmpl w:val="C6EA75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C84EBE"/>
    <w:multiLevelType w:val="hybridMultilevel"/>
    <w:tmpl w:val="19D2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86F8D"/>
    <w:multiLevelType w:val="hybridMultilevel"/>
    <w:tmpl w:val="8BB8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E735AB"/>
    <w:multiLevelType w:val="hybridMultilevel"/>
    <w:tmpl w:val="A4FE2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lvlOverride w:ilvl="0">
      <w:startOverride w:val="7"/>
    </w:lvlOverride>
  </w:num>
  <w:num w:numId="3">
    <w:abstractNumId w:val="27"/>
  </w:num>
  <w:num w:numId="4">
    <w:abstractNumId w:val="12"/>
  </w:num>
  <w:num w:numId="5">
    <w:abstractNumId w:val="7"/>
  </w:num>
  <w:num w:numId="6">
    <w:abstractNumId w:val="3"/>
  </w:num>
  <w:num w:numId="7">
    <w:abstractNumId w:val="8"/>
  </w:num>
  <w:num w:numId="8">
    <w:abstractNumId w:val="18"/>
  </w:num>
  <w:num w:numId="9">
    <w:abstractNumId w:val="26"/>
  </w:num>
  <w:num w:numId="10">
    <w:abstractNumId w:val="20"/>
  </w:num>
  <w:num w:numId="11">
    <w:abstractNumId w:val="25"/>
  </w:num>
  <w:num w:numId="12">
    <w:abstractNumId w:val="21"/>
  </w:num>
  <w:num w:numId="13">
    <w:abstractNumId w:val="22"/>
  </w:num>
  <w:num w:numId="14">
    <w:abstractNumId w:val="24"/>
  </w:num>
  <w:num w:numId="15">
    <w:abstractNumId w:val="16"/>
  </w:num>
  <w:num w:numId="16">
    <w:abstractNumId w:val="13"/>
  </w:num>
  <w:num w:numId="17">
    <w:abstractNumId w:val="6"/>
  </w:num>
  <w:num w:numId="18">
    <w:abstractNumId w:val="10"/>
  </w:num>
  <w:num w:numId="19">
    <w:abstractNumId w:val="23"/>
  </w:num>
  <w:num w:numId="20">
    <w:abstractNumId w:val="4"/>
  </w:num>
  <w:num w:numId="21">
    <w:abstractNumId w:val="14"/>
  </w:num>
  <w:num w:numId="22">
    <w:abstractNumId w:val="11"/>
  </w:num>
  <w:num w:numId="23">
    <w:abstractNumId w:val="2"/>
  </w:num>
  <w:num w:numId="24">
    <w:abstractNumId w:val="19"/>
  </w:num>
  <w:num w:numId="25">
    <w:abstractNumId w:val="15"/>
  </w:num>
  <w:num w:numId="26">
    <w:abstractNumId w:val="28"/>
  </w:num>
  <w:num w:numId="27">
    <w:abstractNumId w:val="9"/>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1A3"/>
    <w:rsid w:val="0001076C"/>
    <w:rsid w:val="00016038"/>
    <w:rsid w:val="00017222"/>
    <w:rsid w:val="00017801"/>
    <w:rsid w:val="00031B26"/>
    <w:rsid w:val="00035FDF"/>
    <w:rsid w:val="00037FF3"/>
    <w:rsid w:val="00044A15"/>
    <w:rsid w:val="000512B8"/>
    <w:rsid w:val="00056BA4"/>
    <w:rsid w:val="0005798D"/>
    <w:rsid w:val="00060B0E"/>
    <w:rsid w:val="00064273"/>
    <w:rsid w:val="00071E31"/>
    <w:rsid w:val="00074081"/>
    <w:rsid w:val="0007549A"/>
    <w:rsid w:val="00076AC0"/>
    <w:rsid w:val="00077D31"/>
    <w:rsid w:val="00083BE0"/>
    <w:rsid w:val="00090CCD"/>
    <w:rsid w:val="00095E53"/>
    <w:rsid w:val="00095FB6"/>
    <w:rsid w:val="00096389"/>
    <w:rsid w:val="0009758B"/>
    <w:rsid w:val="000A0507"/>
    <w:rsid w:val="000A0F4A"/>
    <w:rsid w:val="000A21BF"/>
    <w:rsid w:val="000A2208"/>
    <w:rsid w:val="000B44E0"/>
    <w:rsid w:val="000B7AD6"/>
    <w:rsid w:val="000C2B95"/>
    <w:rsid w:val="000C505D"/>
    <w:rsid w:val="000C58BA"/>
    <w:rsid w:val="000C67A8"/>
    <w:rsid w:val="000D322B"/>
    <w:rsid w:val="000D47EE"/>
    <w:rsid w:val="000D543B"/>
    <w:rsid w:val="000D560A"/>
    <w:rsid w:val="000D5631"/>
    <w:rsid w:val="000D748C"/>
    <w:rsid w:val="000E75C0"/>
    <w:rsid w:val="000F0947"/>
    <w:rsid w:val="000F14DF"/>
    <w:rsid w:val="000F185F"/>
    <w:rsid w:val="00104E3F"/>
    <w:rsid w:val="00120577"/>
    <w:rsid w:val="00124321"/>
    <w:rsid w:val="00125A4B"/>
    <w:rsid w:val="0012602F"/>
    <w:rsid w:val="001303E6"/>
    <w:rsid w:val="00141639"/>
    <w:rsid w:val="0014180A"/>
    <w:rsid w:val="00146BBA"/>
    <w:rsid w:val="00163F8D"/>
    <w:rsid w:val="00164B9F"/>
    <w:rsid w:val="00173D18"/>
    <w:rsid w:val="0017544F"/>
    <w:rsid w:val="00175772"/>
    <w:rsid w:val="00175A7E"/>
    <w:rsid w:val="001772F8"/>
    <w:rsid w:val="00181A8C"/>
    <w:rsid w:val="00183FDA"/>
    <w:rsid w:val="0018601D"/>
    <w:rsid w:val="0019124F"/>
    <w:rsid w:val="001A1937"/>
    <w:rsid w:val="001A247A"/>
    <w:rsid w:val="001A3A76"/>
    <w:rsid w:val="001A7083"/>
    <w:rsid w:val="001B17EB"/>
    <w:rsid w:val="001B6A3B"/>
    <w:rsid w:val="001B706A"/>
    <w:rsid w:val="001C0B04"/>
    <w:rsid w:val="001C6693"/>
    <w:rsid w:val="001D10C9"/>
    <w:rsid w:val="001D23D5"/>
    <w:rsid w:val="001E0A07"/>
    <w:rsid w:val="001E506B"/>
    <w:rsid w:val="001E6145"/>
    <w:rsid w:val="001F2D4E"/>
    <w:rsid w:val="001F39B6"/>
    <w:rsid w:val="001F3DA5"/>
    <w:rsid w:val="001F4D26"/>
    <w:rsid w:val="0021292F"/>
    <w:rsid w:val="0021321D"/>
    <w:rsid w:val="00220F9D"/>
    <w:rsid w:val="002216B8"/>
    <w:rsid w:val="0022218E"/>
    <w:rsid w:val="0022223A"/>
    <w:rsid w:val="002300B5"/>
    <w:rsid w:val="00235DFA"/>
    <w:rsid w:val="00236877"/>
    <w:rsid w:val="00237E23"/>
    <w:rsid w:val="00240E06"/>
    <w:rsid w:val="0024132F"/>
    <w:rsid w:val="00242DCD"/>
    <w:rsid w:val="00244F4B"/>
    <w:rsid w:val="002476C7"/>
    <w:rsid w:val="0024789A"/>
    <w:rsid w:val="00247C5C"/>
    <w:rsid w:val="00251590"/>
    <w:rsid w:val="00273BE0"/>
    <w:rsid w:val="002809C1"/>
    <w:rsid w:val="00282DCD"/>
    <w:rsid w:val="002869EF"/>
    <w:rsid w:val="00290F27"/>
    <w:rsid w:val="002936B5"/>
    <w:rsid w:val="002A4E3C"/>
    <w:rsid w:val="002B27AE"/>
    <w:rsid w:val="002B6F6A"/>
    <w:rsid w:val="002C0FBF"/>
    <w:rsid w:val="002D3995"/>
    <w:rsid w:val="002E05BB"/>
    <w:rsid w:val="002E09ED"/>
    <w:rsid w:val="002E3841"/>
    <w:rsid w:val="002E56CD"/>
    <w:rsid w:val="002F039E"/>
    <w:rsid w:val="002F2CA2"/>
    <w:rsid w:val="002F3DC2"/>
    <w:rsid w:val="002F5E2F"/>
    <w:rsid w:val="002F6D00"/>
    <w:rsid w:val="002F7706"/>
    <w:rsid w:val="003034F6"/>
    <w:rsid w:val="0031214C"/>
    <w:rsid w:val="00315C9F"/>
    <w:rsid w:val="00316FC0"/>
    <w:rsid w:val="003225A8"/>
    <w:rsid w:val="00322F91"/>
    <w:rsid w:val="00326FAF"/>
    <w:rsid w:val="0033680D"/>
    <w:rsid w:val="0034090C"/>
    <w:rsid w:val="00344ACE"/>
    <w:rsid w:val="00344B44"/>
    <w:rsid w:val="003452C0"/>
    <w:rsid w:val="00362D51"/>
    <w:rsid w:val="00365AFC"/>
    <w:rsid w:val="0037434B"/>
    <w:rsid w:val="00380A59"/>
    <w:rsid w:val="00383195"/>
    <w:rsid w:val="003876DA"/>
    <w:rsid w:val="00387889"/>
    <w:rsid w:val="003974BA"/>
    <w:rsid w:val="003A01FF"/>
    <w:rsid w:val="003A2DF8"/>
    <w:rsid w:val="003B2082"/>
    <w:rsid w:val="003B23A0"/>
    <w:rsid w:val="003B4FFC"/>
    <w:rsid w:val="003C18A4"/>
    <w:rsid w:val="003C46C1"/>
    <w:rsid w:val="003C6383"/>
    <w:rsid w:val="003E092B"/>
    <w:rsid w:val="003E21D4"/>
    <w:rsid w:val="003E3056"/>
    <w:rsid w:val="003E3EC7"/>
    <w:rsid w:val="003E55EA"/>
    <w:rsid w:val="003F2A81"/>
    <w:rsid w:val="003F55B2"/>
    <w:rsid w:val="004036C4"/>
    <w:rsid w:val="00403985"/>
    <w:rsid w:val="0041216E"/>
    <w:rsid w:val="004123CD"/>
    <w:rsid w:val="004167DD"/>
    <w:rsid w:val="0042201B"/>
    <w:rsid w:val="004234ED"/>
    <w:rsid w:val="00424EEF"/>
    <w:rsid w:val="00426E6C"/>
    <w:rsid w:val="00427D41"/>
    <w:rsid w:val="0043257B"/>
    <w:rsid w:val="00436B36"/>
    <w:rsid w:val="00436E79"/>
    <w:rsid w:val="00442B10"/>
    <w:rsid w:val="004446E1"/>
    <w:rsid w:val="0045300B"/>
    <w:rsid w:val="004559BF"/>
    <w:rsid w:val="0046116C"/>
    <w:rsid w:val="00461641"/>
    <w:rsid w:val="00462C33"/>
    <w:rsid w:val="004709B5"/>
    <w:rsid w:val="0047252A"/>
    <w:rsid w:val="00473132"/>
    <w:rsid w:val="0047387C"/>
    <w:rsid w:val="0047404B"/>
    <w:rsid w:val="00475703"/>
    <w:rsid w:val="004808BB"/>
    <w:rsid w:val="004857BB"/>
    <w:rsid w:val="00492248"/>
    <w:rsid w:val="0049343F"/>
    <w:rsid w:val="0049486E"/>
    <w:rsid w:val="004973A5"/>
    <w:rsid w:val="00497648"/>
    <w:rsid w:val="004A3BC8"/>
    <w:rsid w:val="004B3353"/>
    <w:rsid w:val="004B5A11"/>
    <w:rsid w:val="004B7A50"/>
    <w:rsid w:val="004C2F73"/>
    <w:rsid w:val="004D230F"/>
    <w:rsid w:val="004D7122"/>
    <w:rsid w:val="004E59BA"/>
    <w:rsid w:val="004F1D2F"/>
    <w:rsid w:val="004F52B6"/>
    <w:rsid w:val="005032A1"/>
    <w:rsid w:val="00503974"/>
    <w:rsid w:val="00504E0F"/>
    <w:rsid w:val="00504F33"/>
    <w:rsid w:val="00507449"/>
    <w:rsid w:val="0052230B"/>
    <w:rsid w:val="0052240D"/>
    <w:rsid w:val="00522A98"/>
    <w:rsid w:val="00525A8A"/>
    <w:rsid w:val="005276F0"/>
    <w:rsid w:val="0053070E"/>
    <w:rsid w:val="00530909"/>
    <w:rsid w:val="00533872"/>
    <w:rsid w:val="00541795"/>
    <w:rsid w:val="00545105"/>
    <w:rsid w:val="0055433D"/>
    <w:rsid w:val="00562618"/>
    <w:rsid w:val="005707C7"/>
    <w:rsid w:val="00570D84"/>
    <w:rsid w:val="00574124"/>
    <w:rsid w:val="0057614A"/>
    <w:rsid w:val="0058641F"/>
    <w:rsid w:val="005878FB"/>
    <w:rsid w:val="005945C4"/>
    <w:rsid w:val="0059752A"/>
    <w:rsid w:val="00597B40"/>
    <w:rsid w:val="005A1B94"/>
    <w:rsid w:val="005A401A"/>
    <w:rsid w:val="005A6DB1"/>
    <w:rsid w:val="005B1A21"/>
    <w:rsid w:val="005B3388"/>
    <w:rsid w:val="005B34E1"/>
    <w:rsid w:val="005C1C90"/>
    <w:rsid w:val="005C1CC8"/>
    <w:rsid w:val="005C3F73"/>
    <w:rsid w:val="005C43F5"/>
    <w:rsid w:val="005C7891"/>
    <w:rsid w:val="005D0AC6"/>
    <w:rsid w:val="005D43F9"/>
    <w:rsid w:val="005D5EC6"/>
    <w:rsid w:val="005E0475"/>
    <w:rsid w:val="005E0862"/>
    <w:rsid w:val="005E1030"/>
    <w:rsid w:val="00600462"/>
    <w:rsid w:val="00602B99"/>
    <w:rsid w:val="00603302"/>
    <w:rsid w:val="00604883"/>
    <w:rsid w:val="006049D8"/>
    <w:rsid w:val="00604E4F"/>
    <w:rsid w:val="006054EE"/>
    <w:rsid w:val="0060704C"/>
    <w:rsid w:val="006079C3"/>
    <w:rsid w:val="006118B6"/>
    <w:rsid w:val="00613820"/>
    <w:rsid w:val="00616952"/>
    <w:rsid w:val="006270C0"/>
    <w:rsid w:val="006274CF"/>
    <w:rsid w:val="00630195"/>
    <w:rsid w:val="0063396B"/>
    <w:rsid w:val="00635F21"/>
    <w:rsid w:val="0064264A"/>
    <w:rsid w:val="006559A6"/>
    <w:rsid w:val="006559AF"/>
    <w:rsid w:val="006606F8"/>
    <w:rsid w:val="00660ED5"/>
    <w:rsid w:val="00663114"/>
    <w:rsid w:val="0066483C"/>
    <w:rsid w:val="00664D59"/>
    <w:rsid w:val="00665522"/>
    <w:rsid w:val="006850BD"/>
    <w:rsid w:val="00690260"/>
    <w:rsid w:val="00693874"/>
    <w:rsid w:val="00693F46"/>
    <w:rsid w:val="00694D2B"/>
    <w:rsid w:val="006B53A4"/>
    <w:rsid w:val="006C2E13"/>
    <w:rsid w:val="006C3DBC"/>
    <w:rsid w:val="006C73AA"/>
    <w:rsid w:val="006D2B44"/>
    <w:rsid w:val="006D5A03"/>
    <w:rsid w:val="006D7BDD"/>
    <w:rsid w:val="006E272D"/>
    <w:rsid w:val="006E35E3"/>
    <w:rsid w:val="006E5A36"/>
    <w:rsid w:val="006E6FF4"/>
    <w:rsid w:val="006F098E"/>
    <w:rsid w:val="006F158F"/>
    <w:rsid w:val="00703BD7"/>
    <w:rsid w:val="007154F9"/>
    <w:rsid w:val="00716342"/>
    <w:rsid w:val="00722218"/>
    <w:rsid w:val="007228D3"/>
    <w:rsid w:val="00723419"/>
    <w:rsid w:val="00733B16"/>
    <w:rsid w:val="00733F4F"/>
    <w:rsid w:val="00741373"/>
    <w:rsid w:val="00741553"/>
    <w:rsid w:val="00742022"/>
    <w:rsid w:val="007423A1"/>
    <w:rsid w:val="0074498E"/>
    <w:rsid w:val="007564D7"/>
    <w:rsid w:val="00764648"/>
    <w:rsid w:val="007672F3"/>
    <w:rsid w:val="00780E3F"/>
    <w:rsid w:val="007905D4"/>
    <w:rsid w:val="00791403"/>
    <w:rsid w:val="0079499E"/>
    <w:rsid w:val="007A2E5D"/>
    <w:rsid w:val="007A538C"/>
    <w:rsid w:val="007B16C4"/>
    <w:rsid w:val="007B4F2D"/>
    <w:rsid w:val="007B74A7"/>
    <w:rsid w:val="007C2D7E"/>
    <w:rsid w:val="007D17FD"/>
    <w:rsid w:val="007D48C5"/>
    <w:rsid w:val="007D678A"/>
    <w:rsid w:val="007E06F0"/>
    <w:rsid w:val="007E4632"/>
    <w:rsid w:val="007F4436"/>
    <w:rsid w:val="007F7C6E"/>
    <w:rsid w:val="00802DFC"/>
    <w:rsid w:val="00810212"/>
    <w:rsid w:val="00812AA1"/>
    <w:rsid w:val="00814781"/>
    <w:rsid w:val="00816F06"/>
    <w:rsid w:val="00821C22"/>
    <w:rsid w:val="008300EE"/>
    <w:rsid w:val="00831A4C"/>
    <w:rsid w:val="00831B3A"/>
    <w:rsid w:val="00834DBB"/>
    <w:rsid w:val="00841598"/>
    <w:rsid w:val="00842FFB"/>
    <w:rsid w:val="008504E2"/>
    <w:rsid w:val="00855F57"/>
    <w:rsid w:val="00856442"/>
    <w:rsid w:val="0086351A"/>
    <w:rsid w:val="00865782"/>
    <w:rsid w:val="00871A3A"/>
    <w:rsid w:val="008729D8"/>
    <w:rsid w:val="00874B61"/>
    <w:rsid w:val="008A48B7"/>
    <w:rsid w:val="008A4F4B"/>
    <w:rsid w:val="008A5904"/>
    <w:rsid w:val="008A66F0"/>
    <w:rsid w:val="008A6837"/>
    <w:rsid w:val="008B3320"/>
    <w:rsid w:val="008B3EB5"/>
    <w:rsid w:val="008B7ADE"/>
    <w:rsid w:val="008B7E93"/>
    <w:rsid w:val="008C232F"/>
    <w:rsid w:val="008C396C"/>
    <w:rsid w:val="008C4091"/>
    <w:rsid w:val="008C5809"/>
    <w:rsid w:val="008D0B1E"/>
    <w:rsid w:val="008D7854"/>
    <w:rsid w:val="008D78C9"/>
    <w:rsid w:val="008E021B"/>
    <w:rsid w:val="008E0FC9"/>
    <w:rsid w:val="008E413A"/>
    <w:rsid w:val="009027A9"/>
    <w:rsid w:val="00905757"/>
    <w:rsid w:val="00907808"/>
    <w:rsid w:val="00911FC1"/>
    <w:rsid w:val="00913684"/>
    <w:rsid w:val="00917D96"/>
    <w:rsid w:val="00923865"/>
    <w:rsid w:val="00923FC7"/>
    <w:rsid w:val="00927A32"/>
    <w:rsid w:val="009300D1"/>
    <w:rsid w:val="0093016E"/>
    <w:rsid w:val="00931E93"/>
    <w:rsid w:val="0093274E"/>
    <w:rsid w:val="00932E73"/>
    <w:rsid w:val="0093416E"/>
    <w:rsid w:val="00934B4D"/>
    <w:rsid w:val="00945687"/>
    <w:rsid w:val="00955C75"/>
    <w:rsid w:val="00960E8D"/>
    <w:rsid w:val="009676E1"/>
    <w:rsid w:val="009677DF"/>
    <w:rsid w:val="0097227F"/>
    <w:rsid w:val="009722A1"/>
    <w:rsid w:val="009734C0"/>
    <w:rsid w:val="00974F13"/>
    <w:rsid w:val="00985119"/>
    <w:rsid w:val="009946F8"/>
    <w:rsid w:val="00996E6B"/>
    <w:rsid w:val="009A1D64"/>
    <w:rsid w:val="009A4340"/>
    <w:rsid w:val="009B1292"/>
    <w:rsid w:val="009B1E3D"/>
    <w:rsid w:val="009B2430"/>
    <w:rsid w:val="009B338B"/>
    <w:rsid w:val="009B58AD"/>
    <w:rsid w:val="009B6631"/>
    <w:rsid w:val="009B7935"/>
    <w:rsid w:val="009C5229"/>
    <w:rsid w:val="009C7BA2"/>
    <w:rsid w:val="009D08B8"/>
    <w:rsid w:val="009D1161"/>
    <w:rsid w:val="009D3ED6"/>
    <w:rsid w:val="009D667B"/>
    <w:rsid w:val="009E140F"/>
    <w:rsid w:val="009E466A"/>
    <w:rsid w:val="009E7A61"/>
    <w:rsid w:val="009F14AA"/>
    <w:rsid w:val="009F4449"/>
    <w:rsid w:val="009F5C18"/>
    <w:rsid w:val="009F6788"/>
    <w:rsid w:val="00A009CE"/>
    <w:rsid w:val="00A02252"/>
    <w:rsid w:val="00A05071"/>
    <w:rsid w:val="00A0588A"/>
    <w:rsid w:val="00A114EC"/>
    <w:rsid w:val="00A127F1"/>
    <w:rsid w:val="00A13FE2"/>
    <w:rsid w:val="00A15565"/>
    <w:rsid w:val="00A15E82"/>
    <w:rsid w:val="00A177D9"/>
    <w:rsid w:val="00A20D01"/>
    <w:rsid w:val="00A22453"/>
    <w:rsid w:val="00A270B9"/>
    <w:rsid w:val="00A27130"/>
    <w:rsid w:val="00A33196"/>
    <w:rsid w:val="00A36122"/>
    <w:rsid w:val="00A54717"/>
    <w:rsid w:val="00A5494A"/>
    <w:rsid w:val="00A57304"/>
    <w:rsid w:val="00A57B45"/>
    <w:rsid w:val="00A60BC2"/>
    <w:rsid w:val="00A6219E"/>
    <w:rsid w:val="00A65302"/>
    <w:rsid w:val="00A659B8"/>
    <w:rsid w:val="00A7147C"/>
    <w:rsid w:val="00A75DD3"/>
    <w:rsid w:val="00A75EF7"/>
    <w:rsid w:val="00A7660B"/>
    <w:rsid w:val="00A8532A"/>
    <w:rsid w:val="00A85830"/>
    <w:rsid w:val="00A8593E"/>
    <w:rsid w:val="00A86897"/>
    <w:rsid w:val="00A879B6"/>
    <w:rsid w:val="00A90DAA"/>
    <w:rsid w:val="00A911ED"/>
    <w:rsid w:val="00A94B1A"/>
    <w:rsid w:val="00A95733"/>
    <w:rsid w:val="00A976E1"/>
    <w:rsid w:val="00AA017B"/>
    <w:rsid w:val="00AA109B"/>
    <w:rsid w:val="00AA382C"/>
    <w:rsid w:val="00AA3F97"/>
    <w:rsid w:val="00AA7547"/>
    <w:rsid w:val="00AB1C92"/>
    <w:rsid w:val="00AB4018"/>
    <w:rsid w:val="00AB5465"/>
    <w:rsid w:val="00AC2196"/>
    <w:rsid w:val="00AD3B9E"/>
    <w:rsid w:val="00AF25BB"/>
    <w:rsid w:val="00AF3537"/>
    <w:rsid w:val="00AF42F6"/>
    <w:rsid w:val="00B05372"/>
    <w:rsid w:val="00B1203C"/>
    <w:rsid w:val="00B13775"/>
    <w:rsid w:val="00B16F77"/>
    <w:rsid w:val="00B20433"/>
    <w:rsid w:val="00B2198D"/>
    <w:rsid w:val="00B25D76"/>
    <w:rsid w:val="00B2693A"/>
    <w:rsid w:val="00B26FAC"/>
    <w:rsid w:val="00B30F52"/>
    <w:rsid w:val="00B31AA2"/>
    <w:rsid w:val="00B4074F"/>
    <w:rsid w:val="00B42B71"/>
    <w:rsid w:val="00B42E35"/>
    <w:rsid w:val="00B442CF"/>
    <w:rsid w:val="00B51EED"/>
    <w:rsid w:val="00B52DE1"/>
    <w:rsid w:val="00B5305B"/>
    <w:rsid w:val="00B738AB"/>
    <w:rsid w:val="00B74C0B"/>
    <w:rsid w:val="00B8400D"/>
    <w:rsid w:val="00B93A37"/>
    <w:rsid w:val="00BA1819"/>
    <w:rsid w:val="00BA33DF"/>
    <w:rsid w:val="00BA5A22"/>
    <w:rsid w:val="00BB55E5"/>
    <w:rsid w:val="00BC1899"/>
    <w:rsid w:val="00BD0ACC"/>
    <w:rsid w:val="00BD58B5"/>
    <w:rsid w:val="00BD62F0"/>
    <w:rsid w:val="00BD725A"/>
    <w:rsid w:val="00BE1FAB"/>
    <w:rsid w:val="00BF1704"/>
    <w:rsid w:val="00BF3750"/>
    <w:rsid w:val="00BF3CE0"/>
    <w:rsid w:val="00BF4A63"/>
    <w:rsid w:val="00BF658C"/>
    <w:rsid w:val="00BF7D2B"/>
    <w:rsid w:val="00C03FFC"/>
    <w:rsid w:val="00C06244"/>
    <w:rsid w:val="00C144BE"/>
    <w:rsid w:val="00C150AE"/>
    <w:rsid w:val="00C2613D"/>
    <w:rsid w:val="00C271C3"/>
    <w:rsid w:val="00C41622"/>
    <w:rsid w:val="00C51548"/>
    <w:rsid w:val="00C51A36"/>
    <w:rsid w:val="00C536C2"/>
    <w:rsid w:val="00C54839"/>
    <w:rsid w:val="00C55F47"/>
    <w:rsid w:val="00C56E2E"/>
    <w:rsid w:val="00C62323"/>
    <w:rsid w:val="00C62E0B"/>
    <w:rsid w:val="00C64A31"/>
    <w:rsid w:val="00C66895"/>
    <w:rsid w:val="00C67FA1"/>
    <w:rsid w:val="00C75055"/>
    <w:rsid w:val="00C82E8B"/>
    <w:rsid w:val="00C84897"/>
    <w:rsid w:val="00C86E91"/>
    <w:rsid w:val="00C87076"/>
    <w:rsid w:val="00C94F52"/>
    <w:rsid w:val="00CA4536"/>
    <w:rsid w:val="00CA5DE6"/>
    <w:rsid w:val="00CA71AD"/>
    <w:rsid w:val="00CB1429"/>
    <w:rsid w:val="00CB3137"/>
    <w:rsid w:val="00CB48DD"/>
    <w:rsid w:val="00CC26FB"/>
    <w:rsid w:val="00CC2BF3"/>
    <w:rsid w:val="00CC3C18"/>
    <w:rsid w:val="00CC4C88"/>
    <w:rsid w:val="00CC51B7"/>
    <w:rsid w:val="00CC685B"/>
    <w:rsid w:val="00CD0B1F"/>
    <w:rsid w:val="00CD1386"/>
    <w:rsid w:val="00CD30C2"/>
    <w:rsid w:val="00CD3F96"/>
    <w:rsid w:val="00CD7E5F"/>
    <w:rsid w:val="00CE09F3"/>
    <w:rsid w:val="00CE7214"/>
    <w:rsid w:val="00CE76DA"/>
    <w:rsid w:val="00CF260A"/>
    <w:rsid w:val="00D00036"/>
    <w:rsid w:val="00D000F0"/>
    <w:rsid w:val="00D010CE"/>
    <w:rsid w:val="00D02890"/>
    <w:rsid w:val="00D052FA"/>
    <w:rsid w:val="00D0739E"/>
    <w:rsid w:val="00D10725"/>
    <w:rsid w:val="00D11244"/>
    <w:rsid w:val="00D11E94"/>
    <w:rsid w:val="00D13597"/>
    <w:rsid w:val="00D15AD4"/>
    <w:rsid w:val="00D201D2"/>
    <w:rsid w:val="00D21576"/>
    <w:rsid w:val="00D30389"/>
    <w:rsid w:val="00D337F6"/>
    <w:rsid w:val="00D341FA"/>
    <w:rsid w:val="00D36123"/>
    <w:rsid w:val="00D42F56"/>
    <w:rsid w:val="00D44344"/>
    <w:rsid w:val="00D50156"/>
    <w:rsid w:val="00D50AED"/>
    <w:rsid w:val="00D52A9C"/>
    <w:rsid w:val="00D52CDB"/>
    <w:rsid w:val="00D533ED"/>
    <w:rsid w:val="00D57A28"/>
    <w:rsid w:val="00D6018A"/>
    <w:rsid w:val="00D61710"/>
    <w:rsid w:val="00D62395"/>
    <w:rsid w:val="00D62DD7"/>
    <w:rsid w:val="00D65A01"/>
    <w:rsid w:val="00D6611E"/>
    <w:rsid w:val="00D76D49"/>
    <w:rsid w:val="00D80C5F"/>
    <w:rsid w:val="00D82EF2"/>
    <w:rsid w:val="00D83DD4"/>
    <w:rsid w:val="00D843A7"/>
    <w:rsid w:val="00D85F37"/>
    <w:rsid w:val="00D9651E"/>
    <w:rsid w:val="00D97076"/>
    <w:rsid w:val="00DB33CF"/>
    <w:rsid w:val="00DB4534"/>
    <w:rsid w:val="00DB75E8"/>
    <w:rsid w:val="00DC228F"/>
    <w:rsid w:val="00DC3DA0"/>
    <w:rsid w:val="00DC5290"/>
    <w:rsid w:val="00DC6671"/>
    <w:rsid w:val="00DD1C24"/>
    <w:rsid w:val="00DD2A82"/>
    <w:rsid w:val="00DD471B"/>
    <w:rsid w:val="00DD6337"/>
    <w:rsid w:val="00DE1B44"/>
    <w:rsid w:val="00DE22D0"/>
    <w:rsid w:val="00DE572E"/>
    <w:rsid w:val="00DF0EBE"/>
    <w:rsid w:val="00DF16C2"/>
    <w:rsid w:val="00DF46E4"/>
    <w:rsid w:val="00DF7DAB"/>
    <w:rsid w:val="00E003A2"/>
    <w:rsid w:val="00E0420C"/>
    <w:rsid w:val="00E04856"/>
    <w:rsid w:val="00E11489"/>
    <w:rsid w:val="00E1338E"/>
    <w:rsid w:val="00E15749"/>
    <w:rsid w:val="00E15FBD"/>
    <w:rsid w:val="00E22881"/>
    <w:rsid w:val="00E27AB1"/>
    <w:rsid w:val="00E328B1"/>
    <w:rsid w:val="00E342D6"/>
    <w:rsid w:val="00E377D1"/>
    <w:rsid w:val="00E50CD3"/>
    <w:rsid w:val="00E56089"/>
    <w:rsid w:val="00E57F22"/>
    <w:rsid w:val="00E61E54"/>
    <w:rsid w:val="00E67ADD"/>
    <w:rsid w:val="00E75D34"/>
    <w:rsid w:val="00E83782"/>
    <w:rsid w:val="00E84637"/>
    <w:rsid w:val="00E87BE1"/>
    <w:rsid w:val="00E942E3"/>
    <w:rsid w:val="00E94FC4"/>
    <w:rsid w:val="00EA020F"/>
    <w:rsid w:val="00EA10AE"/>
    <w:rsid w:val="00EA1F85"/>
    <w:rsid w:val="00EB09A0"/>
    <w:rsid w:val="00EC1AE4"/>
    <w:rsid w:val="00EC38A8"/>
    <w:rsid w:val="00ED4585"/>
    <w:rsid w:val="00ED7330"/>
    <w:rsid w:val="00ED735F"/>
    <w:rsid w:val="00ED73E0"/>
    <w:rsid w:val="00EE16EF"/>
    <w:rsid w:val="00EE2B9F"/>
    <w:rsid w:val="00EE5B0C"/>
    <w:rsid w:val="00EF52F7"/>
    <w:rsid w:val="00EF7BFE"/>
    <w:rsid w:val="00F02507"/>
    <w:rsid w:val="00F137C6"/>
    <w:rsid w:val="00F22EA3"/>
    <w:rsid w:val="00F26BB2"/>
    <w:rsid w:val="00F27FF0"/>
    <w:rsid w:val="00F31056"/>
    <w:rsid w:val="00F42610"/>
    <w:rsid w:val="00F42AE6"/>
    <w:rsid w:val="00F43096"/>
    <w:rsid w:val="00F4431C"/>
    <w:rsid w:val="00F44B0B"/>
    <w:rsid w:val="00F45F8D"/>
    <w:rsid w:val="00F50849"/>
    <w:rsid w:val="00F530AC"/>
    <w:rsid w:val="00F5775F"/>
    <w:rsid w:val="00F6148F"/>
    <w:rsid w:val="00F61F12"/>
    <w:rsid w:val="00F62545"/>
    <w:rsid w:val="00F63F24"/>
    <w:rsid w:val="00F67A51"/>
    <w:rsid w:val="00F72743"/>
    <w:rsid w:val="00F75B5E"/>
    <w:rsid w:val="00F86F57"/>
    <w:rsid w:val="00F91C62"/>
    <w:rsid w:val="00F964A4"/>
    <w:rsid w:val="00FB6BF6"/>
    <w:rsid w:val="00FB730F"/>
    <w:rsid w:val="00FC7178"/>
    <w:rsid w:val="00FC752C"/>
    <w:rsid w:val="00FE1D8B"/>
    <w:rsid w:val="00FE51EB"/>
    <w:rsid w:val="00FE6FDC"/>
    <w:rsid w:val="00FF0D13"/>
    <w:rsid w:val="00FF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D9ABC"/>
  <w15:docId w15:val="{C3C6E5FF-20F3-4CAB-9ABF-BEB9F7D4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BodyTextIndent2">
    <w:name w:val="Body Text Indent 2"/>
    <w:basedOn w:val="Normal"/>
    <w:link w:val="BodyTextIndent2Char"/>
    <w:rsid w:val="008A5904"/>
    <w:pPr>
      <w:tabs>
        <w:tab w:val="clear" w:pos="284"/>
      </w:tabs>
      <w:ind w:left="1440"/>
      <w:jc w:val="left"/>
    </w:pPr>
    <w:rPr>
      <w:i/>
      <w:sz w:val="24"/>
    </w:rPr>
  </w:style>
  <w:style w:type="character" w:customStyle="1" w:styleId="BodyTextIndent2Char">
    <w:name w:val="Body Text Indent 2 Char"/>
    <w:basedOn w:val="DefaultParagraphFont"/>
    <w:link w:val="BodyTextIndent2"/>
    <w:rsid w:val="008A5904"/>
    <w:rPr>
      <w:i/>
      <w:sz w:val="24"/>
      <w:szCs w:val="24"/>
    </w:rPr>
  </w:style>
  <w:style w:type="paragraph" w:styleId="Title">
    <w:name w:val="Title"/>
    <w:basedOn w:val="Normal"/>
    <w:link w:val="TitleChar"/>
    <w:qFormat/>
    <w:rsid w:val="00095E53"/>
    <w:pPr>
      <w:tabs>
        <w:tab w:val="clear" w:pos="284"/>
      </w:tabs>
      <w:jc w:val="center"/>
    </w:pPr>
    <w:rPr>
      <w:b/>
      <w:sz w:val="24"/>
    </w:rPr>
  </w:style>
  <w:style w:type="character" w:customStyle="1" w:styleId="TitleChar">
    <w:name w:val="Title Char"/>
    <w:basedOn w:val="DefaultParagraphFont"/>
    <w:link w:val="Title"/>
    <w:rsid w:val="00095E53"/>
    <w:rPr>
      <w:b/>
      <w:sz w:val="24"/>
      <w:szCs w:val="24"/>
    </w:rPr>
  </w:style>
  <w:style w:type="paragraph" w:styleId="ListParagraph">
    <w:name w:val="List Paragraph"/>
    <w:basedOn w:val="Normal"/>
    <w:uiPriority w:val="34"/>
    <w:qFormat/>
    <w:rsid w:val="00060B0E"/>
    <w:pPr>
      <w:ind w:left="720"/>
      <w:contextualSpacing/>
    </w:pPr>
  </w:style>
  <w:style w:type="character" w:customStyle="1" w:styleId="HeaderChar">
    <w:name w:val="Header Char"/>
    <w:link w:val="Header"/>
    <w:rsid w:val="00F964A4"/>
    <w:rPr>
      <w:sz w:val="22"/>
      <w:szCs w:val="24"/>
    </w:rPr>
  </w:style>
  <w:style w:type="character" w:customStyle="1" w:styleId="RegularChar">
    <w:name w:val="Regular Char"/>
    <w:link w:val="Regular"/>
    <w:locked/>
    <w:rsid w:val="004B3353"/>
    <w:rPr>
      <w:b/>
      <w:sz w:val="24"/>
      <w:szCs w:val="24"/>
      <w:lang w:val="sr-Latn-CS"/>
    </w:rPr>
  </w:style>
  <w:style w:type="paragraph" w:customStyle="1" w:styleId="Regular">
    <w:name w:val="Regular"/>
    <w:basedOn w:val="Normal"/>
    <w:link w:val="RegularChar"/>
    <w:rsid w:val="004B3353"/>
    <w:pPr>
      <w:tabs>
        <w:tab w:val="clear" w:pos="284"/>
      </w:tabs>
    </w:pPr>
    <w:rPr>
      <w:b/>
      <w:sz w:val="24"/>
      <w:lang w:val="sr-Latn-CS"/>
    </w:rPr>
  </w:style>
  <w:style w:type="character" w:styleId="Strong">
    <w:name w:val="Strong"/>
    <w:basedOn w:val="DefaultParagraphFont"/>
    <w:uiPriority w:val="22"/>
    <w:qFormat/>
    <w:rsid w:val="003E55EA"/>
    <w:rPr>
      <w:b/>
      <w:bCs/>
    </w:rPr>
  </w:style>
  <w:style w:type="paragraph" w:styleId="NormalWeb">
    <w:name w:val="Normal (Web)"/>
    <w:basedOn w:val="Normal"/>
    <w:uiPriority w:val="99"/>
    <w:unhideWhenUsed/>
    <w:rsid w:val="003E55EA"/>
    <w:pPr>
      <w:tabs>
        <w:tab w:val="clear" w:pos="284"/>
      </w:tabs>
      <w:jc w:val="left"/>
    </w:pPr>
    <w:rPr>
      <w:sz w:val="24"/>
    </w:rPr>
  </w:style>
  <w:style w:type="table" w:styleId="TableGrid">
    <w:name w:val="Table Grid"/>
    <w:basedOn w:val="TableNormal"/>
    <w:rsid w:val="0085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6FAF"/>
    <w:rPr>
      <w:sz w:val="22"/>
      <w:szCs w:val="24"/>
    </w:rPr>
  </w:style>
  <w:style w:type="character" w:styleId="Hyperlink">
    <w:name w:val="Hyperlink"/>
    <w:basedOn w:val="DefaultParagraphFont"/>
    <w:rsid w:val="00DC6671"/>
    <w:rPr>
      <w:color w:val="0000FF" w:themeColor="hyperlink"/>
      <w:u w:val="single"/>
    </w:rPr>
  </w:style>
  <w:style w:type="character" w:customStyle="1" w:styleId="UnresolvedMention1">
    <w:name w:val="Unresolved Mention1"/>
    <w:basedOn w:val="DefaultParagraphFont"/>
    <w:uiPriority w:val="99"/>
    <w:semiHidden/>
    <w:unhideWhenUsed/>
    <w:rsid w:val="00DC6671"/>
    <w:rPr>
      <w:color w:val="605E5C"/>
      <w:shd w:val="clear" w:color="auto" w:fill="E1DFDD"/>
    </w:rPr>
  </w:style>
  <w:style w:type="paragraph" w:styleId="NoSpacing">
    <w:name w:val="No Spacing"/>
    <w:uiPriority w:val="1"/>
    <w:qFormat/>
    <w:rsid w:val="00D65A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106">
      <w:bodyDiv w:val="1"/>
      <w:marLeft w:val="0"/>
      <w:marRight w:val="0"/>
      <w:marTop w:val="0"/>
      <w:marBottom w:val="0"/>
      <w:divBdr>
        <w:top w:val="none" w:sz="0" w:space="0" w:color="auto"/>
        <w:left w:val="none" w:sz="0" w:space="0" w:color="auto"/>
        <w:bottom w:val="none" w:sz="0" w:space="0" w:color="auto"/>
        <w:right w:val="none" w:sz="0" w:space="0" w:color="auto"/>
      </w:divBdr>
      <w:divsChild>
        <w:div w:id="1642230001">
          <w:marLeft w:val="0"/>
          <w:marRight w:val="0"/>
          <w:marTop w:val="0"/>
          <w:marBottom w:val="0"/>
          <w:divBdr>
            <w:top w:val="none" w:sz="0" w:space="0" w:color="auto"/>
            <w:left w:val="none" w:sz="0" w:space="0" w:color="auto"/>
            <w:bottom w:val="none" w:sz="0" w:space="0" w:color="auto"/>
            <w:right w:val="none" w:sz="0" w:space="0" w:color="auto"/>
          </w:divBdr>
          <w:divsChild>
            <w:div w:id="1441952685">
              <w:marLeft w:val="0"/>
              <w:marRight w:val="0"/>
              <w:marTop w:val="0"/>
              <w:marBottom w:val="0"/>
              <w:divBdr>
                <w:top w:val="none" w:sz="0" w:space="0" w:color="auto"/>
                <w:left w:val="none" w:sz="0" w:space="0" w:color="auto"/>
                <w:bottom w:val="none" w:sz="0" w:space="0" w:color="auto"/>
                <w:right w:val="none" w:sz="0" w:space="0" w:color="auto"/>
              </w:divBdr>
              <w:divsChild>
                <w:div w:id="839152860">
                  <w:marLeft w:val="0"/>
                  <w:marRight w:val="0"/>
                  <w:marTop w:val="0"/>
                  <w:marBottom w:val="0"/>
                  <w:divBdr>
                    <w:top w:val="none" w:sz="0" w:space="0" w:color="auto"/>
                    <w:left w:val="none" w:sz="0" w:space="0" w:color="auto"/>
                    <w:bottom w:val="none" w:sz="0" w:space="0" w:color="auto"/>
                    <w:right w:val="none" w:sz="0" w:space="0" w:color="auto"/>
                  </w:divBdr>
                  <w:divsChild>
                    <w:div w:id="836313111">
                      <w:marLeft w:val="0"/>
                      <w:marRight w:val="0"/>
                      <w:marTop w:val="0"/>
                      <w:marBottom w:val="0"/>
                      <w:divBdr>
                        <w:top w:val="none" w:sz="0" w:space="0" w:color="auto"/>
                        <w:left w:val="none" w:sz="0" w:space="0" w:color="auto"/>
                        <w:bottom w:val="none" w:sz="0" w:space="0" w:color="auto"/>
                        <w:right w:val="none" w:sz="0" w:space="0" w:color="auto"/>
                      </w:divBdr>
                      <w:divsChild>
                        <w:div w:id="55008090">
                          <w:marLeft w:val="0"/>
                          <w:marRight w:val="150"/>
                          <w:marTop w:val="0"/>
                          <w:marBottom w:val="0"/>
                          <w:divBdr>
                            <w:top w:val="none" w:sz="0" w:space="0" w:color="auto"/>
                            <w:left w:val="none" w:sz="0" w:space="0" w:color="auto"/>
                            <w:bottom w:val="none" w:sz="0" w:space="0" w:color="auto"/>
                            <w:right w:val="none" w:sz="0" w:space="0" w:color="auto"/>
                          </w:divBdr>
                          <w:divsChild>
                            <w:div w:id="1433624893">
                              <w:marLeft w:val="0"/>
                              <w:marRight w:val="0"/>
                              <w:marTop w:val="0"/>
                              <w:marBottom w:val="0"/>
                              <w:divBdr>
                                <w:top w:val="none" w:sz="0" w:space="0" w:color="auto"/>
                                <w:left w:val="none" w:sz="0" w:space="0" w:color="auto"/>
                                <w:bottom w:val="none" w:sz="0" w:space="0" w:color="auto"/>
                                <w:right w:val="none" w:sz="0" w:space="0" w:color="auto"/>
                              </w:divBdr>
                              <w:divsChild>
                                <w:div w:id="1952320391">
                                  <w:marLeft w:val="0"/>
                                  <w:marRight w:val="0"/>
                                  <w:marTop w:val="0"/>
                                  <w:marBottom w:val="0"/>
                                  <w:divBdr>
                                    <w:top w:val="none" w:sz="0" w:space="0" w:color="auto"/>
                                    <w:left w:val="none" w:sz="0" w:space="0" w:color="auto"/>
                                    <w:bottom w:val="none" w:sz="0" w:space="0" w:color="auto"/>
                                    <w:right w:val="none" w:sz="0" w:space="0" w:color="auto"/>
                                  </w:divBdr>
                                  <w:divsChild>
                                    <w:div w:id="47998789">
                                      <w:marLeft w:val="0"/>
                                      <w:marRight w:val="0"/>
                                      <w:marTop w:val="0"/>
                                      <w:marBottom w:val="0"/>
                                      <w:divBdr>
                                        <w:top w:val="none" w:sz="0" w:space="0" w:color="auto"/>
                                        <w:left w:val="none" w:sz="0" w:space="0" w:color="auto"/>
                                        <w:bottom w:val="none" w:sz="0" w:space="0" w:color="auto"/>
                                        <w:right w:val="none" w:sz="0" w:space="0" w:color="auto"/>
                                      </w:divBdr>
                                      <w:divsChild>
                                        <w:div w:id="1082264683">
                                          <w:marLeft w:val="0"/>
                                          <w:marRight w:val="0"/>
                                          <w:marTop w:val="0"/>
                                          <w:marBottom w:val="0"/>
                                          <w:divBdr>
                                            <w:top w:val="none" w:sz="0" w:space="0" w:color="auto"/>
                                            <w:left w:val="none" w:sz="0" w:space="0" w:color="auto"/>
                                            <w:bottom w:val="none" w:sz="0" w:space="0" w:color="auto"/>
                                            <w:right w:val="none" w:sz="0" w:space="0" w:color="auto"/>
                                          </w:divBdr>
                                          <w:divsChild>
                                            <w:div w:id="1362586450">
                                              <w:marLeft w:val="0"/>
                                              <w:marRight w:val="0"/>
                                              <w:marTop w:val="0"/>
                                              <w:marBottom w:val="0"/>
                                              <w:divBdr>
                                                <w:top w:val="none" w:sz="0" w:space="0" w:color="auto"/>
                                                <w:left w:val="none" w:sz="0" w:space="0" w:color="auto"/>
                                                <w:bottom w:val="none" w:sz="0" w:space="0" w:color="auto"/>
                                                <w:right w:val="none" w:sz="0" w:space="0" w:color="auto"/>
                                              </w:divBdr>
                                              <w:divsChild>
                                                <w:div w:id="687944870">
                                                  <w:marLeft w:val="0"/>
                                                  <w:marRight w:val="0"/>
                                                  <w:marTop w:val="0"/>
                                                  <w:marBottom w:val="0"/>
                                                  <w:divBdr>
                                                    <w:top w:val="none" w:sz="0" w:space="0" w:color="auto"/>
                                                    <w:left w:val="none" w:sz="0" w:space="0" w:color="auto"/>
                                                    <w:bottom w:val="none" w:sz="0" w:space="0" w:color="auto"/>
                                                    <w:right w:val="none" w:sz="0" w:space="0" w:color="auto"/>
                                                  </w:divBdr>
                                                  <w:divsChild>
                                                    <w:div w:id="161315953">
                                                      <w:marLeft w:val="0"/>
                                                      <w:marRight w:val="0"/>
                                                      <w:marTop w:val="0"/>
                                                      <w:marBottom w:val="0"/>
                                                      <w:divBdr>
                                                        <w:top w:val="none" w:sz="0" w:space="0" w:color="auto"/>
                                                        <w:left w:val="none" w:sz="0" w:space="0" w:color="auto"/>
                                                        <w:bottom w:val="none" w:sz="0" w:space="0" w:color="auto"/>
                                                        <w:right w:val="none" w:sz="0" w:space="0" w:color="auto"/>
                                                      </w:divBdr>
                                                      <w:divsChild>
                                                        <w:div w:id="664474422">
                                                          <w:marLeft w:val="0"/>
                                                          <w:marRight w:val="0"/>
                                                          <w:marTop w:val="0"/>
                                                          <w:marBottom w:val="0"/>
                                                          <w:divBdr>
                                                            <w:top w:val="none" w:sz="0" w:space="0" w:color="auto"/>
                                                            <w:left w:val="none" w:sz="0" w:space="0" w:color="auto"/>
                                                            <w:bottom w:val="none" w:sz="0" w:space="0" w:color="auto"/>
                                                            <w:right w:val="none" w:sz="0" w:space="0" w:color="auto"/>
                                                          </w:divBdr>
                                                          <w:divsChild>
                                                            <w:div w:id="1222785322">
                                                              <w:marLeft w:val="0"/>
                                                              <w:marRight w:val="0"/>
                                                              <w:marTop w:val="0"/>
                                                              <w:marBottom w:val="0"/>
                                                              <w:divBdr>
                                                                <w:top w:val="none" w:sz="0" w:space="0" w:color="auto"/>
                                                                <w:left w:val="none" w:sz="0" w:space="0" w:color="auto"/>
                                                                <w:bottom w:val="none" w:sz="0" w:space="0" w:color="auto"/>
                                                                <w:right w:val="none" w:sz="0" w:space="0" w:color="auto"/>
                                                              </w:divBdr>
                                                              <w:divsChild>
                                                                <w:div w:id="1968393020">
                                                                  <w:marLeft w:val="0"/>
                                                                  <w:marRight w:val="0"/>
                                                                  <w:marTop w:val="0"/>
                                                                  <w:marBottom w:val="0"/>
                                                                  <w:divBdr>
                                                                    <w:top w:val="none" w:sz="0" w:space="0" w:color="auto"/>
                                                                    <w:left w:val="none" w:sz="0" w:space="0" w:color="auto"/>
                                                                    <w:bottom w:val="none" w:sz="0" w:space="0" w:color="auto"/>
                                                                    <w:right w:val="none" w:sz="0" w:space="0" w:color="auto"/>
                                                                  </w:divBdr>
                                                                  <w:divsChild>
                                                                    <w:div w:id="11654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1504616">
      <w:bodyDiv w:val="1"/>
      <w:marLeft w:val="0"/>
      <w:marRight w:val="0"/>
      <w:marTop w:val="0"/>
      <w:marBottom w:val="0"/>
      <w:divBdr>
        <w:top w:val="none" w:sz="0" w:space="0" w:color="auto"/>
        <w:left w:val="none" w:sz="0" w:space="0" w:color="auto"/>
        <w:bottom w:val="none" w:sz="0" w:space="0" w:color="auto"/>
        <w:right w:val="none" w:sz="0" w:space="0" w:color="auto"/>
      </w:divBdr>
    </w:div>
    <w:div w:id="286818153">
      <w:bodyDiv w:val="1"/>
      <w:marLeft w:val="0"/>
      <w:marRight w:val="0"/>
      <w:marTop w:val="0"/>
      <w:marBottom w:val="0"/>
      <w:divBdr>
        <w:top w:val="none" w:sz="0" w:space="0" w:color="auto"/>
        <w:left w:val="none" w:sz="0" w:space="0" w:color="auto"/>
        <w:bottom w:val="none" w:sz="0" w:space="0" w:color="auto"/>
        <w:right w:val="none" w:sz="0" w:space="0" w:color="auto"/>
      </w:divBdr>
    </w:div>
    <w:div w:id="730351560">
      <w:bodyDiv w:val="1"/>
      <w:marLeft w:val="0"/>
      <w:marRight w:val="0"/>
      <w:marTop w:val="0"/>
      <w:marBottom w:val="0"/>
      <w:divBdr>
        <w:top w:val="none" w:sz="0" w:space="0" w:color="auto"/>
        <w:left w:val="none" w:sz="0" w:space="0" w:color="auto"/>
        <w:bottom w:val="none" w:sz="0" w:space="0" w:color="auto"/>
        <w:right w:val="none" w:sz="0" w:space="0" w:color="auto"/>
      </w:divBdr>
      <w:divsChild>
        <w:div w:id="1300112384">
          <w:marLeft w:val="0"/>
          <w:marRight w:val="0"/>
          <w:marTop w:val="150"/>
          <w:marBottom w:val="150"/>
          <w:divBdr>
            <w:top w:val="none" w:sz="0" w:space="0" w:color="auto"/>
            <w:left w:val="none" w:sz="0" w:space="0" w:color="auto"/>
            <w:bottom w:val="none" w:sz="0" w:space="0" w:color="auto"/>
            <w:right w:val="none" w:sz="0" w:space="0" w:color="auto"/>
          </w:divBdr>
          <w:divsChild>
            <w:div w:id="1209683021">
              <w:marLeft w:val="0"/>
              <w:marRight w:val="0"/>
              <w:marTop w:val="0"/>
              <w:marBottom w:val="0"/>
              <w:divBdr>
                <w:top w:val="none" w:sz="0" w:space="0" w:color="auto"/>
                <w:left w:val="none" w:sz="0" w:space="0" w:color="auto"/>
                <w:bottom w:val="none" w:sz="0" w:space="0" w:color="auto"/>
                <w:right w:val="none" w:sz="0" w:space="0" w:color="auto"/>
              </w:divBdr>
              <w:divsChild>
                <w:div w:id="385108282">
                  <w:marLeft w:val="0"/>
                  <w:marRight w:val="0"/>
                  <w:marTop w:val="0"/>
                  <w:marBottom w:val="0"/>
                  <w:divBdr>
                    <w:top w:val="none" w:sz="0" w:space="0" w:color="auto"/>
                    <w:left w:val="none" w:sz="0" w:space="0" w:color="auto"/>
                    <w:bottom w:val="none" w:sz="0" w:space="0" w:color="auto"/>
                    <w:right w:val="none" w:sz="0" w:space="0" w:color="auto"/>
                  </w:divBdr>
                  <w:divsChild>
                    <w:div w:id="304042747">
                      <w:marLeft w:val="0"/>
                      <w:marRight w:val="0"/>
                      <w:marTop w:val="0"/>
                      <w:marBottom w:val="0"/>
                      <w:divBdr>
                        <w:top w:val="none" w:sz="0" w:space="0" w:color="auto"/>
                        <w:left w:val="none" w:sz="0" w:space="0" w:color="auto"/>
                        <w:bottom w:val="none" w:sz="0" w:space="0" w:color="auto"/>
                        <w:right w:val="none" w:sz="0" w:space="0" w:color="auto"/>
                      </w:divBdr>
                      <w:divsChild>
                        <w:div w:id="183059054">
                          <w:marLeft w:val="0"/>
                          <w:marRight w:val="0"/>
                          <w:marTop w:val="0"/>
                          <w:marBottom w:val="0"/>
                          <w:divBdr>
                            <w:top w:val="none" w:sz="0" w:space="0" w:color="auto"/>
                            <w:left w:val="none" w:sz="0" w:space="0" w:color="auto"/>
                            <w:bottom w:val="none" w:sz="0" w:space="0" w:color="auto"/>
                            <w:right w:val="none" w:sz="0" w:space="0" w:color="auto"/>
                          </w:divBdr>
                          <w:divsChild>
                            <w:div w:id="992946126">
                              <w:marLeft w:val="0"/>
                              <w:marRight w:val="0"/>
                              <w:marTop w:val="0"/>
                              <w:marBottom w:val="0"/>
                              <w:divBdr>
                                <w:top w:val="none" w:sz="0" w:space="0" w:color="auto"/>
                                <w:left w:val="none" w:sz="0" w:space="0" w:color="auto"/>
                                <w:bottom w:val="none" w:sz="0" w:space="0" w:color="auto"/>
                                <w:right w:val="none" w:sz="0" w:space="0" w:color="auto"/>
                              </w:divBdr>
                              <w:divsChild>
                                <w:div w:id="1982147078">
                                  <w:marLeft w:val="0"/>
                                  <w:marRight w:val="0"/>
                                  <w:marTop w:val="0"/>
                                  <w:marBottom w:val="0"/>
                                  <w:divBdr>
                                    <w:top w:val="none" w:sz="0" w:space="0" w:color="auto"/>
                                    <w:left w:val="none" w:sz="0" w:space="0" w:color="auto"/>
                                    <w:bottom w:val="none" w:sz="0" w:space="0" w:color="auto"/>
                                    <w:right w:val="none" w:sz="0" w:space="0" w:color="auto"/>
                                  </w:divBdr>
                                  <w:divsChild>
                                    <w:div w:id="1101488411">
                                      <w:marLeft w:val="0"/>
                                      <w:marRight w:val="0"/>
                                      <w:marTop w:val="0"/>
                                      <w:marBottom w:val="0"/>
                                      <w:divBdr>
                                        <w:top w:val="none" w:sz="0" w:space="0" w:color="auto"/>
                                        <w:left w:val="none" w:sz="0" w:space="0" w:color="auto"/>
                                        <w:bottom w:val="none" w:sz="0" w:space="0" w:color="auto"/>
                                        <w:right w:val="none" w:sz="0" w:space="0" w:color="auto"/>
                                      </w:divBdr>
                                      <w:divsChild>
                                        <w:div w:id="944775572">
                                          <w:marLeft w:val="0"/>
                                          <w:marRight w:val="0"/>
                                          <w:marTop w:val="0"/>
                                          <w:marBottom w:val="0"/>
                                          <w:divBdr>
                                            <w:top w:val="none" w:sz="0" w:space="0" w:color="auto"/>
                                            <w:left w:val="none" w:sz="0" w:space="0" w:color="auto"/>
                                            <w:bottom w:val="none" w:sz="0" w:space="0" w:color="auto"/>
                                            <w:right w:val="none" w:sz="0" w:space="0" w:color="auto"/>
                                          </w:divBdr>
                                          <w:divsChild>
                                            <w:div w:id="1080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532572">
      <w:bodyDiv w:val="1"/>
      <w:marLeft w:val="0"/>
      <w:marRight w:val="0"/>
      <w:marTop w:val="0"/>
      <w:marBottom w:val="0"/>
      <w:divBdr>
        <w:top w:val="none" w:sz="0" w:space="0" w:color="auto"/>
        <w:left w:val="none" w:sz="0" w:space="0" w:color="auto"/>
        <w:bottom w:val="none" w:sz="0" w:space="0" w:color="auto"/>
        <w:right w:val="none" w:sz="0" w:space="0" w:color="auto"/>
      </w:divBdr>
    </w:div>
    <w:div w:id="837354262">
      <w:bodyDiv w:val="1"/>
      <w:marLeft w:val="0"/>
      <w:marRight w:val="0"/>
      <w:marTop w:val="0"/>
      <w:marBottom w:val="0"/>
      <w:divBdr>
        <w:top w:val="none" w:sz="0" w:space="0" w:color="auto"/>
        <w:left w:val="none" w:sz="0" w:space="0" w:color="auto"/>
        <w:bottom w:val="none" w:sz="0" w:space="0" w:color="auto"/>
        <w:right w:val="none" w:sz="0" w:space="0" w:color="auto"/>
      </w:divBdr>
    </w:div>
    <w:div w:id="1097482148">
      <w:bodyDiv w:val="1"/>
      <w:marLeft w:val="0"/>
      <w:marRight w:val="0"/>
      <w:marTop w:val="0"/>
      <w:marBottom w:val="0"/>
      <w:divBdr>
        <w:top w:val="none" w:sz="0" w:space="0" w:color="auto"/>
        <w:left w:val="none" w:sz="0" w:space="0" w:color="auto"/>
        <w:bottom w:val="none" w:sz="0" w:space="0" w:color="auto"/>
        <w:right w:val="none" w:sz="0" w:space="0" w:color="auto"/>
      </w:divBdr>
    </w:div>
    <w:div w:id="1326324902">
      <w:bodyDiv w:val="1"/>
      <w:marLeft w:val="0"/>
      <w:marRight w:val="0"/>
      <w:marTop w:val="0"/>
      <w:marBottom w:val="0"/>
      <w:divBdr>
        <w:top w:val="none" w:sz="0" w:space="0" w:color="auto"/>
        <w:left w:val="none" w:sz="0" w:space="0" w:color="auto"/>
        <w:bottom w:val="none" w:sz="0" w:space="0" w:color="auto"/>
        <w:right w:val="none" w:sz="0" w:space="0" w:color="auto"/>
      </w:divBdr>
    </w:div>
    <w:div w:id="1637294258">
      <w:bodyDiv w:val="1"/>
      <w:marLeft w:val="0"/>
      <w:marRight w:val="0"/>
      <w:marTop w:val="0"/>
      <w:marBottom w:val="0"/>
      <w:divBdr>
        <w:top w:val="none" w:sz="0" w:space="0" w:color="auto"/>
        <w:left w:val="none" w:sz="0" w:space="0" w:color="auto"/>
        <w:bottom w:val="none" w:sz="0" w:space="0" w:color="auto"/>
        <w:right w:val="none" w:sz="0" w:space="0" w:color="auto"/>
      </w:divBdr>
    </w:div>
    <w:div w:id="1708874893">
      <w:bodyDiv w:val="1"/>
      <w:marLeft w:val="0"/>
      <w:marRight w:val="0"/>
      <w:marTop w:val="0"/>
      <w:marBottom w:val="0"/>
      <w:divBdr>
        <w:top w:val="none" w:sz="0" w:space="0" w:color="auto"/>
        <w:left w:val="none" w:sz="0" w:space="0" w:color="auto"/>
        <w:bottom w:val="none" w:sz="0" w:space="0" w:color="auto"/>
        <w:right w:val="none" w:sz="0" w:space="0" w:color="auto"/>
      </w:divBdr>
      <w:divsChild>
        <w:div w:id="1292056459">
          <w:marLeft w:val="0"/>
          <w:marRight w:val="0"/>
          <w:marTop w:val="0"/>
          <w:marBottom w:val="0"/>
          <w:divBdr>
            <w:top w:val="none" w:sz="0" w:space="0" w:color="auto"/>
            <w:left w:val="none" w:sz="0" w:space="0" w:color="auto"/>
            <w:bottom w:val="none" w:sz="0" w:space="0" w:color="auto"/>
            <w:right w:val="none" w:sz="0" w:space="0" w:color="auto"/>
          </w:divBdr>
          <w:divsChild>
            <w:div w:id="2048410194">
              <w:marLeft w:val="0"/>
              <w:marRight w:val="0"/>
              <w:marTop w:val="0"/>
              <w:marBottom w:val="0"/>
              <w:divBdr>
                <w:top w:val="none" w:sz="0" w:space="0" w:color="auto"/>
                <w:left w:val="none" w:sz="0" w:space="0" w:color="auto"/>
                <w:bottom w:val="none" w:sz="0" w:space="0" w:color="auto"/>
                <w:right w:val="none" w:sz="0" w:space="0" w:color="auto"/>
              </w:divBdr>
              <w:divsChild>
                <w:div w:id="1522359262">
                  <w:marLeft w:val="0"/>
                  <w:marRight w:val="0"/>
                  <w:marTop w:val="0"/>
                  <w:marBottom w:val="0"/>
                  <w:divBdr>
                    <w:top w:val="none" w:sz="0" w:space="0" w:color="auto"/>
                    <w:left w:val="none" w:sz="0" w:space="0" w:color="auto"/>
                    <w:bottom w:val="none" w:sz="0" w:space="0" w:color="auto"/>
                    <w:right w:val="none" w:sz="0" w:space="0" w:color="auto"/>
                  </w:divBdr>
                  <w:divsChild>
                    <w:div w:id="1473445984">
                      <w:marLeft w:val="0"/>
                      <w:marRight w:val="0"/>
                      <w:marTop w:val="0"/>
                      <w:marBottom w:val="0"/>
                      <w:divBdr>
                        <w:top w:val="none" w:sz="0" w:space="0" w:color="auto"/>
                        <w:left w:val="none" w:sz="0" w:space="0" w:color="auto"/>
                        <w:bottom w:val="none" w:sz="0" w:space="0" w:color="auto"/>
                        <w:right w:val="none" w:sz="0" w:space="0" w:color="auto"/>
                      </w:divBdr>
                      <w:divsChild>
                        <w:div w:id="1014070149">
                          <w:marLeft w:val="0"/>
                          <w:marRight w:val="0"/>
                          <w:marTop w:val="0"/>
                          <w:marBottom w:val="0"/>
                          <w:divBdr>
                            <w:top w:val="none" w:sz="0" w:space="0" w:color="auto"/>
                            <w:left w:val="none" w:sz="0" w:space="0" w:color="auto"/>
                            <w:bottom w:val="none" w:sz="0" w:space="0" w:color="auto"/>
                            <w:right w:val="none" w:sz="0" w:space="0" w:color="auto"/>
                          </w:divBdr>
                          <w:divsChild>
                            <w:div w:id="1498110593">
                              <w:marLeft w:val="0"/>
                              <w:marRight w:val="0"/>
                              <w:marTop w:val="0"/>
                              <w:marBottom w:val="0"/>
                              <w:divBdr>
                                <w:top w:val="none" w:sz="0" w:space="0" w:color="auto"/>
                                <w:left w:val="none" w:sz="0" w:space="0" w:color="auto"/>
                                <w:bottom w:val="none" w:sz="0" w:space="0" w:color="auto"/>
                                <w:right w:val="none" w:sz="0" w:space="0" w:color="auto"/>
                              </w:divBdr>
                              <w:divsChild>
                                <w:div w:id="843858370">
                                  <w:marLeft w:val="0"/>
                                  <w:marRight w:val="0"/>
                                  <w:marTop w:val="0"/>
                                  <w:marBottom w:val="0"/>
                                  <w:divBdr>
                                    <w:top w:val="none" w:sz="0" w:space="0" w:color="auto"/>
                                    <w:left w:val="none" w:sz="0" w:space="0" w:color="auto"/>
                                    <w:bottom w:val="none" w:sz="0" w:space="0" w:color="auto"/>
                                    <w:right w:val="none" w:sz="0" w:space="0" w:color="auto"/>
                                  </w:divBdr>
                                  <w:divsChild>
                                    <w:div w:id="312493923">
                                      <w:marLeft w:val="0"/>
                                      <w:marRight w:val="0"/>
                                      <w:marTop w:val="0"/>
                                      <w:marBottom w:val="0"/>
                                      <w:divBdr>
                                        <w:top w:val="none" w:sz="0" w:space="0" w:color="auto"/>
                                        <w:left w:val="none" w:sz="0" w:space="0" w:color="auto"/>
                                        <w:bottom w:val="none" w:sz="0" w:space="0" w:color="auto"/>
                                        <w:right w:val="none" w:sz="0" w:space="0" w:color="auto"/>
                                      </w:divBdr>
                                      <w:divsChild>
                                        <w:div w:id="1197502499">
                                          <w:marLeft w:val="0"/>
                                          <w:marRight w:val="0"/>
                                          <w:marTop w:val="0"/>
                                          <w:marBottom w:val="0"/>
                                          <w:divBdr>
                                            <w:top w:val="none" w:sz="0" w:space="0" w:color="auto"/>
                                            <w:left w:val="single" w:sz="6" w:space="0" w:color="999999"/>
                                            <w:bottom w:val="none" w:sz="0" w:space="0" w:color="auto"/>
                                            <w:right w:val="none" w:sz="0" w:space="0" w:color="auto"/>
                                          </w:divBdr>
                                          <w:divsChild>
                                            <w:div w:id="1721128194">
                                              <w:marLeft w:val="0"/>
                                              <w:marRight w:val="0"/>
                                              <w:marTop w:val="150"/>
                                              <w:marBottom w:val="150"/>
                                              <w:divBdr>
                                                <w:top w:val="none" w:sz="0" w:space="0" w:color="auto"/>
                                                <w:left w:val="none" w:sz="0" w:space="0" w:color="auto"/>
                                                <w:bottom w:val="none" w:sz="0" w:space="0" w:color="auto"/>
                                                <w:right w:val="none" w:sz="0" w:space="0" w:color="auto"/>
                                              </w:divBdr>
                                              <w:divsChild>
                                                <w:div w:id="1946380058">
                                                  <w:marLeft w:val="0"/>
                                                  <w:marRight w:val="0"/>
                                                  <w:marTop w:val="0"/>
                                                  <w:marBottom w:val="0"/>
                                                  <w:divBdr>
                                                    <w:top w:val="none" w:sz="0" w:space="0" w:color="auto"/>
                                                    <w:left w:val="none" w:sz="0" w:space="0" w:color="auto"/>
                                                    <w:bottom w:val="none" w:sz="0" w:space="0" w:color="auto"/>
                                                    <w:right w:val="none" w:sz="0" w:space="0" w:color="auto"/>
                                                  </w:divBdr>
                                                  <w:divsChild>
                                                    <w:div w:id="143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068319">
      <w:bodyDiv w:val="1"/>
      <w:marLeft w:val="0"/>
      <w:marRight w:val="0"/>
      <w:marTop w:val="0"/>
      <w:marBottom w:val="0"/>
      <w:divBdr>
        <w:top w:val="none" w:sz="0" w:space="0" w:color="auto"/>
        <w:left w:val="none" w:sz="0" w:space="0" w:color="auto"/>
        <w:bottom w:val="none" w:sz="0" w:space="0" w:color="auto"/>
        <w:right w:val="none" w:sz="0" w:space="0" w:color="auto"/>
      </w:divBdr>
    </w:div>
    <w:div w:id="19351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3" ma:contentTypeDescription="Create a new document." ma:contentTypeScope="" ma:versionID="d623eada1d0e59484ecff82c0dff6aba">
  <xsd:schema xmlns:xsd="http://www.w3.org/2001/XMLSchema" xmlns:xs="http://www.w3.org/2001/XMLSchema" xmlns:p="http://schemas.microsoft.com/office/2006/metadata/properties" xmlns:ns2="fd32a7e3-9c87-4a28-aa67-3f2878b39fa5" targetNamespace="http://schemas.microsoft.com/office/2006/metadata/properties" ma:root="true" ma:fieldsID="8101d88cb9522ece2828c82ed4f37509" ns2:_="">
    <xsd:import namespace="fd32a7e3-9c87-4a28-aa67-3f2878b39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2DFC-C508-4FC7-BCE8-47F4B571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13203-8C26-4710-98A7-6151C59B41CC}">
  <ds:schemaRefs>
    <ds:schemaRef ds:uri="http://schemas.microsoft.com/sharepoint/v3/contenttype/forms"/>
  </ds:schemaRefs>
</ds:datastoreItem>
</file>

<file path=customXml/itemProps3.xml><?xml version="1.0" encoding="utf-8"?>
<ds:datastoreItem xmlns:ds="http://schemas.openxmlformats.org/officeDocument/2006/customXml" ds:itemID="{E05D50B7-D096-4631-AEBB-88020C4559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331D0-F757-4AB3-A4CC-B1127408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3</cp:revision>
  <cp:lastPrinted>2024-10-17T12:08:00Z</cp:lastPrinted>
  <dcterms:created xsi:type="dcterms:W3CDTF">2025-06-24T10:52:00Z</dcterms:created>
  <dcterms:modified xsi:type="dcterms:W3CDTF">2025-06-24T11:04:00Z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ies>
</file>