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36368" w14:textId="0590C108" w:rsidR="002510A5" w:rsidRPr="00B35A22" w:rsidRDefault="002510A5" w:rsidP="00B35A22">
      <w:pPr>
        <w:widowControl w:val="0"/>
        <w:jc w:val="center"/>
        <w:rPr>
          <w:b/>
          <w:bCs/>
          <w:iCs/>
          <w:sz w:val="22"/>
          <w:szCs w:val="22"/>
          <w:u w:val="single"/>
          <w:lang w:val="sr-Latn-ME"/>
        </w:rPr>
      </w:pPr>
      <w:r w:rsidRPr="00B35A22">
        <w:rPr>
          <w:b/>
          <w:sz w:val="22"/>
          <w:u w:val="single"/>
          <w:lang w:val="sr-Latn-ME"/>
        </w:rPr>
        <w:t>SAŽETAK KARAKTERISTIKA LIJEKA</w:t>
      </w:r>
    </w:p>
    <w:p w14:paraId="5FC94FB1" w14:textId="77777777" w:rsidR="002510A5" w:rsidRPr="00B35A22" w:rsidRDefault="002510A5" w:rsidP="00B35A22">
      <w:pPr>
        <w:widowControl w:val="0"/>
        <w:rPr>
          <w:b/>
          <w:i/>
          <w:sz w:val="22"/>
          <w:u w:val="single"/>
          <w:lang w:val="sr-Latn-ME"/>
        </w:rPr>
      </w:pPr>
    </w:p>
    <w:p w14:paraId="49031B02" w14:textId="77777777" w:rsidR="003C17AB" w:rsidRPr="00B35A22" w:rsidRDefault="003C17AB" w:rsidP="00B35A22">
      <w:pPr>
        <w:widowControl w:val="0"/>
        <w:rPr>
          <w:sz w:val="22"/>
          <w:lang w:val="sr-Latn-ME"/>
        </w:rPr>
      </w:pPr>
    </w:p>
    <w:p w14:paraId="0702C0D6" w14:textId="77777777" w:rsidR="00411B4B" w:rsidRPr="00B35A22" w:rsidRDefault="00411B4B" w:rsidP="00B35A22">
      <w:pPr>
        <w:widowControl w:val="0"/>
        <w:tabs>
          <w:tab w:val="left" w:pos="540"/>
          <w:tab w:val="left" w:pos="569"/>
        </w:tabs>
        <w:jc w:val="both"/>
        <w:rPr>
          <w:b/>
          <w:sz w:val="22"/>
          <w:lang w:val="sr-Latn-ME"/>
        </w:rPr>
      </w:pPr>
      <w:r w:rsidRPr="00B35A22">
        <w:rPr>
          <w:b/>
          <w:sz w:val="22"/>
          <w:lang w:val="sr-Latn-ME"/>
        </w:rPr>
        <w:t>1.</w:t>
      </w:r>
      <w:r w:rsidR="00F5167F" w:rsidRPr="00B35A22">
        <w:rPr>
          <w:b/>
          <w:sz w:val="22"/>
          <w:lang w:val="sr-Latn-ME"/>
        </w:rPr>
        <w:tab/>
      </w:r>
      <w:r w:rsidR="002846DB" w:rsidRPr="00B35A22">
        <w:rPr>
          <w:b/>
          <w:sz w:val="22"/>
          <w:lang w:val="sr-Latn-ME"/>
        </w:rPr>
        <w:t xml:space="preserve">NAZIV </w:t>
      </w:r>
      <w:r w:rsidRPr="00B35A22">
        <w:rPr>
          <w:b/>
          <w:sz w:val="22"/>
          <w:lang w:val="sr-Latn-ME"/>
        </w:rPr>
        <w:t>LIJEKA</w:t>
      </w:r>
    </w:p>
    <w:p w14:paraId="0FAC8E83" w14:textId="77777777" w:rsidR="00EC2532" w:rsidRPr="00B35A22" w:rsidRDefault="00EC2532" w:rsidP="00B35A22">
      <w:pPr>
        <w:widowControl w:val="0"/>
        <w:jc w:val="both"/>
        <w:rPr>
          <w:sz w:val="22"/>
          <w:lang w:val="sr-Latn-ME"/>
        </w:rPr>
      </w:pPr>
    </w:p>
    <w:p w14:paraId="41B468EA" w14:textId="0AE106EF" w:rsidR="00E14959" w:rsidRPr="00B35A22" w:rsidRDefault="00E14959" w:rsidP="00B35A22">
      <w:pPr>
        <w:widowControl w:val="0"/>
        <w:jc w:val="both"/>
        <w:rPr>
          <w:sz w:val="22"/>
          <w:lang w:val="sr-Latn-ME"/>
        </w:rPr>
      </w:pPr>
      <w:r w:rsidRPr="00B35A22">
        <w:rPr>
          <w:sz w:val="22"/>
          <w:lang w:val="sr-Latn-ME"/>
        </w:rPr>
        <w:t>Tecentriq</w:t>
      </w:r>
      <w:r w:rsidR="0068224B" w:rsidRPr="00B35A22">
        <w:rPr>
          <w:sz w:val="22"/>
          <w:lang w:val="sr-Latn-ME"/>
        </w:rPr>
        <w:t>,</w:t>
      </w:r>
      <w:r w:rsidRPr="00B35A22">
        <w:rPr>
          <w:sz w:val="22"/>
          <w:lang w:val="sr-Latn-ME"/>
        </w:rPr>
        <w:t xml:space="preserve"> 840 mg/14 ml, koncentrat za rastvor za infuziju</w:t>
      </w:r>
    </w:p>
    <w:p w14:paraId="69E3F6FA" w14:textId="75D3A316" w:rsidR="00107BF7" w:rsidRPr="00B35A22" w:rsidRDefault="000A26D9" w:rsidP="00B35A22">
      <w:pPr>
        <w:widowControl w:val="0"/>
        <w:jc w:val="both"/>
        <w:rPr>
          <w:i/>
          <w:iCs/>
          <w:color w:val="808080"/>
          <w:sz w:val="22"/>
          <w:szCs w:val="22"/>
          <w:lang w:val="sr-Latn-ME"/>
        </w:rPr>
      </w:pPr>
      <w:r w:rsidRPr="00B35A22">
        <w:rPr>
          <w:sz w:val="22"/>
          <w:lang w:val="sr-Latn-ME"/>
        </w:rPr>
        <w:t>Tecentriq, 1200 mg/20 ml, koncentrat za rastvor za infuziju</w:t>
      </w:r>
    </w:p>
    <w:p w14:paraId="6986C848" w14:textId="77777777" w:rsidR="000D425A" w:rsidRPr="00B35A22" w:rsidRDefault="000D425A" w:rsidP="00B35A22">
      <w:pPr>
        <w:widowControl w:val="0"/>
        <w:jc w:val="both"/>
        <w:rPr>
          <w:sz w:val="22"/>
          <w:lang w:val="sr-Latn-ME"/>
        </w:rPr>
      </w:pPr>
    </w:p>
    <w:p w14:paraId="72BE6ED6" w14:textId="77777777" w:rsidR="006D20A5" w:rsidRPr="00B35A22" w:rsidRDefault="006D20A5" w:rsidP="00B35A22">
      <w:pPr>
        <w:widowControl w:val="0"/>
        <w:jc w:val="both"/>
        <w:rPr>
          <w:sz w:val="22"/>
          <w:lang w:val="sr-Latn-ME"/>
        </w:rPr>
      </w:pPr>
      <w:r w:rsidRPr="00B35A22">
        <w:rPr>
          <w:sz w:val="22"/>
          <w:lang w:val="sr-Latn-ME"/>
        </w:rPr>
        <w:t>INN:</w:t>
      </w:r>
      <w:r w:rsidR="000A26D9" w:rsidRPr="00B35A22">
        <w:rPr>
          <w:sz w:val="22"/>
          <w:lang w:val="sr-Latn-ME"/>
        </w:rPr>
        <w:t xml:space="preserve"> atezolizumab</w:t>
      </w:r>
    </w:p>
    <w:p w14:paraId="0EAEEB2D" w14:textId="24C2DF93" w:rsidR="00530BD7" w:rsidRPr="00B35A22" w:rsidRDefault="00530BD7" w:rsidP="00B35A22">
      <w:pPr>
        <w:widowControl w:val="0"/>
        <w:jc w:val="both"/>
        <w:rPr>
          <w:sz w:val="22"/>
          <w:lang w:val="sr-Latn-ME"/>
        </w:rPr>
      </w:pPr>
    </w:p>
    <w:p w14:paraId="6307CC7D" w14:textId="77777777" w:rsidR="004F7F07" w:rsidRPr="00B35A22" w:rsidRDefault="004F7F07" w:rsidP="00B35A22">
      <w:pPr>
        <w:widowControl w:val="0"/>
        <w:jc w:val="both"/>
        <w:rPr>
          <w:sz w:val="22"/>
          <w:lang w:val="sr-Latn-ME"/>
        </w:rPr>
      </w:pPr>
    </w:p>
    <w:p w14:paraId="6780D252" w14:textId="77777777"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2. </w:t>
      </w:r>
      <w:r w:rsidR="00F5167F" w:rsidRPr="00B35A22">
        <w:rPr>
          <w:b/>
          <w:sz w:val="22"/>
          <w:lang w:val="sr-Latn-ME"/>
        </w:rPr>
        <w:tab/>
      </w:r>
      <w:r w:rsidRPr="00B35A22">
        <w:rPr>
          <w:b/>
          <w:sz w:val="22"/>
          <w:lang w:val="sr-Latn-ME"/>
        </w:rPr>
        <w:t>KVALITATIVNI I KVANTITATIVNI SASTAV</w:t>
      </w:r>
    </w:p>
    <w:p w14:paraId="54117DBD" w14:textId="77777777" w:rsidR="000A26D9" w:rsidRPr="00B35A22" w:rsidRDefault="000A26D9" w:rsidP="00B35A22">
      <w:pPr>
        <w:widowControl w:val="0"/>
        <w:jc w:val="both"/>
        <w:rPr>
          <w:sz w:val="22"/>
          <w:lang w:val="sr-Latn-ME"/>
        </w:rPr>
      </w:pPr>
    </w:p>
    <w:p w14:paraId="0C831282" w14:textId="77777777" w:rsidR="009F3636" w:rsidRPr="00B35A22" w:rsidRDefault="009F3636" w:rsidP="00B35A22">
      <w:pPr>
        <w:widowControl w:val="0"/>
        <w:jc w:val="both"/>
        <w:rPr>
          <w:sz w:val="22"/>
          <w:lang w:val="sr-Latn-ME"/>
        </w:rPr>
      </w:pPr>
      <w:r w:rsidRPr="00B35A22">
        <w:rPr>
          <w:sz w:val="22"/>
          <w:lang w:val="sr-Latn-ME"/>
        </w:rPr>
        <w:t>Tecentriq 840 mg koncentrat za rastvor za infuziju</w:t>
      </w:r>
    </w:p>
    <w:p w14:paraId="783F4A08" w14:textId="77777777" w:rsidR="009F3636" w:rsidRPr="00B35A22" w:rsidRDefault="009F3636" w:rsidP="00B35A22">
      <w:pPr>
        <w:widowControl w:val="0"/>
        <w:jc w:val="both"/>
        <w:rPr>
          <w:sz w:val="22"/>
          <w:lang w:val="sr-Latn-ME"/>
        </w:rPr>
      </w:pPr>
    </w:p>
    <w:p w14:paraId="6B1652E6" w14:textId="3E7FF93C" w:rsidR="00E14959" w:rsidRPr="00B35A22" w:rsidRDefault="00E14959" w:rsidP="00B35A22">
      <w:pPr>
        <w:widowControl w:val="0"/>
        <w:jc w:val="both"/>
        <w:rPr>
          <w:sz w:val="22"/>
          <w:lang w:val="sr-Latn-ME"/>
        </w:rPr>
      </w:pPr>
      <w:r w:rsidRPr="00B35A22">
        <w:rPr>
          <w:sz w:val="22"/>
          <w:lang w:val="sr-Latn-ME"/>
        </w:rPr>
        <w:t xml:space="preserve">Jedna bočica sa 14 ml koncentrata sadrži 840 mg atezolizumaba*. </w:t>
      </w:r>
    </w:p>
    <w:p w14:paraId="4E895926" w14:textId="22A5AF15" w:rsidR="009F3636" w:rsidRPr="00B35A22" w:rsidRDefault="009F3636" w:rsidP="00B35A22">
      <w:pPr>
        <w:widowControl w:val="0"/>
        <w:jc w:val="both"/>
        <w:rPr>
          <w:sz w:val="22"/>
          <w:lang w:val="sr-Latn-ME"/>
        </w:rPr>
      </w:pPr>
    </w:p>
    <w:p w14:paraId="21BA4C2B" w14:textId="77777777" w:rsidR="009F3636" w:rsidRPr="00B35A22" w:rsidRDefault="009F3636" w:rsidP="00B35A22">
      <w:pPr>
        <w:widowControl w:val="0"/>
        <w:jc w:val="both"/>
        <w:rPr>
          <w:sz w:val="22"/>
          <w:lang w:val="sr-Latn-ME"/>
        </w:rPr>
      </w:pPr>
      <w:r w:rsidRPr="00B35A22">
        <w:rPr>
          <w:sz w:val="22"/>
          <w:lang w:val="sr-Latn-ME"/>
        </w:rPr>
        <w:t>Tecentriq 1200 mg koncentrat za rastvor za infuziju</w:t>
      </w:r>
    </w:p>
    <w:p w14:paraId="493A6BA8" w14:textId="77777777" w:rsidR="009F3636" w:rsidRPr="00B35A22" w:rsidRDefault="009F3636" w:rsidP="00B35A22">
      <w:pPr>
        <w:widowControl w:val="0"/>
        <w:jc w:val="both"/>
        <w:rPr>
          <w:sz w:val="22"/>
          <w:lang w:val="sr-Latn-ME"/>
        </w:rPr>
      </w:pPr>
    </w:p>
    <w:p w14:paraId="3E118F5B" w14:textId="77777777" w:rsidR="000A26D9" w:rsidRPr="00B35A22" w:rsidRDefault="000A26D9" w:rsidP="00B35A22">
      <w:pPr>
        <w:widowControl w:val="0"/>
        <w:jc w:val="both"/>
        <w:rPr>
          <w:sz w:val="22"/>
          <w:lang w:val="sr-Latn-ME"/>
        </w:rPr>
      </w:pPr>
      <w:r w:rsidRPr="00B35A22">
        <w:rPr>
          <w:sz w:val="22"/>
          <w:lang w:val="sr-Latn-ME"/>
        </w:rPr>
        <w:t xml:space="preserve">Jedna bočica sa 20 ml koncentrata sadrži 1200 mg atezolizumaba*. </w:t>
      </w:r>
    </w:p>
    <w:p w14:paraId="44F48357" w14:textId="0A2067E0" w:rsidR="00BB1B2E" w:rsidRPr="00B35A22" w:rsidRDefault="00BB1B2E" w:rsidP="00B35A22">
      <w:pPr>
        <w:widowControl w:val="0"/>
        <w:jc w:val="both"/>
        <w:rPr>
          <w:sz w:val="22"/>
          <w:lang w:val="sr-Latn-ME"/>
        </w:rPr>
      </w:pPr>
    </w:p>
    <w:p w14:paraId="735F7678" w14:textId="76CB02CC" w:rsidR="000A26D9" w:rsidRPr="00B35A22" w:rsidRDefault="000A26D9" w:rsidP="00B35A22">
      <w:pPr>
        <w:widowControl w:val="0"/>
        <w:jc w:val="both"/>
        <w:rPr>
          <w:sz w:val="22"/>
          <w:lang w:val="sr-Latn-ME"/>
        </w:rPr>
      </w:pPr>
      <w:r w:rsidRPr="00B35A22">
        <w:rPr>
          <w:sz w:val="22"/>
          <w:lang w:val="sr-Latn-ME"/>
        </w:rPr>
        <w:t>Nakon razblaživanja (vidjeti dio 6.6)</w:t>
      </w:r>
      <w:r w:rsidR="00BB1B2E" w:rsidRPr="00B35A22">
        <w:rPr>
          <w:sz w:val="22"/>
          <w:lang w:val="sr-Latn-ME"/>
        </w:rPr>
        <w:t>,</w:t>
      </w:r>
      <w:r w:rsidRPr="00B35A22">
        <w:rPr>
          <w:sz w:val="22"/>
          <w:lang w:val="sr-Latn-ME"/>
        </w:rPr>
        <w:t xml:space="preserve"> </w:t>
      </w:r>
      <w:r w:rsidR="006729D2" w:rsidRPr="00B35A22">
        <w:rPr>
          <w:sz w:val="22"/>
          <w:lang w:val="sr-Latn-ME"/>
        </w:rPr>
        <w:t>konačna koncentracija razblaženog rastvora treba da bude između 3,2</w:t>
      </w:r>
      <w:r w:rsidR="00D332BF" w:rsidRPr="00B35A22">
        <w:rPr>
          <w:sz w:val="22"/>
          <w:lang w:val="sr-Latn-ME"/>
        </w:rPr>
        <w:t xml:space="preserve"> mg/ml</w:t>
      </w:r>
      <w:r w:rsidR="006729D2" w:rsidRPr="00B35A22">
        <w:rPr>
          <w:sz w:val="22"/>
          <w:lang w:val="sr-Latn-ME"/>
        </w:rPr>
        <w:t xml:space="preserve"> i 16,8 mg/ml.</w:t>
      </w:r>
    </w:p>
    <w:p w14:paraId="3050DFF1" w14:textId="77777777" w:rsidR="000A26D9" w:rsidRPr="00B35A22" w:rsidRDefault="000A26D9" w:rsidP="00B35A22">
      <w:pPr>
        <w:widowControl w:val="0"/>
        <w:jc w:val="both"/>
        <w:rPr>
          <w:sz w:val="22"/>
          <w:lang w:val="sr-Latn-ME"/>
        </w:rPr>
      </w:pPr>
    </w:p>
    <w:p w14:paraId="29ABEE41" w14:textId="77777777" w:rsidR="000A26D9" w:rsidRPr="00B35A22" w:rsidRDefault="000A26D9" w:rsidP="00B35A22">
      <w:pPr>
        <w:widowControl w:val="0"/>
        <w:jc w:val="both"/>
        <w:rPr>
          <w:sz w:val="22"/>
          <w:lang w:val="sr-Latn-ME"/>
        </w:rPr>
      </w:pPr>
      <w:r w:rsidRPr="00B35A22">
        <w:rPr>
          <w:sz w:val="22"/>
          <w:lang w:val="sr-Latn-ME"/>
        </w:rPr>
        <w:t xml:space="preserve">*Atezolizumab je humanizovano IgG1 monoklonsko antitijelo usmjereno protiv liganda programirane ćelijske smrti 1 (engl. </w:t>
      </w:r>
      <w:r w:rsidRPr="00B35A22">
        <w:rPr>
          <w:i/>
          <w:sz w:val="22"/>
          <w:lang w:val="sr-Latn-ME"/>
        </w:rPr>
        <w:t>programmed death-ligand 1</w:t>
      </w:r>
      <w:r w:rsidRPr="00B35A22">
        <w:rPr>
          <w:sz w:val="22"/>
          <w:lang w:val="sr-Latn-ME"/>
        </w:rPr>
        <w:t xml:space="preserve">, PD-L1) proizvedeno Fc inženjeringom u ćelijama jajnika kineskog hrčka tehnologijom rekombinantne DNK. </w:t>
      </w:r>
    </w:p>
    <w:p w14:paraId="43DFF4F3" w14:textId="77777777" w:rsidR="000A26D9" w:rsidRPr="00B35A22" w:rsidRDefault="000A26D9" w:rsidP="00B35A22">
      <w:pPr>
        <w:widowControl w:val="0"/>
        <w:jc w:val="both"/>
        <w:rPr>
          <w:sz w:val="22"/>
          <w:lang w:val="sr-Latn-ME"/>
        </w:rPr>
      </w:pPr>
    </w:p>
    <w:p w14:paraId="7C487EB4" w14:textId="7E2362AE" w:rsidR="0003793F" w:rsidRPr="00B35A22" w:rsidRDefault="0003793F" w:rsidP="00B35A22">
      <w:pPr>
        <w:widowControl w:val="0"/>
        <w:jc w:val="both"/>
        <w:rPr>
          <w:sz w:val="22"/>
          <w:lang w:val="sr-Latn-ME"/>
        </w:rPr>
      </w:pPr>
      <w:r w:rsidRPr="00B35A22">
        <w:rPr>
          <w:sz w:val="22"/>
          <w:lang w:val="sr-Latn-ME"/>
        </w:rPr>
        <w:t>Za spisak svih ekscipijenasa, pogledati dio 6.1.</w:t>
      </w:r>
    </w:p>
    <w:p w14:paraId="0431AC91" w14:textId="77BD5D82" w:rsidR="00C37FD7" w:rsidRPr="00B35A22" w:rsidRDefault="00C37FD7" w:rsidP="00B35A22">
      <w:pPr>
        <w:widowControl w:val="0"/>
        <w:jc w:val="both"/>
        <w:rPr>
          <w:sz w:val="22"/>
          <w:lang w:val="sr-Latn-ME"/>
        </w:rPr>
      </w:pPr>
    </w:p>
    <w:p w14:paraId="36B946FA" w14:textId="77777777" w:rsidR="004535FD" w:rsidRPr="00B35A22" w:rsidRDefault="004535FD" w:rsidP="00B35A22">
      <w:pPr>
        <w:widowControl w:val="0"/>
        <w:jc w:val="both"/>
        <w:rPr>
          <w:sz w:val="22"/>
          <w:lang w:val="sr-Latn-ME"/>
        </w:rPr>
      </w:pPr>
    </w:p>
    <w:p w14:paraId="00B5F3BF" w14:textId="77777777"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3. </w:t>
      </w:r>
      <w:r w:rsidR="00F5167F" w:rsidRPr="00B35A22">
        <w:rPr>
          <w:b/>
          <w:sz w:val="22"/>
          <w:lang w:val="sr-Latn-ME"/>
        </w:rPr>
        <w:tab/>
      </w:r>
      <w:r w:rsidRPr="00B35A22">
        <w:rPr>
          <w:b/>
          <w:sz w:val="22"/>
          <w:lang w:val="sr-Latn-ME"/>
        </w:rPr>
        <w:t>FARMACEUTSKI OBLIK</w:t>
      </w:r>
      <w:r w:rsidR="009F2D23" w:rsidRPr="00B35A22">
        <w:rPr>
          <w:b/>
          <w:sz w:val="22"/>
          <w:lang w:val="sr-Latn-ME"/>
        </w:rPr>
        <w:t xml:space="preserve"> </w:t>
      </w:r>
    </w:p>
    <w:p w14:paraId="5F549B49" w14:textId="77777777" w:rsidR="00411B4B" w:rsidRPr="00B35A22" w:rsidRDefault="00411B4B" w:rsidP="00B35A22">
      <w:pPr>
        <w:widowControl w:val="0"/>
        <w:jc w:val="both"/>
        <w:rPr>
          <w:sz w:val="22"/>
          <w:lang w:val="sr-Latn-ME"/>
        </w:rPr>
      </w:pPr>
    </w:p>
    <w:p w14:paraId="4BD62280" w14:textId="77777777" w:rsidR="000A26D9" w:rsidRPr="00B35A22" w:rsidRDefault="000A26D9" w:rsidP="00B35A22">
      <w:pPr>
        <w:widowControl w:val="0"/>
        <w:jc w:val="both"/>
        <w:rPr>
          <w:sz w:val="22"/>
          <w:lang w:val="sr-Latn-ME"/>
        </w:rPr>
      </w:pPr>
      <w:r w:rsidRPr="00B35A22">
        <w:rPr>
          <w:sz w:val="22"/>
          <w:lang w:val="sr-Latn-ME"/>
        </w:rPr>
        <w:t>Koncentrat za rastvor za infuziju.</w:t>
      </w:r>
    </w:p>
    <w:p w14:paraId="70F66BC7" w14:textId="77777777" w:rsidR="000A26D9" w:rsidRPr="00B35A22" w:rsidRDefault="000A26D9" w:rsidP="00B35A22">
      <w:pPr>
        <w:widowControl w:val="0"/>
        <w:jc w:val="both"/>
        <w:rPr>
          <w:sz w:val="22"/>
          <w:lang w:val="sr-Latn-ME"/>
        </w:rPr>
      </w:pPr>
    </w:p>
    <w:p w14:paraId="3891A4FC" w14:textId="5318E1C5" w:rsidR="000A26D9" w:rsidRPr="00B35A22" w:rsidRDefault="000A26D9" w:rsidP="00B35A22">
      <w:pPr>
        <w:widowControl w:val="0"/>
        <w:jc w:val="both"/>
        <w:rPr>
          <w:sz w:val="22"/>
          <w:lang w:val="sr-Latn-ME"/>
        </w:rPr>
      </w:pPr>
      <w:r w:rsidRPr="00B35A22">
        <w:rPr>
          <w:sz w:val="22"/>
          <w:lang w:val="sr-Latn-ME"/>
        </w:rPr>
        <w:t>Bistra, bezbojna do blago žućkasta tečnost.</w:t>
      </w:r>
      <w:r w:rsidR="007F5599" w:rsidRPr="00B35A22">
        <w:rPr>
          <w:sz w:val="22"/>
          <w:lang w:val="sr-Latn-ME"/>
        </w:rPr>
        <w:t xml:space="preserve"> pH rastvora je od 5,5 </w:t>
      </w:r>
      <w:r w:rsidR="00D21572" w:rsidRPr="00B35A22">
        <w:rPr>
          <w:sz w:val="22"/>
          <w:lang w:val="sr-Latn-ME"/>
        </w:rPr>
        <w:t>–</w:t>
      </w:r>
      <w:r w:rsidR="007F5599" w:rsidRPr="00B35A22">
        <w:rPr>
          <w:sz w:val="22"/>
          <w:lang w:val="sr-Latn-ME"/>
        </w:rPr>
        <w:t xml:space="preserve"> 6,1, a osmolalnost od </w:t>
      </w:r>
      <w:r w:rsidR="002D1039" w:rsidRPr="00B35A22">
        <w:rPr>
          <w:sz w:val="22"/>
          <w:szCs w:val="22"/>
          <w:lang w:val="sr-Latn-ME"/>
        </w:rPr>
        <w:t>129</w:t>
      </w:r>
      <w:r w:rsidR="007F5599" w:rsidRPr="00B35A22">
        <w:rPr>
          <w:sz w:val="22"/>
          <w:szCs w:val="22"/>
          <w:lang w:val="sr-Latn-ME"/>
        </w:rPr>
        <w:t xml:space="preserve"> </w:t>
      </w:r>
      <w:r w:rsidR="00D21572" w:rsidRPr="00B35A22">
        <w:rPr>
          <w:sz w:val="22"/>
          <w:lang w:val="sr-Latn-ME"/>
        </w:rPr>
        <w:t>–</w:t>
      </w:r>
      <w:r w:rsidR="00990B6C" w:rsidRPr="00B35A22">
        <w:rPr>
          <w:sz w:val="22"/>
          <w:lang w:val="sr-Latn-ME"/>
        </w:rPr>
        <w:t xml:space="preserve"> </w:t>
      </w:r>
      <w:r w:rsidR="002D1039" w:rsidRPr="00B35A22">
        <w:rPr>
          <w:sz w:val="22"/>
          <w:szCs w:val="22"/>
          <w:lang w:val="sr-Latn-ME"/>
        </w:rPr>
        <w:t>22</w:t>
      </w:r>
      <w:r w:rsidR="007F5599" w:rsidRPr="00B35A22">
        <w:rPr>
          <w:sz w:val="22"/>
          <w:szCs w:val="22"/>
          <w:lang w:val="sr-Latn-ME"/>
        </w:rPr>
        <w:t>9</w:t>
      </w:r>
      <w:r w:rsidR="007F5599" w:rsidRPr="00B35A22">
        <w:rPr>
          <w:sz w:val="22"/>
          <w:lang w:val="sr-Latn-ME"/>
        </w:rPr>
        <w:t xml:space="preserve"> mOsm/kg.</w:t>
      </w:r>
    </w:p>
    <w:p w14:paraId="46731C68" w14:textId="0BB7076C" w:rsidR="00EC2532" w:rsidRPr="00B35A22" w:rsidRDefault="00EC2532" w:rsidP="00B35A22">
      <w:pPr>
        <w:widowControl w:val="0"/>
        <w:jc w:val="both"/>
        <w:rPr>
          <w:sz w:val="22"/>
          <w:lang w:val="sr-Latn-ME"/>
        </w:rPr>
      </w:pPr>
    </w:p>
    <w:p w14:paraId="07A46E03" w14:textId="77777777" w:rsidR="004535FD" w:rsidRPr="00B35A22" w:rsidRDefault="004535FD" w:rsidP="00B35A22">
      <w:pPr>
        <w:widowControl w:val="0"/>
        <w:jc w:val="both"/>
        <w:rPr>
          <w:sz w:val="22"/>
          <w:lang w:val="sr-Latn-ME"/>
        </w:rPr>
      </w:pPr>
    </w:p>
    <w:p w14:paraId="491598D9" w14:textId="77777777"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4. </w:t>
      </w:r>
      <w:r w:rsidR="00480FB1" w:rsidRPr="00B35A22">
        <w:rPr>
          <w:b/>
          <w:sz w:val="22"/>
          <w:lang w:val="sr-Latn-ME"/>
        </w:rPr>
        <w:tab/>
      </w:r>
      <w:r w:rsidRPr="00B35A22">
        <w:rPr>
          <w:b/>
          <w:sz w:val="22"/>
          <w:lang w:val="sr-Latn-ME"/>
        </w:rPr>
        <w:t>KLINIČKI PODACI</w:t>
      </w:r>
    </w:p>
    <w:p w14:paraId="5C959938" w14:textId="77777777" w:rsidR="00CD6F02" w:rsidRPr="00B35A22" w:rsidRDefault="00CD6F02" w:rsidP="00B35A22">
      <w:pPr>
        <w:widowControl w:val="0"/>
        <w:tabs>
          <w:tab w:val="left" w:pos="540"/>
          <w:tab w:val="left" w:pos="569"/>
        </w:tabs>
        <w:jc w:val="both"/>
        <w:rPr>
          <w:sz w:val="22"/>
          <w:lang w:val="sr-Latn-ME"/>
        </w:rPr>
      </w:pPr>
    </w:p>
    <w:p w14:paraId="7223D1C2" w14:textId="3B2634C2"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4.1. </w:t>
      </w:r>
      <w:r w:rsidR="00480FB1" w:rsidRPr="00B35A22">
        <w:rPr>
          <w:b/>
          <w:sz w:val="22"/>
          <w:lang w:val="sr-Latn-ME"/>
        </w:rPr>
        <w:tab/>
      </w:r>
      <w:r w:rsidRPr="00B35A22">
        <w:rPr>
          <w:b/>
          <w:sz w:val="22"/>
          <w:lang w:val="sr-Latn-ME"/>
        </w:rPr>
        <w:t>Terapijske indikacije</w:t>
      </w:r>
    </w:p>
    <w:p w14:paraId="43C2C1A1" w14:textId="205A831A" w:rsidR="00E35563" w:rsidRPr="00B35A22" w:rsidRDefault="00E35563" w:rsidP="00B35A22">
      <w:pPr>
        <w:widowControl w:val="0"/>
        <w:tabs>
          <w:tab w:val="left" w:pos="540"/>
          <w:tab w:val="left" w:pos="569"/>
        </w:tabs>
        <w:jc w:val="both"/>
        <w:rPr>
          <w:b/>
          <w:sz w:val="22"/>
          <w:lang w:val="sr-Latn-ME"/>
        </w:rPr>
      </w:pPr>
    </w:p>
    <w:p w14:paraId="2A05260E" w14:textId="24EEF7AC" w:rsidR="00E35563" w:rsidRPr="00B35A22" w:rsidRDefault="00E35563" w:rsidP="00B35A22">
      <w:pPr>
        <w:widowControl w:val="0"/>
        <w:jc w:val="both"/>
        <w:rPr>
          <w:sz w:val="22"/>
          <w:u w:val="single"/>
          <w:lang w:val="sr-Latn-ME"/>
        </w:rPr>
      </w:pPr>
      <w:r w:rsidRPr="00B35A22">
        <w:rPr>
          <w:sz w:val="22"/>
          <w:u w:val="single"/>
          <w:lang w:val="sr-Latn-ME"/>
        </w:rPr>
        <w:t>Urotelijalni karcinom</w:t>
      </w:r>
      <w:r w:rsidR="009F3636" w:rsidRPr="00B35A22">
        <w:rPr>
          <w:sz w:val="22"/>
          <w:u w:val="single"/>
          <w:lang w:val="sr-Latn-ME"/>
        </w:rPr>
        <w:t xml:space="preserve"> (UK)</w:t>
      </w:r>
    </w:p>
    <w:p w14:paraId="4B644E7E" w14:textId="77777777" w:rsidR="00E35563" w:rsidRPr="00B35A22" w:rsidRDefault="00E35563" w:rsidP="00B35A22">
      <w:pPr>
        <w:widowControl w:val="0"/>
        <w:tabs>
          <w:tab w:val="left" w:pos="540"/>
          <w:tab w:val="left" w:pos="569"/>
        </w:tabs>
        <w:jc w:val="both"/>
        <w:rPr>
          <w:b/>
          <w:sz w:val="22"/>
          <w:lang w:val="sr-Latn-ME"/>
        </w:rPr>
      </w:pPr>
    </w:p>
    <w:p w14:paraId="6332E634" w14:textId="6EAB8E27" w:rsidR="000A26D9" w:rsidRPr="00B35A22" w:rsidRDefault="000A26D9" w:rsidP="00B35A22">
      <w:pPr>
        <w:pStyle w:val="Header"/>
        <w:widowControl w:val="0"/>
        <w:tabs>
          <w:tab w:val="left" w:pos="284"/>
        </w:tabs>
        <w:jc w:val="both"/>
        <w:rPr>
          <w:sz w:val="22"/>
          <w:lang w:val="sr-Latn-ME"/>
        </w:rPr>
      </w:pPr>
      <w:r w:rsidRPr="00B35A22">
        <w:rPr>
          <w:sz w:val="22"/>
          <w:lang w:val="sr-Latn-ME"/>
        </w:rPr>
        <w:t>Lijek Tecentriq je u monoterapiji indikovan za liječenje lokalno uznapredovalog ili metastatskog UK kod odraslih pacijenata:</w:t>
      </w:r>
    </w:p>
    <w:p w14:paraId="32B633EE" w14:textId="77777777" w:rsidR="000A26D9" w:rsidRPr="00B35A22" w:rsidRDefault="000A26D9" w:rsidP="00B35A22">
      <w:pPr>
        <w:pStyle w:val="Header"/>
        <w:widowControl w:val="0"/>
        <w:numPr>
          <w:ilvl w:val="0"/>
          <w:numId w:val="12"/>
        </w:numPr>
        <w:tabs>
          <w:tab w:val="left" w:pos="284"/>
        </w:tabs>
        <w:jc w:val="both"/>
        <w:rPr>
          <w:sz w:val="22"/>
          <w:lang w:val="sr-Latn-ME"/>
        </w:rPr>
      </w:pPr>
      <w:r w:rsidRPr="00B35A22">
        <w:rPr>
          <w:sz w:val="22"/>
          <w:lang w:val="sr-Latn-ME"/>
        </w:rPr>
        <w:t xml:space="preserve">koji su prethodno primali hemoterapiju koja je sadržila platinu ili </w:t>
      </w:r>
    </w:p>
    <w:p w14:paraId="12F2FF8A" w14:textId="77777777" w:rsidR="000A26D9" w:rsidRPr="00B35A22" w:rsidRDefault="000A26D9" w:rsidP="00B35A22">
      <w:pPr>
        <w:pStyle w:val="Header"/>
        <w:widowControl w:val="0"/>
        <w:numPr>
          <w:ilvl w:val="0"/>
          <w:numId w:val="12"/>
        </w:numPr>
        <w:tabs>
          <w:tab w:val="left" w:pos="284"/>
        </w:tabs>
        <w:jc w:val="both"/>
        <w:rPr>
          <w:sz w:val="22"/>
          <w:lang w:val="sr-Latn-ME"/>
        </w:rPr>
      </w:pPr>
      <w:r w:rsidRPr="00B35A22">
        <w:rPr>
          <w:sz w:val="22"/>
          <w:lang w:val="sr-Latn-ME"/>
        </w:rPr>
        <w:t>koji se ne smatraju pogodnima za liječenje cisplatinom i čiji tumori pokazuju nivo ekspresije PD-L1 ≥ 5% (vidjeti dio 5.1).</w:t>
      </w:r>
    </w:p>
    <w:p w14:paraId="0F420EF4" w14:textId="02602688" w:rsidR="00BB1B2E" w:rsidRPr="00B35A22" w:rsidRDefault="00BB1B2E" w:rsidP="00B35A22">
      <w:pPr>
        <w:pStyle w:val="Header"/>
        <w:widowControl w:val="0"/>
        <w:tabs>
          <w:tab w:val="left" w:pos="284"/>
        </w:tabs>
        <w:jc w:val="both"/>
        <w:rPr>
          <w:sz w:val="22"/>
          <w:lang w:val="sr-Latn-ME"/>
        </w:rPr>
      </w:pPr>
    </w:p>
    <w:p w14:paraId="1FD174B4" w14:textId="753DC029" w:rsidR="009C637B" w:rsidRPr="00B35A22" w:rsidRDefault="009C637B" w:rsidP="00B35A22">
      <w:pPr>
        <w:widowControl w:val="0"/>
        <w:jc w:val="both"/>
        <w:rPr>
          <w:sz w:val="22"/>
          <w:u w:val="single"/>
          <w:lang w:val="sr-Latn-ME"/>
        </w:rPr>
      </w:pPr>
      <w:r w:rsidRPr="00B35A22">
        <w:rPr>
          <w:sz w:val="22"/>
          <w:u w:val="single"/>
          <w:lang w:val="sr-Latn-ME"/>
        </w:rPr>
        <w:t>Nesitnoćelijski karcinom pluća</w:t>
      </w:r>
      <w:r w:rsidR="009F3636" w:rsidRPr="00B35A22">
        <w:rPr>
          <w:sz w:val="22"/>
          <w:u w:val="single"/>
          <w:lang w:val="sr-Latn-ME"/>
        </w:rPr>
        <w:t xml:space="preserve"> (engl. </w:t>
      </w:r>
      <w:r w:rsidR="009F3636" w:rsidRPr="00B35A22">
        <w:rPr>
          <w:i/>
          <w:sz w:val="22"/>
          <w:u w:val="single"/>
          <w:lang w:val="sr-Latn-ME"/>
        </w:rPr>
        <w:t>non small cell lung cancer</w:t>
      </w:r>
      <w:r w:rsidR="009F3636" w:rsidRPr="00B35A22">
        <w:rPr>
          <w:sz w:val="22"/>
          <w:u w:val="single"/>
          <w:lang w:val="sr-Latn-ME"/>
        </w:rPr>
        <w:t>, NSCLC)</w:t>
      </w:r>
      <w:r w:rsidR="00D909F4" w:rsidRPr="00B35A22">
        <w:rPr>
          <w:sz w:val="22"/>
          <w:u w:val="single"/>
          <w:lang w:val="sr-Latn-ME"/>
        </w:rPr>
        <w:t>, u ranom stadijumu</w:t>
      </w:r>
    </w:p>
    <w:p w14:paraId="3DB2D159" w14:textId="77777777" w:rsidR="009C637B" w:rsidRPr="00B35A22" w:rsidRDefault="009C637B" w:rsidP="00B35A22">
      <w:pPr>
        <w:pStyle w:val="Header"/>
        <w:widowControl w:val="0"/>
        <w:tabs>
          <w:tab w:val="left" w:pos="284"/>
        </w:tabs>
        <w:jc w:val="both"/>
        <w:rPr>
          <w:sz w:val="22"/>
          <w:lang w:val="sr-Latn-ME"/>
        </w:rPr>
      </w:pPr>
    </w:p>
    <w:p w14:paraId="2189728C" w14:textId="6691DBCB" w:rsidR="00D909F4" w:rsidRPr="00B35A22" w:rsidRDefault="00D909F4" w:rsidP="00B35A22">
      <w:pPr>
        <w:widowControl w:val="0"/>
        <w:rPr>
          <w:sz w:val="22"/>
          <w:lang w:val="sr-Latn-ME"/>
        </w:rPr>
      </w:pPr>
      <w:r w:rsidRPr="00B35A22">
        <w:rPr>
          <w:sz w:val="22"/>
          <w:lang w:val="sr-Latn-ME"/>
        </w:rPr>
        <w:t>Lijek Tecentriq je u monoterapiji indikovan za adjuvantno liječenje NSCLC-a nakon potpune resekcije i hemioterapije zasnovane na platini kod odraslih pacijenata sa visokim rizikom od recidiva čiji tumori pokazuju nivo ekspresije PD L1 ≥ 50% na tumorskim ćelijama i koji nemaju EGFR mutacije ni ALK pozitivan NSCLC (vidjeti dio 5.1 za kriterijume za odabir pacijenata).</w:t>
      </w:r>
    </w:p>
    <w:p w14:paraId="04A9E872" w14:textId="77777777" w:rsidR="00D909F4" w:rsidRPr="00B35A22" w:rsidRDefault="00D909F4" w:rsidP="00B35A22">
      <w:pPr>
        <w:widowControl w:val="0"/>
        <w:rPr>
          <w:sz w:val="22"/>
          <w:lang w:val="sr-Latn-ME"/>
        </w:rPr>
      </w:pPr>
    </w:p>
    <w:p w14:paraId="30FC16FD" w14:textId="4E23670C" w:rsidR="00D909F4" w:rsidRPr="00B35A22" w:rsidRDefault="001755D3" w:rsidP="00B35A22">
      <w:pPr>
        <w:pStyle w:val="Header"/>
        <w:widowControl w:val="0"/>
        <w:tabs>
          <w:tab w:val="left" w:pos="284"/>
        </w:tabs>
        <w:jc w:val="both"/>
        <w:rPr>
          <w:sz w:val="22"/>
          <w:u w:val="single"/>
          <w:lang w:val="sr-Latn-ME"/>
        </w:rPr>
      </w:pPr>
      <w:r w:rsidRPr="00B35A22">
        <w:rPr>
          <w:bCs/>
          <w:sz w:val="22"/>
          <w:szCs w:val="22"/>
          <w:u w:val="single"/>
          <w:lang w:val="sr-Latn-ME"/>
        </w:rPr>
        <w:t>Uznapredovali</w:t>
      </w:r>
      <w:r w:rsidR="00D909F4" w:rsidRPr="00B35A22">
        <w:rPr>
          <w:sz w:val="22"/>
          <w:u w:val="single"/>
          <w:lang w:val="sr-Latn-ME"/>
        </w:rPr>
        <w:t xml:space="preserve"> NSCLC</w:t>
      </w:r>
    </w:p>
    <w:p w14:paraId="7444547E" w14:textId="1BE00712" w:rsidR="000A26D9" w:rsidRPr="00B35A22" w:rsidRDefault="00BB1B2E" w:rsidP="00B35A22">
      <w:pPr>
        <w:pStyle w:val="Header"/>
        <w:widowControl w:val="0"/>
        <w:tabs>
          <w:tab w:val="left" w:pos="284"/>
        </w:tabs>
        <w:jc w:val="both"/>
        <w:rPr>
          <w:sz w:val="22"/>
          <w:lang w:val="sr-Latn-ME"/>
        </w:rPr>
      </w:pPr>
      <w:r w:rsidRPr="00B35A22">
        <w:rPr>
          <w:sz w:val="22"/>
          <w:lang w:val="sr-Latn-ME"/>
        </w:rPr>
        <w:lastRenderedPageBreak/>
        <w:t xml:space="preserve">Lijek Tecentriq, u kombinaciji sa bevacizumabom, paklitakselom i karboplatinom, indikovan je kao prva linija liječenja za odrasle pacijente sa metastatskim neskvamoznim </w:t>
      </w:r>
      <w:r w:rsidR="009F3636" w:rsidRPr="00B35A22">
        <w:rPr>
          <w:sz w:val="22"/>
          <w:lang w:val="sr-Latn-ME"/>
        </w:rPr>
        <w:t>NSCLC</w:t>
      </w:r>
      <w:r w:rsidRPr="00B35A22">
        <w:rPr>
          <w:sz w:val="22"/>
          <w:lang w:val="sr-Latn-ME"/>
        </w:rPr>
        <w:t>. Kod pacijenata koji imaju EGFR mutacije ili ALK-pozitivni NSCLC l</w:t>
      </w:r>
      <w:r w:rsidR="00CD0CEE" w:rsidRPr="00B35A22">
        <w:rPr>
          <w:sz w:val="22"/>
          <w:lang w:val="sr-Latn-ME"/>
        </w:rPr>
        <w:t>ij</w:t>
      </w:r>
      <w:r w:rsidRPr="00B35A22">
        <w:rPr>
          <w:sz w:val="22"/>
          <w:lang w:val="sr-Latn-ME"/>
        </w:rPr>
        <w:t>ek Tecentriq u kombinaciji sa bevacizumabom, paklitakselom i karboplatinom, indikovan je samo nakon prethodno neusp</w:t>
      </w:r>
      <w:r w:rsidR="00A95C63" w:rsidRPr="00B35A22">
        <w:rPr>
          <w:sz w:val="22"/>
          <w:lang w:val="sr-Latn-ME"/>
        </w:rPr>
        <w:t>j</w:t>
      </w:r>
      <w:r w:rsidRPr="00B35A22">
        <w:rPr>
          <w:sz w:val="22"/>
          <w:lang w:val="sr-Latn-ME"/>
        </w:rPr>
        <w:t>ešnog l</w:t>
      </w:r>
      <w:r w:rsidR="00B13DC5" w:rsidRPr="00B35A22">
        <w:rPr>
          <w:sz w:val="22"/>
          <w:lang w:val="sr-Latn-ME"/>
        </w:rPr>
        <w:t>ij</w:t>
      </w:r>
      <w:r w:rsidRPr="00B35A22">
        <w:rPr>
          <w:sz w:val="22"/>
          <w:lang w:val="sr-Latn-ME"/>
        </w:rPr>
        <w:t>ečenja odgovarajućim ciljanim terapijama (vidjeti dio 5.1).</w:t>
      </w:r>
    </w:p>
    <w:p w14:paraId="6DF0CB6C" w14:textId="325FE490" w:rsidR="00FD11DE" w:rsidRPr="00B35A22" w:rsidRDefault="00FD11DE" w:rsidP="00B35A22">
      <w:pPr>
        <w:widowControl w:val="0"/>
        <w:tabs>
          <w:tab w:val="left" w:pos="540"/>
          <w:tab w:val="left" w:pos="569"/>
        </w:tabs>
        <w:jc w:val="both"/>
        <w:rPr>
          <w:sz w:val="22"/>
          <w:lang w:val="sr-Latn-ME"/>
        </w:rPr>
      </w:pPr>
      <w:r w:rsidRPr="00B35A22">
        <w:rPr>
          <w:sz w:val="22"/>
          <w:lang w:val="sr-Latn-ME"/>
        </w:rPr>
        <w:t>Lijek Tecentriq, u kombinaciji sa nab-paklitakselom i karboplatinom indikovan je kao prva linija liječenja za odrasle pacijente sa metastatskim neskvamoznim NSCLC-om koji nemaju EGFR mutacije ili ALK- pozitivni NSCLC (vidjeti dio 5.1).</w:t>
      </w:r>
    </w:p>
    <w:p w14:paraId="49B8F21C" w14:textId="77777777" w:rsidR="00FD11DE" w:rsidRPr="00B35A22" w:rsidRDefault="00FD11DE" w:rsidP="00B35A22">
      <w:pPr>
        <w:widowControl w:val="0"/>
        <w:tabs>
          <w:tab w:val="left" w:pos="540"/>
          <w:tab w:val="left" w:pos="569"/>
        </w:tabs>
        <w:jc w:val="both"/>
        <w:rPr>
          <w:sz w:val="22"/>
          <w:lang w:val="sr-Latn-ME"/>
        </w:rPr>
      </w:pPr>
    </w:p>
    <w:p w14:paraId="7C6A6C44" w14:textId="16EB9D26" w:rsidR="00BB1B2E" w:rsidRPr="00B35A22" w:rsidRDefault="00FD11DE" w:rsidP="00B35A22">
      <w:pPr>
        <w:widowControl w:val="0"/>
        <w:tabs>
          <w:tab w:val="left" w:pos="540"/>
          <w:tab w:val="left" w:pos="569"/>
        </w:tabs>
        <w:jc w:val="both"/>
        <w:rPr>
          <w:sz w:val="22"/>
          <w:lang w:val="sr-Latn-ME"/>
        </w:rPr>
      </w:pPr>
      <w:r w:rsidRPr="00B35A22">
        <w:rPr>
          <w:sz w:val="22"/>
          <w:lang w:val="sr-Latn-ME"/>
        </w:rPr>
        <w:t>Lijek Tecentriq, kao monoterapija, indikovan je za prvu liniju liječenja odraslih pacijenata sa metastatskim NSCLC-a čiji tumori pokazuju nivo ekspresije PD L1 ≥ 50% na tumorskim ćelijama ili ≥ 10% na ćelijama imunskog sistema koje se infiltriraju u tumor i koji nemaju EGFR mutacije ili ALK-pozitivni NSCLC (vidjeti dio 5.1).</w:t>
      </w:r>
    </w:p>
    <w:p w14:paraId="1963CBBA" w14:textId="77777777" w:rsidR="00FD11DE" w:rsidRPr="00B35A22" w:rsidRDefault="00FD11DE" w:rsidP="00B35A22">
      <w:pPr>
        <w:widowControl w:val="0"/>
        <w:tabs>
          <w:tab w:val="left" w:pos="540"/>
          <w:tab w:val="left" w:pos="569"/>
        </w:tabs>
        <w:jc w:val="both"/>
        <w:rPr>
          <w:sz w:val="22"/>
          <w:lang w:val="sr-Latn-ME"/>
        </w:rPr>
      </w:pPr>
    </w:p>
    <w:p w14:paraId="02C650F6" w14:textId="05D1D5AF" w:rsidR="001755D3" w:rsidRPr="00B35A22" w:rsidRDefault="001755D3" w:rsidP="00B35A22">
      <w:pPr>
        <w:widowControl w:val="0"/>
        <w:tabs>
          <w:tab w:val="left" w:pos="540"/>
          <w:tab w:val="left" w:pos="569"/>
        </w:tabs>
        <w:jc w:val="both"/>
        <w:rPr>
          <w:bCs/>
          <w:sz w:val="22"/>
          <w:szCs w:val="22"/>
          <w:lang w:val="sr-Latn-ME"/>
        </w:rPr>
      </w:pPr>
      <w:r w:rsidRPr="00B35A22">
        <w:rPr>
          <w:sz w:val="22"/>
          <w:lang w:val="sr-Latn-ME"/>
        </w:rPr>
        <w:t>Lijek Tecentriq</w:t>
      </w:r>
      <w:r w:rsidRPr="00B35A22">
        <w:rPr>
          <w:bCs/>
          <w:sz w:val="22"/>
          <w:szCs w:val="22"/>
          <w:lang w:val="sr-Latn-ME"/>
        </w:rPr>
        <w:t xml:space="preserve"> je u monoterapiji indikovan kao prva linija liječenja uznapredovalog NSCLC-a kod odraslih pacijenata koji ni</w:t>
      </w:r>
      <w:r w:rsidR="00E30B86" w:rsidRPr="00B35A22">
        <w:rPr>
          <w:bCs/>
          <w:sz w:val="22"/>
          <w:szCs w:val="22"/>
          <w:lang w:val="sr-Latn-ME"/>
        </w:rPr>
        <w:t>je</w:t>
      </w:r>
      <w:r w:rsidRPr="00B35A22">
        <w:rPr>
          <w:bCs/>
          <w:sz w:val="22"/>
          <w:szCs w:val="22"/>
          <w:lang w:val="sr-Latn-ME"/>
        </w:rPr>
        <w:t>su pogodni za terapiju zasnovanu na platini (vidjeti dio 5.1 za kriterijume za odabir pacijenata).</w:t>
      </w:r>
    </w:p>
    <w:p w14:paraId="7631EFAB" w14:textId="77777777" w:rsidR="001755D3" w:rsidRPr="00B35A22" w:rsidRDefault="001755D3" w:rsidP="00B35A22">
      <w:pPr>
        <w:widowControl w:val="0"/>
        <w:tabs>
          <w:tab w:val="left" w:pos="540"/>
          <w:tab w:val="left" w:pos="569"/>
        </w:tabs>
        <w:jc w:val="both"/>
        <w:rPr>
          <w:bCs/>
          <w:sz w:val="22"/>
          <w:szCs w:val="22"/>
          <w:lang w:val="sr-Latn-ME"/>
        </w:rPr>
      </w:pPr>
    </w:p>
    <w:p w14:paraId="394BCEED" w14:textId="4BBA96F9" w:rsidR="000A26D9" w:rsidRPr="00B35A22" w:rsidRDefault="000A26D9" w:rsidP="00B35A22">
      <w:pPr>
        <w:widowControl w:val="0"/>
        <w:tabs>
          <w:tab w:val="left" w:pos="540"/>
          <w:tab w:val="left" w:pos="569"/>
        </w:tabs>
        <w:jc w:val="both"/>
        <w:rPr>
          <w:b/>
          <w:sz w:val="22"/>
          <w:lang w:val="sr-Latn-ME"/>
        </w:rPr>
      </w:pPr>
      <w:r w:rsidRPr="00B35A22">
        <w:rPr>
          <w:bCs/>
          <w:sz w:val="22"/>
          <w:szCs w:val="22"/>
          <w:lang w:val="sr-Latn-ME"/>
        </w:rPr>
        <w:t>Lijek Tecentriq</w:t>
      </w:r>
      <w:r w:rsidRPr="00B35A22">
        <w:rPr>
          <w:sz w:val="22"/>
          <w:lang w:val="sr-Latn-ME"/>
        </w:rPr>
        <w:t xml:space="preserve"> je u monoterapiji indikovan za liječenje lokalno uznapredovalog ili metastatskog NSCLC</w:t>
      </w:r>
      <w:r w:rsidR="009C637B" w:rsidRPr="00B35A22">
        <w:rPr>
          <w:sz w:val="22"/>
          <w:lang w:val="sr-Latn-ME"/>
        </w:rPr>
        <w:t xml:space="preserve"> </w:t>
      </w:r>
      <w:r w:rsidRPr="00B35A22">
        <w:rPr>
          <w:sz w:val="22"/>
          <w:lang w:val="sr-Latn-ME"/>
        </w:rPr>
        <w:t xml:space="preserve">kod odraslih pacijenata koji su prethodno primali hemoterapiju. Pacijenti sa aktivirajućim EGFR mutacijama gena EGFR ili ALK-pozitivnim </w:t>
      </w:r>
      <w:r w:rsidR="00B13DC5" w:rsidRPr="00B35A22">
        <w:rPr>
          <w:sz w:val="22"/>
          <w:lang w:val="sr-Latn-ME"/>
        </w:rPr>
        <w:t xml:space="preserve">NSCLC-om </w:t>
      </w:r>
      <w:r w:rsidRPr="00B35A22">
        <w:rPr>
          <w:sz w:val="22"/>
          <w:lang w:val="sr-Latn-ME"/>
        </w:rPr>
        <w:t>trebali su takođe da primaju ciljanu terapiju prije nego što prime lijek Tecentriq (vidjeti dio 5.1).</w:t>
      </w:r>
    </w:p>
    <w:p w14:paraId="7411862D" w14:textId="77777777" w:rsidR="009C637B" w:rsidRPr="00B35A22" w:rsidRDefault="009C637B" w:rsidP="00B35A22">
      <w:pPr>
        <w:widowControl w:val="0"/>
        <w:jc w:val="both"/>
        <w:rPr>
          <w:sz w:val="22"/>
          <w:lang w:val="sr-Latn-ME"/>
        </w:rPr>
      </w:pPr>
    </w:p>
    <w:p w14:paraId="5F5552FF" w14:textId="230A6940" w:rsidR="009C637B" w:rsidRPr="00B35A22" w:rsidRDefault="009C637B" w:rsidP="00B35A22">
      <w:pPr>
        <w:widowControl w:val="0"/>
        <w:jc w:val="both"/>
        <w:rPr>
          <w:sz w:val="22"/>
          <w:u w:val="single"/>
          <w:lang w:val="sr-Latn-ME"/>
        </w:rPr>
      </w:pPr>
      <w:r w:rsidRPr="00B35A22">
        <w:rPr>
          <w:sz w:val="22"/>
          <w:u w:val="single"/>
          <w:lang w:val="sr-Latn-ME"/>
        </w:rPr>
        <w:t>Sitnoćelijski karcinom pluća</w:t>
      </w:r>
      <w:r w:rsidR="009F3636" w:rsidRPr="00B35A22">
        <w:rPr>
          <w:sz w:val="22"/>
          <w:u w:val="single"/>
          <w:lang w:val="sr-Latn-ME"/>
        </w:rPr>
        <w:t xml:space="preserve"> </w:t>
      </w:r>
      <w:r w:rsidR="009F3636" w:rsidRPr="00B35A22">
        <w:rPr>
          <w:sz w:val="22"/>
          <w:szCs w:val="22"/>
          <w:u w:val="single"/>
          <w:lang w:val="sr-Latn-ME"/>
        </w:rPr>
        <w:t xml:space="preserve"> </w:t>
      </w:r>
      <w:r w:rsidR="009F3636" w:rsidRPr="00B35A22">
        <w:rPr>
          <w:sz w:val="22"/>
          <w:u w:val="single"/>
          <w:lang w:val="sr-Latn-ME"/>
        </w:rPr>
        <w:t xml:space="preserve">(engl. </w:t>
      </w:r>
      <w:r w:rsidR="009F3636" w:rsidRPr="00B35A22">
        <w:rPr>
          <w:i/>
          <w:sz w:val="22"/>
          <w:u w:val="single"/>
          <w:lang w:val="sr-Latn-ME"/>
        </w:rPr>
        <w:t>small cell lung cancer</w:t>
      </w:r>
      <w:r w:rsidR="009F3636" w:rsidRPr="00B35A22">
        <w:rPr>
          <w:sz w:val="22"/>
          <w:u w:val="single"/>
          <w:lang w:val="sr-Latn-ME"/>
        </w:rPr>
        <w:t>, SCLC)</w:t>
      </w:r>
    </w:p>
    <w:p w14:paraId="675DFB24" w14:textId="77777777" w:rsidR="009C637B" w:rsidRPr="00B35A22" w:rsidRDefault="009C637B" w:rsidP="00B35A22">
      <w:pPr>
        <w:widowControl w:val="0"/>
        <w:jc w:val="both"/>
        <w:rPr>
          <w:sz w:val="22"/>
          <w:lang w:val="sr-Latn-ME"/>
        </w:rPr>
      </w:pPr>
    </w:p>
    <w:p w14:paraId="1B78939C" w14:textId="41D5C497" w:rsidR="009C637B" w:rsidRPr="00B35A22" w:rsidRDefault="009C637B" w:rsidP="00B35A22">
      <w:pPr>
        <w:widowControl w:val="0"/>
        <w:jc w:val="both"/>
        <w:rPr>
          <w:sz w:val="22"/>
          <w:lang w:val="sr-Latn-ME"/>
        </w:rPr>
      </w:pPr>
      <w:r w:rsidRPr="00B35A22">
        <w:rPr>
          <w:sz w:val="22"/>
          <w:lang w:val="sr-Latn-ME"/>
        </w:rPr>
        <w:t>L</w:t>
      </w:r>
      <w:r w:rsidR="00C0227C" w:rsidRPr="00B35A22">
        <w:rPr>
          <w:sz w:val="22"/>
          <w:lang w:val="sr-Latn-ME"/>
        </w:rPr>
        <w:t>ij</w:t>
      </w:r>
      <w:r w:rsidRPr="00B35A22">
        <w:rPr>
          <w:sz w:val="22"/>
          <w:lang w:val="sr-Latn-ME"/>
        </w:rPr>
        <w:t>ek Tecentriq, u kombinaciji sa karboplatinom i etopozidom, indikovan je kao prva linija l</w:t>
      </w:r>
      <w:r w:rsidR="00C0227C" w:rsidRPr="00B35A22">
        <w:rPr>
          <w:sz w:val="22"/>
          <w:lang w:val="sr-Latn-ME"/>
        </w:rPr>
        <w:t>ij</w:t>
      </w:r>
      <w:r w:rsidRPr="00B35A22">
        <w:rPr>
          <w:sz w:val="22"/>
          <w:lang w:val="sr-Latn-ME"/>
        </w:rPr>
        <w:t xml:space="preserve">ečenja za odrasle pacijente sa sitnoćelijskim karcinomom pluća u proširenom stadijumu bolesti (engl. </w:t>
      </w:r>
      <w:r w:rsidRPr="00B35A22">
        <w:rPr>
          <w:i/>
          <w:sz w:val="22"/>
          <w:lang w:val="sr-Latn-ME"/>
        </w:rPr>
        <w:t>extensive-stage small cell lung cancer</w:t>
      </w:r>
      <w:r w:rsidRPr="00B35A22">
        <w:rPr>
          <w:sz w:val="22"/>
          <w:lang w:val="sr-Latn-ME"/>
        </w:rPr>
        <w:t>, ES-SCLC) (vid</w:t>
      </w:r>
      <w:r w:rsidR="00C0227C" w:rsidRPr="00B35A22">
        <w:rPr>
          <w:sz w:val="22"/>
          <w:lang w:val="sr-Latn-ME"/>
        </w:rPr>
        <w:t>j</w:t>
      </w:r>
      <w:r w:rsidRPr="00B35A22">
        <w:rPr>
          <w:sz w:val="22"/>
          <w:lang w:val="sr-Latn-ME"/>
        </w:rPr>
        <w:t xml:space="preserve">eti </w:t>
      </w:r>
      <w:r w:rsidR="00C0227C" w:rsidRPr="00B35A22">
        <w:rPr>
          <w:sz w:val="22"/>
          <w:lang w:val="sr-Latn-ME"/>
        </w:rPr>
        <w:t>dio</w:t>
      </w:r>
      <w:r w:rsidRPr="00B35A22">
        <w:rPr>
          <w:sz w:val="22"/>
          <w:lang w:val="sr-Latn-ME"/>
        </w:rPr>
        <w:t xml:space="preserve"> 5.1).</w:t>
      </w:r>
    </w:p>
    <w:p w14:paraId="40E3B85C" w14:textId="6A1D600B" w:rsidR="008942CD" w:rsidRPr="00B35A22" w:rsidRDefault="008942CD" w:rsidP="00B35A22">
      <w:pPr>
        <w:widowControl w:val="0"/>
        <w:jc w:val="both"/>
        <w:rPr>
          <w:sz w:val="22"/>
          <w:lang w:val="sr-Latn-ME"/>
        </w:rPr>
      </w:pPr>
    </w:p>
    <w:p w14:paraId="2E61E0D8" w14:textId="40B3496F" w:rsidR="00E14959" w:rsidRPr="00B35A22" w:rsidRDefault="00E14959" w:rsidP="00B35A22">
      <w:pPr>
        <w:widowControl w:val="0"/>
        <w:jc w:val="both"/>
        <w:rPr>
          <w:sz w:val="22"/>
          <w:u w:val="single"/>
          <w:lang w:val="sr-Latn-ME"/>
        </w:rPr>
      </w:pPr>
      <w:r w:rsidRPr="00B35A22">
        <w:rPr>
          <w:sz w:val="22"/>
          <w:u w:val="single"/>
          <w:lang w:val="sr-Latn-ME"/>
        </w:rPr>
        <w:t>Trostruko</w:t>
      </w:r>
      <w:r w:rsidR="000E1E10" w:rsidRPr="00B35A22">
        <w:rPr>
          <w:sz w:val="22"/>
          <w:u w:val="single"/>
          <w:lang w:val="sr-Latn-ME"/>
        </w:rPr>
        <w:t>-</w:t>
      </w:r>
      <w:r w:rsidRPr="00B35A22">
        <w:rPr>
          <w:sz w:val="22"/>
          <w:u w:val="single"/>
          <w:lang w:val="sr-Latn-ME"/>
        </w:rPr>
        <w:t>negativni karcinom dojke</w:t>
      </w:r>
      <w:r w:rsidR="009F3636" w:rsidRPr="00B35A22">
        <w:rPr>
          <w:sz w:val="22"/>
          <w:u w:val="single"/>
          <w:lang w:val="sr-Latn-ME"/>
        </w:rPr>
        <w:t xml:space="preserve"> (engl. </w:t>
      </w:r>
      <w:r w:rsidR="009F3636" w:rsidRPr="00B35A22">
        <w:rPr>
          <w:i/>
          <w:sz w:val="22"/>
          <w:u w:val="single"/>
          <w:lang w:val="sr-Latn-ME"/>
        </w:rPr>
        <w:t>triple-negative breast cancer</w:t>
      </w:r>
      <w:r w:rsidR="009F3636" w:rsidRPr="00B35A22">
        <w:rPr>
          <w:sz w:val="22"/>
          <w:u w:val="single"/>
          <w:lang w:val="sr-Latn-ME"/>
        </w:rPr>
        <w:t>, TNBC)</w:t>
      </w:r>
    </w:p>
    <w:p w14:paraId="7BFB983B" w14:textId="77777777" w:rsidR="00E14959" w:rsidRPr="00B35A22" w:rsidRDefault="00E14959" w:rsidP="00B35A22">
      <w:pPr>
        <w:widowControl w:val="0"/>
        <w:jc w:val="both"/>
        <w:rPr>
          <w:sz w:val="22"/>
          <w:lang w:val="sr-Latn-ME"/>
        </w:rPr>
      </w:pPr>
    </w:p>
    <w:p w14:paraId="7E0C007F" w14:textId="4131485C" w:rsidR="00E14959" w:rsidRPr="00B35A22" w:rsidRDefault="00E14959" w:rsidP="00B35A22">
      <w:pPr>
        <w:widowControl w:val="0"/>
        <w:jc w:val="both"/>
        <w:rPr>
          <w:sz w:val="22"/>
          <w:lang w:val="sr-Latn-ME"/>
        </w:rPr>
      </w:pPr>
      <w:r w:rsidRPr="00B35A22">
        <w:rPr>
          <w:sz w:val="22"/>
          <w:lang w:val="sr-Latn-ME"/>
        </w:rPr>
        <w:t>Lijek Tecentriq</w:t>
      </w:r>
      <w:r w:rsidRPr="00B35A22">
        <w:rPr>
          <w:bCs/>
          <w:sz w:val="22"/>
          <w:szCs w:val="22"/>
          <w:vertAlign w:val="superscript"/>
          <w:lang w:val="sr-Latn-ME"/>
        </w:rPr>
        <w:t>®</w:t>
      </w:r>
      <w:r w:rsidRPr="00B35A22">
        <w:rPr>
          <w:sz w:val="22"/>
          <w:lang w:val="sr-Latn-ME"/>
        </w:rPr>
        <w:t xml:space="preserve"> u kombinaciji sa nab-paklitakselom je indikovan za liječenje odraslih pacijenata sa neresektabilnim lokalno uznapredovalim ili metastatskim </w:t>
      </w:r>
      <w:r w:rsidR="009F3636" w:rsidRPr="00B35A22">
        <w:rPr>
          <w:sz w:val="22"/>
          <w:lang w:val="sr-Latn-ME"/>
        </w:rPr>
        <w:t>TNBC</w:t>
      </w:r>
      <w:r w:rsidRPr="00B35A22">
        <w:rPr>
          <w:sz w:val="22"/>
          <w:lang w:val="sr-Latn-ME"/>
        </w:rPr>
        <w:t xml:space="preserve"> čiji tumori imaju ekspresiju PD-L1 </w:t>
      </w:r>
      <w:r w:rsidRPr="00B35A22">
        <w:rPr>
          <w:color w:val="212121"/>
          <w:sz w:val="22"/>
          <w:lang w:val="sr-Latn-ME"/>
        </w:rPr>
        <w:t>≥</w:t>
      </w:r>
      <w:r w:rsidRPr="00B35A22">
        <w:rPr>
          <w:sz w:val="22"/>
          <w:lang w:val="sr-Latn-ME"/>
        </w:rPr>
        <w:t> 1% i koji prethodno ni</w:t>
      </w:r>
      <w:r w:rsidR="00CC15D2" w:rsidRPr="00B35A22">
        <w:rPr>
          <w:sz w:val="22"/>
          <w:lang w:val="sr-Latn-ME"/>
        </w:rPr>
        <w:t>je</w:t>
      </w:r>
      <w:r w:rsidRPr="00B35A22">
        <w:rPr>
          <w:sz w:val="22"/>
          <w:lang w:val="sr-Latn-ME"/>
        </w:rPr>
        <w:t>su primali hemioterapiju zbog metastatske bolesti.</w:t>
      </w:r>
    </w:p>
    <w:p w14:paraId="03FA684E" w14:textId="77777777" w:rsidR="00E14959" w:rsidRPr="00B35A22" w:rsidRDefault="00E14959" w:rsidP="00B35A22">
      <w:pPr>
        <w:widowControl w:val="0"/>
        <w:jc w:val="both"/>
        <w:rPr>
          <w:sz w:val="22"/>
          <w:lang w:val="sr-Latn-ME"/>
        </w:rPr>
      </w:pPr>
    </w:p>
    <w:p w14:paraId="6D16C7D6" w14:textId="6F5DA11B" w:rsidR="008942CD" w:rsidRPr="00B35A22" w:rsidRDefault="008942CD" w:rsidP="00B35A22">
      <w:pPr>
        <w:widowControl w:val="0"/>
        <w:rPr>
          <w:u w:val="single"/>
          <w:lang w:val="sr-Latn-ME"/>
        </w:rPr>
      </w:pPr>
      <w:r w:rsidRPr="00B35A22">
        <w:rPr>
          <w:sz w:val="22"/>
          <w:u w:val="single"/>
          <w:lang w:val="sr-Latn-ME"/>
        </w:rPr>
        <w:t>Hepatocelularni karcinom</w:t>
      </w:r>
      <w:r w:rsidR="009F3636" w:rsidRPr="00B35A22">
        <w:rPr>
          <w:sz w:val="22"/>
          <w:u w:val="single"/>
          <w:lang w:val="sr-Latn-ME"/>
        </w:rPr>
        <w:t xml:space="preserve"> (engl. </w:t>
      </w:r>
      <w:r w:rsidR="009F3636" w:rsidRPr="00B35A22">
        <w:rPr>
          <w:i/>
          <w:sz w:val="22"/>
          <w:u w:val="single"/>
          <w:lang w:val="sr-Latn-ME"/>
        </w:rPr>
        <w:t>hepatocellular carcinoma</w:t>
      </w:r>
      <w:r w:rsidR="009F3636" w:rsidRPr="00B35A22">
        <w:rPr>
          <w:sz w:val="22"/>
          <w:u w:val="single"/>
          <w:lang w:val="sr-Latn-ME"/>
        </w:rPr>
        <w:t>, HCC)</w:t>
      </w:r>
    </w:p>
    <w:p w14:paraId="1DFD46C5" w14:textId="77777777" w:rsidR="008942CD" w:rsidRPr="00B35A22" w:rsidRDefault="008942CD" w:rsidP="00B35A22">
      <w:pPr>
        <w:widowControl w:val="0"/>
        <w:jc w:val="both"/>
        <w:rPr>
          <w:sz w:val="22"/>
          <w:u w:val="single"/>
          <w:lang w:val="sr-Latn-ME"/>
        </w:rPr>
      </w:pPr>
    </w:p>
    <w:p w14:paraId="1890A7F2" w14:textId="7C36D71D" w:rsidR="008942CD" w:rsidRPr="00B35A22" w:rsidRDefault="008942CD" w:rsidP="00B35A22">
      <w:pPr>
        <w:widowControl w:val="0"/>
        <w:jc w:val="both"/>
        <w:rPr>
          <w:sz w:val="22"/>
          <w:lang w:val="sr-Latn-ME"/>
        </w:rPr>
      </w:pPr>
      <w:r w:rsidRPr="00B35A22">
        <w:rPr>
          <w:sz w:val="22"/>
          <w:lang w:val="sr-Latn-ME"/>
        </w:rPr>
        <w:t>Lijek Tecentriq, u kombinaciji sa bevacizumabom indikovan je za liječenje odraslih pacijenata sa uznapredovalim ili neresektabilnim HCC koji prijethodno nijesu primali sistemsku terapiju (vidjeti dio 5.1).</w:t>
      </w:r>
    </w:p>
    <w:p w14:paraId="4BF3FB9B" w14:textId="2E4A3DAA" w:rsidR="009C637B" w:rsidRPr="00B35A22" w:rsidRDefault="009C637B" w:rsidP="00B35A22">
      <w:pPr>
        <w:widowControl w:val="0"/>
        <w:tabs>
          <w:tab w:val="left" w:pos="540"/>
          <w:tab w:val="left" w:pos="569"/>
        </w:tabs>
        <w:jc w:val="both"/>
        <w:rPr>
          <w:b/>
          <w:sz w:val="22"/>
          <w:lang w:val="sr-Latn-ME"/>
        </w:rPr>
      </w:pPr>
    </w:p>
    <w:p w14:paraId="2C4E2447" w14:textId="6121DAA2"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4.2. </w:t>
      </w:r>
      <w:r w:rsidR="00480FB1" w:rsidRPr="00B35A22">
        <w:rPr>
          <w:b/>
          <w:sz w:val="22"/>
          <w:lang w:val="sr-Latn-ME"/>
        </w:rPr>
        <w:tab/>
      </w:r>
      <w:r w:rsidRPr="00B35A22">
        <w:rPr>
          <w:b/>
          <w:sz w:val="22"/>
          <w:lang w:val="sr-Latn-ME"/>
        </w:rPr>
        <w:t>Doziranje i način primjene</w:t>
      </w:r>
    </w:p>
    <w:p w14:paraId="6ACD657F" w14:textId="77777777" w:rsidR="00D57F29" w:rsidRPr="00B35A22" w:rsidRDefault="00D57F29" w:rsidP="00B35A22">
      <w:pPr>
        <w:widowControl w:val="0"/>
        <w:tabs>
          <w:tab w:val="left" w:pos="540"/>
          <w:tab w:val="left" w:pos="569"/>
        </w:tabs>
        <w:jc w:val="both"/>
        <w:rPr>
          <w:b/>
          <w:sz w:val="22"/>
          <w:lang w:val="sr-Latn-ME"/>
        </w:rPr>
      </w:pPr>
    </w:p>
    <w:p w14:paraId="4CD28AE3" w14:textId="2A21E1FA" w:rsidR="000A26D9" w:rsidRPr="00B35A22" w:rsidRDefault="000A26D9" w:rsidP="00B35A22">
      <w:pPr>
        <w:widowControl w:val="0"/>
        <w:jc w:val="both"/>
        <w:rPr>
          <w:sz w:val="22"/>
          <w:lang w:val="sr-Latn-ME"/>
        </w:rPr>
      </w:pPr>
      <w:r w:rsidRPr="00B35A22">
        <w:rPr>
          <w:sz w:val="22"/>
          <w:lang w:val="sr-Latn-ME"/>
        </w:rPr>
        <w:t xml:space="preserve">Liječenje lijekom Tecentriq moraju započeti i pratiti ljekari koji imaju iskustva sa liječenjem karcinoma.  </w:t>
      </w:r>
    </w:p>
    <w:p w14:paraId="4427112A" w14:textId="77777777" w:rsidR="000A26D9" w:rsidRPr="00B35A22" w:rsidRDefault="000A26D9" w:rsidP="00B35A22">
      <w:pPr>
        <w:widowControl w:val="0"/>
        <w:jc w:val="both"/>
        <w:rPr>
          <w:sz w:val="22"/>
          <w:lang w:val="sr-Latn-ME"/>
        </w:rPr>
      </w:pPr>
    </w:p>
    <w:p w14:paraId="29CA44E9" w14:textId="62EA4FE6" w:rsidR="000A26D9" w:rsidRPr="00B35A22" w:rsidRDefault="000A26D9" w:rsidP="00B35A22">
      <w:pPr>
        <w:widowControl w:val="0"/>
        <w:jc w:val="both"/>
        <w:rPr>
          <w:sz w:val="22"/>
          <w:u w:val="single"/>
          <w:lang w:val="sr-Latn-ME"/>
        </w:rPr>
      </w:pPr>
      <w:r w:rsidRPr="00B35A22">
        <w:rPr>
          <w:sz w:val="22"/>
          <w:u w:val="single"/>
          <w:lang w:val="sr-Latn-ME"/>
        </w:rPr>
        <w:t xml:space="preserve">PD-L1 testiranje kod pacijenata sa </w:t>
      </w:r>
      <w:r w:rsidR="00D21572" w:rsidRPr="00B35A22">
        <w:rPr>
          <w:sz w:val="22"/>
          <w:u w:val="single"/>
          <w:lang w:val="sr-Latn-ME"/>
        </w:rPr>
        <w:t>UK-om ili TNBC-om ili NSCL</w:t>
      </w:r>
      <w:r w:rsidR="00B80FAA" w:rsidRPr="00B35A22">
        <w:rPr>
          <w:sz w:val="22"/>
          <w:u w:val="single"/>
          <w:lang w:val="sr-Latn-ME"/>
        </w:rPr>
        <w:t>C</w:t>
      </w:r>
      <w:r w:rsidR="00D21572" w:rsidRPr="00B35A22">
        <w:rPr>
          <w:sz w:val="22"/>
          <w:u w:val="single"/>
          <w:lang w:val="sr-Latn-ME"/>
        </w:rPr>
        <w:t>-om.</w:t>
      </w:r>
    </w:p>
    <w:p w14:paraId="4FC27184" w14:textId="34DC0912" w:rsidR="000A26D9" w:rsidRPr="00B35A22" w:rsidRDefault="000A26D9" w:rsidP="00B35A22">
      <w:pPr>
        <w:widowControl w:val="0"/>
        <w:jc w:val="both"/>
        <w:rPr>
          <w:sz w:val="22"/>
          <w:lang w:val="sr-Latn-ME"/>
        </w:rPr>
      </w:pPr>
    </w:p>
    <w:p w14:paraId="7854C8C2" w14:textId="39E212A0" w:rsidR="00FD11DE" w:rsidRPr="00B35A22" w:rsidRDefault="00FD11DE" w:rsidP="00B35A22">
      <w:pPr>
        <w:widowControl w:val="0"/>
        <w:jc w:val="both"/>
        <w:rPr>
          <w:i/>
          <w:sz w:val="22"/>
          <w:u w:val="single"/>
          <w:lang w:val="sr-Latn-ME"/>
        </w:rPr>
      </w:pPr>
      <w:r w:rsidRPr="00B35A22">
        <w:rPr>
          <w:i/>
          <w:sz w:val="22"/>
          <w:u w:val="single"/>
          <w:lang w:val="sr-Latn-ME"/>
        </w:rPr>
        <w:t>Monoterapija lijekom Tecentriq</w:t>
      </w:r>
    </w:p>
    <w:p w14:paraId="5CE8CE32" w14:textId="77777777" w:rsidR="00FD11DE" w:rsidRPr="00B35A22" w:rsidRDefault="00FD11DE" w:rsidP="00B35A22">
      <w:pPr>
        <w:widowControl w:val="0"/>
        <w:jc w:val="both"/>
        <w:rPr>
          <w:sz w:val="22"/>
          <w:lang w:val="sr-Latn-ME"/>
        </w:rPr>
      </w:pPr>
    </w:p>
    <w:p w14:paraId="01AFE64F" w14:textId="188516DA" w:rsidR="00E14959" w:rsidRPr="00B35A22" w:rsidRDefault="001755D3" w:rsidP="00B35A22">
      <w:pPr>
        <w:widowControl w:val="0"/>
        <w:jc w:val="both"/>
        <w:rPr>
          <w:sz w:val="22"/>
          <w:lang w:val="sr-Latn-ME"/>
        </w:rPr>
      </w:pPr>
      <w:r w:rsidRPr="00B35A22">
        <w:rPr>
          <w:sz w:val="22"/>
          <w:szCs w:val="22"/>
          <w:lang w:val="sr-Latn-ME"/>
        </w:rPr>
        <w:t>Ako je to navedeno</w:t>
      </w:r>
      <w:r w:rsidRPr="00B35A22">
        <w:rPr>
          <w:sz w:val="22"/>
          <w:lang w:val="sr-Latn-ME"/>
        </w:rPr>
        <w:t xml:space="preserve"> u </w:t>
      </w:r>
      <w:r w:rsidRPr="00B35A22">
        <w:rPr>
          <w:sz w:val="22"/>
          <w:szCs w:val="22"/>
          <w:lang w:val="sr-Latn-ME"/>
        </w:rPr>
        <w:t>indikaciji,</w:t>
      </w:r>
      <w:r w:rsidRPr="00B35A22">
        <w:rPr>
          <w:sz w:val="22"/>
          <w:lang w:val="sr-Latn-ME"/>
        </w:rPr>
        <w:t xml:space="preserve"> odabir pacijenata za liječenje </w:t>
      </w:r>
      <w:r w:rsidRPr="00B35A22">
        <w:rPr>
          <w:sz w:val="22"/>
          <w:szCs w:val="22"/>
          <w:lang w:val="sr-Latn-ME"/>
        </w:rPr>
        <w:t>lijekom Tecentriq</w:t>
      </w:r>
      <w:r w:rsidRPr="00B35A22">
        <w:rPr>
          <w:sz w:val="22"/>
          <w:lang w:val="sr-Latn-ME"/>
        </w:rPr>
        <w:t xml:space="preserve"> na osnovu </w:t>
      </w:r>
      <w:r w:rsidRPr="00B35A22">
        <w:rPr>
          <w:sz w:val="22"/>
          <w:szCs w:val="22"/>
          <w:lang w:val="sr-Latn-ME"/>
        </w:rPr>
        <w:t>tumorske</w:t>
      </w:r>
      <w:r w:rsidRPr="00B35A22">
        <w:rPr>
          <w:sz w:val="22"/>
          <w:lang w:val="sr-Latn-ME"/>
        </w:rPr>
        <w:t xml:space="preserve"> ekspresije </w:t>
      </w:r>
      <w:r w:rsidRPr="00B35A22">
        <w:rPr>
          <w:sz w:val="22"/>
          <w:szCs w:val="22"/>
          <w:lang w:val="sr-Latn-ME"/>
        </w:rPr>
        <w:t>PD-L1 treba potvrditi</w:t>
      </w:r>
      <w:r w:rsidRPr="00B35A22">
        <w:rPr>
          <w:sz w:val="22"/>
          <w:lang w:val="sr-Latn-ME"/>
        </w:rPr>
        <w:t xml:space="preserve"> validiranim testom (vidjeti </w:t>
      </w:r>
      <w:r w:rsidRPr="00B35A22">
        <w:rPr>
          <w:sz w:val="22"/>
          <w:szCs w:val="22"/>
          <w:lang w:val="sr-Latn-ME"/>
        </w:rPr>
        <w:t xml:space="preserve">djelove 4.1 i </w:t>
      </w:r>
      <w:r w:rsidRPr="00B35A22">
        <w:rPr>
          <w:sz w:val="22"/>
          <w:lang w:val="sr-Latn-ME"/>
        </w:rPr>
        <w:t>5.1).</w:t>
      </w:r>
    </w:p>
    <w:p w14:paraId="0A755D7E" w14:textId="77777777" w:rsidR="00E30B86" w:rsidRPr="00B35A22" w:rsidRDefault="00E30B86" w:rsidP="00B35A22">
      <w:pPr>
        <w:widowControl w:val="0"/>
        <w:jc w:val="both"/>
        <w:rPr>
          <w:sz w:val="22"/>
          <w:lang w:val="sr-Latn-ME"/>
        </w:rPr>
      </w:pPr>
    </w:p>
    <w:p w14:paraId="58333B30" w14:textId="77777777" w:rsidR="00E14959" w:rsidRPr="00B35A22" w:rsidRDefault="00E14959" w:rsidP="00B35A22">
      <w:pPr>
        <w:widowControl w:val="0"/>
        <w:jc w:val="both"/>
        <w:rPr>
          <w:i/>
          <w:sz w:val="22"/>
          <w:u w:val="single"/>
          <w:lang w:val="sr-Latn-ME"/>
        </w:rPr>
      </w:pPr>
      <w:r w:rsidRPr="00B35A22">
        <w:rPr>
          <w:i/>
          <w:sz w:val="22"/>
          <w:u w:val="single"/>
          <w:lang w:val="sr-Latn-ME"/>
        </w:rPr>
        <w:t>Lijek Tecentriq u kombinovanoj terapiji</w:t>
      </w:r>
    </w:p>
    <w:p w14:paraId="407293E7" w14:textId="77777777" w:rsidR="00E14959" w:rsidRPr="00B35A22" w:rsidRDefault="00E14959" w:rsidP="00B35A22">
      <w:pPr>
        <w:widowControl w:val="0"/>
        <w:jc w:val="both"/>
        <w:rPr>
          <w:sz w:val="22"/>
          <w:lang w:val="sr-Latn-ME"/>
        </w:rPr>
      </w:pPr>
    </w:p>
    <w:p w14:paraId="32134C01" w14:textId="2668BEBB" w:rsidR="00E14959" w:rsidRPr="00B35A22" w:rsidRDefault="00E14959" w:rsidP="00B35A22">
      <w:pPr>
        <w:widowControl w:val="0"/>
        <w:jc w:val="both"/>
        <w:rPr>
          <w:sz w:val="22"/>
          <w:lang w:val="sr-Latn-ME"/>
        </w:rPr>
      </w:pPr>
      <w:r w:rsidRPr="00B35A22">
        <w:rPr>
          <w:sz w:val="22"/>
          <w:lang w:val="sr-Latn-ME"/>
        </w:rPr>
        <w:t>Pacijente sa prethodno neliječenim trostruko</w:t>
      </w:r>
      <w:r w:rsidR="000E1E10" w:rsidRPr="00B35A22">
        <w:rPr>
          <w:sz w:val="22"/>
          <w:lang w:val="sr-Latn-ME"/>
        </w:rPr>
        <w:t>-</w:t>
      </w:r>
      <w:r w:rsidRPr="00B35A22">
        <w:rPr>
          <w:sz w:val="22"/>
          <w:lang w:val="sr-Latn-ME"/>
        </w:rPr>
        <w:t>negativnim karcinomom dojke potrebno je odabrati za liječenje na osnovu tumorske ekspresije PD-L1 potvrđene validiranim testom (vidjeti dio 5.1).</w:t>
      </w:r>
    </w:p>
    <w:p w14:paraId="161D3DF6" w14:textId="77777777" w:rsidR="00D57F29" w:rsidRPr="00B35A22" w:rsidRDefault="00D57F29" w:rsidP="00B35A22">
      <w:pPr>
        <w:widowControl w:val="0"/>
        <w:tabs>
          <w:tab w:val="left" w:pos="540"/>
          <w:tab w:val="left" w:pos="569"/>
        </w:tabs>
        <w:jc w:val="both"/>
        <w:rPr>
          <w:sz w:val="22"/>
          <w:lang w:val="sr-Latn-ME"/>
        </w:rPr>
      </w:pPr>
    </w:p>
    <w:p w14:paraId="3E95532A" w14:textId="77777777" w:rsidR="00452E9D" w:rsidRPr="00B35A22" w:rsidRDefault="00452E9D" w:rsidP="00B35A22">
      <w:pPr>
        <w:widowControl w:val="0"/>
        <w:tabs>
          <w:tab w:val="left" w:pos="540"/>
          <w:tab w:val="left" w:pos="569"/>
        </w:tabs>
        <w:jc w:val="both"/>
        <w:rPr>
          <w:sz w:val="22"/>
          <w:u w:val="single"/>
          <w:lang w:val="sr-Latn-ME"/>
        </w:rPr>
      </w:pPr>
      <w:r w:rsidRPr="00B35A22">
        <w:rPr>
          <w:sz w:val="22"/>
          <w:u w:val="single"/>
          <w:lang w:val="sr-Latn-ME"/>
        </w:rPr>
        <w:t>Doziranje</w:t>
      </w:r>
    </w:p>
    <w:p w14:paraId="01A4529F" w14:textId="77777777" w:rsidR="003E225B" w:rsidRPr="00B35A22" w:rsidRDefault="003E225B" w:rsidP="00B35A22">
      <w:pPr>
        <w:widowControl w:val="0"/>
        <w:tabs>
          <w:tab w:val="left" w:pos="540"/>
          <w:tab w:val="left" w:pos="569"/>
        </w:tabs>
        <w:jc w:val="both"/>
        <w:rPr>
          <w:sz w:val="22"/>
          <w:u w:val="single"/>
          <w:lang w:val="sr-Latn-ME"/>
        </w:rPr>
      </w:pPr>
    </w:p>
    <w:p w14:paraId="1A19BC43" w14:textId="0349FC53" w:rsidR="00E14959" w:rsidRPr="00B35A22" w:rsidRDefault="00E14959" w:rsidP="00B35A22">
      <w:pPr>
        <w:widowControl w:val="0"/>
        <w:jc w:val="both"/>
        <w:rPr>
          <w:b/>
          <w:sz w:val="22"/>
          <w:lang w:val="sr-Latn-ME"/>
        </w:rPr>
      </w:pPr>
      <w:r w:rsidRPr="00B35A22">
        <w:rPr>
          <w:sz w:val="22"/>
          <w:lang w:val="sr-Latn-ME"/>
        </w:rPr>
        <w:lastRenderedPageBreak/>
        <w:t>Preporučena doza lijeka Tecentriq je ili 840 mg prim</w:t>
      </w:r>
      <w:r w:rsidR="00D57F29" w:rsidRPr="00B35A22">
        <w:rPr>
          <w:sz w:val="22"/>
          <w:lang w:val="sr-Latn-ME"/>
        </w:rPr>
        <w:t>i</w:t>
      </w:r>
      <w:r w:rsidRPr="00B35A22">
        <w:rPr>
          <w:sz w:val="22"/>
          <w:lang w:val="sr-Latn-ME"/>
        </w:rPr>
        <w:t>jenjeno intravenski svake dv</w:t>
      </w:r>
      <w:r w:rsidR="00D57F29" w:rsidRPr="00B35A22">
        <w:rPr>
          <w:sz w:val="22"/>
          <w:lang w:val="sr-Latn-ME"/>
        </w:rPr>
        <w:t>ij</w:t>
      </w:r>
      <w:r w:rsidRPr="00B35A22">
        <w:rPr>
          <w:sz w:val="22"/>
          <w:lang w:val="sr-Latn-ME"/>
        </w:rPr>
        <w:t>e nedjelje ili 1200 mg prim</w:t>
      </w:r>
      <w:r w:rsidR="00D57F29" w:rsidRPr="00B35A22">
        <w:rPr>
          <w:sz w:val="22"/>
          <w:lang w:val="sr-Latn-ME"/>
        </w:rPr>
        <w:t>i</w:t>
      </w:r>
      <w:r w:rsidRPr="00B35A22">
        <w:rPr>
          <w:sz w:val="22"/>
          <w:lang w:val="sr-Latn-ME"/>
        </w:rPr>
        <w:t>jenjeno intravenski svake tri ned</w:t>
      </w:r>
      <w:r w:rsidR="00D57F29" w:rsidRPr="00B35A22">
        <w:rPr>
          <w:sz w:val="22"/>
          <w:lang w:val="sr-Latn-ME"/>
        </w:rPr>
        <w:t>j</w:t>
      </w:r>
      <w:r w:rsidRPr="00B35A22">
        <w:rPr>
          <w:sz w:val="22"/>
          <w:lang w:val="sr-Latn-ME"/>
        </w:rPr>
        <w:t xml:space="preserve">elje </w:t>
      </w:r>
      <w:r w:rsidRPr="00B35A22">
        <w:rPr>
          <w:b/>
          <w:sz w:val="22"/>
          <w:lang w:val="sr-Latn-ME"/>
        </w:rPr>
        <w:t>ili</w:t>
      </w:r>
      <w:r w:rsidRPr="00B35A22">
        <w:rPr>
          <w:sz w:val="22"/>
          <w:lang w:val="sr-Latn-ME"/>
        </w:rPr>
        <w:t xml:space="preserve"> 1680 mg prim</w:t>
      </w:r>
      <w:r w:rsidR="00D57F29" w:rsidRPr="00B35A22">
        <w:rPr>
          <w:sz w:val="22"/>
          <w:lang w:val="sr-Latn-ME"/>
        </w:rPr>
        <w:t>i</w:t>
      </w:r>
      <w:r w:rsidRPr="00B35A22">
        <w:rPr>
          <w:sz w:val="22"/>
          <w:lang w:val="sr-Latn-ME"/>
        </w:rPr>
        <w:t>jenjeno intravenski svake četiri nedjelje, kao što je prikazano u Tabeli 1.</w:t>
      </w:r>
    </w:p>
    <w:p w14:paraId="68581DD2" w14:textId="77777777" w:rsidR="00E14959" w:rsidRPr="00B35A22" w:rsidRDefault="00E14959" w:rsidP="00B35A22">
      <w:pPr>
        <w:widowControl w:val="0"/>
        <w:jc w:val="both"/>
        <w:rPr>
          <w:sz w:val="22"/>
          <w:lang w:val="sr-Latn-ME"/>
        </w:rPr>
      </w:pPr>
    </w:p>
    <w:p w14:paraId="177CE612" w14:textId="50ED1F8E" w:rsidR="00E14959" w:rsidRPr="00B35A22" w:rsidRDefault="00E14959" w:rsidP="00B35A22">
      <w:pPr>
        <w:widowControl w:val="0"/>
        <w:jc w:val="both"/>
        <w:rPr>
          <w:sz w:val="22"/>
          <w:lang w:val="sr-Latn-ME"/>
        </w:rPr>
      </w:pPr>
      <w:r w:rsidRPr="00B35A22">
        <w:rPr>
          <w:sz w:val="22"/>
          <w:lang w:val="sr-Latn-ME"/>
        </w:rPr>
        <w:t>Kad se Tecentriq primjenjuje u kombinovanoj terapiji, pročitajte i informacije o ljekovima prim</w:t>
      </w:r>
      <w:r w:rsidR="00D57F29" w:rsidRPr="00B35A22">
        <w:rPr>
          <w:sz w:val="22"/>
          <w:lang w:val="sr-Latn-ME"/>
        </w:rPr>
        <w:t>i</w:t>
      </w:r>
      <w:r w:rsidRPr="00B35A22">
        <w:rPr>
          <w:sz w:val="22"/>
          <w:lang w:val="sr-Latn-ME"/>
        </w:rPr>
        <w:t>jenjenim u kombinaciji (vidjeti i dio 5.1).</w:t>
      </w:r>
    </w:p>
    <w:p w14:paraId="2D92FFC8" w14:textId="77777777" w:rsidR="00E14959" w:rsidRPr="00B35A22" w:rsidRDefault="00E14959" w:rsidP="00B35A22">
      <w:pPr>
        <w:widowControl w:val="0"/>
        <w:jc w:val="both"/>
        <w:rPr>
          <w:sz w:val="22"/>
          <w:lang w:val="sr-Latn-ME"/>
        </w:rPr>
      </w:pPr>
    </w:p>
    <w:p w14:paraId="7B6B5AD1" w14:textId="4A2084B6" w:rsidR="00E14959" w:rsidRPr="00B35A22" w:rsidRDefault="00E14959" w:rsidP="00B35A22">
      <w:pPr>
        <w:widowControl w:val="0"/>
        <w:jc w:val="both"/>
        <w:rPr>
          <w:b/>
          <w:sz w:val="22"/>
          <w:lang w:val="sr-Latn-ME"/>
        </w:rPr>
      </w:pPr>
      <w:r w:rsidRPr="00B35A22">
        <w:rPr>
          <w:b/>
          <w:sz w:val="22"/>
          <w:lang w:val="sr-Latn-ME"/>
        </w:rPr>
        <w:t>Tabela 1: Preporučena doza za Tecentriq prim</w:t>
      </w:r>
      <w:r w:rsidR="00D57F29" w:rsidRPr="00B35A22">
        <w:rPr>
          <w:b/>
          <w:sz w:val="22"/>
          <w:lang w:val="sr-Latn-ME"/>
        </w:rPr>
        <w:t>i</w:t>
      </w:r>
      <w:r w:rsidRPr="00B35A22">
        <w:rPr>
          <w:b/>
          <w:sz w:val="22"/>
          <w:lang w:val="sr-Latn-ME"/>
        </w:rPr>
        <w:t>jenjen intravenski</w:t>
      </w:r>
    </w:p>
    <w:p w14:paraId="608808D9" w14:textId="77777777" w:rsidR="00E14959" w:rsidRPr="00B35A22" w:rsidRDefault="00E14959" w:rsidP="00B35A22">
      <w:pPr>
        <w:widowControl w:val="0"/>
        <w:jc w:val="both"/>
        <w:rPr>
          <w:b/>
          <w:sz w:val="22"/>
          <w:lang w:val="sr-Latn-ME"/>
        </w:rPr>
      </w:pPr>
    </w:p>
    <w:tbl>
      <w:tblPr>
        <w:tblStyle w:val="TableGrid"/>
        <w:tblW w:w="0" w:type="auto"/>
        <w:tblLook w:val="04A0" w:firstRow="1" w:lastRow="0" w:firstColumn="1" w:lastColumn="0" w:noHBand="0" w:noVBand="1"/>
      </w:tblPr>
      <w:tblGrid>
        <w:gridCol w:w="2785"/>
        <w:gridCol w:w="3780"/>
        <w:gridCol w:w="2496"/>
      </w:tblGrid>
      <w:tr w:rsidR="00E14959" w:rsidRPr="00B35A22" w14:paraId="7DD6954A" w14:textId="77777777" w:rsidTr="0065270B">
        <w:trPr>
          <w:tblHeader/>
        </w:trPr>
        <w:tc>
          <w:tcPr>
            <w:tcW w:w="2785" w:type="dxa"/>
          </w:tcPr>
          <w:p w14:paraId="5DC84FA9" w14:textId="77777777" w:rsidR="00E14959" w:rsidRPr="00B35A22" w:rsidRDefault="00E14959" w:rsidP="00B35A22">
            <w:pPr>
              <w:widowControl w:val="0"/>
              <w:jc w:val="both"/>
              <w:rPr>
                <w:b/>
                <w:sz w:val="22"/>
                <w:lang w:val="sr-Latn-ME"/>
              </w:rPr>
            </w:pPr>
            <w:r w:rsidRPr="00B35A22">
              <w:rPr>
                <w:b/>
                <w:sz w:val="22"/>
                <w:lang w:val="sr-Latn-ME"/>
              </w:rPr>
              <w:t>Indikacija</w:t>
            </w:r>
          </w:p>
        </w:tc>
        <w:tc>
          <w:tcPr>
            <w:tcW w:w="3780" w:type="dxa"/>
          </w:tcPr>
          <w:p w14:paraId="68A4F6A3" w14:textId="77777777" w:rsidR="00E14959" w:rsidRPr="00B35A22" w:rsidRDefault="00E14959" w:rsidP="00B35A22">
            <w:pPr>
              <w:widowControl w:val="0"/>
              <w:jc w:val="both"/>
              <w:rPr>
                <w:b/>
                <w:sz w:val="22"/>
                <w:lang w:val="sr-Latn-ME"/>
              </w:rPr>
            </w:pPr>
            <w:r w:rsidRPr="00B35A22">
              <w:rPr>
                <w:b/>
                <w:sz w:val="22"/>
                <w:lang w:val="sr-Latn-ME"/>
              </w:rPr>
              <w:t>Preporučena doza i raspored doziranja</w:t>
            </w:r>
          </w:p>
        </w:tc>
        <w:tc>
          <w:tcPr>
            <w:tcW w:w="2496" w:type="dxa"/>
          </w:tcPr>
          <w:p w14:paraId="1B96A8CE" w14:textId="140AA325" w:rsidR="00E14959" w:rsidRPr="00B35A22" w:rsidRDefault="00E14959" w:rsidP="00B35A22">
            <w:pPr>
              <w:widowControl w:val="0"/>
              <w:jc w:val="both"/>
              <w:rPr>
                <w:b/>
                <w:sz w:val="22"/>
                <w:lang w:val="sr-Latn-ME"/>
              </w:rPr>
            </w:pPr>
            <w:r w:rsidRPr="00B35A22">
              <w:rPr>
                <w:b/>
                <w:sz w:val="22"/>
                <w:lang w:val="sr-Latn-ME"/>
              </w:rPr>
              <w:t>Trajanje liječenja</w:t>
            </w:r>
          </w:p>
        </w:tc>
      </w:tr>
      <w:tr w:rsidR="00E14959" w:rsidRPr="00B35A22" w14:paraId="06E6A174" w14:textId="77777777" w:rsidTr="0065270B">
        <w:tc>
          <w:tcPr>
            <w:tcW w:w="6565" w:type="dxa"/>
            <w:gridSpan w:val="2"/>
          </w:tcPr>
          <w:p w14:paraId="2C2A2967" w14:textId="77777777" w:rsidR="00E14959" w:rsidRPr="00B35A22" w:rsidRDefault="00E14959" w:rsidP="00B35A22">
            <w:pPr>
              <w:widowControl w:val="0"/>
              <w:jc w:val="both"/>
              <w:rPr>
                <w:b/>
                <w:sz w:val="22"/>
                <w:lang w:val="sr-Latn-ME"/>
              </w:rPr>
            </w:pPr>
            <w:r w:rsidRPr="00B35A22">
              <w:rPr>
                <w:b/>
                <w:sz w:val="22"/>
                <w:lang w:val="sr-Latn-ME"/>
              </w:rPr>
              <w:t>Tecentriq u monoterapiji</w:t>
            </w:r>
          </w:p>
        </w:tc>
        <w:tc>
          <w:tcPr>
            <w:tcW w:w="2496" w:type="dxa"/>
          </w:tcPr>
          <w:p w14:paraId="68830F16" w14:textId="77777777" w:rsidR="00E14959" w:rsidRPr="00B35A22" w:rsidRDefault="00E14959" w:rsidP="00B35A22">
            <w:pPr>
              <w:widowControl w:val="0"/>
              <w:jc w:val="both"/>
              <w:rPr>
                <w:b/>
                <w:sz w:val="22"/>
                <w:lang w:val="sr-Latn-ME"/>
              </w:rPr>
            </w:pPr>
          </w:p>
        </w:tc>
      </w:tr>
      <w:tr w:rsidR="001755D3" w:rsidRPr="00B35A22" w14:paraId="218056D0" w14:textId="77777777" w:rsidTr="0065270B">
        <w:tc>
          <w:tcPr>
            <w:tcW w:w="2785" w:type="dxa"/>
          </w:tcPr>
          <w:p w14:paraId="58CC862D" w14:textId="1659448B" w:rsidR="001755D3" w:rsidRPr="00B35A22" w:rsidRDefault="001755D3" w:rsidP="00B35A22">
            <w:pPr>
              <w:widowControl w:val="0"/>
              <w:rPr>
                <w:sz w:val="22"/>
                <w:lang w:val="sr-Latn-ME"/>
              </w:rPr>
            </w:pPr>
            <w:r w:rsidRPr="00B35A22">
              <w:rPr>
                <w:sz w:val="22"/>
                <w:lang w:val="sr-Latn-ME"/>
              </w:rPr>
              <w:t>Prva linija liječenja UK-a</w:t>
            </w:r>
          </w:p>
        </w:tc>
        <w:tc>
          <w:tcPr>
            <w:tcW w:w="3780" w:type="dxa"/>
            <w:vMerge w:val="restart"/>
          </w:tcPr>
          <w:p w14:paraId="39445E8A" w14:textId="478540A3" w:rsidR="001755D3" w:rsidRPr="00B35A22" w:rsidRDefault="001755D3"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840 mg na svake 2 nedjelje ili</w:t>
            </w:r>
          </w:p>
          <w:p w14:paraId="0EEBA715" w14:textId="2D456E61" w:rsidR="001755D3" w:rsidRPr="00B35A22" w:rsidRDefault="001755D3"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1200 mg na svake 3 nedjelje ili</w:t>
            </w:r>
          </w:p>
          <w:p w14:paraId="01758708" w14:textId="056488D2" w:rsidR="001755D3" w:rsidRPr="00B35A22" w:rsidRDefault="001755D3" w:rsidP="00B35A22">
            <w:pPr>
              <w:pStyle w:val="ListParagraph"/>
              <w:widowControl w:val="0"/>
              <w:numPr>
                <w:ilvl w:val="0"/>
                <w:numId w:val="30"/>
              </w:numPr>
              <w:tabs>
                <w:tab w:val="clear" w:pos="284"/>
              </w:tabs>
              <w:ind w:left="0" w:firstLine="0"/>
              <w:rPr>
                <w:noProof w:val="0"/>
                <w:lang w:val="sr-Latn-ME"/>
              </w:rPr>
            </w:pPr>
            <w:r w:rsidRPr="00B35A22">
              <w:rPr>
                <w:noProof w:val="0"/>
                <w:color w:val="000000"/>
                <w:lang w:val="sr-Latn-ME"/>
              </w:rPr>
              <w:t>1680 mg na svake 4 nedjelje</w:t>
            </w:r>
          </w:p>
        </w:tc>
        <w:tc>
          <w:tcPr>
            <w:tcW w:w="2496" w:type="dxa"/>
            <w:vMerge w:val="restart"/>
          </w:tcPr>
          <w:p w14:paraId="14C9EC71" w14:textId="77777777" w:rsidR="001755D3" w:rsidRPr="00B35A22" w:rsidRDefault="001755D3" w:rsidP="00B35A22">
            <w:pPr>
              <w:widowControl w:val="0"/>
              <w:rPr>
                <w:sz w:val="22"/>
                <w:lang w:val="sr-Latn-ME"/>
              </w:rPr>
            </w:pPr>
            <w:r w:rsidRPr="00B35A22">
              <w:rPr>
                <w:sz w:val="22"/>
                <w:lang w:val="sr-Latn-ME"/>
              </w:rPr>
              <w:t>Do progresije bolesti ili pojave toksičnosti koja se ne može zbrinuti.</w:t>
            </w:r>
          </w:p>
        </w:tc>
      </w:tr>
      <w:tr w:rsidR="001755D3" w:rsidRPr="00B35A22" w14:paraId="6C13CC18" w14:textId="77777777" w:rsidTr="0065270B">
        <w:tc>
          <w:tcPr>
            <w:tcW w:w="2785" w:type="dxa"/>
          </w:tcPr>
          <w:p w14:paraId="538F2B89" w14:textId="61C5D850" w:rsidR="001755D3" w:rsidRPr="00B35A22" w:rsidRDefault="001755D3" w:rsidP="00B35A22">
            <w:pPr>
              <w:widowControl w:val="0"/>
              <w:rPr>
                <w:sz w:val="22"/>
                <w:lang w:val="sr-Latn-ME"/>
              </w:rPr>
            </w:pPr>
            <w:r w:rsidRPr="00B35A22">
              <w:rPr>
                <w:sz w:val="22"/>
                <w:lang w:val="sr-Latn-ME"/>
              </w:rPr>
              <w:t>Prva linija liječenja metastatskog NSCLC</w:t>
            </w:r>
            <w:r w:rsidRPr="00B35A22">
              <w:rPr>
                <w:sz w:val="22"/>
                <w:lang w:val="sr-Latn-ME"/>
              </w:rPr>
              <w:noBreakHyphen/>
              <w:t>a</w:t>
            </w:r>
          </w:p>
        </w:tc>
        <w:tc>
          <w:tcPr>
            <w:tcW w:w="3780" w:type="dxa"/>
            <w:vMerge/>
          </w:tcPr>
          <w:p w14:paraId="36861148" w14:textId="77777777" w:rsidR="001755D3" w:rsidRPr="00B35A22" w:rsidRDefault="001755D3" w:rsidP="00B35A22">
            <w:pPr>
              <w:pStyle w:val="ListParagraph"/>
              <w:widowControl w:val="0"/>
              <w:numPr>
                <w:ilvl w:val="0"/>
                <w:numId w:val="30"/>
              </w:numPr>
              <w:tabs>
                <w:tab w:val="clear" w:pos="284"/>
              </w:tabs>
              <w:rPr>
                <w:noProof w:val="0"/>
                <w:color w:val="000000"/>
                <w:lang w:val="sr-Latn-ME"/>
              </w:rPr>
            </w:pPr>
          </w:p>
        </w:tc>
        <w:tc>
          <w:tcPr>
            <w:tcW w:w="2496" w:type="dxa"/>
            <w:vMerge/>
          </w:tcPr>
          <w:p w14:paraId="5051C588" w14:textId="77777777" w:rsidR="001755D3" w:rsidRPr="00B35A22" w:rsidRDefault="001755D3" w:rsidP="00B35A22">
            <w:pPr>
              <w:widowControl w:val="0"/>
              <w:rPr>
                <w:sz w:val="22"/>
                <w:lang w:val="sr-Latn-ME"/>
              </w:rPr>
            </w:pPr>
          </w:p>
        </w:tc>
      </w:tr>
      <w:tr w:rsidR="001755D3" w:rsidRPr="00B35A22" w14:paraId="62107307" w14:textId="77777777" w:rsidTr="00360657">
        <w:tc>
          <w:tcPr>
            <w:tcW w:w="2785" w:type="dxa"/>
          </w:tcPr>
          <w:p w14:paraId="5A4B54BB" w14:textId="271FDAF3" w:rsidR="001755D3" w:rsidRPr="00B35A22" w:rsidRDefault="001755D3" w:rsidP="00B35A22">
            <w:pPr>
              <w:widowControl w:val="0"/>
              <w:rPr>
                <w:sz w:val="22"/>
                <w:szCs w:val="22"/>
                <w:lang w:val="sr-Latn-ME"/>
              </w:rPr>
            </w:pPr>
            <w:r w:rsidRPr="00B35A22">
              <w:rPr>
                <w:sz w:val="22"/>
                <w:szCs w:val="22"/>
                <w:lang w:val="sr-Latn-ME"/>
              </w:rPr>
              <w:t>Prva linija liječenja NSCLC-a kod pacijenata nepogodnih za liječenje platinom</w:t>
            </w:r>
          </w:p>
        </w:tc>
        <w:tc>
          <w:tcPr>
            <w:tcW w:w="3780" w:type="dxa"/>
            <w:vMerge/>
          </w:tcPr>
          <w:p w14:paraId="16FE7310" w14:textId="77777777" w:rsidR="001755D3" w:rsidRPr="00B35A22" w:rsidRDefault="001755D3" w:rsidP="00B35A22">
            <w:pPr>
              <w:pStyle w:val="ListParagraph"/>
              <w:widowControl w:val="0"/>
              <w:numPr>
                <w:ilvl w:val="0"/>
                <w:numId w:val="30"/>
              </w:numPr>
              <w:tabs>
                <w:tab w:val="clear" w:pos="284"/>
              </w:tabs>
              <w:rPr>
                <w:noProof w:val="0"/>
                <w:color w:val="000000"/>
                <w:szCs w:val="22"/>
                <w:lang w:val="sr-Latn-ME"/>
              </w:rPr>
            </w:pPr>
          </w:p>
        </w:tc>
        <w:tc>
          <w:tcPr>
            <w:tcW w:w="2496" w:type="dxa"/>
            <w:vMerge/>
          </w:tcPr>
          <w:p w14:paraId="3A90DA38" w14:textId="77777777" w:rsidR="001755D3" w:rsidRPr="00B35A22" w:rsidRDefault="001755D3" w:rsidP="00B35A22">
            <w:pPr>
              <w:widowControl w:val="0"/>
              <w:rPr>
                <w:sz w:val="22"/>
                <w:szCs w:val="22"/>
                <w:lang w:val="sr-Latn-ME"/>
              </w:rPr>
            </w:pPr>
          </w:p>
        </w:tc>
      </w:tr>
      <w:tr w:rsidR="00D909F4" w:rsidRPr="00B35A22" w14:paraId="01597801" w14:textId="77777777" w:rsidTr="0065270B">
        <w:tc>
          <w:tcPr>
            <w:tcW w:w="2785" w:type="dxa"/>
          </w:tcPr>
          <w:p w14:paraId="035CD4F1" w14:textId="3B95BAF5" w:rsidR="00D909F4" w:rsidRPr="00B35A22" w:rsidRDefault="00D909F4" w:rsidP="00B35A22">
            <w:pPr>
              <w:widowControl w:val="0"/>
              <w:rPr>
                <w:sz w:val="22"/>
                <w:lang w:val="sr-Latn-ME"/>
              </w:rPr>
            </w:pPr>
            <w:r w:rsidRPr="00B35A22">
              <w:rPr>
                <w:sz w:val="22"/>
                <w:lang w:val="sr-Latn-ME"/>
              </w:rPr>
              <w:t>NSCLC u ranom stadijumu</w:t>
            </w:r>
          </w:p>
        </w:tc>
        <w:tc>
          <w:tcPr>
            <w:tcW w:w="3780" w:type="dxa"/>
          </w:tcPr>
          <w:p w14:paraId="62114A5E" w14:textId="77777777" w:rsidR="00D909F4" w:rsidRPr="00B35A22" w:rsidRDefault="00D909F4"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840 mg na svake 2 nedjelje ili</w:t>
            </w:r>
          </w:p>
          <w:p w14:paraId="4C5EECD0" w14:textId="77777777" w:rsidR="00D909F4" w:rsidRPr="00B35A22" w:rsidRDefault="00D909F4"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1200 mg na svake 3 nedjelje ili</w:t>
            </w:r>
          </w:p>
          <w:p w14:paraId="1B61E19E" w14:textId="70AFBA48" w:rsidR="00D909F4" w:rsidRPr="00B35A22" w:rsidRDefault="00D909F4"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1680 mg na svake 4 nedjelje</w:t>
            </w:r>
          </w:p>
        </w:tc>
        <w:tc>
          <w:tcPr>
            <w:tcW w:w="2496" w:type="dxa"/>
          </w:tcPr>
          <w:p w14:paraId="1519297E" w14:textId="4B13684B" w:rsidR="00D909F4" w:rsidRPr="00B35A22" w:rsidRDefault="00D909F4" w:rsidP="00B35A22">
            <w:pPr>
              <w:widowControl w:val="0"/>
              <w:rPr>
                <w:sz w:val="22"/>
                <w:lang w:val="sr-Latn-ME"/>
              </w:rPr>
            </w:pPr>
            <w:r w:rsidRPr="00B35A22">
              <w:rPr>
                <w:sz w:val="22"/>
                <w:lang w:val="sr-Latn-ME"/>
              </w:rPr>
              <w:t>Tokom 1 godine, osim ako ne dođe do recidiva bolesti ili pojave neprihvatljive toksičnosti. Liječenje duže od 1 godine nije se ispitivalo.</w:t>
            </w:r>
          </w:p>
        </w:tc>
      </w:tr>
      <w:tr w:rsidR="00E14959" w:rsidRPr="00B35A22" w14:paraId="73F805BA" w14:textId="77777777" w:rsidTr="0065270B">
        <w:tc>
          <w:tcPr>
            <w:tcW w:w="2785" w:type="dxa"/>
          </w:tcPr>
          <w:p w14:paraId="4E899ED1" w14:textId="7FB03560" w:rsidR="00E14959" w:rsidRPr="00B35A22" w:rsidRDefault="00E14959" w:rsidP="00B35A22">
            <w:pPr>
              <w:widowControl w:val="0"/>
              <w:rPr>
                <w:sz w:val="22"/>
                <w:lang w:val="sr-Latn-ME"/>
              </w:rPr>
            </w:pPr>
            <w:r w:rsidRPr="00B35A22">
              <w:rPr>
                <w:sz w:val="22"/>
                <w:lang w:val="sr-Latn-ME"/>
              </w:rPr>
              <w:t xml:space="preserve">Druga linija liječenja </w:t>
            </w:r>
            <w:r w:rsidR="009F3636" w:rsidRPr="00B35A22">
              <w:rPr>
                <w:sz w:val="22"/>
                <w:lang w:val="sr-Latn-ME"/>
              </w:rPr>
              <w:t>UK-a</w:t>
            </w:r>
          </w:p>
        </w:tc>
        <w:tc>
          <w:tcPr>
            <w:tcW w:w="3780" w:type="dxa"/>
            <w:vMerge w:val="restart"/>
          </w:tcPr>
          <w:p w14:paraId="109E9990" w14:textId="55E252E0"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2F75D06D" w14:textId="18730061"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1200 mg</w:t>
            </w:r>
            <w:r w:rsidR="000E1E10" w:rsidRPr="00B35A22">
              <w:rPr>
                <w:noProof w:val="0"/>
                <w:color w:val="000000"/>
                <w:lang w:val="sr-Latn-ME"/>
              </w:rPr>
              <w:t xml:space="preserve"> na</w:t>
            </w:r>
            <w:r w:rsidRPr="00B35A22">
              <w:rPr>
                <w:noProof w:val="0"/>
                <w:color w:val="000000"/>
                <w:lang w:val="sr-Latn-ME"/>
              </w:rPr>
              <w:t xml:space="preserve"> svake 3 nedjelje ili</w:t>
            </w:r>
          </w:p>
          <w:p w14:paraId="55C9B864" w14:textId="277996FD" w:rsidR="00E14959" w:rsidRPr="00B35A22" w:rsidRDefault="00E14959" w:rsidP="00B35A22">
            <w:pPr>
              <w:pStyle w:val="ListParagraph"/>
              <w:widowControl w:val="0"/>
              <w:numPr>
                <w:ilvl w:val="0"/>
                <w:numId w:val="30"/>
              </w:numPr>
              <w:tabs>
                <w:tab w:val="clear" w:pos="284"/>
              </w:tabs>
              <w:ind w:left="0" w:firstLine="0"/>
              <w:rPr>
                <w:noProof w:val="0"/>
                <w:lang w:val="sr-Latn-ME"/>
              </w:rPr>
            </w:pPr>
            <w:r w:rsidRPr="00B35A22">
              <w:rPr>
                <w:noProof w:val="0"/>
                <w:color w:val="000000"/>
                <w:lang w:val="sr-Latn-ME"/>
              </w:rPr>
              <w:t>1680 mg</w:t>
            </w:r>
            <w:r w:rsidR="000E1E10" w:rsidRPr="00B35A22">
              <w:rPr>
                <w:noProof w:val="0"/>
                <w:color w:val="000000"/>
                <w:lang w:val="sr-Latn-ME"/>
              </w:rPr>
              <w:t xml:space="preserve"> na</w:t>
            </w:r>
            <w:r w:rsidRPr="00B35A22">
              <w:rPr>
                <w:noProof w:val="0"/>
                <w:color w:val="000000"/>
                <w:lang w:val="sr-Latn-ME"/>
              </w:rPr>
              <w:t xml:space="preserve"> svake 4 nedjelje</w:t>
            </w:r>
          </w:p>
        </w:tc>
        <w:tc>
          <w:tcPr>
            <w:tcW w:w="2496" w:type="dxa"/>
            <w:vMerge w:val="restart"/>
          </w:tcPr>
          <w:p w14:paraId="2A46AA17" w14:textId="30305591" w:rsidR="00E14959" w:rsidRPr="00B35A22" w:rsidRDefault="00E14959" w:rsidP="00B35A22">
            <w:pPr>
              <w:widowControl w:val="0"/>
              <w:rPr>
                <w:sz w:val="22"/>
                <w:lang w:val="sr-Latn-ME"/>
              </w:rPr>
            </w:pPr>
            <w:r w:rsidRPr="00B35A22">
              <w:rPr>
                <w:sz w:val="22"/>
                <w:lang w:val="sr-Latn-ME"/>
              </w:rPr>
              <w:t>Do gubitka kliničke koristi ili pojave toksičnosti koja se ne može zbrinuti.</w:t>
            </w:r>
          </w:p>
        </w:tc>
      </w:tr>
      <w:tr w:rsidR="00E14959" w:rsidRPr="00B35A22" w14:paraId="2C155CB7" w14:textId="77777777" w:rsidTr="0065270B">
        <w:tc>
          <w:tcPr>
            <w:tcW w:w="2785" w:type="dxa"/>
          </w:tcPr>
          <w:p w14:paraId="0D009474" w14:textId="5D931977" w:rsidR="00E14959" w:rsidRPr="00B35A22" w:rsidRDefault="00E14959" w:rsidP="00B35A22">
            <w:pPr>
              <w:widowControl w:val="0"/>
              <w:rPr>
                <w:sz w:val="22"/>
                <w:lang w:val="sr-Latn-ME"/>
              </w:rPr>
            </w:pPr>
            <w:r w:rsidRPr="00B35A22">
              <w:rPr>
                <w:sz w:val="22"/>
                <w:lang w:val="sr-Latn-ME"/>
              </w:rPr>
              <w:t>Druga linija liječenja NSCLC</w:t>
            </w:r>
            <w:r w:rsidRPr="00B35A22">
              <w:rPr>
                <w:sz w:val="22"/>
                <w:lang w:val="sr-Latn-ME"/>
              </w:rPr>
              <w:noBreakHyphen/>
              <w:t>a</w:t>
            </w:r>
          </w:p>
        </w:tc>
        <w:tc>
          <w:tcPr>
            <w:tcW w:w="3780" w:type="dxa"/>
            <w:vMerge/>
          </w:tcPr>
          <w:p w14:paraId="6A4BDE8F" w14:textId="77777777" w:rsidR="00E14959" w:rsidRPr="00B35A22" w:rsidRDefault="00E14959" w:rsidP="00B35A22">
            <w:pPr>
              <w:pStyle w:val="ListParagraph"/>
              <w:widowControl w:val="0"/>
              <w:numPr>
                <w:ilvl w:val="0"/>
                <w:numId w:val="30"/>
              </w:numPr>
              <w:tabs>
                <w:tab w:val="clear" w:pos="284"/>
              </w:tabs>
              <w:rPr>
                <w:noProof w:val="0"/>
                <w:color w:val="000000"/>
                <w:lang w:val="sr-Latn-ME"/>
              </w:rPr>
            </w:pPr>
          </w:p>
        </w:tc>
        <w:tc>
          <w:tcPr>
            <w:tcW w:w="2496" w:type="dxa"/>
            <w:vMerge/>
          </w:tcPr>
          <w:p w14:paraId="7BA60B88" w14:textId="77777777" w:rsidR="00E14959" w:rsidRPr="00B35A22" w:rsidRDefault="00E14959" w:rsidP="00B35A22">
            <w:pPr>
              <w:widowControl w:val="0"/>
              <w:jc w:val="both"/>
              <w:rPr>
                <w:sz w:val="22"/>
                <w:lang w:val="sr-Latn-ME"/>
              </w:rPr>
            </w:pPr>
          </w:p>
        </w:tc>
      </w:tr>
      <w:tr w:rsidR="00E14959" w:rsidRPr="00B35A22" w14:paraId="7509F0E9" w14:textId="77777777" w:rsidTr="00E14959">
        <w:tc>
          <w:tcPr>
            <w:tcW w:w="9061" w:type="dxa"/>
            <w:gridSpan w:val="3"/>
          </w:tcPr>
          <w:p w14:paraId="4A929925" w14:textId="77777777" w:rsidR="00E14959" w:rsidRPr="00B35A22" w:rsidRDefault="00E14959" w:rsidP="00B35A22">
            <w:pPr>
              <w:widowControl w:val="0"/>
              <w:jc w:val="both"/>
              <w:rPr>
                <w:sz w:val="22"/>
                <w:lang w:val="sr-Latn-ME"/>
              </w:rPr>
            </w:pPr>
            <w:r w:rsidRPr="00B35A22">
              <w:rPr>
                <w:b/>
                <w:sz w:val="22"/>
                <w:lang w:val="sr-Latn-ME"/>
              </w:rPr>
              <w:t>Tecentriq u kombinovanoj terapiji</w:t>
            </w:r>
          </w:p>
        </w:tc>
      </w:tr>
      <w:tr w:rsidR="00E14959" w:rsidRPr="00B35A22" w14:paraId="02CC508A" w14:textId="77777777" w:rsidTr="0065270B">
        <w:tc>
          <w:tcPr>
            <w:tcW w:w="2785" w:type="dxa"/>
          </w:tcPr>
          <w:p w14:paraId="196C1DFF" w14:textId="039615D7" w:rsidR="00E14959" w:rsidRPr="00B35A22" w:rsidRDefault="00E14959" w:rsidP="00B35A22">
            <w:pPr>
              <w:widowControl w:val="0"/>
              <w:rPr>
                <w:sz w:val="22"/>
                <w:lang w:val="sr-Latn-ME"/>
              </w:rPr>
            </w:pPr>
            <w:r w:rsidRPr="00B35A22">
              <w:rPr>
                <w:sz w:val="22"/>
                <w:lang w:val="sr-Latn-ME"/>
              </w:rPr>
              <w:t xml:space="preserve">Prva linija liječenja neskvamoznog NSCLC-a </w:t>
            </w:r>
          </w:p>
          <w:p w14:paraId="63C78325" w14:textId="77777777" w:rsidR="00E14959" w:rsidRPr="00B35A22" w:rsidRDefault="00E14959" w:rsidP="00B35A22">
            <w:pPr>
              <w:widowControl w:val="0"/>
              <w:rPr>
                <w:sz w:val="22"/>
                <w:lang w:val="sr-Latn-ME"/>
              </w:rPr>
            </w:pPr>
            <w:r w:rsidRPr="00B35A22">
              <w:rPr>
                <w:sz w:val="22"/>
                <w:lang w:val="sr-Latn-ME"/>
              </w:rPr>
              <w:t xml:space="preserve">u kombinaciji sa bevacizumabom, paklitakselom i karboplatinom </w:t>
            </w:r>
          </w:p>
        </w:tc>
        <w:tc>
          <w:tcPr>
            <w:tcW w:w="3780" w:type="dxa"/>
          </w:tcPr>
          <w:p w14:paraId="77FF1587" w14:textId="2F9035DD" w:rsidR="00E14959" w:rsidRPr="00B35A22" w:rsidRDefault="00E14959" w:rsidP="00B35A22">
            <w:pPr>
              <w:widowControl w:val="0"/>
              <w:jc w:val="both"/>
              <w:rPr>
                <w:sz w:val="22"/>
                <w:lang w:val="sr-Latn-ME"/>
              </w:rPr>
            </w:pPr>
            <w:r w:rsidRPr="00B35A22">
              <w:rPr>
                <w:sz w:val="22"/>
                <w:lang w:val="sr-Latn-ME"/>
              </w:rPr>
              <w:t>Faza uvodnog liječenja i faza održavanja:</w:t>
            </w:r>
          </w:p>
          <w:p w14:paraId="0FE9DC40" w14:textId="325CFF1B"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19B32EA3" w14:textId="6FC78D52"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1200 mg </w:t>
            </w:r>
            <w:r w:rsidR="000E1E10" w:rsidRPr="00B35A22">
              <w:rPr>
                <w:noProof w:val="0"/>
                <w:color w:val="000000"/>
                <w:lang w:val="sr-Latn-ME"/>
              </w:rPr>
              <w:t xml:space="preserve">na </w:t>
            </w:r>
            <w:r w:rsidRPr="00B35A22">
              <w:rPr>
                <w:noProof w:val="0"/>
                <w:color w:val="000000"/>
                <w:lang w:val="sr-Latn-ME"/>
              </w:rPr>
              <w:t>svake 3 nedjelje ili</w:t>
            </w:r>
          </w:p>
          <w:p w14:paraId="0A10DD37" w14:textId="0AC83A17"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1680 mg </w:t>
            </w:r>
            <w:r w:rsidR="000E1E10" w:rsidRPr="00B35A22">
              <w:rPr>
                <w:noProof w:val="0"/>
                <w:color w:val="000000"/>
                <w:lang w:val="sr-Latn-ME"/>
              </w:rPr>
              <w:t xml:space="preserve">na </w:t>
            </w:r>
            <w:r w:rsidRPr="00B35A22">
              <w:rPr>
                <w:noProof w:val="0"/>
                <w:color w:val="000000"/>
                <w:lang w:val="sr-Latn-ME"/>
              </w:rPr>
              <w:t>svake 4 nedjelje</w:t>
            </w:r>
          </w:p>
          <w:p w14:paraId="44032AB9" w14:textId="77777777" w:rsidR="00E14959" w:rsidRPr="00B35A22" w:rsidRDefault="00E14959" w:rsidP="00B35A22">
            <w:pPr>
              <w:pStyle w:val="ListParagraph"/>
              <w:widowControl w:val="0"/>
              <w:ind w:left="0"/>
              <w:rPr>
                <w:noProof w:val="0"/>
                <w:color w:val="000000"/>
                <w:lang w:val="sr-Latn-ME"/>
              </w:rPr>
            </w:pPr>
          </w:p>
          <w:p w14:paraId="488AC755" w14:textId="4992DA13" w:rsidR="00E14959" w:rsidRPr="00B35A22" w:rsidRDefault="00E14959" w:rsidP="00B35A22">
            <w:pPr>
              <w:widowControl w:val="0"/>
              <w:jc w:val="both"/>
              <w:rPr>
                <w:sz w:val="22"/>
                <w:lang w:val="sr-Latn-ME"/>
              </w:rPr>
            </w:pPr>
            <w:r w:rsidRPr="00B35A22">
              <w:rPr>
                <w:sz w:val="22"/>
                <w:lang w:val="sr-Latn-ME"/>
              </w:rPr>
              <w:t>Tecentriq treba prim</w:t>
            </w:r>
            <w:r w:rsidR="00D57F29" w:rsidRPr="00B35A22">
              <w:rPr>
                <w:sz w:val="22"/>
                <w:lang w:val="sr-Latn-ME"/>
              </w:rPr>
              <w:t>i</w:t>
            </w:r>
            <w:r w:rsidRPr="00B35A22">
              <w:rPr>
                <w:sz w:val="22"/>
                <w:lang w:val="sr-Latn-ME"/>
              </w:rPr>
              <w:t xml:space="preserve">jeniti prvi kad se daje istoga dana. </w:t>
            </w:r>
          </w:p>
          <w:p w14:paraId="0F0DF6B3" w14:textId="77777777" w:rsidR="00E14959" w:rsidRPr="00B35A22" w:rsidRDefault="00E14959" w:rsidP="00B35A22">
            <w:pPr>
              <w:widowControl w:val="0"/>
              <w:jc w:val="both"/>
              <w:rPr>
                <w:sz w:val="22"/>
                <w:lang w:val="sr-Latn-ME"/>
              </w:rPr>
            </w:pPr>
          </w:p>
          <w:p w14:paraId="0B4019DE" w14:textId="6368D7CF" w:rsidR="00574B7C" w:rsidRPr="00B35A22" w:rsidRDefault="00E14959" w:rsidP="00B35A22">
            <w:pPr>
              <w:widowControl w:val="0"/>
              <w:jc w:val="both"/>
              <w:rPr>
                <w:sz w:val="22"/>
                <w:lang w:val="sr-Latn-ME"/>
              </w:rPr>
            </w:pPr>
            <w:r w:rsidRPr="00B35A22">
              <w:rPr>
                <w:sz w:val="22"/>
                <w:lang w:val="sr-Latn-ME"/>
              </w:rPr>
              <w:t>Faza uvodnog liječenja</w:t>
            </w:r>
            <w:r w:rsidR="00574B7C" w:rsidRPr="00B35A22">
              <w:rPr>
                <w:sz w:val="22"/>
                <w:lang w:val="sr-Latn-ME"/>
              </w:rPr>
              <w:t xml:space="preserve"> za ljekove koji se primjenjuju u kombinaciji (četiri ili šest ciklusa)</w:t>
            </w:r>
            <w:r w:rsidRPr="00B35A22">
              <w:rPr>
                <w:sz w:val="22"/>
                <w:lang w:val="sr-Latn-ME"/>
              </w:rPr>
              <w:t xml:space="preserve">: </w:t>
            </w:r>
          </w:p>
          <w:p w14:paraId="25BDFD4E" w14:textId="31B51700" w:rsidR="00E14959" w:rsidRPr="00B35A22" w:rsidRDefault="00E14959" w:rsidP="00B35A22">
            <w:pPr>
              <w:widowControl w:val="0"/>
              <w:jc w:val="both"/>
              <w:rPr>
                <w:sz w:val="22"/>
                <w:lang w:val="sr-Latn-ME"/>
              </w:rPr>
            </w:pPr>
            <w:r w:rsidRPr="00B35A22">
              <w:rPr>
                <w:sz w:val="22"/>
                <w:lang w:val="sr-Latn-ME"/>
              </w:rPr>
              <w:t>Bevacizumab, paklitaksel i zatim karboplatin primjenjuju se svake tri nedjelje.</w:t>
            </w:r>
          </w:p>
          <w:p w14:paraId="04AB6FBB" w14:textId="77777777" w:rsidR="00E14959" w:rsidRPr="00B35A22" w:rsidRDefault="00E14959" w:rsidP="00B35A22">
            <w:pPr>
              <w:widowControl w:val="0"/>
              <w:jc w:val="both"/>
              <w:rPr>
                <w:sz w:val="22"/>
                <w:lang w:val="sr-Latn-ME"/>
              </w:rPr>
            </w:pPr>
          </w:p>
          <w:p w14:paraId="3FEA1CF8" w14:textId="16E96700" w:rsidR="00E14959" w:rsidRPr="00B35A22" w:rsidRDefault="00E14959" w:rsidP="00B35A22">
            <w:pPr>
              <w:widowControl w:val="0"/>
              <w:jc w:val="both"/>
              <w:rPr>
                <w:sz w:val="22"/>
                <w:lang w:val="sr-Latn-ME"/>
              </w:rPr>
            </w:pPr>
            <w:r w:rsidRPr="00B35A22">
              <w:rPr>
                <w:sz w:val="22"/>
                <w:lang w:val="sr-Latn-ME"/>
              </w:rPr>
              <w:t>Faza održavanja (bez hemoterapije): bevacizumab svake 3 nedjelje.</w:t>
            </w:r>
          </w:p>
        </w:tc>
        <w:tc>
          <w:tcPr>
            <w:tcW w:w="2496" w:type="dxa"/>
          </w:tcPr>
          <w:p w14:paraId="4BE09BF8" w14:textId="5838A6F1" w:rsidR="00E14959" w:rsidRPr="00B35A22" w:rsidRDefault="00574B7C" w:rsidP="00B35A22">
            <w:pPr>
              <w:widowControl w:val="0"/>
              <w:rPr>
                <w:sz w:val="22"/>
                <w:lang w:val="sr-Latn-ME"/>
              </w:rPr>
            </w:pPr>
            <w:r w:rsidRPr="00B35A22">
              <w:rPr>
                <w:sz w:val="22"/>
                <w:lang w:val="sr-Latn-ME"/>
              </w:rPr>
              <w:t>D</w:t>
            </w:r>
            <w:r w:rsidR="00E14959" w:rsidRPr="00B35A22">
              <w:rPr>
                <w:sz w:val="22"/>
                <w:lang w:val="sr-Latn-ME"/>
              </w:rPr>
              <w:t xml:space="preserve">o progresije bolesti ili pojave toksičnosti koja se ne može zbrinuti. Primijećeni su atipični odgovori (tj. inicijalna progresija bolesti koju prati smanjenje tumorske mase) tokom nastavka liječenja lijekom Tecentriq nakon progresije bolesti. Nastavak liječenja nakon progresije bolesti može se razmotriti u skladu sa odlukom ljekara. </w:t>
            </w:r>
          </w:p>
        </w:tc>
      </w:tr>
      <w:tr w:rsidR="00E14959" w:rsidRPr="00B35A22" w14:paraId="31213232" w14:textId="77777777" w:rsidTr="0065270B">
        <w:tc>
          <w:tcPr>
            <w:tcW w:w="2785" w:type="dxa"/>
          </w:tcPr>
          <w:p w14:paraId="733A70A2" w14:textId="13724016" w:rsidR="00E14959" w:rsidRPr="00B35A22" w:rsidRDefault="00E14959" w:rsidP="00B35A22">
            <w:pPr>
              <w:widowControl w:val="0"/>
              <w:rPr>
                <w:sz w:val="22"/>
                <w:lang w:val="sr-Latn-ME"/>
              </w:rPr>
            </w:pPr>
            <w:r w:rsidRPr="00B35A22">
              <w:rPr>
                <w:sz w:val="22"/>
                <w:lang w:val="sr-Latn-ME"/>
              </w:rPr>
              <w:t xml:space="preserve">Prva linija liječenja neskvamznog NSCLC-a </w:t>
            </w:r>
          </w:p>
          <w:p w14:paraId="23FFE108" w14:textId="77777777" w:rsidR="00E14959" w:rsidRPr="00B35A22" w:rsidRDefault="00E14959" w:rsidP="00B35A22">
            <w:pPr>
              <w:widowControl w:val="0"/>
              <w:rPr>
                <w:sz w:val="22"/>
                <w:lang w:val="sr-Latn-ME"/>
              </w:rPr>
            </w:pPr>
            <w:r w:rsidRPr="00B35A22">
              <w:rPr>
                <w:sz w:val="22"/>
                <w:lang w:val="sr-Latn-ME"/>
              </w:rPr>
              <w:t>u kombinaciji sa nab</w:t>
            </w:r>
            <w:r w:rsidRPr="00B35A22">
              <w:rPr>
                <w:sz w:val="22"/>
                <w:lang w:val="sr-Latn-ME"/>
              </w:rPr>
              <w:noBreakHyphen/>
              <w:t>paklitakselom i karboplatinom</w:t>
            </w:r>
          </w:p>
        </w:tc>
        <w:tc>
          <w:tcPr>
            <w:tcW w:w="3780" w:type="dxa"/>
          </w:tcPr>
          <w:p w14:paraId="2A68A2C9" w14:textId="4C298DF9" w:rsidR="00E14959" w:rsidRPr="00B35A22" w:rsidRDefault="00E14959" w:rsidP="00B35A22">
            <w:pPr>
              <w:widowControl w:val="0"/>
              <w:jc w:val="both"/>
              <w:rPr>
                <w:sz w:val="22"/>
                <w:lang w:val="sr-Latn-ME"/>
              </w:rPr>
            </w:pPr>
            <w:r w:rsidRPr="00B35A22">
              <w:rPr>
                <w:sz w:val="22"/>
                <w:lang w:val="sr-Latn-ME"/>
              </w:rPr>
              <w:t>Faza uvodnog liječenja</w:t>
            </w:r>
            <w:r w:rsidR="00574B7C" w:rsidRPr="00B35A22">
              <w:rPr>
                <w:sz w:val="22"/>
                <w:lang w:val="sr-Latn-ME"/>
              </w:rPr>
              <w:t xml:space="preserve"> i faza održavanja</w:t>
            </w:r>
            <w:r w:rsidRPr="00B35A22">
              <w:rPr>
                <w:sz w:val="22"/>
                <w:lang w:val="sr-Latn-ME"/>
              </w:rPr>
              <w:t xml:space="preserve">: </w:t>
            </w:r>
          </w:p>
          <w:p w14:paraId="0B39B950" w14:textId="41A88E8C"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4086DFB2" w14:textId="3C0A523B"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1200 mg </w:t>
            </w:r>
            <w:r w:rsidR="000E1E10" w:rsidRPr="00B35A22">
              <w:rPr>
                <w:noProof w:val="0"/>
                <w:color w:val="000000"/>
                <w:lang w:val="sr-Latn-ME"/>
              </w:rPr>
              <w:t xml:space="preserve">na </w:t>
            </w:r>
            <w:r w:rsidRPr="00B35A22">
              <w:rPr>
                <w:noProof w:val="0"/>
                <w:color w:val="000000"/>
                <w:lang w:val="sr-Latn-ME"/>
              </w:rPr>
              <w:t>svake 3 nedjelje ili</w:t>
            </w:r>
          </w:p>
          <w:p w14:paraId="11407AE5" w14:textId="4BEA2686"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1680 mg</w:t>
            </w:r>
            <w:r w:rsidR="000E1E10" w:rsidRPr="00B35A22">
              <w:rPr>
                <w:noProof w:val="0"/>
                <w:color w:val="000000"/>
                <w:lang w:val="sr-Latn-ME"/>
              </w:rPr>
              <w:t xml:space="preserve"> na</w:t>
            </w:r>
            <w:r w:rsidRPr="00B35A22">
              <w:rPr>
                <w:noProof w:val="0"/>
                <w:color w:val="000000"/>
                <w:lang w:val="sr-Latn-ME"/>
              </w:rPr>
              <w:t xml:space="preserve"> svake 4 nedjelje </w:t>
            </w:r>
          </w:p>
          <w:p w14:paraId="71B764C0" w14:textId="77777777" w:rsidR="00E14959" w:rsidRPr="00B35A22" w:rsidRDefault="00E14959" w:rsidP="00B35A22">
            <w:pPr>
              <w:widowControl w:val="0"/>
              <w:jc w:val="both"/>
              <w:rPr>
                <w:sz w:val="22"/>
                <w:lang w:val="sr-Latn-ME"/>
              </w:rPr>
            </w:pPr>
          </w:p>
          <w:p w14:paraId="5A11ABE4" w14:textId="6B4E9E0E" w:rsidR="00574B7C" w:rsidRPr="00B35A22" w:rsidRDefault="00E14959" w:rsidP="00B35A22">
            <w:pPr>
              <w:widowControl w:val="0"/>
              <w:jc w:val="both"/>
              <w:rPr>
                <w:sz w:val="22"/>
                <w:lang w:val="sr-Latn-ME"/>
              </w:rPr>
            </w:pPr>
            <w:r w:rsidRPr="00B35A22">
              <w:rPr>
                <w:sz w:val="22"/>
                <w:lang w:val="sr-Latn-ME"/>
              </w:rPr>
              <w:t>Tecentriq treba prim</w:t>
            </w:r>
            <w:r w:rsidR="00145D17" w:rsidRPr="00B35A22">
              <w:rPr>
                <w:sz w:val="22"/>
                <w:lang w:val="sr-Latn-ME"/>
              </w:rPr>
              <w:t>i</w:t>
            </w:r>
            <w:r w:rsidRPr="00B35A22">
              <w:rPr>
                <w:sz w:val="22"/>
                <w:lang w:val="sr-Latn-ME"/>
              </w:rPr>
              <w:t xml:space="preserve">jeniti prvi kad se daje istoga dana. </w:t>
            </w:r>
          </w:p>
          <w:p w14:paraId="3744ABB1" w14:textId="77777777" w:rsidR="00574B7C" w:rsidRPr="00B35A22" w:rsidRDefault="00574B7C" w:rsidP="00B35A22">
            <w:pPr>
              <w:widowControl w:val="0"/>
              <w:jc w:val="both"/>
              <w:rPr>
                <w:sz w:val="22"/>
                <w:lang w:val="sr-Latn-ME"/>
              </w:rPr>
            </w:pPr>
          </w:p>
          <w:p w14:paraId="6336F225" w14:textId="70BF3655" w:rsidR="00574B7C" w:rsidRPr="00B35A22" w:rsidRDefault="00574B7C" w:rsidP="00B35A22">
            <w:pPr>
              <w:widowControl w:val="0"/>
              <w:jc w:val="both"/>
              <w:rPr>
                <w:sz w:val="22"/>
                <w:lang w:val="sr-Latn-ME"/>
              </w:rPr>
            </w:pPr>
            <w:r w:rsidRPr="00B35A22">
              <w:rPr>
                <w:sz w:val="22"/>
                <w:lang w:val="sr-Latn-ME"/>
              </w:rPr>
              <w:t xml:space="preserve">Faza uvodnog liječenja za ljekove koji se </w:t>
            </w:r>
            <w:r w:rsidRPr="00B35A22">
              <w:rPr>
                <w:sz w:val="22"/>
                <w:lang w:val="sr-Latn-ME"/>
              </w:rPr>
              <w:lastRenderedPageBreak/>
              <w:t>primjenjuju u kombinaciji (četiri ili šest ciklusa):</w:t>
            </w:r>
          </w:p>
          <w:p w14:paraId="29792ACE" w14:textId="74554080" w:rsidR="00E14959" w:rsidRPr="00B35A22" w:rsidRDefault="00E14959" w:rsidP="00B35A22">
            <w:pPr>
              <w:widowControl w:val="0"/>
              <w:jc w:val="both"/>
              <w:rPr>
                <w:sz w:val="22"/>
                <w:lang w:val="sr-Latn-ME"/>
              </w:rPr>
            </w:pPr>
            <w:r w:rsidRPr="00B35A22">
              <w:rPr>
                <w:sz w:val="22"/>
                <w:lang w:val="sr-Latn-ME"/>
              </w:rPr>
              <w:t>Nab</w:t>
            </w:r>
            <w:r w:rsidRPr="00B35A22">
              <w:rPr>
                <w:sz w:val="22"/>
                <w:lang w:val="sr-Latn-ME"/>
              </w:rPr>
              <w:noBreakHyphen/>
              <w:t>paklitaksel i karboplatin primjenjuju se 1. dana; dodatno, nab</w:t>
            </w:r>
            <w:r w:rsidRPr="00B35A22">
              <w:rPr>
                <w:sz w:val="22"/>
                <w:lang w:val="sr-Latn-ME"/>
              </w:rPr>
              <w:noBreakHyphen/>
              <w:t xml:space="preserve">paklitaksel se primjenjuje 8. i 15. dana svakog </w:t>
            </w:r>
            <w:r w:rsidR="00574B7C" w:rsidRPr="00B35A22">
              <w:rPr>
                <w:sz w:val="22"/>
                <w:lang w:val="sr-Latn-ME"/>
              </w:rPr>
              <w:t xml:space="preserve">3-nedjeljnog </w:t>
            </w:r>
            <w:r w:rsidRPr="00B35A22">
              <w:rPr>
                <w:sz w:val="22"/>
                <w:lang w:val="sr-Latn-ME"/>
              </w:rPr>
              <w:t>ciklusa.</w:t>
            </w:r>
          </w:p>
        </w:tc>
        <w:tc>
          <w:tcPr>
            <w:tcW w:w="2496" w:type="dxa"/>
          </w:tcPr>
          <w:p w14:paraId="55080E80" w14:textId="06FDAFE8" w:rsidR="00E14959" w:rsidRPr="00B35A22" w:rsidRDefault="00574B7C" w:rsidP="00B35A22">
            <w:pPr>
              <w:widowControl w:val="0"/>
              <w:rPr>
                <w:sz w:val="22"/>
                <w:lang w:val="sr-Latn-ME"/>
              </w:rPr>
            </w:pPr>
            <w:r w:rsidRPr="00B35A22">
              <w:rPr>
                <w:sz w:val="22"/>
                <w:lang w:val="sr-Latn-ME"/>
              </w:rPr>
              <w:lastRenderedPageBreak/>
              <w:t>D</w:t>
            </w:r>
            <w:r w:rsidR="00E14959" w:rsidRPr="00B35A22">
              <w:rPr>
                <w:sz w:val="22"/>
                <w:lang w:val="sr-Latn-ME"/>
              </w:rPr>
              <w:t xml:space="preserve">o progresije bolesti ili pojave toksičnosti koja se ne može zbrinuti. Primijećeni su atipični odgovori (tj. inicijalna progresija bolesti koju prati smanjenje tumorske mase) tokom nastavka liječenja lijekom Tecentriq nakon </w:t>
            </w:r>
            <w:r w:rsidR="00E14959" w:rsidRPr="00B35A22">
              <w:rPr>
                <w:sz w:val="22"/>
                <w:lang w:val="sr-Latn-ME"/>
              </w:rPr>
              <w:lastRenderedPageBreak/>
              <w:t>progresije bolesti. Nastavak liječenja nakon progresije bolesti može se razmotriti u skladu sa odlukom ljekara.</w:t>
            </w:r>
          </w:p>
        </w:tc>
      </w:tr>
      <w:tr w:rsidR="00E14959" w:rsidRPr="00B35A22" w14:paraId="03501595" w14:textId="77777777" w:rsidTr="0065270B">
        <w:trPr>
          <w:cantSplit/>
        </w:trPr>
        <w:tc>
          <w:tcPr>
            <w:tcW w:w="2785" w:type="dxa"/>
          </w:tcPr>
          <w:p w14:paraId="618F7F01" w14:textId="4E90455B" w:rsidR="00E14959" w:rsidRPr="00B35A22" w:rsidRDefault="00E14959" w:rsidP="00B35A22">
            <w:pPr>
              <w:widowControl w:val="0"/>
              <w:rPr>
                <w:sz w:val="22"/>
                <w:lang w:val="sr-Latn-ME"/>
              </w:rPr>
            </w:pPr>
            <w:r w:rsidRPr="00B35A22">
              <w:rPr>
                <w:sz w:val="22"/>
                <w:lang w:val="sr-Latn-ME"/>
              </w:rPr>
              <w:lastRenderedPageBreak/>
              <w:t>Prva linija liječenja E</w:t>
            </w:r>
            <w:r w:rsidR="009F3636" w:rsidRPr="00B35A22">
              <w:rPr>
                <w:sz w:val="22"/>
                <w:lang w:val="sr-Latn-ME"/>
              </w:rPr>
              <w:t>S</w:t>
            </w:r>
            <w:r w:rsidRPr="00B35A22">
              <w:rPr>
                <w:sz w:val="22"/>
                <w:lang w:val="sr-Latn-ME"/>
              </w:rPr>
              <w:t>-SCLC</w:t>
            </w:r>
            <w:r w:rsidRPr="00B35A22">
              <w:rPr>
                <w:sz w:val="22"/>
                <w:lang w:val="sr-Latn-ME"/>
              </w:rPr>
              <w:noBreakHyphen/>
              <w:t>a u kombinaciji sa karboplatinom i etopozidom</w:t>
            </w:r>
          </w:p>
        </w:tc>
        <w:tc>
          <w:tcPr>
            <w:tcW w:w="3780" w:type="dxa"/>
          </w:tcPr>
          <w:p w14:paraId="59083735" w14:textId="19ABE862" w:rsidR="00E14959" w:rsidRPr="00B35A22" w:rsidRDefault="00E14959" w:rsidP="00B35A22">
            <w:pPr>
              <w:widowControl w:val="0"/>
              <w:jc w:val="both"/>
              <w:rPr>
                <w:sz w:val="22"/>
                <w:lang w:val="sr-Latn-ME"/>
              </w:rPr>
            </w:pPr>
            <w:r w:rsidRPr="00B35A22">
              <w:rPr>
                <w:sz w:val="22"/>
                <w:lang w:val="sr-Latn-ME"/>
              </w:rPr>
              <w:t>Faza uvodnog liječenja</w:t>
            </w:r>
            <w:r w:rsidR="00574B7C" w:rsidRPr="00B35A22">
              <w:rPr>
                <w:sz w:val="22"/>
                <w:lang w:val="sr-Latn-ME"/>
              </w:rPr>
              <w:t xml:space="preserve"> i faza održavanja</w:t>
            </w:r>
            <w:r w:rsidRPr="00B35A22">
              <w:rPr>
                <w:sz w:val="22"/>
                <w:lang w:val="sr-Latn-ME"/>
              </w:rPr>
              <w:t>:</w:t>
            </w:r>
          </w:p>
          <w:p w14:paraId="2B3AD109" w14:textId="0B5BEB56"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0A720583" w14:textId="2848FCB6"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1200 mg</w:t>
            </w:r>
            <w:r w:rsidR="000E1E10" w:rsidRPr="00B35A22">
              <w:rPr>
                <w:noProof w:val="0"/>
                <w:color w:val="000000"/>
                <w:lang w:val="sr-Latn-ME"/>
              </w:rPr>
              <w:t xml:space="preserve"> na</w:t>
            </w:r>
            <w:r w:rsidRPr="00B35A22">
              <w:rPr>
                <w:noProof w:val="0"/>
                <w:color w:val="000000"/>
                <w:lang w:val="sr-Latn-ME"/>
              </w:rPr>
              <w:t xml:space="preserve"> svake 3 nedjelje ili</w:t>
            </w:r>
          </w:p>
          <w:p w14:paraId="534A31C1" w14:textId="073DF432"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1680 mg </w:t>
            </w:r>
            <w:r w:rsidR="000E1E10" w:rsidRPr="00B35A22">
              <w:rPr>
                <w:noProof w:val="0"/>
                <w:color w:val="000000"/>
                <w:lang w:val="sr-Latn-ME"/>
              </w:rPr>
              <w:t xml:space="preserve">na </w:t>
            </w:r>
            <w:r w:rsidRPr="00B35A22">
              <w:rPr>
                <w:noProof w:val="0"/>
                <w:color w:val="000000"/>
                <w:lang w:val="sr-Latn-ME"/>
              </w:rPr>
              <w:t>svake 4 nedjelje</w:t>
            </w:r>
          </w:p>
          <w:p w14:paraId="606397AC" w14:textId="77777777" w:rsidR="00E14959" w:rsidRPr="00B35A22" w:rsidRDefault="00E14959" w:rsidP="00B35A22">
            <w:pPr>
              <w:pStyle w:val="ListParagraph"/>
              <w:widowControl w:val="0"/>
              <w:ind w:left="0"/>
              <w:rPr>
                <w:noProof w:val="0"/>
                <w:color w:val="000000"/>
                <w:lang w:val="sr-Latn-ME"/>
              </w:rPr>
            </w:pPr>
          </w:p>
          <w:p w14:paraId="0560A441" w14:textId="21D7E729" w:rsidR="00574B7C" w:rsidRPr="00B35A22" w:rsidRDefault="00E14959" w:rsidP="00B35A22">
            <w:pPr>
              <w:widowControl w:val="0"/>
              <w:jc w:val="both"/>
              <w:rPr>
                <w:sz w:val="22"/>
                <w:lang w:val="sr-Latn-ME"/>
              </w:rPr>
            </w:pPr>
            <w:r w:rsidRPr="00B35A22">
              <w:rPr>
                <w:sz w:val="22"/>
                <w:lang w:val="sr-Latn-ME"/>
              </w:rPr>
              <w:t>Tecentriq treba prim</w:t>
            </w:r>
            <w:r w:rsidR="00145D17" w:rsidRPr="00B35A22">
              <w:rPr>
                <w:sz w:val="22"/>
                <w:lang w:val="sr-Latn-ME"/>
              </w:rPr>
              <w:t>i</w:t>
            </w:r>
            <w:r w:rsidRPr="00B35A22">
              <w:rPr>
                <w:sz w:val="22"/>
                <w:lang w:val="sr-Latn-ME"/>
              </w:rPr>
              <w:t xml:space="preserve">jeniti prvi kad se daje istoga dana. </w:t>
            </w:r>
          </w:p>
          <w:p w14:paraId="478A1EFE" w14:textId="77777777" w:rsidR="00574B7C" w:rsidRPr="00B35A22" w:rsidRDefault="00574B7C" w:rsidP="00B35A22">
            <w:pPr>
              <w:widowControl w:val="0"/>
              <w:jc w:val="both"/>
              <w:rPr>
                <w:sz w:val="22"/>
                <w:lang w:val="sr-Latn-ME"/>
              </w:rPr>
            </w:pPr>
          </w:p>
          <w:p w14:paraId="43D909A2" w14:textId="0EB1FFC7" w:rsidR="00574B7C" w:rsidRPr="00B35A22" w:rsidRDefault="00574B7C" w:rsidP="00B35A22">
            <w:pPr>
              <w:widowControl w:val="0"/>
              <w:jc w:val="both"/>
              <w:rPr>
                <w:sz w:val="22"/>
                <w:lang w:val="sr-Latn-ME"/>
              </w:rPr>
            </w:pPr>
            <w:r w:rsidRPr="00B35A22">
              <w:rPr>
                <w:sz w:val="22"/>
                <w:lang w:val="sr-Latn-ME"/>
              </w:rPr>
              <w:t>Faza uvodnog liječenja za ljekove koji se primjenjuju u kombinaciji (četiri ili šest ciklusa):</w:t>
            </w:r>
          </w:p>
          <w:p w14:paraId="61D17723" w14:textId="77783EB8" w:rsidR="00E14959" w:rsidRPr="00B35A22" w:rsidRDefault="00E14959" w:rsidP="00B35A22">
            <w:pPr>
              <w:widowControl w:val="0"/>
              <w:jc w:val="both"/>
              <w:rPr>
                <w:sz w:val="22"/>
                <w:lang w:val="sr-Latn-ME"/>
              </w:rPr>
            </w:pPr>
            <w:r w:rsidRPr="00B35A22">
              <w:rPr>
                <w:sz w:val="22"/>
                <w:lang w:val="sr-Latn-ME"/>
              </w:rPr>
              <w:t>Karboplatin i zatim etopozid primjenjuju se 1. dana; etopozid se takođe primjenjuje 2. i 3. dana svakog</w:t>
            </w:r>
            <w:r w:rsidR="00167763" w:rsidRPr="00B35A22">
              <w:rPr>
                <w:sz w:val="22"/>
                <w:lang w:val="sr-Latn-ME"/>
              </w:rPr>
              <w:t xml:space="preserve"> 3-</w:t>
            </w:r>
            <w:r w:rsidR="00145D17" w:rsidRPr="00B35A22">
              <w:rPr>
                <w:sz w:val="22"/>
                <w:lang w:val="sr-Latn-ME"/>
              </w:rPr>
              <w:t>nedjeljnog</w:t>
            </w:r>
            <w:r w:rsidRPr="00B35A22">
              <w:rPr>
                <w:sz w:val="22"/>
                <w:lang w:val="sr-Latn-ME"/>
              </w:rPr>
              <w:t xml:space="preserve"> ciklusa.</w:t>
            </w:r>
          </w:p>
        </w:tc>
        <w:tc>
          <w:tcPr>
            <w:tcW w:w="2496" w:type="dxa"/>
          </w:tcPr>
          <w:p w14:paraId="0FD1EBCF" w14:textId="48D5919D" w:rsidR="00E14959" w:rsidRPr="00B35A22" w:rsidRDefault="00574B7C" w:rsidP="00B35A22">
            <w:pPr>
              <w:widowControl w:val="0"/>
              <w:rPr>
                <w:sz w:val="22"/>
                <w:lang w:val="sr-Latn-ME"/>
              </w:rPr>
            </w:pPr>
            <w:r w:rsidRPr="00B35A22">
              <w:rPr>
                <w:sz w:val="22"/>
                <w:lang w:val="sr-Latn-ME"/>
              </w:rPr>
              <w:t>D</w:t>
            </w:r>
            <w:r w:rsidR="00E14959" w:rsidRPr="00B35A22">
              <w:rPr>
                <w:sz w:val="22"/>
                <w:lang w:val="sr-Latn-ME"/>
              </w:rPr>
              <w:t>o progresije bolesti ili pojave toksičnosti koja se ne može zbrinuti. Primijećeni su atipični odgovori (tj. inicijalna progresija bolesti koju prati smanjenje tumorske mase) tokom nastavka liječenja lijekom Tecentriq nakon progresije bolesti. Nastavak liječenja nakon progresije bolesti može se razmotriti u skladu sa odlukom ljekara.</w:t>
            </w:r>
          </w:p>
        </w:tc>
      </w:tr>
      <w:tr w:rsidR="00E14959" w:rsidRPr="00B35A22" w14:paraId="6E01BA29" w14:textId="77777777" w:rsidTr="0065270B">
        <w:tc>
          <w:tcPr>
            <w:tcW w:w="2785" w:type="dxa"/>
          </w:tcPr>
          <w:p w14:paraId="32589D24" w14:textId="5171829F" w:rsidR="00E14959" w:rsidRPr="00B35A22" w:rsidRDefault="00E14959" w:rsidP="00B35A22">
            <w:pPr>
              <w:widowControl w:val="0"/>
              <w:rPr>
                <w:sz w:val="22"/>
                <w:lang w:val="sr-Latn-ME"/>
              </w:rPr>
            </w:pPr>
            <w:r w:rsidRPr="00B35A22">
              <w:rPr>
                <w:sz w:val="22"/>
                <w:lang w:val="sr-Latn-ME"/>
              </w:rPr>
              <w:t xml:space="preserve">Prva linija liječenja neresektabilnog lokalno uznapredovalog ili metastatskog </w:t>
            </w:r>
            <w:r w:rsidR="009F3636" w:rsidRPr="00B35A22">
              <w:rPr>
                <w:sz w:val="22"/>
                <w:lang w:val="sr-Latn-ME"/>
              </w:rPr>
              <w:t xml:space="preserve">TNBC </w:t>
            </w:r>
            <w:r w:rsidRPr="00B35A22">
              <w:rPr>
                <w:sz w:val="22"/>
                <w:lang w:val="sr-Latn-ME"/>
              </w:rPr>
              <w:t>u kombinaciji sa nab</w:t>
            </w:r>
            <w:r w:rsidRPr="00B35A22">
              <w:rPr>
                <w:sz w:val="22"/>
                <w:lang w:val="sr-Latn-ME"/>
              </w:rPr>
              <w:noBreakHyphen/>
              <w:t>paklitakselom</w:t>
            </w:r>
          </w:p>
        </w:tc>
        <w:tc>
          <w:tcPr>
            <w:tcW w:w="3780" w:type="dxa"/>
          </w:tcPr>
          <w:p w14:paraId="0C9147C6" w14:textId="67A963E5"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3C7B2B4E" w14:textId="66F6BADE"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1200 mg </w:t>
            </w:r>
            <w:r w:rsidR="000E1E10" w:rsidRPr="00B35A22">
              <w:rPr>
                <w:noProof w:val="0"/>
                <w:color w:val="000000"/>
                <w:lang w:val="sr-Latn-ME"/>
              </w:rPr>
              <w:t xml:space="preserve">na </w:t>
            </w:r>
            <w:r w:rsidRPr="00B35A22">
              <w:rPr>
                <w:noProof w:val="0"/>
                <w:color w:val="000000"/>
                <w:lang w:val="sr-Latn-ME"/>
              </w:rPr>
              <w:t>svake 3 nedjelje ili</w:t>
            </w:r>
          </w:p>
          <w:p w14:paraId="5C3927E6" w14:textId="37CF0BE1"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1680 mg</w:t>
            </w:r>
            <w:r w:rsidR="000E1E10" w:rsidRPr="00B35A22">
              <w:rPr>
                <w:noProof w:val="0"/>
                <w:color w:val="000000"/>
                <w:lang w:val="sr-Latn-ME"/>
              </w:rPr>
              <w:t xml:space="preserve"> na</w:t>
            </w:r>
            <w:r w:rsidRPr="00B35A22">
              <w:rPr>
                <w:noProof w:val="0"/>
                <w:color w:val="000000"/>
                <w:lang w:val="sr-Latn-ME"/>
              </w:rPr>
              <w:t xml:space="preserve"> svake 4 nedjelje</w:t>
            </w:r>
          </w:p>
          <w:p w14:paraId="17BC9739" w14:textId="77777777" w:rsidR="00E14959" w:rsidRPr="00B35A22" w:rsidRDefault="00E14959" w:rsidP="00B35A22">
            <w:pPr>
              <w:pStyle w:val="ListParagraph"/>
              <w:widowControl w:val="0"/>
              <w:ind w:left="0"/>
              <w:rPr>
                <w:noProof w:val="0"/>
                <w:color w:val="000000"/>
                <w:lang w:val="sr-Latn-ME"/>
              </w:rPr>
            </w:pPr>
          </w:p>
          <w:p w14:paraId="39021211" w14:textId="18A9854D" w:rsidR="00E14959" w:rsidRPr="00B35A22" w:rsidRDefault="00E14959" w:rsidP="00B35A22">
            <w:pPr>
              <w:widowControl w:val="0"/>
              <w:jc w:val="both"/>
              <w:rPr>
                <w:sz w:val="22"/>
                <w:lang w:val="sr-Latn-ME"/>
              </w:rPr>
            </w:pPr>
            <w:r w:rsidRPr="00B35A22">
              <w:rPr>
                <w:sz w:val="22"/>
                <w:lang w:val="sr-Latn-ME"/>
              </w:rPr>
              <w:t>Tecentriq treba prim</w:t>
            </w:r>
            <w:r w:rsidR="00167763" w:rsidRPr="00B35A22">
              <w:rPr>
                <w:sz w:val="22"/>
                <w:lang w:val="sr-Latn-ME"/>
              </w:rPr>
              <w:t>i</w:t>
            </w:r>
            <w:r w:rsidRPr="00B35A22">
              <w:rPr>
                <w:sz w:val="22"/>
                <w:lang w:val="sr-Latn-ME"/>
              </w:rPr>
              <w:t>jeniti pr</w:t>
            </w:r>
            <w:r w:rsidR="00167763" w:rsidRPr="00B35A22">
              <w:rPr>
                <w:sz w:val="22"/>
                <w:lang w:val="sr-Latn-ME"/>
              </w:rPr>
              <w:t>ij</w:t>
            </w:r>
            <w:r w:rsidRPr="00B35A22">
              <w:rPr>
                <w:sz w:val="22"/>
                <w:lang w:val="sr-Latn-ME"/>
              </w:rPr>
              <w:t>e nab</w:t>
            </w:r>
            <w:r w:rsidRPr="00B35A22">
              <w:rPr>
                <w:sz w:val="22"/>
                <w:lang w:val="sr-Latn-ME"/>
              </w:rPr>
              <w:noBreakHyphen/>
              <w:t>paklitaksela kad se daju istog dana. Nab</w:t>
            </w:r>
            <w:r w:rsidRPr="00B35A22">
              <w:rPr>
                <w:sz w:val="22"/>
                <w:lang w:val="sr-Latn-ME"/>
              </w:rPr>
              <w:noBreakHyphen/>
              <w:t>paklitaksel treba prim</w:t>
            </w:r>
            <w:r w:rsidR="00167763" w:rsidRPr="00B35A22">
              <w:rPr>
                <w:sz w:val="22"/>
                <w:lang w:val="sr-Latn-ME"/>
              </w:rPr>
              <w:t>i</w:t>
            </w:r>
            <w:r w:rsidRPr="00B35A22">
              <w:rPr>
                <w:sz w:val="22"/>
                <w:lang w:val="sr-Latn-ME"/>
              </w:rPr>
              <w:t>jeniti u dozi od 100 mg/m</w:t>
            </w:r>
            <w:r w:rsidRPr="00B35A22">
              <w:rPr>
                <w:sz w:val="22"/>
                <w:vertAlign w:val="superscript"/>
                <w:lang w:val="sr-Latn-ME"/>
              </w:rPr>
              <w:t xml:space="preserve">2 </w:t>
            </w:r>
            <w:r w:rsidRPr="00B35A22">
              <w:rPr>
                <w:sz w:val="22"/>
                <w:lang w:val="sr-Latn-ME"/>
              </w:rPr>
              <w:t xml:space="preserve">1., 8. i 15. dana svakog </w:t>
            </w:r>
            <w:r w:rsidR="00574B7C" w:rsidRPr="00B35A22">
              <w:rPr>
                <w:sz w:val="22"/>
                <w:lang w:val="sr-Latn-ME"/>
              </w:rPr>
              <w:t xml:space="preserve">28-dnevnog </w:t>
            </w:r>
            <w:r w:rsidRPr="00B35A22">
              <w:rPr>
                <w:sz w:val="22"/>
                <w:lang w:val="sr-Latn-ME"/>
              </w:rPr>
              <w:t xml:space="preserve">ciklusa. </w:t>
            </w:r>
          </w:p>
        </w:tc>
        <w:tc>
          <w:tcPr>
            <w:tcW w:w="2496" w:type="dxa"/>
          </w:tcPr>
          <w:p w14:paraId="1F7BDE09" w14:textId="77777777" w:rsidR="00E14959" w:rsidRPr="00B35A22" w:rsidRDefault="00E14959" w:rsidP="00B35A22">
            <w:pPr>
              <w:widowControl w:val="0"/>
              <w:rPr>
                <w:sz w:val="22"/>
                <w:lang w:val="sr-Latn-ME"/>
              </w:rPr>
            </w:pPr>
            <w:r w:rsidRPr="00B35A22">
              <w:rPr>
                <w:sz w:val="22"/>
                <w:lang w:val="sr-Latn-ME"/>
              </w:rPr>
              <w:t>Do progresije bolesti ili pojave toksičnosti koja se ne može zbrinuti.</w:t>
            </w:r>
          </w:p>
        </w:tc>
      </w:tr>
      <w:tr w:rsidR="00E14959" w:rsidRPr="00B35A22" w14:paraId="3858D4A2" w14:textId="77777777" w:rsidTr="0065270B">
        <w:tc>
          <w:tcPr>
            <w:tcW w:w="2785" w:type="dxa"/>
          </w:tcPr>
          <w:p w14:paraId="534FAE41" w14:textId="77777777" w:rsidR="00E14959" w:rsidRPr="00B35A22" w:rsidRDefault="00E14959" w:rsidP="00B35A22">
            <w:pPr>
              <w:widowControl w:val="0"/>
              <w:rPr>
                <w:sz w:val="22"/>
                <w:lang w:val="sr-Latn-ME"/>
              </w:rPr>
            </w:pPr>
            <w:r w:rsidRPr="00B35A22">
              <w:rPr>
                <w:color w:val="000000" w:themeColor="text1"/>
                <w:sz w:val="22"/>
                <w:lang w:val="sr-Latn-ME"/>
              </w:rPr>
              <w:t xml:space="preserve">Uznapredovali ili neresektabilni </w:t>
            </w:r>
            <w:r w:rsidRPr="00B35A22">
              <w:rPr>
                <w:sz w:val="22"/>
                <w:lang w:val="sr-Latn-ME"/>
              </w:rPr>
              <w:t>HCC u kombinaciji sa bevacizumabom</w:t>
            </w:r>
          </w:p>
        </w:tc>
        <w:tc>
          <w:tcPr>
            <w:tcW w:w="3780" w:type="dxa"/>
          </w:tcPr>
          <w:p w14:paraId="32DCDB17" w14:textId="75DBA583"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840 mg </w:t>
            </w:r>
            <w:r w:rsidR="000E1E10" w:rsidRPr="00B35A22">
              <w:rPr>
                <w:noProof w:val="0"/>
                <w:color w:val="000000"/>
                <w:lang w:val="sr-Latn-ME"/>
              </w:rPr>
              <w:t xml:space="preserve">na </w:t>
            </w:r>
            <w:r w:rsidRPr="00B35A22">
              <w:rPr>
                <w:noProof w:val="0"/>
                <w:color w:val="000000"/>
                <w:lang w:val="sr-Latn-ME"/>
              </w:rPr>
              <w:t>svake 2 nedjelje ili</w:t>
            </w:r>
          </w:p>
          <w:p w14:paraId="5DCDD546" w14:textId="7EBE2786"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1200 mg </w:t>
            </w:r>
            <w:r w:rsidR="000E1E10" w:rsidRPr="00B35A22">
              <w:rPr>
                <w:noProof w:val="0"/>
                <w:color w:val="000000"/>
                <w:lang w:val="sr-Latn-ME"/>
              </w:rPr>
              <w:t xml:space="preserve">na </w:t>
            </w:r>
            <w:r w:rsidRPr="00B35A22">
              <w:rPr>
                <w:noProof w:val="0"/>
                <w:color w:val="000000"/>
                <w:lang w:val="sr-Latn-ME"/>
              </w:rPr>
              <w:t>svake 3 nedjelje ili</w:t>
            </w:r>
          </w:p>
          <w:p w14:paraId="3C7BC90E" w14:textId="3FAD40D9" w:rsidR="00E14959" w:rsidRPr="00B35A22" w:rsidRDefault="00E14959" w:rsidP="00B35A22">
            <w:pPr>
              <w:pStyle w:val="ListParagraph"/>
              <w:widowControl w:val="0"/>
              <w:numPr>
                <w:ilvl w:val="0"/>
                <w:numId w:val="30"/>
              </w:numPr>
              <w:tabs>
                <w:tab w:val="clear" w:pos="284"/>
              </w:tabs>
              <w:ind w:left="0" w:firstLine="0"/>
              <w:rPr>
                <w:noProof w:val="0"/>
                <w:color w:val="000000"/>
                <w:lang w:val="sr-Latn-ME"/>
              </w:rPr>
            </w:pPr>
            <w:r w:rsidRPr="00B35A22">
              <w:rPr>
                <w:noProof w:val="0"/>
                <w:color w:val="000000"/>
                <w:lang w:val="sr-Latn-ME"/>
              </w:rPr>
              <w:t xml:space="preserve">1680 mg </w:t>
            </w:r>
            <w:r w:rsidR="000E1E10" w:rsidRPr="00B35A22">
              <w:rPr>
                <w:noProof w:val="0"/>
                <w:color w:val="000000"/>
                <w:lang w:val="sr-Latn-ME"/>
              </w:rPr>
              <w:t xml:space="preserve">na </w:t>
            </w:r>
            <w:r w:rsidRPr="00B35A22">
              <w:rPr>
                <w:noProof w:val="0"/>
                <w:color w:val="000000"/>
                <w:lang w:val="sr-Latn-ME"/>
              </w:rPr>
              <w:t xml:space="preserve">svake 4 nedjelje </w:t>
            </w:r>
          </w:p>
          <w:p w14:paraId="73DCE3C4" w14:textId="77777777" w:rsidR="00E14959" w:rsidRPr="00B35A22" w:rsidRDefault="00E14959" w:rsidP="00B35A22">
            <w:pPr>
              <w:pStyle w:val="ListParagraph"/>
              <w:widowControl w:val="0"/>
              <w:ind w:left="0"/>
              <w:rPr>
                <w:noProof w:val="0"/>
                <w:color w:val="000000"/>
                <w:lang w:val="sr-Latn-ME"/>
              </w:rPr>
            </w:pPr>
          </w:p>
          <w:p w14:paraId="7C1AD38E" w14:textId="59F21365" w:rsidR="00E14959" w:rsidRPr="00B35A22" w:rsidRDefault="00E14959" w:rsidP="00B35A22">
            <w:pPr>
              <w:widowControl w:val="0"/>
              <w:jc w:val="both"/>
              <w:rPr>
                <w:sz w:val="22"/>
                <w:lang w:val="sr-Latn-ME"/>
              </w:rPr>
            </w:pPr>
            <w:r w:rsidRPr="00B35A22">
              <w:rPr>
                <w:sz w:val="22"/>
                <w:lang w:val="sr-Latn-ME"/>
              </w:rPr>
              <w:t>Tecentriq treba prim</w:t>
            </w:r>
            <w:r w:rsidR="00167763" w:rsidRPr="00B35A22">
              <w:rPr>
                <w:sz w:val="22"/>
                <w:lang w:val="sr-Latn-ME"/>
              </w:rPr>
              <w:t>i</w:t>
            </w:r>
            <w:r w:rsidRPr="00B35A22">
              <w:rPr>
                <w:sz w:val="22"/>
                <w:lang w:val="sr-Latn-ME"/>
              </w:rPr>
              <w:t>jeniti pr</w:t>
            </w:r>
            <w:r w:rsidR="00167763" w:rsidRPr="00B35A22">
              <w:rPr>
                <w:sz w:val="22"/>
                <w:lang w:val="sr-Latn-ME"/>
              </w:rPr>
              <w:t>ij</w:t>
            </w:r>
            <w:r w:rsidRPr="00B35A22">
              <w:rPr>
                <w:sz w:val="22"/>
                <w:lang w:val="sr-Latn-ME"/>
              </w:rPr>
              <w:t>e bevacizumaba kad se daju istog dana. Bevacizumab se primjenjuje u dozi od 15 mg/kg t</w:t>
            </w:r>
            <w:r w:rsidR="00167763" w:rsidRPr="00B35A22">
              <w:rPr>
                <w:sz w:val="22"/>
                <w:lang w:val="sr-Latn-ME"/>
              </w:rPr>
              <w:t>j</w:t>
            </w:r>
            <w:r w:rsidRPr="00B35A22">
              <w:rPr>
                <w:sz w:val="22"/>
                <w:lang w:val="sr-Latn-ME"/>
              </w:rPr>
              <w:t xml:space="preserve">elesne mase (TM) </w:t>
            </w:r>
            <w:r w:rsidR="000E1E10" w:rsidRPr="00B35A22">
              <w:rPr>
                <w:sz w:val="22"/>
                <w:lang w:val="sr-Latn-ME"/>
              </w:rPr>
              <w:t xml:space="preserve">na </w:t>
            </w:r>
            <w:r w:rsidRPr="00B35A22">
              <w:rPr>
                <w:sz w:val="22"/>
                <w:lang w:val="sr-Latn-ME"/>
              </w:rPr>
              <w:t>svake 3 nedjelje.</w:t>
            </w:r>
          </w:p>
        </w:tc>
        <w:tc>
          <w:tcPr>
            <w:tcW w:w="2496" w:type="dxa"/>
          </w:tcPr>
          <w:p w14:paraId="2C32EA72" w14:textId="77777777" w:rsidR="00E14959" w:rsidRPr="00B35A22" w:rsidRDefault="00E14959" w:rsidP="00B35A22">
            <w:pPr>
              <w:widowControl w:val="0"/>
              <w:rPr>
                <w:sz w:val="22"/>
                <w:lang w:val="sr-Latn-ME"/>
              </w:rPr>
            </w:pPr>
            <w:r w:rsidRPr="00B35A22">
              <w:rPr>
                <w:sz w:val="22"/>
                <w:lang w:val="sr-Latn-ME"/>
              </w:rPr>
              <w:t>Do gubitka kliničke koristi ili pojave toksičnosti koja se ne može zbrinuti.</w:t>
            </w:r>
          </w:p>
        </w:tc>
      </w:tr>
    </w:tbl>
    <w:p w14:paraId="35124842" w14:textId="77777777" w:rsidR="00080978" w:rsidRPr="00B35A22" w:rsidRDefault="00080978" w:rsidP="00B35A22">
      <w:pPr>
        <w:widowControl w:val="0"/>
        <w:jc w:val="both"/>
        <w:rPr>
          <w:sz w:val="22"/>
          <w:u w:val="single"/>
          <w:lang w:val="sr-Latn-ME"/>
        </w:rPr>
      </w:pPr>
    </w:p>
    <w:p w14:paraId="660A7E4E" w14:textId="77777777" w:rsidR="000A26D9" w:rsidRPr="00B35A22" w:rsidRDefault="000A26D9" w:rsidP="00B35A22">
      <w:pPr>
        <w:widowControl w:val="0"/>
        <w:jc w:val="both"/>
        <w:rPr>
          <w:i/>
          <w:sz w:val="22"/>
          <w:u w:val="single"/>
          <w:lang w:val="sr-Latn-ME"/>
        </w:rPr>
      </w:pPr>
      <w:r w:rsidRPr="00B35A22">
        <w:rPr>
          <w:i/>
          <w:sz w:val="22"/>
          <w:u w:val="single"/>
          <w:lang w:val="sr-Latn-ME"/>
        </w:rPr>
        <w:t xml:space="preserve">Odložene ili propuštene doze </w:t>
      </w:r>
    </w:p>
    <w:p w14:paraId="3B9C5D70" w14:textId="53247FE6" w:rsidR="000A26D9" w:rsidRPr="00B35A22" w:rsidRDefault="000A26D9" w:rsidP="00B35A22">
      <w:pPr>
        <w:widowControl w:val="0"/>
        <w:jc w:val="both"/>
        <w:rPr>
          <w:sz w:val="22"/>
          <w:lang w:val="sr-Latn-ME"/>
        </w:rPr>
      </w:pPr>
      <w:r w:rsidRPr="00B35A22">
        <w:rPr>
          <w:sz w:val="22"/>
          <w:lang w:val="sr-Latn-ME"/>
        </w:rPr>
        <w:t xml:space="preserve">Ako pacijent propusti da primi planiranu dozu lijeka Tecentriq, treba je primijeniti što je prije moguće; Raspored primjene mora se prilagoditi tako da se održi </w:t>
      </w:r>
      <w:r w:rsidR="00E14959" w:rsidRPr="00B35A22">
        <w:rPr>
          <w:sz w:val="22"/>
          <w:lang w:val="sr-Latn-ME"/>
        </w:rPr>
        <w:t>odgovarajući</w:t>
      </w:r>
      <w:r w:rsidRPr="00B35A22">
        <w:rPr>
          <w:sz w:val="22"/>
          <w:lang w:val="sr-Latn-ME"/>
        </w:rPr>
        <w:t xml:space="preserve"> interval između doza. </w:t>
      </w:r>
    </w:p>
    <w:p w14:paraId="78B96920" w14:textId="77777777" w:rsidR="000A26D9" w:rsidRPr="00B35A22" w:rsidRDefault="000A26D9" w:rsidP="00B35A22">
      <w:pPr>
        <w:widowControl w:val="0"/>
        <w:jc w:val="both"/>
        <w:rPr>
          <w:sz w:val="22"/>
          <w:u w:val="single"/>
          <w:lang w:val="sr-Latn-ME"/>
        </w:rPr>
      </w:pPr>
    </w:p>
    <w:p w14:paraId="7C02EFDA" w14:textId="77777777" w:rsidR="000A26D9" w:rsidRPr="00B35A22" w:rsidRDefault="000A26D9" w:rsidP="00B35A22">
      <w:pPr>
        <w:widowControl w:val="0"/>
        <w:jc w:val="both"/>
        <w:rPr>
          <w:i/>
          <w:sz w:val="22"/>
          <w:u w:val="single"/>
          <w:lang w:val="sr-Latn-ME"/>
        </w:rPr>
      </w:pPr>
      <w:r w:rsidRPr="00B35A22">
        <w:rPr>
          <w:i/>
          <w:sz w:val="22"/>
          <w:u w:val="single"/>
          <w:lang w:val="sr-Latn-ME"/>
        </w:rPr>
        <w:t>Prilagođavanje doze tokom liječenja</w:t>
      </w:r>
    </w:p>
    <w:p w14:paraId="17B86885" w14:textId="3A4B6C9A" w:rsidR="000A26D9" w:rsidRPr="00B35A22" w:rsidRDefault="000A26D9" w:rsidP="00B35A22">
      <w:pPr>
        <w:widowControl w:val="0"/>
        <w:jc w:val="both"/>
        <w:rPr>
          <w:sz w:val="22"/>
          <w:lang w:val="sr-Latn-ME"/>
        </w:rPr>
      </w:pPr>
      <w:r w:rsidRPr="00B35A22">
        <w:rPr>
          <w:sz w:val="22"/>
          <w:lang w:val="sr-Latn-ME"/>
        </w:rPr>
        <w:t>Ne preporučuje se smanjivanje doze lijeka Tecentriq.</w:t>
      </w:r>
    </w:p>
    <w:p w14:paraId="3CFEF2F0" w14:textId="3A513469" w:rsidR="002262B5" w:rsidRPr="00B35A22" w:rsidRDefault="002262B5" w:rsidP="00B35A22">
      <w:pPr>
        <w:widowControl w:val="0"/>
        <w:jc w:val="both"/>
        <w:rPr>
          <w:sz w:val="22"/>
          <w:u w:val="single"/>
          <w:lang w:val="sr-Latn-ME"/>
        </w:rPr>
      </w:pPr>
    </w:p>
    <w:p w14:paraId="7158F137" w14:textId="77777777" w:rsidR="00ED48B4" w:rsidRPr="00B35A22" w:rsidRDefault="00ED48B4" w:rsidP="00B35A22">
      <w:pPr>
        <w:widowControl w:val="0"/>
        <w:jc w:val="both"/>
        <w:rPr>
          <w:sz w:val="22"/>
          <w:szCs w:val="22"/>
          <w:u w:val="single"/>
          <w:lang w:val="sr-Latn-ME"/>
        </w:rPr>
      </w:pPr>
    </w:p>
    <w:p w14:paraId="2ECD30C2" w14:textId="77777777" w:rsidR="000A26D9" w:rsidRPr="00B35A22" w:rsidRDefault="000A26D9" w:rsidP="00B35A22">
      <w:pPr>
        <w:widowControl w:val="0"/>
        <w:jc w:val="both"/>
        <w:rPr>
          <w:i/>
          <w:sz w:val="22"/>
          <w:u w:val="single"/>
          <w:lang w:val="sr-Latn-ME"/>
        </w:rPr>
      </w:pPr>
      <w:r w:rsidRPr="00B35A22">
        <w:rPr>
          <w:i/>
          <w:sz w:val="22"/>
          <w:u w:val="single"/>
          <w:lang w:val="sr-Latn-ME"/>
        </w:rPr>
        <w:t>Odlaganje primjene doze ili prekid liječenja (vidjeti i djelove 4.4 i 4.8)</w:t>
      </w:r>
    </w:p>
    <w:p w14:paraId="70B29416" w14:textId="77777777" w:rsidR="00ED48B4" w:rsidRPr="00B35A22" w:rsidRDefault="00ED48B4" w:rsidP="00B35A22">
      <w:pPr>
        <w:widowControl w:val="0"/>
        <w:jc w:val="both"/>
        <w:rPr>
          <w:i/>
          <w:sz w:val="22"/>
          <w:lang w:val="sr-Latn-ME"/>
        </w:rPr>
      </w:pPr>
    </w:p>
    <w:p w14:paraId="3C65326E" w14:textId="7A9225CF" w:rsidR="000A26D9" w:rsidRPr="00B35A22" w:rsidRDefault="000A26D9" w:rsidP="00B35A22">
      <w:pPr>
        <w:widowControl w:val="0"/>
        <w:jc w:val="both"/>
        <w:rPr>
          <w:b/>
          <w:sz w:val="22"/>
          <w:u w:val="single"/>
          <w:lang w:val="sr-Latn-ME"/>
        </w:rPr>
      </w:pPr>
      <w:r w:rsidRPr="00B35A22">
        <w:rPr>
          <w:b/>
          <w:sz w:val="22"/>
          <w:lang w:val="sr-Latn-ME"/>
        </w:rPr>
        <w:t xml:space="preserve">Tabela </w:t>
      </w:r>
      <w:r w:rsidR="00E14959" w:rsidRPr="00B35A22">
        <w:rPr>
          <w:b/>
          <w:sz w:val="22"/>
          <w:lang w:val="sr-Latn-ME"/>
        </w:rPr>
        <w:t>2</w:t>
      </w:r>
      <w:r w:rsidRPr="00B35A22">
        <w:rPr>
          <w:b/>
          <w:sz w:val="22"/>
          <w:lang w:val="sr-Latn-ME"/>
        </w:rPr>
        <w:t xml:space="preserve">: Savjeti za prilagođavanje doze lijeka Tecentriq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3368"/>
        <w:gridCol w:w="3368"/>
      </w:tblGrid>
      <w:tr w:rsidR="000A26D9" w:rsidRPr="00B35A22" w14:paraId="70CA4775" w14:textId="77777777" w:rsidTr="00B35A22">
        <w:trPr>
          <w:tblHeader/>
        </w:trPr>
        <w:tc>
          <w:tcPr>
            <w:tcW w:w="2327" w:type="dxa"/>
          </w:tcPr>
          <w:p w14:paraId="3B435603" w14:textId="77777777" w:rsidR="000A26D9" w:rsidRPr="00B35A22" w:rsidRDefault="000A26D9" w:rsidP="00B35A22">
            <w:pPr>
              <w:widowControl w:val="0"/>
              <w:jc w:val="both"/>
              <w:rPr>
                <w:b/>
                <w:sz w:val="22"/>
                <w:lang w:val="sr-Latn-ME"/>
              </w:rPr>
            </w:pPr>
            <w:r w:rsidRPr="00B35A22">
              <w:rPr>
                <w:b/>
                <w:sz w:val="22"/>
                <w:lang w:val="sr-Latn-ME"/>
              </w:rPr>
              <w:lastRenderedPageBreak/>
              <w:t>Imunološki pruzrokovana neželjena dejstva</w:t>
            </w:r>
          </w:p>
        </w:tc>
        <w:tc>
          <w:tcPr>
            <w:tcW w:w="3368" w:type="dxa"/>
          </w:tcPr>
          <w:p w14:paraId="21478862" w14:textId="77777777" w:rsidR="000A26D9" w:rsidRPr="00B35A22" w:rsidRDefault="000A26D9" w:rsidP="00B35A22">
            <w:pPr>
              <w:widowControl w:val="0"/>
              <w:jc w:val="both"/>
              <w:rPr>
                <w:b/>
                <w:sz w:val="22"/>
                <w:lang w:val="sr-Latn-ME"/>
              </w:rPr>
            </w:pPr>
            <w:r w:rsidRPr="00B35A22">
              <w:rPr>
                <w:b/>
                <w:sz w:val="22"/>
                <w:lang w:val="sr-Latn-ME"/>
              </w:rPr>
              <w:t>Težina</w:t>
            </w:r>
          </w:p>
        </w:tc>
        <w:tc>
          <w:tcPr>
            <w:tcW w:w="3368" w:type="dxa"/>
          </w:tcPr>
          <w:p w14:paraId="5047E287" w14:textId="77777777" w:rsidR="000A26D9" w:rsidRPr="00B35A22" w:rsidRDefault="000A26D9" w:rsidP="00B35A22">
            <w:pPr>
              <w:widowControl w:val="0"/>
              <w:jc w:val="both"/>
              <w:rPr>
                <w:b/>
                <w:sz w:val="22"/>
                <w:lang w:val="sr-Latn-ME"/>
              </w:rPr>
            </w:pPr>
            <w:r w:rsidRPr="00B35A22">
              <w:rPr>
                <w:b/>
                <w:sz w:val="22"/>
                <w:lang w:val="sr-Latn-ME"/>
              </w:rPr>
              <w:t>Prilagođavanje liječenja</w:t>
            </w:r>
          </w:p>
        </w:tc>
      </w:tr>
      <w:tr w:rsidR="000A26D9" w:rsidRPr="00B35A22" w14:paraId="4FCF2EC2" w14:textId="77777777" w:rsidTr="00B35A22">
        <w:trPr>
          <w:tblHeader/>
        </w:trPr>
        <w:tc>
          <w:tcPr>
            <w:tcW w:w="2327" w:type="dxa"/>
            <w:tcBorders>
              <w:bottom w:val="nil"/>
            </w:tcBorders>
          </w:tcPr>
          <w:p w14:paraId="1B243B5B" w14:textId="77777777" w:rsidR="000A26D9" w:rsidRPr="00B35A22" w:rsidRDefault="000A26D9" w:rsidP="00B35A22">
            <w:pPr>
              <w:widowControl w:val="0"/>
              <w:rPr>
                <w:b/>
                <w:sz w:val="22"/>
                <w:lang w:val="sr-Latn-ME"/>
              </w:rPr>
            </w:pPr>
            <w:r w:rsidRPr="00B35A22">
              <w:rPr>
                <w:b/>
                <w:sz w:val="22"/>
                <w:lang w:val="sr-Latn-ME"/>
              </w:rPr>
              <w:t>Pneumonitis</w:t>
            </w:r>
          </w:p>
          <w:p w14:paraId="5805E29B" w14:textId="77777777" w:rsidR="000A26D9" w:rsidRPr="00B35A22" w:rsidRDefault="000A26D9" w:rsidP="00B35A22">
            <w:pPr>
              <w:widowControl w:val="0"/>
              <w:rPr>
                <w:sz w:val="22"/>
                <w:lang w:val="sr-Latn-ME"/>
              </w:rPr>
            </w:pPr>
          </w:p>
        </w:tc>
        <w:tc>
          <w:tcPr>
            <w:tcW w:w="3368" w:type="dxa"/>
          </w:tcPr>
          <w:p w14:paraId="74D33843" w14:textId="77777777" w:rsidR="000A26D9" w:rsidRPr="00B35A22" w:rsidRDefault="000A26D9" w:rsidP="00B35A22">
            <w:pPr>
              <w:widowControl w:val="0"/>
              <w:jc w:val="both"/>
              <w:rPr>
                <w:sz w:val="22"/>
                <w:lang w:val="sr-Latn-ME"/>
              </w:rPr>
            </w:pPr>
            <w:r w:rsidRPr="00B35A22">
              <w:rPr>
                <w:sz w:val="22"/>
                <w:lang w:val="sr-Latn-ME"/>
              </w:rPr>
              <w:t>2. stepen</w:t>
            </w:r>
          </w:p>
        </w:tc>
        <w:tc>
          <w:tcPr>
            <w:tcW w:w="3368" w:type="dxa"/>
          </w:tcPr>
          <w:p w14:paraId="66224804" w14:textId="53C17C8B" w:rsidR="000A26D9" w:rsidRPr="00B35A22" w:rsidRDefault="000A26D9" w:rsidP="00B35A22">
            <w:pPr>
              <w:widowControl w:val="0"/>
              <w:jc w:val="both"/>
              <w:rPr>
                <w:sz w:val="22"/>
                <w:lang w:val="sr-Latn-ME"/>
              </w:rPr>
            </w:pPr>
            <w:r w:rsidRPr="00B35A22">
              <w:rPr>
                <w:sz w:val="22"/>
                <w:lang w:val="sr-Latn-ME"/>
              </w:rPr>
              <w:t>Odložiti primjenu lijeka Tecentriq</w:t>
            </w:r>
          </w:p>
          <w:p w14:paraId="4C31AE06" w14:textId="77777777" w:rsidR="000A26D9" w:rsidRPr="00B35A22" w:rsidRDefault="000A26D9" w:rsidP="00B35A22">
            <w:pPr>
              <w:widowControl w:val="0"/>
              <w:jc w:val="both"/>
              <w:rPr>
                <w:sz w:val="22"/>
                <w:lang w:val="sr-Latn-ME"/>
              </w:rPr>
            </w:pPr>
          </w:p>
          <w:p w14:paraId="28EDFD97" w14:textId="77777777" w:rsidR="000A26D9" w:rsidRPr="00B35A22" w:rsidRDefault="000A26D9" w:rsidP="00B35A22">
            <w:pPr>
              <w:widowControl w:val="0"/>
              <w:jc w:val="both"/>
              <w:rPr>
                <w:sz w:val="22"/>
                <w:szCs w:val="22"/>
                <w:lang w:val="sr-Latn-ME"/>
              </w:rPr>
            </w:pPr>
            <w:r w:rsidRPr="00B35A22">
              <w:rPr>
                <w:sz w:val="22"/>
                <w:lang w:val="sr-Latn-ME"/>
              </w:rPr>
              <w:t>Liječenje se može nastaviti kada se događaj poboljša do 0. ili 1. stepena u roku od 12 nedjelja, a doza kortikosteroida smanji na ≤ 10 mg prednizona ili ekvivalenta na dan</w:t>
            </w:r>
          </w:p>
          <w:p w14:paraId="4D26426D" w14:textId="77777777" w:rsidR="000A26D9" w:rsidRPr="00B35A22" w:rsidRDefault="000A26D9" w:rsidP="00B35A22">
            <w:pPr>
              <w:widowControl w:val="0"/>
              <w:jc w:val="both"/>
              <w:rPr>
                <w:sz w:val="22"/>
                <w:lang w:val="sr-Latn-ME"/>
              </w:rPr>
            </w:pPr>
          </w:p>
        </w:tc>
      </w:tr>
      <w:tr w:rsidR="000A26D9" w:rsidRPr="00B35A22" w14:paraId="1110200D" w14:textId="77777777" w:rsidTr="00B35A22">
        <w:trPr>
          <w:tblHeader/>
        </w:trPr>
        <w:tc>
          <w:tcPr>
            <w:tcW w:w="2327" w:type="dxa"/>
            <w:tcBorders>
              <w:top w:val="nil"/>
            </w:tcBorders>
          </w:tcPr>
          <w:p w14:paraId="5A41962D" w14:textId="77777777" w:rsidR="000A26D9" w:rsidRPr="00B35A22" w:rsidRDefault="000A26D9" w:rsidP="00B35A22">
            <w:pPr>
              <w:widowControl w:val="0"/>
              <w:rPr>
                <w:sz w:val="22"/>
                <w:lang w:val="sr-Latn-ME"/>
              </w:rPr>
            </w:pPr>
          </w:p>
        </w:tc>
        <w:tc>
          <w:tcPr>
            <w:tcW w:w="3368" w:type="dxa"/>
          </w:tcPr>
          <w:p w14:paraId="212B240D" w14:textId="77777777" w:rsidR="000A26D9" w:rsidRPr="00B35A22" w:rsidRDefault="000A26D9" w:rsidP="00B35A22">
            <w:pPr>
              <w:widowControl w:val="0"/>
              <w:jc w:val="both"/>
              <w:rPr>
                <w:sz w:val="22"/>
                <w:lang w:val="sr-Latn-ME"/>
              </w:rPr>
            </w:pPr>
            <w:r w:rsidRPr="00B35A22">
              <w:rPr>
                <w:sz w:val="22"/>
                <w:lang w:val="sr-Latn-ME"/>
              </w:rPr>
              <w:t>3. ili 4. stepen</w:t>
            </w:r>
          </w:p>
        </w:tc>
        <w:tc>
          <w:tcPr>
            <w:tcW w:w="3368" w:type="dxa"/>
          </w:tcPr>
          <w:p w14:paraId="0F12C930" w14:textId="40D3D48F" w:rsidR="000A26D9" w:rsidRPr="00B35A22" w:rsidRDefault="000A26D9" w:rsidP="00B35A22">
            <w:pPr>
              <w:widowControl w:val="0"/>
              <w:jc w:val="both"/>
              <w:rPr>
                <w:sz w:val="22"/>
                <w:szCs w:val="22"/>
                <w:lang w:val="sr-Latn-ME"/>
              </w:rPr>
            </w:pPr>
            <w:r w:rsidRPr="00B35A22">
              <w:rPr>
                <w:sz w:val="22"/>
                <w:lang w:val="sr-Latn-ME"/>
              </w:rPr>
              <w:t>Trajno prekinuti liječenje lijekom Tecentriq</w:t>
            </w:r>
          </w:p>
          <w:p w14:paraId="5EBCEE55" w14:textId="77777777" w:rsidR="000A26D9" w:rsidRPr="00B35A22" w:rsidRDefault="000A26D9" w:rsidP="00B35A22">
            <w:pPr>
              <w:widowControl w:val="0"/>
              <w:jc w:val="both"/>
              <w:rPr>
                <w:sz w:val="22"/>
                <w:lang w:val="sr-Latn-ME"/>
              </w:rPr>
            </w:pPr>
          </w:p>
        </w:tc>
      </w:tr>
      <w:tr w:rsidR="000A26D9" w:rsidRPr="00B35A22" w14:paraId="3778FF4A" w14:textId="77777777" w:rsidTr="00B35A22">
        <w:trPr>
          <w:tblHeader/>
        </w:trPr>
        <w:tc>
          <w:tcPr>
            <w:tcW w:w="2327" w:type="dxa"/>
            <w:tcBorders>
              <w:bottom w:val="nil"/>
            </w:tcBorders>
          </w:tcPr>
          <w:p w14:paraId="32AA5F27" w14:textId="7B420C29" w:rsidR="000A26D9" w:rsidRPr="00B35A22" w:rsidRDefault="000A26D9" w:rsidP="00B35A22">
            <w:pPr>
              <w:widowControl w:val="0"/>
              <w:rPr>
                <w:b/>
                <w:sz w:val="22"/>
                <w:lang w:val="sr-Latn-ME"/>
              </w:rPr>
            </w:pPr>
            <w:r w:rsidRPr="00B35A22">
              <w:rPr>
                <w:b/>
                <w:sz w:val="22"/>
                <w:lang w:val="sr-Latn-ME"/>
              </w:rPr>
              <w:t xml:space="preserve">Hepatitis </w:t>
            </w:r>
            <w:r w:rsidR="00627942" w:rsidRPr="00B35A22">
              <w:rPr>
                <w:b/>
                <w:sz w:val="22"/>
                <w:lang w:val="sr-Latn-ME"/>
              </w:rPr>
              <w:t xml:space="preserve">kod pacijenata bez </w:t>
            </w:r>
            <w:r w:rsidR="009F3636" w:rsidRPr="00B35A22">
              <w:rPr>
                <w:b/>
                <w:sz w:val="22"/>
                <w:lang w:val="sr-Latn-ME"/>
              </w:rPr>
              <w:t>HCC-a</w:t>
            </w:r>
          </w:p>
          <w:p w14:paraId="4D111922" w14:textId="77777777" w:rsidR="000A26D9" w:rsidRPr="00B35A22" w:rsidRDefault="000A26D9" w:rsidP="00B35A22">
            <w:pPr>
              <w:widowControl w:val="0"/>
              <w:rPr>
                <w:sz w:val="22"/>
                <w:lang w:val="sr-Latn-ME"/>
              </w:rPr>
            </w:pPr>
          </w:p>
        </w:tc>
        <w:tc>
          <w:tcPr>
            <w:tcW w:w="3368" w:type="dxa"/>
          </w:tcPr>
          <w:p w14:paraId="23FE0F82" w14:textId="77777777" w:rsidR="000A26D9" w:rsidRPr="00B35A22" w:rsidRDefault="000A26D9" w:rsidP="00B35A22">
            <w:pPr>
              <w:widowControl w:val="0"/>
              <w:rPr>
                <w:sz w:val="22"/>
                <w:lang w:val="sr-Latn-ME"/>
              </w:rPr>
            </w:pPr>
            <w:r w:rsidRPr="00B35A22">
              <w:rPr>
                <w:sz w:val="22"/>
                <w:lang w:val="sr-Latn-ME"/>
              </w:rPr>
              <w:t>2. stepen:</w:t>
            </w:r>
          </w:p>
          <w:p w14:paraId="64A5C61E" w14:textId="77777777" w:rsidR="000A26D9" w:rsidRPr="00B35A22" w:rsidRDefault="000A26D9" w:rsidP="00B35A22">
            <w:pPr>
              <w:widowControl w:val="0"/>
              <w:rPr>
                <w:sz w:val="22"/>
                <w:lang w:val="sr-Latn-ME"/>
              </w:rPr>
            </w:pPr>
          </w:p>
          <w:p w14:paraId="46AE4936" w14:textId="77777777" w:rsidR="000A26D9" w:rsidRPr="00B35A22" w:rsidRDefault="000A26D9" w:rsidP="00B35A22">
            <w:pPr>
              <w:widowControl w:val="0"/>
              <w:rPr>
                <w:sz w:val="22"/>
                <w:lang w:val="sr-Latn-ME"/>
              </w:rPr>
            </w:pPr>
            <w:r w:rsidRPr="00B35A22">
              <w:rPr>
                <w:sz w:val="22"/>
                <w:lang w:val="sr-Latn-ME"/>
              </w:rPr>
              <w:t>(ALT ili AST &gt; 3 – 5 x iznad gornje granice normale [GGN]</w:t>
            </w:r>
          </w:p>
          <w:p w14:paraId="273B6E11" w14:textId="77777777" w:rsidR="000A26D9" w:rsidRPr="00B35A22" w:rsidRDefault="000A26D9" w:rsidP="00B35A22">
            <w:pPr>
              <w:widowControl w:val="0"/>
              <w:rPr>
                <w:i/>
                <w:sz w:val="22"/>
                <w:lang w:val="sr-Latn-ME"/>
              </w:rPr>
            </w:pPr>
          </w:p>
          <w:p w14:paraId="2DFA46A9" w14:textId="77777777" w:rsidR="000A26D9" w:rsidRPr="00B35A22" w:rsidRDefault="000A26D9" w:rsidP="00B35A22">
            <w:pPr>
              <w:widowControl w:val="0"/>
              <w:rPr>
                <w:i/>
                <w:sz w:val="22"/>
                <w:lang w:val="sr-Latn-ME"/>
              </w:rPr>
            </w:pPr>
            <w:r w:rsidRPr="00B35A22">
              <w:rPr>
                <w:i/>
                <w:sz w:val="22"/>
                <w:lang w:val="sr-Latn-ME"/>
              </w:rPr>
              <w:t>ili</w:t>
            </w:r>
          </w:p>
          <w:p w14:paraId="75759BFB" w14:textId="77777777" w:rsidR="000A26D9" w:rsidRPr="00B35A22" w:rsidRDefault="000A26D9" w:rsidP="00B35A22">
            <w:pPr>
              <w:widowControl w:val="0"/>
              <w:rPr>
                <w:sz w:val="22"/>
                <w:lang w:val="sr-Latn-ME"/>
              </w:rPr>
            </w:pPr>
          </w:p>
          <w:p w14:paraId="3BEDDD2D" w14:textId="77777777" w:rsidR="000A26D9" w:rsidRPr="00B35A22" w:rsidRDefault="000A26D9" w:rsidP="00B35A22">
            <w:pPr>
              <w:widowControl w:val="0"/>
              <w:rPr>
                <w:sz w:val="22"/>
                <w:szCs w:val="22"/>
                <w:lang w:val="sr-Latn-ME"/>
              </w:rPr>
            </w:pPr>
            <w:r w:rsidRPr="00B35A22">
              <w:rPr>
                <w:sz w:val="22"/>
                <w:lang w:val="sr-Latn-ME"/>
              </w:rPr>
              <w:t>bilirubin u krvi &gt; 1,5 – 3 x GGN)</w:t>
            </w:r>
          </w:p>
          <w:p w14:paraId="2F4ADDE4" w14:textId="77777777" w:rsidR="000A26D9" w:rsidRPr="00B35A22" w:rsidRDefault="000A26D9" w:rsidP="00B35A22">
            <w:pPr>
              <w:widowControl w:val="0"/>
              <w:rPr>
                <w:sz w:val="22"/>
                <w:lang w:val="sr-Latn-ME"/>
              </w:rPr>
            </w:pPr>
          </w:p>
        </w:tc>
        <w:tc>
          <w:tcPr>
            <w:tcW w:w="3368" w:type="dxa"/>
          </w:tcPr>
          <w:p w14:paraId="662F45CC" w14:textId="198E59A7" w:rsidR="000A26D9" w:rsidRPr="00B35A22" w:rsidRDefault="000A26D9" w:rsidP="00B35A22">
            <w:pPr>
              <w:widowControl w:val="0"/>
              <w:jc w:val="both"/>
              <w:rPr>
                <w:sz w:val="22"/>
                <w:lang w:val="sr-Latn-ME"/>
              </w:rPr>
            </w:pPr>
            <w:r w:rsidRPr="00B35A22">
              <w:rPr>
                <w:sz w:val="22"/>
                <w:lang w:val="sr-Latn-ME"/>
              </w:rPr>
              <w:t>Odložiti primjenu lijeka Tecentriq</w:t>
            </w:r>
          </w:p>
          <w:p w14:paraId="3E95985F" w14:textId="77777777" w:rsidR="000A26D9" w:rsidRPr="00B35A22" w:rsidRDefault="000A26D9" w:rsidP="00B35A22">
            <w:pPr>
              <w:widowControl w:val="0"/>
              <w:jc w:val="both"/>
              <w:rPr>
                <w:sz w:val="22"/>
                <w:lang w:val="sr-Latn-ME"/>
              </w:rPr>
            </w:pPr>
          </w:p>
          <w:p w14:paraId="0C03589F" w14:textId="77777777" w:rsidR="000A26D9" w:rsidRPr="00B35A22" w:rsidRDefault="000A26D9" w:rsidP="00B35A22">
            <w:pPr>
              <w:widowControl w:val="0"/>
              <w:jc w:val="both"/>
              <w:rPr>
                <w:sz w:val="22"/>
                <w:lang w:val="sr-Latn-ME"/>
              </w:rPr>
            </w:pPr>
          </w:p>
          <w:p w14:paraId="776B72A5" w14:textId="77777777" w:rsidR="000A26D9" w:rsidRPr="00B35A22" w:rsidRDefault="000A26D9" w:rsidP="00B35A22">
            <w:pPr>
              <w:widowControl w:val="0"/>
              <w:jc w:val="both"/>
              <w:rPr>
                <w:sz w:val="22"/>
                <w:szCs w:val="22"/>
                <w:lang w:val="sr-Latn-ME"/>
              </w:rPr>
            </w:pPr>
            <w:r w:rsidRPr="00B35A22">
              <w:rPr>
                <w:sz w:val="22"/>
                <w:lang w:val="sr-Latn-ME"/>
              </w:rPr>
              <w:t xml:space="preserve">Liječenje se može nastaviti kada se događaj poboljša do 0. ili 1. stepena u roku od 12 nedjelja, a doza kortikosteroida smanji na ≤ 10 mg prednizona ili ekvivalenta na dan </w:t>
            </w:r>
          </w:p>
          <w:p w14:paraId="701A2E8E" w14:textId="77777777" w:rsidR="000A26D9" w:rsidRPr="00B35A22" w:rsidRDefault="000A26D9" w:rsidP="00B35A22">
            <w:pPr>
              <w:widowControl w:val="0"/>
              <w:jc w:val="both"/>
              <w:rPr>
                <w:sz w:val="22"/>
                <w:lang w:val="sr-Latn-ME"/>
              </w:rPr>
            </w:pPr>
          </w:p>
        </w:tc>
      </w:tr>
      <w:tr w:rsidR="000A26D9" w:rsidRPr="00B35A22" w14:paraId="3FF8E149" w14:textId="77777777" w:rsidTr="00B35A22">
        <w:trPr>
          <w:tblHeader/>
        </w:trPr>
        <w:tc>
          <w:tcPr>
            <w:tcW w:w="2327" w:type="dxa"/>
            <w:tcBorders>
              <w:top w:val="nil"/>
            </w:tcBorders>
          </w:tcPr>
          <w:p w14:paraId="37E67D8B" w14:textId="77777777" w:rsidR="000A26D9" w:rsidRPr="00B35A22" w:rsidRDefault="000A26D9" w:rsidP="00B35A22">
            <w:pPr>
              <w:widowControl w:val="0"/>
              <w:rPr>
                <w:sz w:val="22"/>
                <w:lang w:val="sr-Latn-ME"/>
              </w:rPr>
            </w:pPr>
          </w:p>
        </w:tc>
        <w:tc>
          <w:tcPr>
            <w:tcW w:w="3368" w:type="dxa"/>
          </w:tcPr>
          <w:p w14:paraId="206B1829" w14:textId="77777777" w:rsidR="000A26D9" w:rsidRPr="00B35A22" w:rsidRDefault="000A26D9" w:rsidP="00B35A22">
            <w:pPr>
              <w:widowControl w:val="0"/>
              <w:rPr>
                <w:sz w:val="22"/>
                <w:lang w:val="sr-Latn-ME"/>
              </w:rPr>
            </w:pPr>
            <w:r w:rsidRPr="00B35A22">
              <w:rPr>
                <w:sz w:val="22"/>
                <w:lang w:val="sr-Latn-ME"/>
              </w:rPr>
              <w:t>3. ili 4. stepen:</w:t>
            </w:r>
          </w:p>
          <w:p w14:paraId="478AAE7E" w14:textId="77777777" w:rsidR="000A26D9" w:rsidRPr="00B35A22" w:rsidRDefault="000A26D9" w:rsidP="00B35A22">
            <w:pPr>
              <w:widowControl w:val="0"/>
              <w:rPr>
                <w:sz w:val="22"/>
                <w:lang w:val="sr-Latn-ME"/>
              </w:rPr>
            </w:pPr>
            <w:r w:rsidRPr="00B35A22">
              <w:rPr>
                <w:sz w:val="22"/>
                <w:lang w:val="sr-Latn-ME"/>
              </w:rPr>
              <w:t>(ALT ili AST &gt; 5 x GGN</w:t>
            </w:r>
          </w:p>
          <w:p w14:paraId="2E54EA32" w14:textId="77777777" w:rsidR="000A26D9" w:rsidRPr="00B35A22" w:rsidRDefault="000A26D9" w:rsidP="00B35A22">
            <w:pPr>
              <w:widowControl w:val="0"/>
              <w:rPr>
                <w:sz w:val="22"/>
                <w:lang w:val="sr-Latn-ME"/>
              </w:rPr>
            </w:pPr>
          </w:p>
          <w:p w14:paraId="0AA95284" w14:textId="77777777" w:rsidR="000A26D9" w:rsidRPr="00B35A22" w:rsidRDefault="000A26D9" w:rsidP="00B35A22">
            <w:pPr>
              <w:widowControl w:val="0"/>
              <w:rPr>
                <w:i/>
                <w:sz w:val="22"/>
                <w:lang w:val="sr-Latn-ME"/>
              </w:rPr>
            </w:pPr>
            <w:r w:rsidRPr="00B35A22">
              <w:rPr>
                <w:i/>
                <w:sz w:val="22"/>
                <w:lang w:val="sr-Latn-ME"/>
              </w:rPr>
              <w:t>ili</w:t>
            </w:r>
          </w:p>
          <w:p w14:paraId="1CCF36F8" w14:textId="77777777" w:rsidR="000A26D9" w:rsidRPr="00B35A22" w:rsidRDefault="000A26D9" w:rsidP="00B35A22">
            <w:pPr>
              <w:widowControl w:val="0"/>
              <w:rPr>
                <w:sz w:val="22"/>
                <w:lang w:val="sr-Latn-ME"/>
              </w:rPr>
            </w:pPr>
          </w:p>
          <w:p w14:paraId="547C9797" w14:textId="77777777" w:rsidR="000A26D9" w:rsidRPr="00B35A22" w:rsidRDefault="000A26D9" w:rsidP="00B35A22">
            <w:pPr>
              <w:widowControl w:val="0"/>
              <w:rPr>
                <w:sz w:val="22"/>
                <w:szCs w:val="22"/>
                <w:lang w:val="sr-Latn-ME"/>
              </w:rPr>
            </w:pPr>
            <w:r w:rsidRPr="00B35A22">
              <w:rPr>
                <w:sz w:val="22"/>
                <w:lang w:val="sr-Latn-ME"/>
              </w:rPr>
              <w:t>bilirubin u krvi &gt; 3 x GGN)</w:t>
            </w:r>
          </w:p>
          <w:p w14:paraId="4AD07158" w14:textId="77777777" w:rsidR="000A26D9" w:rsidRPr="00B35A22" w:rsidRDefault="000A26D9" w:rsidP="00B35A22">
            <w:pPr>
              <w:widowControl w:val="0"/>
              <w:rPr>
                <w:sz w:val="22"/>
                <w:lang w:val="sr-Latn-ME"/>
              </w:rPr>
            </w:pPr>
          </w:p>
        </w:tc>
        <w:tc>
          <w:tcPr>
            <w:tcW w:w="3368" w:type="dxa"/>
          </w:tcPr>
          <w:p w14:paraId="39990F9E" w14:textId="05121E22" w:rsidR="000A26D9" w:rsidRPr="00B35A22" w:rsidRDefault="000A26D9" w:rsidP="00B35A22">
            <w:pPr>
              <w:widowControl w:val="0"/>
              <w:jc w:val="both"/>
              <w:rPr>
                <w:sz w:val="22"/>
                <w:lang w:val="sr-Latn-ME"/>
              </w:rPr>
            </w:pPr>
            <w:r w:rsidRPr="00B35A22">
              <w:rPr>
                <w:sz w:val="22"/>
                <w:lang w:val="sr-Latn-ME"/>
              </w:rPr>
              <w:t>Trajno prekinuti liječenje lijekom Tecentriq</w:t>
            </w:r>
          </w:p>
        </w:tc>
      </w:tr>
      <w:tr w:rsidR="00627942" w:rsidRPr="00B35A22" w14:paraId="79B5FC8C" w14:textId="77777777" w:rsidTr="00B35A22">
        <w:trPr>
          <w:tblHeader/>
        </w:trPr>
        <w:tc>
          <w:tcPr>
            <w:tcW w:w="2327" w:type="dxa"/>
            <w:vMerge w:val="restart"/>
            <w:tcBorders>
              <w:top w:val="nil"/>
            </w:tcBorders>
          </w:tcPr>
          <w:p w14:paraId="0EA245C0" w14:textId="6D26CE3C" w:rsidR="00627942" w:rsidRPr="00B35A22" w:rsidRDefault="00627942" w:rsidP="00B35A22">
            <w:pPr>
              <w:widowControl w:val="0"/>
              <w:rPr>
                <w:sz w:val="22"/>
                <w:lang w:val="sr-Latn-ME"/>
              </w:rPr>
            </w:pPr>
            <w:r w:rsidRPr="00B35A22">
              <w:rPr>
                <w:b/>
                <w:sz w:val="22"/>
                <w:lang w:val="sr-Latn-ME"/>
              </w:rPr>
              <w:t xml:space="preserve">Hepatitis kod pacijenata sa </w:t>
            </w:r>
            <w:r w:rsidR="009F3636" w:rsidRPr="00B35A22">
              <w:rPr>
                <w:b/>
                <w:sz w:val="22"/>
                <w:lang w:val="sr-Latn-ME"/>
              </w:rPr>
              <w:t>HCC-om</w:t>
            </w:r>
          </w:p>
        </w:tc>
        <w:tc>
          <w:tcPr>
            <w:tcW w:w="3368" w:type="dxa"/>
          </w:tcPr>
          <w:p w14:paraId="3F6FC1E0" w14:textId="77777777" w:rsidR="00627942" w:rsidRPr="00B35A22" w:rsidRDefault="00627942" w:rsidP="00B35A22">
            <w:pPr>
              <w:widowControl w:val="0"/>
              <w:rPr>
                <w:sz w:val="22"/>
                <w:lang w:val="sr-Latn-ME"/>
              </w:rPr>
            </w:pPr>
            <w:r w:rsidRPr="00B35A22">
              <w:rPr>
                <w:sz w:val="22"/>
                <w:lang w:val="sr-Latn-ME"/>
              </w:rPr>
              <w:t>Ako je početna vrijednost AST/ALT u okviru granica normale i poraste na &gt; 3 x i ≤ 10 x GGN</w:t>
            </w:r>
          </w:p>
          <w:p w14:paraId="3D6D9435" w14:textId="77777777" w:rsidR="00627942" w:rsidRPr="00B35A22" w:rsidRDefault="00627942" w:rsidP="00B35A22">
            <w:pPr>
              <w:widowControl w:val="0"/>
              <w:rPr>
                <w:i/>
                <w:sz w:val="22"/>
                <w:lang w:val="sr-Latn-ME"/>
              </w:rPr>
            </w:pPr>
          </w:p>
          <w:p w14:paraId="2FDB79F7" w14:textId="77777777" w:rsidR="00627942" w:rsidRPr="00B35A22" w:rsidRDefault="00627942" w:rsidP="00B35A22">
            <w:pPr>
              <w:widowControl w:val="0"/>
              <w:rPr>
                <w:i/>
                <w:sz w:val="22"/>
                <w:lang w:val="sr-Latn-ME"/>
              </w:rPr>
            </w:pPr>
            <w:r w:rsidRPr="00B35A22">
              <w:rPr>
                <w:i/>
                <w:sz w:val="22"/>
                <w:lang w:val="sr-Latn-ME"/>
              </w:rPr>
              <w:t>ili</w:t>
            </w:r>
          </w:p>
          <w:p w14:paraId="11E2C1DD" w14:textId="77777777" w:rsidR="00627942" w:rsidRPr="00B35A22" w:rsidRDefault="00627942" w:rsidP="00B35A22">
            <w:pPr>
              <w:widowControl w:val="0"/>
              <w:rPr>
                <w:sz w:val="22"/>
                <w:lang w:val="sr-Latn-ME"/>
              </w:rPr>
            </w:pPr>
          </w:p>
          <w:p w14:paraId="4333F98D" w14:textId="77777777" w:rsidR="00627942" w:rsidRPr="00B35A22" w:rsidRDefault="00627942" w:rsidP="00B35A22">
            <w:pPr>
              <w:widowControl w:val="0"/>
              <w:rPr>
                <w:sz w:val="22"/>
                <w:lang w:val="sr-Latn-ME"/>
              </w:rPr>
            </w:pPr>
            <w:r w:rsidRPr="00B35A22">
              <w:rPr>
                <w:sz w:val="22"/>
                <w:lang w:val="sr-Latn-ME"/>
              </w:rPr>
              <w:t>Ako je početna vrijednost AST/ALT &gt; 1 x i ≤ 3 x GGN i poraste na &gt; 5 x i ≤ 10 x GGN</w:t>
            </w:r>
          </w:p>
          <w:p w14:paraId="3BF96DE4" w14:textId="77777777" w:rsidR="00627942" w:rsidRPr="00B35A22" w:rsidRDefault="00627942" w:rsidP="00B35A22">
            <w:pPr>
              <w:widowControl w:val="0"/>
              <w:rPr>
                <w:i/>
                <w:sz w:val="22"/>
                <w:lang w:val="sr-Latn-ME"/>
              </w:rPr>
            </w:pPr>
          </w:p>
          <w:p w14:paraId="6AF98B3C" w14:textId="77777777" w:rsidR="00627942" w:rsidRPr="00B35A22" w:rsidRDefault="00627942" w:rsidP="00B35A22">
            <w:pPr>
              <w:widowControl w:val="0"/>
              <w:rPr>
                <w:i/>
                <w:sz w:val="22"/>
                <w:lang w:val="sr-Latn-ME"/>
              </w:rPr>
            </w:pPr>
            <w:r w:rsidRPr="00B35A22">
              <w:rPr>
                <w:i/>
                <w:sz w:val="22"/>
                <w:lang w:val="sr-Latn-ME"/>
              </w:rPr>
              <w:t>ili</w:t>
            </w:r>
          </w:p>
          <w:p w14:paraId="025F5A9C" w14:textId="77777777" w:rsidR="00627942" w:rsidRPr="00B35A22" w:rsidRDefault="00627942" w:rsidP="00B35A22">
            <w:pPr>
              <w:widowControl w:val="0"/>
              <w:rPr>
                <w:sz w:val="22"/>
                <w:lang w:val="sr-Latn-ME"/>
              </w:rPr>
            </w:pPr>
          </w:p>
          <w:p w14:paraId="1F23D609" w14:textId="77777777" w:rsidR="00627942" w:rsidRPr="00B35A22" w:rsidRDefault="00627942" w:rsidP="00B35A22">
            <w:pPr>
              <w:widowControl w:val="0"/>
              <w:rPr>
                <w:sz w:val="22"/>
                <w:szCs w:val="22"/>
                <w:lang w:val="sr-Latn-ME"/>
              </w:rPr>
            </w:pPr>
            <w:r w:rsidRPr="00B35A22">
              <w:rPr>
                <w:sz w:val="22"/>
                <w:lang w:val="sr-Latn-ME"/>
              </w:rPr>
              <w:t>Ako je početna vrijednost AST/ALT &gt; 3 x i ≤ 5 x GGN i poraste na &gt; 8 x i ≤ 10 x GGN</w:t>
            </w:r>
          </w:p>
          <w:p w14:paraId="16DC45A4" w14:textId="77777777" w:rsidR="00627942" w:rsidRPr="00B35A22" w:rsidRDefault="00627942" w:rsidP="00B35A22">
            <w:pPr>
              <w:widowControl w:val="0"/>
              <w:jc w:val="both"/>
              <w:rPr>
                <w:sz w:val="22"/>
                <w:lang w:val="sr-Latn-ME"/>
              </w:rPr>
            </w:pPr>
          </w:p>
        </w:tc>
        <w:tc>
          <w:tcPr>
            <w:tcW w:w="3368" w:type="dxa"/>
          </w:tcPr>
          <w:p w14:paraId="3CD6D610" w14:textId="231AB640" w:rsidR="00627942" w:rsidRPr="00B35A22" w:rsidRDefault="00627942" w:rsidP="00B35A22">
            <w:pPr>
              <w:widowControl w:val="0"/>
              <w:jc w:val="both"/>
              <w:rPr>
                <w:sz w:val="22"/>
                <w:lang w:val="sr-Latn-ME"/>
              </w:rPr>
            </w:pPr>
            <w:r w:rsidRPr="00B35A22">
              <w:rPr>
                <w:sz w:val="22"/>
                <w:lang w:val="sr-Latn-ME"/>
              </w:rPr>
              <w:t xml:space="preserve">Odložiti primjenu lijeka Tecentriq </w:t>
            </w:r>
          </w:p>
          <w:p w14:paraId="18DEF689" w14:textId="77777777" w:rsidR="00627942" w:rsidRPr="00B35A22" w:rsidRDefault="00627942" w:rsidP="00B35A22">
            <w:pPr>
              <w:widowControl w:val="0"/>
              <w:jc w:val="both"/>
              <w:rPr>
                <w:sz w:val="22"/>
                <w:lang w:val="sr-Latn-ME"/>
              </w:rPr>
            </w:pPr>
          </w:p>
          <w:p w14:paraId="3CA4ADA0" w14:textId="77777777" w:rsidR="00627942" w:rsidRPr="00B35A22" w:rsidRDefault="00627942" w:rsidP="00B35A22">
            <w:pPr>
              <w:widowControl w:val="0"/>
              <w:jc w:val="both"/>
              <w:rPr>
                <w:sz w:val="22"/>
                <w:lang w:val="sr-Latn-ME"/>
              </w:rPr>
            </w:pPr>
            <w:r w:rsidRPr="00B35A22">
              <w:rPr>
                <w:sz w:val="22"/>
                <w:lang w:val="sr-Latn-ME"/>
              </w:rPr>
              <w:t xml:space="preserve">Liječenje se može nastaviti kada se događaj poboljša do 0. ili 1. stepena u roku od 12 nedjelja, a doza kortikosteroida smanji na ≤ 10 mg prednizona ili ekvivalenta na dan </w:t>
            </w:r>
          </w:p>
          <w:p w14:paraId="65369318" w14:textId="6165BBA3" w:rsidR="00627942" w:rsidRPr="00B35A22" w:rsidRDefault="00627942" w:rsidP="00B35A22">
            <w:pPr>
              <w:widowControl w:val="0"/>
              <w:jc w:val="both"/>
              <w:rPr>
                <w:sz w:val="22"/>
                <w:lang w:val="sr-Latn-ME"/>
              </w:rPr>
            </w:pPr>
          </w:p>
        </w:tc>
      </w:tr>
      <w:tr w:rsidR="00627942" w:rsidRPr="00B35A22" w14:paraId="44167282" w14:textId="77777777" w:rsidTr="00B35A22">
        <w:trPr>
          <w:tblHeader/>
        </w:trPr>
        <w:tc>
          <w:tcPr>
            <w:tcW w:w="2327" w:type="dxa"/>
            <w:vMerge/>
          </w:tcPr>
          <w:p w14:paraId="3E112182" w14:textId="77777777" w:rsidR="00627942" w:rsidRPr="00B35A22" w:rsidRDefault="00627942" w:rsidP="00B35A22">
            <w:pPr>
              <w:widowControl w:val="0"/>
              <w:jc w:val="both"/>
              <w:rPr>
                <w:sz w:val="22"/>
                <w:lang w:val="sr-Latn-ME"/>
              </w:rPr>
            </w:pPr>
          </w:p>
        </w:tc>
        <w:tc>
          <w:tcPr>
            <w:tcW w:w="3368" w:type="dxa"/>
          </w:tcPr>
          <w:p w14:paraId="14A5B463" w14:textId="77777777" w:rsidR="00627942" w:rsidRPr="00B35A22" w:rsidRDefault="00627942" w:rsidP="00B35A22">
            <w:pPr>
              <w:widowControl w:val="0"/>
              <w:rPr>
                <w:sz w:val="22"/>
                <w:lang w:val="sr-Latn-ME"/>
              </w:rPr>
            </w:pPr>
            <w:r w:rsidRPr="00B35A22">
              <w:rPr>
                <w:sz w:val="22"/>
                <w:lang w:val="sr-Latn-ME"/>
              </w:rPr>
              <w:t>Ako AST/ALT poraste na &gt; 10 x GGN</w:t>
            </w:r>
          </w:p>
          <w:p w14:paraId="3405E49A" w14:textId="77777777" w:rsidR="00627942" w:rsidRPr="00B35A22" w:rsidRDefault="00627942" w:rsidP="00B35A22">
            <w:pPr>
              <w:widowControl w:val="0"/>
              <w:rPr>
                <w:sz w:val="22"/>
                <w:lang w:val="sr-Latn-ME"/>
              </w:rPr>
            </w:pPr>
          </w:p>
          <w:p w14:paraId="611FA8FB" w14:textId="77777777" w:rsidR="00627942" w:rsidRPr="00B35A22" w:rsidRDefault="00627942" w:rsidP="00B35A22">
            <w:pPr>
              <w:widowControl w:val="0"/>
              <w:rPr>
                <w:i/>
                <w:sz w:val="22"/>
                <w:lang w:val="sr-Latn-ME"/>
              </w:rPr>
            </w:pPr>
            <w:r w:rsidRPr="00B35A22">
              <w:rPr>
                <w:i/>
                <w:sz w:val="22"/>
                <w:lang w:val="sr-Latn-ME"/>
              </w:rPr>
              <w:t>ili</w:t>
            </w:r>
          </w:p>
          <w:p w14:paraId="16A29880" w14:textId="77777777" w:rsidR="00627942" w:rsidRPr="00B35A22" w:rsidRDefault="00627942" w:rsidP="00B35A22">
            <w:pPr>
              <w:widowControl w:val="0"/>
              <w:rPr>
                <w:sz w:val="22"/>
                <w:lang w:val="sr-Latn-ME"/>
              </w:rPr>
            </w:pPr>
          </w:p>
          <w:p w14:paraId="76C12EE1" w14:textId="77777777" w:rsidR="00627942" w:rsidRPr="00B35A22" w:rsidRDefault="00627942" w:rsidP="00B35A22">
            <w:pPr>
              <w:widowControl w:val="0"/>
              <w:rPr>
                <w:sz w:val="22"/>
                <w:szCs w:val="22"/>
                <w:lang w:val="sr-Latn-ME"/>
              </w:rPr>
            </w:pPr>
            <w:r w:rsidRPr="00B35A22">
              <w:rPr>
                <w:sz w:val="22"/>
                <w:lang w:val="sr-Latn-ME"/>
              </w:rPr>
              <w:t>ukupni bilirubin poraste na &gt; 3 x GGN</w:t>
            </w:r>
          </w:p>
          <w:p w14:paraId="31388C29" w14:textId="77777777" w:rsidR="00627942" w:rsidRPr="00B35A22" w:rsidRDefault="00627942" w:rsidP="00B35A22">
            <w:pPr>
              <w:widowControl w:val="0"/>
              <w:rPr>
                <w:sz w:val="22"/>
                <w:lang w:val="sr-Latn-ME"/>
              </w:rPr>
            </w:pPr>
          </w:p>
        </w:tc>
        <w:tc>
          <w:tcPr>
            <w:tcW w:w="3368" w:type="dxa"/>
          </w:tcPr>
          <w:p w14:paraId="323F5E6E" w14:textId="52CE7C0E" w:rsidR="00627942" w:rsidRPr="00B35A22" w:rsidRDefault="00627942" w:rsidP="00B35A22">
            <w:pPr>
              <w:widowControl w:val="0"/>
              <w:jc w:val="both"/>
              <w:rPr>
                <w:sz w:val="22"/>
                <w:lang w:val="sr-Latn-ME"/>
              </w:rPr>
            </w:pPr>
            <w:r w:rsidRPr="00B35A22">
              <w:rPr>
                <w:sz w:val="22"/>
                <w:lang w:val="sr-Latn-ME"/>
              </w:rPr>
              <w:t>Trajno prekinuti liječenje lijekom Tecentriq</w:t>
            </w:r>
          </w:p>
        </w:tc>
      </w:tr>
      <w:tr w:rsidR="000A26D9" w:rsidRPr="00B35A22" w14:paraId="0C2EA63F" w14:textId="77777777" w:rsidTr="00B35A22">
        <w:trPr>
          <w:tblHeader/>
        </w:trPr>
        <w:tc>
          <w:tcPr>
            <w:tcW w:w="2327" w:type="dxa"/>
            <w:tcBorders>
              <w:bottom w:val="nil"/>
            </w:tcBorders>
          </w:tcPr>
          <w:p w14:paraId="49E792E6" w14:textId="77777777" w:rsidR="000A26D9" w:rsidRPr="00B35A22" w:rsidRDefault="000A26D9" w:rsidP="00B35A22">
            <w:pPr>
              <w:widowControl w:val="0"/>
              <w:jc w:val="both"/>
              <w:rPr>
                <w:b/>
                <w:sz w:val="22"/>
                <w:lang w:val="sr-Latn-ME"/>
              </w:rPr>
            </w:pPr>
            <w:r w:rsidRPr="00B35A22">
              <w:rPr>
                <w:b/>
                <w:sz w:val="22"/>
                <w:lang w:val="sr-Latn-ME"/>
              </w:rPr>
              <w:lastRenderedPageBreak/>
              <w:t>Kolitis</w:t>
            </w:r>
          </w:p>
          <w:p w14:paraId="53FB522D" w14:textId="77777777" w:rsidR="000A26D9" w:rsidRPr="00B35A22" w:rsidRDefault="000A26D9" w:rsidP="00B35A22">
            <w:pPr>
              <w:widowControl w:val="0"/>
              <w:jc w:val="both"/>
              <w:rPr>
                <w:sz w:val="22"/>
                <w:lang w:val="sr-Latn-ME"/>
              </w:rPr>
            </w:pPr>
          </w:p>
        </w:tc>
        <w:tc>
          <w:tcPr>
            <w:tcW w:w="3368" w:type="dxa"/>
          </w:tcPr>
          <w:p w14:paraId="6B8C7345" w14:textId="77777777" w:rsidR="000A26D9" w:rsidRPr="00B35A22" w:rsidRDefault="000A26D9" w:rsidP="00B35A22">
            <w:pPr>
              <w:widowControl w:val="0"/>
              <w:rPr>
                <w:sz w:val="22"/>
                <w:lang w:val="sr-Latn-ME"/>
              </w:rPr>
            </w:pPr>
            <w:r w:rsidRPr="00B35A22">
              <w:rPr>
                <w:sz w:val="22"/>
                <w:lang w:val="sr-Latn-ME"/>
              </w:rPr>
              <w:t>Dijareja 2. ili 3. stepen (povećanje za ≥ 4 stolice/dan u odnosu na početnu vrijednost)</w:t>
            </w:r>
          </w:p>
          <w:p w14:paraId="062EFFA0" w14:textId="77777777" w:rsidR="000A26D9" w:rsidRPr="00B35A22" w:rsidRDefault="000A26D9" w:rsidP="00B35A22">
            <w:pPr>
              <w:widowControl w:val="0"/>
              <w:rPr>
                <w:sz w:val="22"/>
                <w:lang w:val="sr-Latn-ME"/>
              </w:rPr>
            </w:pPr>
          </w:p>
          <w:p w14:paraId="541163C8" w14:textId="77777777" w:rsidR="000A26D9" w:rsidRPr="00B35A22" w:rsidRDefault="000A26D9" w:rsidP="00B35A22">
            <w:pPr>
              <w:widowControl w:val="0"/>
              <w:rPr>
                <w:i/>
                <w:sz w:val="22"/>
                <w:lang w:val="sr-Latn-ME"/>
              </w:rPr>
            </w:pPr>
            <w:r w:rsidRPr="00B35A22">
              <w:rPr>
                <w:i/>
                <w:sz w:val="22"/>
                <w:lang w:val="sr-Latn-ME"/>
              </w:rPr>
              <w:t>ili</w:t>
            </w:r>
          </w:p>
          <w:p w14:paraId="3A2DD483" w14:textId="77777777" w:rsidR="000A26D9" w:rsidRPr="00B35A22" w:rsidRDefault="000A26D9" w:rsidP="00B35A22">
            <w:pPr>
              <w:widowControl w:val="0"/>
              <w:rPr>
                <w:sz w:val="22"/>
                <w:lang w:val="sr-Latn-ME"/>
              </w:rPr>
            </w:pPr>
          </w:p>
          <w:p w14:paraId="0B3E6BCD" w14:textId="77777777" w:rsidR="000A26D9" w:rsidRPr="00B35A22" w:rsidRDefault="000A26D9" w:rsidP="00B35A22">
            <w:pPr>
              <w:widowControl w:val="0"/>
              <w:rPr>
                <w:sz w:val="22"/>
                <w:lang w:val="sr-Latn-ME"/>
              </w:rPr>
            </w:pPr>
            <w:r w:rsidRPr="00B35A22">
              <w:rPr>
                <w:sz w:val="22"/>
                <w:lang w:val="sr-Latn-ME"/>
              </w:rPr>
              <w:t>Simptomatski kolitis</w:t>
            </w:r>
          </w:p>
        </w:tc>
        <w:tc>
          <w:tcPr>
            <w:tcW w:w="3368" w:type="dxa"/>
          </w:tcPr>
          <w:p w14:paraId="74BA5283" w14:textId="567A17E0" w:rsidR="000A26D9" w:rsidRPr="00B35A22" w:rsidRDefault="000A26D9" w:rsidP="00B35A22">
            <w:pPr>
              <w:widowControl w:val="0"/>
              <w:jc w:val="both"/>
              <w:rPr>
                <w:sz w:val="22"/>
                <w:lang w:val="sr-Latn-ME"/>
              </w:rPr>
            </w:pPr>
            <w:r w:rsidRPr="00B35A22">
              <w:rPr>
                <w:sz w:val="22"/>
                <w:lang w:val="sr-Latn-ME"/>
              </w:rPr>
              <w:t xml:space="preserve">Odložiti primjenu lijeka Tecentriq </w:t>
            </w:r>
          </w:p>
          <w:p w14:paraId="2AFC70E4" w14:textId="77777777" w:rsidR="000A26D9" w:rsidRPr="00B35A22" w:rsidRDefault="000A26D9" w:rsidP="00B35A22">
            <w:pPr>
              <w:widowControl w:val="0"/>
              <w:jc w:val="both"/>
              <w:rPr>
                <w:sz w:val="22"/>
                <w:lang w:val="sr-Latn-ME"/>
              </w:rPr>
            </w:pPr>
          </w:p>
          <w:p w14:paraId="1FC60EB3" w14:textId="1710E0F6" w:rsidR="000A26D9" w:rsidRPr="00B35A22" w:rsidRDefault="000A26D9" w:rsidP="00B35A22">
            <w:pPr>
              <w:widowControl w:val="0"/>
              <w:jc w:val="both"/>
              <w:rPr>
                <w:sz w:val="22"/>
                <w:szCs w:val="22"/>
                <w:lang w:val="sr-Latn-ME"/>
              </w:rPr>
            </w:pPr>
            <w:r w:rsidRPr="00B35A22">
              <w:rPr>
                <w:sz w:val="22"/>
                <w:lang w:val="sr-Latn-ME"/>
              </w:rPr>
              <w:t>Liječenje se može nastaviti kada se događaj poboljša do 0. ili 1. stepena u roku od 12 nedjelja, a doza kortikosteroida smanji na ≤ 10 mg ekvivalenta prednizona na dan</w:t>
            </w:r>
          </w:p>
        </w:tc>
      </w:tr>
      <w:tr w:rsidR="000A26D9" w:rsidRPr="00B35A22" w14:paraId="3253F829" w14:textId="77777777" w:rsidTr="00B35A22">
        <w:trPr>
          <w:tblHeader/>
        </w:trPr>
        <w:tc>
          <w:tcPr>
            <w:tcW w:w="2327" w:type="dxa"/>
            <w:tcBorders>
              <w:top w:val="nil"/>
            </w:tcBorders>
          </w:tcPr>
          <w:p w14:paraId="74AC81B8" w14:textId="77777777" w:rsidR="000A26D9" w:rsidRPr="00B35A22" w:rsidRDefault="000A26D9" w:rsidP="00B35A22">
            <w:pPr>
              <w:widowControl w:val="0"/>
              <w:jc w:val="both"/>
              <w:rPr>
                <w:sz w:val="22"/>
                <w:lang w:val="sr-Latn-ME"/>
              </w:rPr>
            </w:pPr>
          </w:p>
        </w:tc>
        <w:tc>
          <w:tcPr>
            <w:tcW w:w="3368" w:type="dxa"/>
          </w:tcPr>
          <w:p w14:paraId="18F970F3" w14:textId="77777777" w:rsidR="000A26D9" w:rsidRPr="00B35A22" w:rsidRDefault="000A26D9" w:rsidP="00B35A22">
            <w:pPr>
              <w:widowControl w:val="0"/>
              <w:rPr>
                <w:sz w:val="22"/>
                <w:szCs w:val="22"/>
                <w:lang w:val="sr-Latn-ME"/>
              </w:rPr>
            </w:pPr>
            <w:r w:rsidRPr="00B35A22">
              <w:rPr>
                <w:sz w:val="22"/>
                <w:lang w:val="sr-Latn-ME"/>
              </w:rPr>
              <w:t>Dijareja ili kolitis 4. stepen (opasan po život; indikovana je hitna intervencija)</w:t>
            </w:r>
          </w:p>
          <w:p w14:paraId="346ECC8E" w14:textId="77777777" w:rsidR="000A26D9" w:rsidRPr="00B35A22" w:rsidRDefault="000A26D9" w:rsidP="00B35A22">
            <w:pPr>
              <w:widowControl w:val="0"/>
              <w:rPr>
                <w:sz w:val="22"/>
                <w:lang w:val="sr-Latn-ME"/>
              </w:rPr>
            </w:pPr>
          </w:p>
        </w:tc>
        <w:tc>
          <w:tcPr>
            <w:tcW w:w="3368" w:type="dxa"/>
          </w:tcPr>
          <w:p w14:paraId="19AA38DB" w14:textId="24F2D0B5" w:rsidR="000A26D9" w:rsidRPr="00B35A22" w:rsidRDefault="000A26D9" w:rsidP="00B35A22">
            <w:pPr>
              <w:widowControl w:val="0"/>
              <w:jc w:val="both"/>
              <w:rPr>
                <w:sz w:val="22"/>
                <w:lang w:val="sr-Latn-ME"/>
              </w:rPr>
            </w:pPr>
            <w:r w:rsidRPr="00B35A22">
              <w:rPr>
                <w:sz w:val="22"/>
                <w:lang w:val="sr-Latn-ME"/>
              </w:rPr>
              <w:t>Trajno prekinuti liječenje lijekom Tecentriq</w:t>
            </w:r>
          </w:p>
        </w:tc>
      </w:tr>
      <w:tr w:rsidR="000A26D9" w:rsidRPr="00B35A22" w14:paraId="028E8E06" w14:textId="77777777" w:rsidTr="00B35A22">
        <w:trPr>
          <w:tblHeader/>
        </w:trPr>
        <w:tc>
          <w:tcPr>
            <w:tcW w:w="2327" w:type="dxa"/>
          </w:tcPr>
          <w:p w14:paraId="5A640520" w14:textId="77777777" w:rsidR="000A26D9" w:rsidRPr="00B35A22" w:rsidRDefault="000A26D9" w:rsidP="00B35A22">
            <w:pPr>
              <w:widowControl w:val="0"/>
              <w:jc w:val="both"/>
              <w:rPr>
                <w:b/>
                <w:sz w:val="22"/>
                <w:lang w:val="sr-Latn-ME"/>
              </w:rPr>
            </w:pPr>
            <w:r w:rsidRPr="00B35A22">
              <w:rPr>
                <w:b/>
                <w:sz w:val="22"/>
                <w:lang w:val="sr-Latn-ME"/>
              </w:rPr>
              <w:t>Hipotireoza ili hipertireoza</w:t>
            </w:r>
          </w:p>
          <w:p w14:paraId="4A257A5C" w14:textId="77777777" w:rsidR="000A26D9" w:rsidRPr="00B35A22" w:rsidRDefault="000A26D9" w:rsidP="00B35A22">
            <w:pPr>
              <w:widowControl w:val="0"/>
              <w:jc w:val="both"/>
              <w:rPr>
                <w:sz w:val="22"/>
                <w:lang w:val="sr-Latn-ME"/>
              </w:rPr>
            </w:pPr>
          </w:p>
        </w:tc>
        <w:tc>
          <w:tcPr>
            <w:tcW w:w="3368" w:type="dxa"/>
          </w:tcPr>
          <w:p w14:paraId="1AD3FE2E" w14:textId="77777777" w:rsidR="000A26D9" w:rsidRPr="00B35A22" w:rsidRDefault="000A26D9" w:rsidP="00B35A22">
            <w:pPr>
              <w:widowControl w:val="0"/>
              <w:rPr>
                <w:sz w:val="22"/>
                <w:lang w:val="sr-Latn-ME"/>
              </w:rPr>
            </w:pPr>
            <w:r w:rsidRPr="00B35A22">
              <w:rPr>
                <w:sz w:val="22"/>
                <w:lang w:val="sr-Latn-ME"/>
              </w:rPr>
              <w:t>Simptomatska</w:t>
            </w:r>
          </w:p>
        </w:tc>
        <w:tc>
          <w:tcPr>
            <w:tcW w:w="3368" w:type="dxa"/>
          </w:tcPr>
          <w:p w14:paraId="51CAED9F" w14:textId="123D6B8D" w:rsidR="000A26D9" w:rsidRPr="00B35A22" w:rsidRDefault="000A26D9" w:rsidP="00B35A22">
            <w:pPr>
              <w:widowControl w:val="0"/>
              <w:rPr>
                <w:sz w:val="22"/>
                <w:lang w:val="sr-Latn-ME"/>
              </w:rPr>
            </w:pPr>
            <w:r w:rsidRPr="00B35A22">
              <w:rPr>
                <w:sz w:val="22"/>
                <w:lang w:val="sr-Latn-ME"/>
              </w:rPr>
              <w:t>Odložiti primjenu lijeka Tecentriq</w:t>
            </w:r>
          </w:p>
          <w:p w14:paraId="710ACE77" w14:textId="77777777" w:rsidR="000A26D9" w:rsidRPr="00B35A22" w:rsidRDefault="000A26D9" w:rsidP="00B35A22">
            <w:pPr>
              <w:widowControl w:val="0"/>
              <w:rPr>
                <w:sz w:val="22"/>
                <w:lang w:val="sr-Latn-ME"/>
              </w:rPr>
            </w:pPr>
          </w:p>
          <w:p w14:paraId="469FA60A" w14:textId="77777777" w:rsidR="000A26D9" w:rsidRPr="00B35A22" w:rsidRDefault="000A26D9" w:rsidP="00B35A22">
            <w:pPr>
              <w:widowControl w:val="0"/>
              <w:rPr>
                <w:i/>
                <w:sz w:val="22"/>
                <w:u w:val="single"/>
                <w:lang w:val="sr-Latn-ME"/>
              </w:rPr>
            </w:pPr>
            <w:r w:rsidRPr="00B35A22">
              <w:rPr>
                <w:i/>
                <w:sz w:val="22"/>
                <w:u w:val="single"/>
                <w:lang w:val="sr-Latn-ME"/>
              </w:rPr>
              <w:t>Hipotireoza:</w:t>
            </w:r>
          </w:p>
          <w:p w14:paraId="75B19C61" w14:textId="77777777" w:rsidR="000A26D9" w:rsidRPr="00B35A22" w:rsidRDefault="000A26D9" w:rsidP="00B35A22">
            <w:pPr>
              <w:widowControl w:val="0"/>
              <w:rPr>
                <w:sz w:val="22"/>
                <w:lang w:val="sr-Latn-ME"/>
              </w:rPr>
            </w:pPr>
            <w:r w:rsidRPr="00B35A22">
              <w:rPr>
                <w:sz w:val="22"/>
                <w:lang w:val="sr-Latn-ME"/>
              </w:rPr>
              <w:t>Liječenje se može nastaviti kada se simptomi stave pod kontrolu supstitucionom terapijom hormonima štitaste žlijezde, a vrijednosti TSH</w:t>
            </w:r>
            <w:r w:rsidRPr="00B35A22">
              <w:rPr>
                <w:sz w:val="22"/>
                <w:lang w:val="sr-Latn-ME"/>
              </w:rPr>
              <w:noBreakHyphen/>
              <w:t>a počnu padati</w:t>
            </w:r>
          </w:p>
          <w:p w14:paraId="39C931C5" w14:textId="77777777" w:rsidR="000A26D9" w:rsidRPr="00B35A22" w:rsidRDefault="000A26D9" w:rsidP="00B35A22">
            <w:pPr>
              <w:widowControl w:val="0"/>
              <w:rPr>
                <w:sz w:val="22"/>
                <w:lang w:val="sr-Latn-ME"/>
              </w:rPr>
            </w:pPr>
          </w:p>
          <w:p w14:paraId="76872835" w14:textId="77777777" w:rsidR="000A26D9" w:rsidRPr="00B35A22" w:rsidRDefault="000A26D9" w:rsidP="00B35A22">
            <w:pPr>
              <w:widowControl w:val="0"/>
              <w:rPr>
                <w:i/>
                <w:sz w:val="22"/>
                <w:u w:val="single"/>
                <w:lang w:val="sr-Latn-ME"/>
              </w:rPr>
            </w:pPr>
            <w:r w:rsidRPr="00B35A22">
              <w:rPr>
                <w:i/>
                <w:sz w:val="22"/>
                <w:u w:val="single"/>
                <w:lang w:val="sr-Latn-ME"/>
              </w:rPr>
              <w:t>Hipertireoza:</w:t>
            </w:r>
          </w:p>
          <w:p w14:paraId="3A1E6AB2" w14:textId="77777777" w:rsidR="000A26D9" w:rsidRPr="00B35A22" w:rsidRDefault="000A26D9" w:rsidP="00B35A22">
            <w:pPr>
              <w:widowControl w:val="0"/>
              <w:rPr>
                <w:sz w:val="22"/>
                <w:szCs w:val="22"/>
                <w:lang w:val="sr-Latn-ME"/>
              </w:rPr>
            </w:pPr>
            <w:r w:rsidRPr="00B35A22">
              <w:rPr>
                <w:sz w:val="22"/>
                <w:lang w:val="sr-Latn-ME"/>
              </w:rPr>
              <w:t>Liječenje se može nastaviti kada se simptomi stave pod kontrolu antitireoidnim lijekom, a funkcija štitaste žlijezde počne poboljšavati</w:t>
            </w:r>
          </w:p>
          <w:p w14:paraId="3BF008CE" w14:textId="77777777" w:rsidR="000A26D9" w:rsidRPr="00B35A22" w:rsidRDefault="000A26D9" w:rsidP="00B35A22">
            <w:pPr>
              <w:widowControl w:val="0"/>
              <w:rPr>
                <w:sz w:val="22"/>
                <w:lang w:val="sr-Latn-ME"/>
              </w:rPr>
            </w:pPr>
            <w:r w:rsidRPr="00B35A22">
              <w:rPr>
                <w:sz w:val="22"/>
                <w:szCs w:val="22"/>
                <w:lang w:val="sr-Latn-ME"/>
              </w:rPr>
              <w:t xml:space="preserve"> </w:t>
            </w:r>
          </w:p>
        </w:tc>
      </w:tr>
      <w:tr w:rsidR="000A26D9" w:rsidRPr="00B35A22" w14:paraId="32B77815" w14:textId="77777777" w:rsidTr="00B35A22">
        <w:trPr>
          <w:tblHeader/>
        </w:trPr>
        <w:tc>
          <w:tcPr>
            <w:tcW w:w="2327" w:type="dxa"/>
          </w:tcPr>
          <w:p w14:paraId="31EB1EB9" w14:textId="77777777" w:rsidR="000A26D9" w:rsidRPr="00B35A22" w:rsidRDefault="000A26D9" w:rsidP="00B35A22">
            <w:pPr>
              <w:widowControl w:val="0"/>
              <w:jc w:val="both"/>
              <w:rPr>
                <w:b/>
                <w:sz w:val="22"/>
                <w:lang w:val="sr-Latn-ME"/>
              </w:rPr>
            </w:pPr>
            <w:r w:rsidRPr="00B35A22">
              <w:rPr>
                <w:b/>
                <w:sz w:val="22"/>
                <w:lang w:val="sr-Latn-ME"/>
              </w:rPr>
              <w:t>Insuficijencija nadbubrežne žlijezde</w:t>
            </w:r>
          </w:p>
          <w:p w14:paraId="24066EEF" w14:textId="77777777" w:rsidR="000A26D9" w:rsidRPr="00B35A22" w:rsidRDefault="000A26D9" w:rsidP="00B35A22">
            <w:pPr>
              <w:widowControl w:val="0"/>
              <w:jc w:val="both"/>
              <w:rPr>
                <w:sz w:val="22"/>
                <w:lang w:val="sr-Latn-ME"/>
              </w:rPr>
            </w:pPr>
          </w:p>
        </w:tc>
        <w:tc>
          <w:tcPr>
            <w:tcW w:w="3368" w:type="dxa"/>
          </w:tcPr>
          <w:p w14:paraId="25DA9B7F" w14:textId="77777777" w:rsidR="000A26D9" w:rsidRPr="00B35A22" w:rsidRDefault="000A26D9" w:rsidP="00B35A22">
            <w:pPr>
              <w:widowControl w:val="0"/>
              <w:jc w:val="both"/>
              <w:rPr>
                <w:sz w:val="22"/>
                <w:lang w:val="sr-Latn-ME"/>
              </w:rPr>
            </w:pPr>
            <w:r w:rsidRPr="00B35A22">
              <w:rPr>
                <w:sz w:val="22"/>
                <w:lang w:val="sr-Latn-ME"/>
              </w:rPr>
              <w:t>Simptomatska</w:t>
            </w:r>
          </w:p>
          <w:p w14:paraId="4E8C145A" w14:textId="77777777" w:rsidR="000A26D9" w:rsidRPr="00B35A22" w:rsidRDefault="000A26D9" w:rsidP="00B35A22">
            <w:pPr>
              <w:widowControl w:val="0"/>
              <w:jc w:val="both"/>
              <w:rPr>
                <w:sz w:val="22"/>
                <w:lang w:val="sr-Latn-ME"/>
              </w:rPr>
            </w:pPr>
          </w:p>
        </w:tc>
        <w:tc>
          <w:tcPr>
            <w:tcW w:w="3368" w:type="dxa"/>
          </w:tcPr>
          <w:p w14:paraId="6EF5A9E4" w14:textId="5953B1C0" w:rsidR="000A26D9" w:rsidRPr="00B35A22" w:rsidRDefault="000A26D9" w:rsidP="00B35A22">
            <w:pPr>
              <w:widowControl w:val="0"/>
              <w:rPr>
                <w:sz w:val="22"/>
                <w:vertAlign w:val="superscript"/>
                <w:lang w:val="sr-Latn-ME"/>
              </w:rPr>
            </w:pPr>
            <w:r w:rsidRPr="00B35A22">
              <w:rPr>
                <w:sz w:val="22"/>
                <w:lang w:val="sr-Latn-ME"/>
              </w:rPr>
              <w:t>Odložiti primjenu lijeka Tecentriq</w:t>
            </w:r>
          </w:p>
          <w:p w14:paraId="618390EE" w14:textId="77777777" w:rsidR="000A26D9" w:rsidRPr="00B35A22" w:rsidRDefault="000A26D9" w:rsidP="00B35A22">
            <w:pPr>
              <w:widowControl w:val="0"/>
              <w:rPr>
                <w:sz w:val="22"/>
                <w:lang w:val="sr-Latn-ME"/>
              </w:rPr>
            </w:pPr>
          </w:p>
          <w:p w14:paraId="0F5BD31B" w14:textId="77777777" w:rsidR="000A26D9" w:rsidRPr="00B35A22" w:rsidRDefault="000A26D9" w:rsidP="00B35A22">
            <w:pPr>
              <w:widowControl w:val="0"/>
              <w:rPr>
                <w:sz w:val="22"/>
                <w:szCs w:val="22"/>
                <w:lang w:val="sr-Latn-ME"/>
              </w:rPr>
            </w:pPr>
            <w:r w:rsidRPr="00B35A22">
              <w:rPr>
                <w:sz w:val="22"/>
                <w:lang w:val="sr-Latn-ME"/>
              </w:rPr>
              <w:t>Liječenje se može nastaviti kada se simptomi poboljšaju do 0. ili 1. stepen u roku od 12 nedjelja, doza kortikosteroida smanji na ≤ 10 mg prednizona ili ekvivalenta na dan, a pacijentovo stanje stabilizuje supstitucionom terapijom</w:t>
            </w:r>
          </w:p>
          <w:p w14:paraId="50BE61B7" w14:textId="77777777" w:rsidR="000A26D9" w:rsidRPr="00B35A22" w:rsidRDefault="000A26D9" w:rsidP="00B35A22">
            <w:pPr>
              <w:widowControl w:val="0"/>
              <w:rPr>
                <w:sz w:val="22"/>
                <w:lang w:val="sr-Latn-ME"/>
              </w:rPr>
            </w:pPr>
          </w:p>
        </w:tc>
      </w:tr>
      <w:tr w:rsidR="000A26D9" w:rsidRPr="00B35A22" w14:paraId="7454EEAA" w14:textId="77777777" w:rsidTr="00B35A22">
        <w:trPr>
          <w:tblHeader/>
        </w:trPr>
        <w:tc>
          <w:tcPr>
            <w:tcW w:w="2327" w:type="dxa"/>
            <w:vMerge w:val="restart"/>
          </w:tcPr>
          <w:p w14:paraId="438685DC" w14:textId="77777777" w:rsidR="000A26D9" w:rsidRPr="00B35A22" w:rsidRDefault="000A26D9" w:rsidP="00B35A22">
            <w:pPr>
              <w:widowControl w:val="0"/>
              <w:jc w:val="both"/>
              <w:rPr>
                <w:b/>
                <w:sz w:val="22"/>
                <w:lang w:val="sr-Latn-ME"/>
              </w:rPr>
            </w:pPr>
            <w:r w:rsidRPr="00B35A22">
              <w:rPr>
                <w:b/>
                <w:sz w:val="22"/>
                <w:lang w:val="sr-Latn-ME"/>
              </w:rPr>
              <w:t>Hipofizitis</w:t>
            </w:r>
          </w:p>
        </w:tc>
        <w:tc>
          <w:tcPr>
            <w:tcW w:w="3368" w:type="dxa"/>
          </w:tcPr>
          <w:p w14:paraId="1ACA26A9" w14:textId="77777777" w:rsidR="000A26D9" w:rsidRPr="00B35A22" w:rsidRDefault="000A26D9" w:rsidP="00B35A22">
            <w:pPr>
              <w:widowControl w:val="0"/>
              <w:jc w:val="both"/>
              <w:rPr>
                <w:sz w:val="22"/>
                <w:lang w:val="sr-Latn-ME"/>
              </w:rPr>
            </w:pPr>
            <w:r w:rsidRPr="00B35A22">
              <w:rPr>
                <w:sz w:val="22"/>
                <w:lang w:val="sr-Latn-ME"/>
              </w:rPr>
              <w:t>2. ili 3. stepen</w:t>
            </w:r>
          </w:p>
        </w:tc>
        <w:tc>
          <w:tcPr>
            <w:tcW w:w="3368" w:type="dxa"/>
          </w:tcPr>
          <w:p w14:paraId="5839DDC9" w14:textId="7AD6EF0F" w:rsidR="000A26D9" w:rsidRPr="00B35A22" w:rsidRDefault="000A26D9" w:rsidP="00B35A22">
            <w:pPr>
              <w:widowControl w:val="0"/>
              <w:rPr>
                <w:sz w:val="22"/>
                <w:lang w:val="sr-Latn-ME"/>
              </w:rPr>
            </w:pPr>
            <w:r w:rsidRPr="00B35A22">
              <w:rPr>
                <w:sz w:val="22"/>
                <w:lang w:val="sr-Latn-ME"/>
              </w:rPr>
              <w:t>Odložiti primjenu lijeka Tecentriq</w:t>
            </w:r>
          </w:p>
          <w:p w14:paraId="3EFE514B" w14:textId="77777777" w:rsidR="000A26D9" w:rsidRPr="00B35A22" w:rsidRDefault="000A26D9" w:rsidP="00B35A22">
            <w:pPr>
              <w:widowControl w:val="0"/>
              <w:rPr>
                <w:sz w:val="22"/>
                <w:lang w:val="sr-Latn-ME"/>
              </w:rPr>
            </w:pPr>
          </w:p>
          <w:p w14:paraId="3D818BF4" w14:textId="77777777" w:rsidR="000A26D9" w:rsidRPr="00B35A22" w:rsidRDefault="000A26D9" w:rsidP="00B35A22">
            <w:pPr>
              <w:widowControl w:val="0"/>
              <w:rPr>
                <w:sz w:val="22"/>
                <w:szCs w:val="22"/>
                <w:lang w:val="sr-Latn-ME"/>
              </w:rPr>
            </w:pPr>
            <w:r w:rsidRPr="00B35A22">
              <w:rPr>
                <w:sz w:val="22"/>
                <w:lang w:val="sr-Latn-ME"/>
              </w:rPr>
              <w:t>Liječenje se može nastaviti kada se simptomi poboljšaju do 0. ili 1. stepena u roku od 12 nedjelja, doza kortikosteroida smanji na ≤ 10 mg prednizona ili ekvivalenta na dan, a pacijentovo stanje stabilizuje supstitucionom  terapijom</w:t>
            </w:r>
          </w:p>
          <w:p w14:paraId="2DE2E416" w14:textId="77777777" w:rsidR="000A26D9" w:rsidRPr="00B35A22" w:rsidRDefault="000A26D9" w:rsidP="00B35A22">
            <w:pPr>
              <w:widowControl w:val="0"/>
              <w:rPr>
                <w:sz w:val="22"/>
                <w:lang w:val="sr-Latn-ME"/>
              </w:rPr>
            </w:pPr>
          </w:p>
        </w:tc>
      </w:tr>
      <w:tr w:rsidR="000A26D9" w:rsidRPr="00B35A22" w14:paraId="2953743B" w14:textId="77777777" w:rsidTr="00B35A22">
        <w:trPr>
          <w:tblHeader/>
        </w:trPr>
        <w:tc>
          <w:tcPr>
            <w:tcW w:w="2327" w:type="dxa"/>
            <w:vMerge/>
          </w:tcPr>
          <w:p w14:paraId="7954E551" w14:textId="77777777" w:rsidR="000A26D9" w:rsidRPr="00B35A22" w:rsidRDefault="000A26D9" w:rsidP="00B35A22">
            <w:pPr>
              <w:widowControl w:val="0"/>
              <w:jc w:val="both"/>
              <w:rPr>
                <w:b/>
                <w:sz w:val="22"/>
                <w:lang w:val="sr-Latn-ME"/>
              </w:rPr>
            </w:pPr>
          </w:p>
        </w:tc>
        <w:tc>
          <w:tcPr>
            <w:tcW w:w="3368" w:type="dxa"/>
          </w:tcPr>
          <w:p w14:paraId="48EE547A" w14:textId="77777777" w:rsidR="000A26D9" w:rsidRPr="00B35A22" w:rsidRDefault="000A26D9" w:rsidP="00B35A22">
            <w:pPr>
              <w:widowControl w:val="0"/>
              <w:jc w:val="both"/>
              <w:rPr>
                <w:sz w:val="22"/>
                <w:lang w:val="sr-Latn-ME"/>
              </w:rPr>
            </w:pPr>
            <w:r w:rsidRPr="00B35A22">
              <w:rPr>
                <w:sz w:val="22"/>
                <w:lang w:val="sr-Latn-ME"/>
              </w:rPr>
              <w:t>4. stepen</w:t>
            </w:r>
          </w:p>
        </w:tc>
        <w:tc>
          <w:tcPr>
            <w:tcW w:w="3368" w:type="dxa"/>
          </w:tcPr>
          <w:p w14:paraId="7A2BB67E" w14:textId="229E0A43" w:rsidR="000A26D9" w:rsidRPr="00B35A22" w:rsidRDefault="000A26D9" w:rsidP="00B35A22">
            <w:pPr>
              <w:widowControl w:val="0"/>
              <w:rPr>
                <w:sz w:val="22"/>
                <w:szCs w:val="22"/>
                <w:lang w:val="sr-Latn-ME"/>
              </w:rPr>
            </w:pPr>
            <w:r w:rsidRPr="00B35A22">
              <w:rPr>
                <w:sz w:val="22"/>
                <w:lang w:val="sr-Latn-ME"/>
              </w:rPr>
              <w:t>Trajno prekinuti liječenje lijekom Tecentriq</w:t>
            </w:r>
          </w:p>
          <w:p w14:paraId="7A04E85F" w14:textId="77777777" w:rsidR="000A26D9" w:rsidRPr="00B35A22" w:rsidRDefault="000A26D9" w:rsidP="00B35A22">
            <w:pPr>
              <w:widowControl w:val="0"/>
              <w:rPr>
                <w:sz w:val="22"/>
                <w:lang w:val="sr-Latn-ME"/>
              </w:rPr>
            </w:pPr>
          </w:p>
        </w:tc>
      </w:tr>
      <w:tr w:rsidR="000A26D9" w:rsidRPr="00B35A22" w14:paraId="0207CB4C" w14:textId="77777777" w:rsidTr="00B35A22">
        <w:trPr>
          <w:tblHeader/>
        </w:trPr>
        <w:tc>
          <w:tcPr>
            <w:tcW w:w="2327" w:type="dxa"/>
          </w:tcPr>
          <w:p w14:paraId="019ECEAF" w14:textId="77777777" w:rsidR="000A26D9" w:rsidRPr="00B35A22" w:rsidRDefault="000A26D9" w:rsidP="00B35A22">
            <w:pPr>
              <w:widowControl w:val="0"/>
              <w:jc w:val="both"/>
              <w:rPr>
                <w:b/>
                <w:sz w:val="22"/>
                <w:lang w:val="sr-Latn-ME"/>
              </w:rPr>
            </w:pPr>
            <w:r w:rsidRPr="00B35A22">
              <w:rPr>
                <w:b/>
                <w:sz w:val="22"/>
                <w:lang w:val="sr-Latn-ME"/>
              </w:rPr>
              <w:t>Dijabetes tipa 1</w:t>
            </w:r>
          </w:p>
        </w:tc>
        <w:tc>
          <w:tcPr>
            <w:tcW w:w="3368" w:type="dxa"/>
          </w:tcPr>
          <w:p w14:paraId="446BBB7B" w14:textId="76A8BBAA" w:rsidR="000A26D9" w:rsidRPr="00B35A22" w:rsidRDefault="000A26D9" w:rsidP="00B35A22">
            <w:pPr>
              <w:widowControl w:val="0"/>
              <w:rPr>
                <w:sz w:val="22"/>
                <w:lang w:val="sr-Latn-ME"/>
              </w:rPr>
            </w:pPr>
            <w:r w:rsidRPr="00B35A22">
              <w:rPr>
                <w:sz w:val="22"/>
                <w:lang w:val="sr-Latn-ME"/>
              </w:rPr>
              <w:t>Hiperglikemija 3. ili 4. stepen</w:t>
            </w:r>
            <w:r w:rsidR="00F707A2" w:rsidRPr="00B35A22">
              <w:rPr>
                <w:sz w:val="22"/>
                <w:lang w:val="sr-Latn-ME"/>
              </w:rPr>
              <w:t>a</w:t>
            </w:r>
            <w:r w:rsidRPr="00B35A22">
              <w:rPr>
                <w:sz w:val="22"/>
                <w:lang w:val="sr-Latn-ME"/>
              </w:rPr>
              <w:t xml:space="preserve"> (glukoza natašte &gt; 250 mg/dl ili 13,9 mmol/l)</w:t>
            </w:r>
          </w:p>
          <w:p w14:paraId="74044874" w14:textId="77777777" w:rsidR="000A26D9" w:rsidRPr="00B35A22" w:rsidRDefault="000A26D9" w:rsidP="00B35A22">
            <w:pPr>
              <w:widowControl w:val="0"/>
              <w:rPr>
                <w:sz w:val="22"/>
                <w:lang w:val="sr-Latn-ME"/>
              </w:rPr>
            </w:pPr>
          </w:p>
          <w:p w14:paraId="635C8F96" w14:textId="77777777" w:rsidR="000A26D9" w:rsidRPr="00B35A22" w:rsidRDefault="000A26D9" w:rsidP="00B35A22">
            <w:pPr>
              <w:widowControl w:val="0"/>
              <w:jc w:val="both"/>
              <w:rPr>
                <w:sz w:val="22"/>
                <w:lang w:val="sr-Latn-ME"/>
              </w:rPr>
            </w:pPr>
          </w:p>
        </w:tc>
        <w:tc>
          <w:tcPr>
            <w:tcW w:w="3368" w:type="dxa"/>
          </w:tcPr>
          <w:p w14:paraId="70FD5AA9" w14:textId="23FC70E7" w:rsidR="000A26D9" w:rsidRPr="00B35A22" w:rsidRDefault="000A26D9" w:rsidP="00B35A22">
            <w:pPr>
              <w:widowControl w:val="0"/>
              <w:rPr>
                <w:sz w:val="22"/>
                <w:vertAlign w:val="superscript"/>
                <w:lang w:val="sr-Latn-ME"/>
              </w:rPr>
            </w:pPr>
            <w:r w:rsidRPr="00B35A22">
              <w:rPr>
                <w:sz w:val="22"/>
                <w:lang w:val="sr-Latn-ME"/>
              </w:rPr>
              <w:t>Odložiti primjenu lijeka Tecentriq</w:t>
            </w:r>
          </w:p>
          <w:p w14:paraId="428BF82F" w14:textId="77777777" w:rsidR="000A26D9" w:rsidRPr="00B35A22" w:rsidRDefault="000A26D9" w:rsidP="00B35A22">
            <w:pPr>
              <w:widowControl w:val="0"/>
              <w:rPr>
                <w:sz w:val="22"/>
                <w:lang w:val="sr-Latn-ME"/>
              </w:rPr>
            </w:pPr>
          </w:p>
          <w:p w14:paraId="0EBD0768" w14:textId="77777777" w:rsidR="000A26D9" w:rsidRPr="00B35A22" w:rsidRDefault="000A26D9" w:rsidP="00B35A22">
            <w:pPr>
              <w:widowControl w:val="0"/>
              <w:rPr>
                <w:sz w:val="22"/>
                <w:szCs w:val="22"/>
                <w:lang w:val="sr-Latn-ME"/>
              </w:rPr>
            </w:pPr>
            <w:r w:rsidRPr="00B35A22">
              <w:rPr>
                <w:sz w:val="22"/>
                <w:lang w:val="sr-Latn-ME"/>
              </w:rPr>
              <w:t>Liječenje se može nastaviti kada se uspostavi metabolička kontrola insulinskom supstitucionom terapijom</w:t>
            </w:r>
          </w:p>
          <w:p w14:paraId="04D1DC94" w14:textId="77777777" w:rsidR="000A26D9" w:rsidRPr="00B35A22" w:rsidRDefault="000A26D9" w:rsidP="00B35A22">
            <w:pPr>
              <w:widowControl w:val="0"/>
              <w:rPr>
                <w:sz w:val="22"/>
                <w:lang w:val="sr-Latn-ME"/>
              </w:rPr>
            </w:pPr>
          </w:p>
        </w:tc>
      </w:tr>
      <w:tr w:rsidR="000A26D9" w:rsidRPr="00B35A22" w14:paraId="5C84A6FB" w14:textId="77777777" w:rsidTr="00B35A22">
        <w:trPr>
          <w:tblHeader/>
        </w:trPr>
        <w:tc>
          <w:tcPr>
            <w:tcW w:w="2327" w:type="dxa"/>
            <w:tcBorders>
              <w:bottom w:val="single" w:sz="4" w:space="0" w:color="auto"/>
            </w:tcBorders>
          </w:tcPr>
          <w:p w14:paraId="0AC5813B" w14:textId="50CC61F2" w:rsidR="000A26D9" w:rsidRPr="00B35A22" w:rsidRDefault="000A26D9" w:rsidP="00B35A22">
            <w:pPr>
              <w:widowControl w:val="0"/>
              <w:rPr>
                <w:b/>
                <w:sz w:val="22"/>
                <w:lang w:val="sr-Latn-ME"/>
              </w:rPr>
            </w:pPr>
            <w:r w:rsidRPr="00B35A22">
              <w:rPr>
                <w:b/>
                <w:sz w:val="22"/>
                <w:lang w:val="sr-Latn-ME"/>
              </w:rPr>
              <w:lastRenderedPageBreak/>
              <w:t>Osip</w:t>
            </w:r>
            <w:r w:rsidR="006B10C4" w:rsidRPr="00B35A22">
              <w:rPr>
                <w:b/>
                <w:sz w:val="22"/>
                <w:lang w:val="sr-Latn-ME"/>
              </w:rPr>
              <w:t>/teške kožne neželjene reakcije</w:t>
            </w:r>
          </w:p>
          <w:p w14:paraId="55FB7BEA" w14:textId="77777777" w:rsidR="000A26D9" w:rsidRPr="00B35A22" w:rsidRDefault="000A26D9" w:rsidP="00B35A22">
            <w:pPr>
              <w:widowControl w:val="0"/>
              <w:rPr>
                <w:sz w:val="22"/>
                <w:lang w:val="sr-Latn-ME"/>
              </w:rPr>
            </w:pPr>
          </w:p>
        </w:tc>
        <w:tc>
          <w:tcPr>
            <w:tcW w:w="3368" w:type="dxa"/>
            <w:tcBorders>
              <w:bottom w:val="single" w:sz="4" w:space="0" w:color="auto"/>
            </w:tcBorders>
          </w:tcPr>
          <w:p w14:paraId="14C5718B" w14:textId="77777777" w:rsidR="000A26D9" w:rsidRPr="00B35A22" w:rsidRDefault="000A26D9" w:rsidP="00B35A22">
            <w:pPr>
              <w:widowControl w:val="0"/>
              <w:rPr>
                <w:sz w:val="22"/>
                <w:lang w:val="sr-Latn-ME"/>
              </w:rPr>
            </w:pPr>
            <w:r w:rsidRPr="00B35A22">
              <w:rPr>
                <w:sz w:val="22"/>
                <w:lang w:val="sr-Latn-ME"/>
              </w:rPr>
              <w:t>3. stepen</w:t>
            </w:r>
          </w:p>
          <w:p w14:paraId="2389C078" w14:textId="13F66714" w:rsidR="006B10C4" w:rsidRPr="00B35A22" w:rsidRDefault="006B10C4" w:rsidP="00B35A22">
            <w:pPr>
              <w:widowControl w:val="0"/>
              <w:rPr>
                <w:sz w:val="22"/>
                <w:lang w:val="sr-Latn-ME"/>
              </w:rPr>
            </w:pPr>
          </w:p>
          <w:p w14:paraId="2BCDA4CA" w14:textId="30541A31" w:rsidR="006B10C4" w:rsidRPr="00B35A22" w:rsidRDefault="006B10C4" w:rsidP="00B35A22">
            <w:pPr>
              <w:widowControl w:val="0"/>
              <w:rPr>
                <w:sz w:val="22"/>
                <w:lang w:val="sr-Latn-ME"/>
              </w:rPr>
            </w:pPr>
            <w:r w:rsidRPr="00B35A22">
              <w:rPr>
                <w:sz w:val="22"/>
                <w:lang w:val="sr-Latn-ME"/>
              </w:rPr>
              <w:t>ili sumnja na Stevens-Johnsonov sindrom (SJS) ili toksičnu epidermalnu nekrolizu (TEN)</w:t>
            </w:r>
            <w:r w:rsidRPr="00B35A22">
              <w:rPr>
                <w:sz w:val="22"/>
                <w:vertAlign w:val="superscript"/>
                <w:lang w:val="sr-Latn-ME"/>
              </w:rPr>
              <w:t>1</w:t>
            </w:r>
          </w:p>
        </w:tc>
        <w:tc>
          <w:tcPr>
            <w:tcW w:w="3368" w:type="dxa"/>
          </w:tcPr>
          <w:p w14:paraId="0B3798A0" w14:textId="2684091D" w:rsidR="000A26D9" w:rsidRPr="00B35A22" w:rsidRDefault="000A26D9" w:rsidP="00B35A22">
            <w:pPr>
              <w:widowControl w:val="0"/>
              <w:rPr>
                <w:sz w:val="22"/>
                <w:lang w:val="sr-Latn-ME"/>
              </w:rPr>
            </w:pPr>
            <w:r w:rsidRPr="00B35A22">
              <w:rPr>
                <w:sz w:val="22"/>
                <w:lang w:val="sr-Latn-ME"/>
              </w:rPr>
              <w:t xml:space="preserve">Odložiti primjenu lijeka Tecentriq </w:t>
            </w:r>
          </w:p>
          <w:p w14:paraId="6EE6F149" w14:textId="77777777" w:rsidR="000A26D9" w:rsidRPr="00B35A22" w:rsidRDefault="000A26D9" w:rsidP="00B35A22">
            <w:pPr>
              <w:widowControl w:val="0"/>
              <w:rPr>
                <w:sz w:val="22"/>
                <w:lang w:val="sr-Latn-ME"/>
              </w:rPr>
            </w:pPr>
          </w:p>
          <w:p w14:paraId="2CC38272" w14:textId="1457AA10" w:rsidR="000A26D9" w:rsidRPr="00B35A22" w:rsidRDefault="000A26D9" w:rsidP="00B35A22">
            <w:pPr>
              <w:widowControl w:val="0"/>
              <w:rPr>
                <w:sz w:val="22"/>
                <w:szCs w:val="22"/>
                <w:lang w:val="sr-Latn-ME"/>
              </w:rPr>
            </w:pPr>
            <w:r w:rsidRPr="00B35A22">
              <w:rPr>
                <w:sz w:val="22"/>
                <w:lang w:val="sr-Latn-ME"/>
              </w:rPr>
              <w:t xml:space="preserve">Liječenje se može nastaviti kada </w:t>
            </w:r>
            <w:r w:rsidR="006B10C4" w:rsidRPr="00B35A22">
              <w:rPr>
                <w:sz w:val="22"/>
                <w:lang w:val="sr-Latn-ME"/>
              </w:rPr>
              <w:t>se simptomi poboljšaju do 0. ili 1. stepena u roku od 12 nedjelja</w:t>
            </w:r>
            <w:r w:rsidRPr="00B35A22">
              <w:rPr>
                <w:sz w:val="22"/>
                <w:lang w:val="sr-Latn-ME"/>
              </w:rPr>
              <w:t>, a doza kortikosteroida smanji na ≤ 10 mg prednizona ili ekvivalenta na dan</w:t>
            </w:r>
          </w:p>
          <w:p w14:paraId="63700BE1" w14:textId="77777777" w:rsidR="000A26D9" w:rsidRPr="00B35A22" w:rsidRDefault="000A26D9" w:rsidP="00B35A22">
            <w:pPr>
              <w:widowControl w:val="0"/>
              <w:rPr>
                <w:sz w:val="22"/>
                <w:lang w:val="sr-Latn-ME"/>
              </w:rPr>
            </w:pPr>
          </w:p>
        </w:tc>
      </w:tr>
      <w:tr w:rsidR="000A26D9" w:rsidRPr="00B35A22" w14:paraId="464AA30C" w14:textId="77777777" w:rsidTr="00B35A22">
        <w:trPr>
          <w:tblHeader/>
        </w:trPr>
        <w:tc>
          <w:tcPr>
            <w:tcW w:w="2327" w:type="dxa"/>
            <w:tcBorders>
              <w:top w:val="single" w:sz="4" w:space="0" w:color="auto"/>
            </w:tcBorders>
          </w:tcPr>
          <w:p w14:paraId="6806C8C4" w14:textId="77777777" w:rsidR="000A26D9" w:rsidRPr="00B35A22" w:rsidRDefault="000A26D9" w:rsidP="00B35A22">
            <w:pPr>
              <w:widowControl w:val="0"/>
              <w:jc w:val="both"/>
              <w:rPr>
                <w:b/>
                <w:sz w:val="22"/>
                <w:lang w:val="sr-Latn-ME"/>
              </w:rPr>
            </w:pPr>
          </w:p>
        </w:tc>
        <w:tc>
          <w:tcPr>
            <w:tcW w:w="3368" w:type="dxa"/>
            <w:tcBorders>
              <w:top w:val="single" w:sz="4" w:space="0" w:color="auto"/>
            </w:tcBorders>
          </w:tcPr>
          <w:p w14:paraId="78E7724F" w14:textId="77777777" w:rsidR="000A26D9" w:rsidRPr="00B35A22" w:rsidRDefault="000A26D9" w:rsidP="00B35A22">
            <w:pPr>
              <w:widowControl w:val="0"/>
              <w:rPr>
                <w:sz w:val="22"/>
                <w:lang w:val="sr-Latn-ME"/>
              </w:rPr>
            </w:pPr>
            <w:r w:rsidRPr="00B35A22">
              <w:rPr>
                <w:sz w:val="22"/>
                <w:lang w:val="sr-Latn-ME"/>
              </w:rPr>
              <w:t>4. stepen</w:t>
            </w:r>
          </w:p>
          <w:p w14:paraId="7C24E6FD" w14:textId="77777777" w:rsidR="006B10C4" w:rsidRPr="00B35A22" w:rsidRDefault="006B10C4" w:rsidP="00B35A22">
            <w:pPr>
              <w:widowControl w:val="0"/>
              <w:rPr>
                <w:sz w:val="22"/>
                <w:lang w:val="sr-Latn-ME"/>
              </w:rPr>
            </w:pPr>
          </w:p>
          <w:p w14:paraId="0F26BE56" w14:textId="77777777" w:rsidR="006B10C4" w:rsidRPr="00B35A22" w:rsidRDefault="006B10C4" w:rsidP="00B35A22">
            <w:pPr>
              <w:widowControl w:val="0"/>
              <w:rPr>
                <w:sz w:val="22"/>
                <w:szCs w:val="22"/>
                <w:lang w:val="sr-Latn-ME"/>
              </w:rPr>
            </w:pPr>
          </w:p>
          <w:p w14:paraId="67510262" w14:textId="124ACA37" w:rsidR="006B10C4" w:rsidRPr="00B35A22" w:rsidRDefault="006B10C4" w:rsidP="00B35A22">
            <w:pPr>
              <w:widowControl w:val="0"/>
              <w:rPr>
                <w:sz w:val="22"/>
                <w:lang w:val="sr-Latn-ME"/>
              </w:rPr>
            </w:pPr>
            <w:r w:rsidRPr="00B35A22">
              <w:rPr>
                <w:sz w:val="22"/>
                <w:lang w:val="sr-Latn-ME"/>
              </w:rPr>
              <w:t>ili potvrđen Stevens-Johnsonov sindrom (SJS) ili toksična epidermalna nekroliza (TEN)</w:t>
            </w:r>
            <w:r w:rsidRPr="00B35A22">
              <w:rPr>
                <w:sz w:val="22"/>
                <w:vertAlign w:val="superscript"/>
                <w:lang w:val="sr-Latn-ME"/>
              </w:rPr>
              <w:t>1</w:t>
            </w:r>
          </w:p>
        </w:tc>
        <w:tc>
          <w:tcPr>
            <w:tcW w:w="3368" w:type="dxa"/>
          </w:tcPr>
          <w:p w14:paraId="29D55B1F" w14:textId="325E640B" w:rsidR="000A26D9" w:rsidRPr="00B35A22" w:rsidRDefault="000A26D9" w:rsidP="00B35A22">
            <w:pPr>
              <w:widowControl w:val="0"/>
              <w:rPr>
                <w:sz w:val="22"/>
                <w:lang w:val="sr-Latn-ME"/>
              </w:rPr>
            </w:pPr>
            <w:r w:rsidRPr="00B35A22">
              <w:rPr>
                <w:sz w:val="22"/>
                <w:lang w:val="sr-Latn-ME"/>
              </w:rPr>
              <w:t>Trajno prekinuti liječenje lijekom Tecentriq</w:t>
            </w:r>
          </w:p>
          <w:p w14:paraId="79156EDA" w14:textId="77777777" w:rsidR="000A26D9" w:rsidRPr="00B35A22" w:rsidRDefault="000A26D9" w:rsidP="00B35A22">
            <w:pPr>
              <w:widowControl w:val="0"/>
              <w:rPr>
                <w:sz w:val="22"/>
                <w:lang w:val="sr-Latn-ME"/>
              </w:rPr>
            </w:pPr>
          </w:p>
        </w:tc>
      </w:tr>
      <w:tr w:rsidR="00FD1DA9" w:rsidRPr="00B35A22" w14:paraId="17B8F6BE" w14:textId="77777777" w:rsidTr="00B35A22">
        <w:trPr>
          <w:tblHeader/>
        </w:trPr>
        <w:tc>
          <w:tcPr>
            <w:tcW w:w="2327" w:type="dxa"/>
            <w:vMerge w:val="restart"/>
          </w:tcPr>
          <w:p w14:paraId="385DD4F5" w14:textId="5D8A0CA4" w:rsidR="00FD1DA9" w:rsidRPr="00B35A22" w:rsidRDefault="00FD1DA9" w:rsidP="00B35A22">
            <w:pPr>
              <w:widowControl w:val="0"/>
              <w:tabs>
                <w:tab w:val="right" w:pos="8640"/>
              </w:tabs>
              <w:jc w:val="both"/>
              <w:rPr>
                <w:b/>
                <w:sz w:val="22"/>
                <w:lang w:val="sr-Latn-ME"/>
              </w:rPr>
            </w:pPr>
            <w:r w:rsidRPr="00B35A22">
              <w:rPr>
                <w:b/>
                <w:sz w:val="22"/>
                <w:lang w:val="sr-Latn-ME"/>
              </w:rPr>
              <w:t>Mijastenički sindrom/miastenija gravis, Guillain</w:t>
            </w:r>
            <w:r w:rsidRPr="00B35A22">
              <w:rPr>
                <w:b/>
                <w:sz w:val="22"/>
                <w:lang w:val="sr-Latn-ME"/>
              </w:rPr>
              <w:noBreakHyphen/>
              <w:t>Barréov sindrom, meningoencefalitis i pareza lica</w:t>
            </w:r>
          </w:p>
          <w:p w14:paraId="02BF8D6E" w14:textId="77777777" w:rsidR="00FD1DA9" w:rsidRPr="00B35A22" w:rsidRDefault="00FD1DA9" w:rsidP="00B35A22">
            <w:pPr>
              <w:widowControl w:val="0"/>
              <w:tabs>
                <w:tab w:val="right" w:pos="8640"/>
              </w:tabs>
              <w:jc w:val="both"/>
              <w:rPr>
                <w:b/>
                <w:sz w:val="22"/>
                <w:lang w:val="sr-Latn-ME"/>
              </w:rPr>
            </w:pPr>
          </w:p>
        </w:tc>
        <w:tc>
          <w:tcPr>
            <w:tcW w:w="3368" w:type="dxa"/>
          </w:tcPr>
          <w:p w14:paraId="09A160F3" w14:textId="1413D7CE" w:rsidR="00FD1DA9" w:rsidRPr="00B35A22" w:rsidRDefault="00FD1DA9" w:rsidP="00B35A22">
            <w:pPr>
              <w:widowControl w:val="0"/>
              <w:jc w:val="both"/>
              <w:rPr>
                <w:sz w:val="22"/>
                <w:lang w:val="sr-Latn-ME"/>
              </w:rPr>
            </w:pPr>
            <w:r w:rsidRPr="00B35A22">
              <w:rPr>
                <w:sz w:val="22"/>
                <w:lang w:val="sr-Latn-ME"/>
              </w:rPr>
              <w:t>Pareza lica 1. ili 2. stepena</w:t>
            </w:r>
          </w:p>
        </w:tc>
        <w:tc>
          <w:tcPr>
            <w:tcW w:w="3368" w:type="dxa"/>
          </w:tcPr>
          <w:p w14:paraId="07F1F18A" w14:textId="6A30D0E9" w:rsidR="00FD1DA9" w:rsidRPr="00B35A22" w:rsidRDefault="00FD1DA9" w:rsidP="00B35A22">
            <w:pPr>
              <w:widowControl w:val="0"/>
              <w:rPr>
                <w:sz w:val="22"/>
                <w:lang w:val="sr-Latn-ME"/>
              </w:rPr>
            </w:pPr>
            <w:r w:rsidRPr="00B35A22">
              <w:rPr>
                <w:sz w:val="22"/>
                <w:lang w:val="sr-Latn-ME"/>
              </w:rPr>
              <w:t>Odložiti primjenu lijeka Tecentriq</w:t>
            </w:r>
          </w:p>
          <w:p w14:paraId="67CBF739" w14:textId="77777777" w:rsidR="00FD1DA9" w:rsidRPr="00B35A22" w:rsidRDefault="00FD1DA9" w:rsidP="00B35A22">
            <w:pPr>
              <w:widowControl w:val="0"/>
              <w:rPr>
                <w:sz w:val="22"/>
                <w:lang w:val="sr-Latn-ME"/>
              </w:rPr>
            </w:pPr>
          </w:p>
          <w:p w14:paraId="0F10EF4C" w14:textId="307FBC2A" w:rsidR="00FD1DA9" w:rsidRPr="00B35A22" w:rsidRDefault="00FD1DA9" w:rsidP="00B35A22">
            <w:pPr>
              <w:widowControl w:val="0"/>
              <w:rPr>
                <w:sz w:val="22"/>
                <w:lang w:val="sr-Latn-ME"/>
              </w:rPr>
            </w:pPr>
            <w:r w:rsidRPr="00B35A22">
              <w:rPr>
                <w:sz w:val="22"/>
                <w:lang w:val="sr-Latn-ME"/>
              </w:rPr>
              <w:t>Liječenje se može nastaviti ako se simptomi u potpunosti povuku. Ako se simptomi ne povuku u potpunosti uz odlaganje primjene lijeka Tecentriq, potrebno je trajno prekinuti liječenje lijekom Tecentriq</w:t>
            </w:r>
          </w:p>
        </w:tc>
      </w:tr>
      <w:tr w:rsidR="00FD1DA9" w:rsidRPr="00B35A22" w14:paraId="44969476" w14:textId="77777777" w:rsidTr="00B35A22">
        <w:trPr>
          <w:tblHeader/>
        </w:trPr>
        <w:tc>
          <w:tcPr>
            <w:tcW w:w="2327" w:type="dxa"/>
            <w:vMerge/>
          </w:tcPr>
          <w:p w14:paraId="52626E84" w14:textId="77777777" w:rsidR="00FD1DA9" w:rsidRPr="00B35A22" w:rsidRDefault="00FD1DA9" w:rsidP="00B35A22">
            <w:pPr>
              <w:widowControl w:val="0"/>
              <w:tabs>
                <w:tab w:val="right" w:pos="8640"/>
              </w:tabs>
              <w:jc w:val="both"/>
              <w:rPr>
                <w:b/>
                <w:sz w:val="22"/>
                <w:lang w:val="sr-Latn-ME"/>
              </w:rPr>
            </w:pPr>
          </w:p>
        </w:tc>
        <w:tc>
          <w:tcPr>
            <w:tcW w:w="3368" w:type="dxa"/>
          </w:tcPr>
          <w:p w14:paraId="549DB90F" w14:textId="35459D1F" w:rsidR="00FD1DA9" w:rsidRPr="00B35A22" w:rsidRDefault="00FD1DA9" w:rsidP="00B35A22">
            <w:pPr>
              <w:widowControl w:val="0"/>
              <w:jc w:val="both"/>
              <w:rPr>
                <w:sz w:val="22"/>
                <w:lang w:val="sr-Latn-ME"/>
              </w:rPr>
            </w:pPr>
            <w:r w:rsidRPr="00B35A22">
              <w:rPr>
                <w:sz w:val="22"/>
                <w:lang w:val="sr-Latn-ME"/>
              </w:rPr>
              <w:t>Svi stepeni mijasteničkog sindroma/miastenije gravis, Guillain-</w:t>
            </w:r>
            <w:r w:rsidR="008B7DB8" w:rsidRPr="00B35A22">
              <w:rPr>
                <w:sz w:val="22"/>
                <w:lang w:val="sr-Latn-ME"/>
              </w:rPr>
              <w:t xml:space="preserve"> </w:t>
            </w:r>
            <w:r w:rsidRPr="00B35A22">
              <w:rPr>
                <w:sz w:val="22"/>
                <w:lang w:val="sr-Latn-ME"/>
              </w:rPr>
              <w:t>Barréovog sindroma i meningoencefalitisa</w:t>
            </w:r>
          </w:p>
          <w:p w14:paraId="41D168F7" w14:textId="77777777" w:rsidR="00FD1DA9" w:rsidRPr="00B35A22" w:rsidRDefault="00FD1DA9" w:rsidP="00B35A22">
            <w:pPr>
              <w:widowControl w:val="0"/>
              <w:jc w:val="both"/>
              <w:rPr>
                <w:sz w:val="22"/>
                <w:lang w:val="sr-Latn-ME"/>
              </w:rPr>
            </w:pPr>
          </w:p>
          <w:p w14:paraId="2536922D" w14:textId="308E4DC9" w:rsidR="00FD1DA9" w:rsidRPr="00B35A22" w:rsidRDefault="00FD1DA9" w:rsidP="00B35A22">
            <w:pPr>
              <w:widowControl w:val="0"/>
              <w:jc w:val="both"/>
              <w:rPr>
                <w:sz w:val="22"/>
                <w:lang w:val="sr-Latn-ME"/>
              </w:rPr>
            </w:pPr>
            <w:r w:rsidRPr="00B35A22">
              <w:rPr>
                <w:sz w:val="22"/>
                <w:lang w:val="sr-Latn-ME"/>
              </w:rPr>
              <w:t>ili pareza lica 3. ili 4. stepena</w:t>
            </w:r>
          </w:p>
        </w:tc>
        <w:tc>
          <w:tcPr>
            <w:tcW w:w="3368" w:type="dxa"/>
          </w:tcPr>
          <w:p w14:paraId="3992821E" w14:textId="2F625706" w:rsidR="00FD1DA9" w:rsidRPr="00B35A22" w:rsidRDefault="00FD1DA9" w:rsidP="00B35A22">
            <w:pPr>
              <w:widowControl w:val="0"/>
              <w:rPr>
                <w:sz w:val="22"/>
                <w:lang w:val="sr-Latn-ME"/>
              </w:rPr>
            </w:pPr>
            <w:r w:rsidRPr="00B35A22">
              <w:rPr>
                <w:sz w:val="22"/>
                <w:lang w:val="sr-Latn-ME"/>
              </w:rPr>
              <w:t>Trajno prekinuti liječenje lijekom Tecentriq</w:t>
            </w:r>
          </w:p>
        </w:tc>
      </w:tr>
      <w:tr w:rsidR="00FD1DA9" w:rsidRPr="00B35A22" w14:paraId="2658C9F7" w14:textId="77777777" w:rsidTr="00B35A22">
        <w:trPr>
          <w:tblHeader/>
        </w:trPr>
        <w:tc>
          <w:tcPr>
            <w:tcW w:w="2327" w:type="dxa"/>
          </w:tcPr>
          <w:p w14:paraId="4B5A6A2F" w14:textId="3A8D457F" w:rsidR="00FD1DA9" w:rsidRPr="00B35A22" w:rsidRDefault="00FD1DA9" w:rsidP="00B35A22">
            <w:pPr>
              <w:widowControl w:val="0"/>
              <w:tabs>
                <w:tab w:val="right" w:pos="8640"/>
              </w:tabs>
              <w:jc w:val="both"/>
              <w:rPr>
                <w:b/>
                <w:sz w:val="22"/>
                <w:lang w:val="sr-Latn-ME"/>
              </w:rPr>
            </w:pPr>
            <w:r w:rsidRPr="00B35A22">
              <w:rPr>
                <w:sz w:val="22"/>
                <w:lang w:val="sr-Latn-ME"/>
              </w:rPr>
              <w:t>Mijelitis</w:t>
            </w:r>
          </w:p>
        </w:tc>
        <w:tc>
          <w:tcPr>
            <w:tcW w:w="3368" w:type="dxa"/>
          </w:tcPr>
          <w:p w14:paraId="66A86CD5" w14:textId="6BF0952D" w:rsidR="00FD1DA9" w:rsidRPr="00B35A22" w:rsidRDefault="00FD1DA9" w:rsidP="00B35A22">
            <w:pPr>
              <w:widowControl w:val="0"/>
              <w:jc w:val="both"/>
              <w:rPr>
                <w:sz w:val="22"/>
                <w:lang w:val="sr-Latn-ME"/>
              </w:rPr>
            </w:pPr>
            <w:r w:rsidRPr="00B35A22">
              <w:rPr>
                <w:sz w:val="22"/>
                <w:lang w:val="sr-Latn-ME"/>
              </w:rPr>
              <w:t>2., 3. ili 4. stepena</w:t>
            </w:r>
          </w:p>
        </w:tc>
        <w:tc>
          <w:tcPr>
            <w:tcW w:w="3368" w:type="dxa"/>
          </w:tcPr>
          <w:p w14:paraId="66640676" w14:textId="6AB14AC2" w:rsidR="00FD1DA9" w:rsidRPr="00B35A22" w:rsidRDefault="00FD1DA9" w:rsidP="00B35A22">
            <w:pPr>
              <w:widowControl w:val="0"/>
              <w:rPr>
                <w:sz w:val="22"/>
                <w:lang w:val="sr-Latn-ME"/>
              </w:rPr>
            </w:pPr>
            <w:r w:rsidRPr="00B35A22">
              <w:rPr>
                <w:sz w:val="22"/>
                <w:lang w:val="sr-Latn-ME"/>
              </w:rPr>
              <w:t>Trajno prekinuti liječenje lijekom Tecentriq</w:t>
            </w:r>
          </w:p>
        </w:tc>
      </w:tr>
      <w:tr w:rsidR="000A26D9" w:rsidRPr="00B35A22" w14:paraId="4A4EAF79" w14:textId="77777777" w:rsidTr="00B35A22">
        <w:trPr>
          <w:tblHeader/>
        </w:trPr>
        <w:tc>
          <w:tcPr>
            <w:tcW w:w="2327" w:type="dxa"/>
            <w:vMerge w:val="restart"/>
          </w:tcPr>
          <w:p w14:paraId="2DDE8DD6" w14:textId="77777777" w:rsidR="000A26D9" w:rsidRPr="00B35A22" w:rsidRDefault="000A26D9" w:rsidP="00B35A22">
            <w:pPr>
              <w:widowControl w:val="0"/>
              <w:tabs>
                <w:tab w:val="right" w:pos="8640"/>
              </w:tabs>
              <w:jc w:val="both"/>
              <w:rPr>
                <w:b/>
                <w:sz w:val="22"/>
                <w:lang w:val="sr-Latn-ME"/>
              </w:rPr>
            </w:pPr>
            <w:r w:rsidRPr="00B35A22">
              <w:rPr>
                <w:b/>
                <w:sz w:val="22"/>
                <w:lang w:val="sr-Latn-ME"/>
              </w:rPr>
              <w:t xml:space="preserve">Pankreatitis </w:t>
            </w:r>
          </w:p>
        </w:tc>
        <w:tc>
          <w:tcPr>
            <w:tcW w:w="3368" w:type="dxa"/>
          </w:tcPr>
          <w:p w14:paraId="4DF40C6B" w14:textId="23D03112" w:rsidR="000A26D9" w:rsidRPr="00B35A22" w:rsidRDefault="000A26D9" w:rsidP="00B35A22">
            <w:pPr>
              <w:widowControl w:val="0"/>
              <w:jc w:val="both"/>
              <w:rPr>
                <w:sz w:val="22"/>
                <w:lang w:val="sr-Latn-ME"/>
              </w:rPr>
            </w:pPr>
            <w:r w:rsidRPr="00B35A22">
              <w:rPr>
                <w:sz w:val="22"/>
                <w:lang w:val="sr-Latn-ME"/>
              </w:rPr>
              <w:t>Pov</w:t>
            </w:r>
            <w:r w:rsidR="00836214" w:rsidRPr="00B35A22">
              <w:rPr>
                <w:sz w:val="22"/>
                <w:lang w:val="sr-Latn-ME"/>
              </w:rPr>
              <w:t>ećanje</w:t>
            </w:r>
            <w:r w:rsidRPr="00B35A22">
              <w:rPr>
                <w:sz w:val="22"/>
                <w:lang w:val="sr-Latn-ME"/>
              </w:rPr>
              <w:t xml:space="preserve"> serumskih vrijednosti amilaze ili lipaze (&gt; 2 x GGN) 3. ili 4. stepen</w:t>
            </w:r>
            <w:r w:rsidR="00836214" w:rsidRPr="00B35A22">
              <w:rPr>
                <w:sz w:val="22"/>
                <w:lang w:val="sr-Latn-ME"/>
              </w:rPr>
              <w:t>a</w:t>
            </w:r>
          </w:p>
          <w:p w14:paraId="268D3383" w14:textId="7B8D7AD7" w:rsidR="000A26D9" w:rsidRPr="00B35A22" w:rsidRDefault="000A26D9" w:rsidP="00B35A22">
            <w:pPr>
              <w:widowControl w:val="0"/>
              <w:jc w:val="both"/>
              <w:rPr>
                <w:sz w:val="22"/>
                <w:lang w:val="sr-Latn-ME"/>
              </w:rPr>
            </w:pPr>
            <w:r w:rsidRPr="00B35A22">
              <w:rPr>
                <w:sz w:val="22"/>
                <w:lang w:val="sr-Latn-ME"/>
              </w:rPr>
              <w:t>ili pankreatitis 2. ili 3. stepen</w:t>
            </w:r>
            <w:r w:rsidR="00836214" w:rsidRPr="00B35A22">
              <w:rPr>
                <w:sz w:val="22"/>
                <w:lang w:val="sr-Latn-ME"/>
              </w:rPr>
              <w:t>a</w:t>
            </w:r>
          </w:p>
          <w:p w14:paraId="11FDE117" w14:textId="77777777" w:rsidR="000A26D9" w:rsidRPr="00B35A22" w:rsidRDefault="000A26D9" w:rsidP="00B35A22">
            <w:pPr>
              <w:widowControl w:val="0"/>
              <w:jc w:val="both"/>
              <w:rPr>
                <w:sz w:val="22"/>
                <w:lang w:val="sr-Latn-ME"/>
              </w:rPr>
            </w:pPr>
          </w:p>
        </w:tc>
        <w:tc>
          <w:tcPr>
            <w:tcW w:w="3368" w:type="dxa"/>
          </w:tcPr>
          <w:p w14:paraId="53B0E12F" w14:textId="2E8DDC8E" w:rsidR="000A26D9" w:rsidRPr="00B35A22" w:rsidRDefault="000A26D9" w:rsidP="00B35A22">
            <w:pPr>
              <w:widowControl w:val="0"/>
              <w:jc w:val="both"/>
              <w:rPr>
                <w:sz w:val="22"/>
                <w:lang w:val="sr-Latn-ME"/>
              </w:rPr>
            </w:pPr>
            <w:r w:rsidRPr="00B35A22">
              <w:rPr>
                <w:sz w:val="22"/>
                <w:lang w:val="sr-Latn-ME"/>
              </w:rPr>
              <w:t xml:space="preserve">Odložiti primjenu lijeka Tecentriq </w:t>
            </w:r>
          </w:p>
          <w:p w14:paraId="43BB99E5" w14:textId="77777777" w:rsidR="000A26D9" w:rsidRPr="00B35A22" w:rsidRDefault="000A26D9" w:rsidP="00B35A22">
            <w:pPr>
              <w:widowControl w:val="0"/>
              <w:jc w:val="both"/>
              <w:rPr>
                <w:sz w:val="22"/>
                <w:lang w:val="sr-Latn-ME"/>
              </w:rPr>
            </w:pPr>
          </w:p>
          <w:p w14:paraId="0F0BCD85" w14:textId="77777777" w:rsidR="000A26D9" w:rsidRPr="00B35A22" w:rsidRDefault="000A26D9" w:rsidP="00B35A22">
            <w:pPr>
              <w:widowControl w:val="0"/>
              <w:jc w:val="both"/>
              <w:rPr>
                <w:sz w:val="22"/>
                <w:szCs w:val="22"/>
                <w:lang w:val="sr-Latn-ME"/>
              </w:rPr>
            </w:pPr>
            <w:r w:rsidRPr="00B35A22">
              <w:rPr>
                <w:sz w:val="22"/>
                <w:lang w:val="sr-Latn-ME"/>
              </w:rPr>
              <w:t>Liječenje se može nastaviti kada se serumske vrijednosti amilaze i lipaze poboljšaju do 0. ili 1. stepena u roku od 12 nedjelja, ili kada se povuku simptomi pankreatitisa, a doza kortikosteroida smanji na ≤ 10 mg prednizona ili ekvivalenta na dan</w:t>
            </w:r>
          </w:p>
          <w:p w14:paraId="52D82D4C" w14:textId="77777777" w:rsidR="000A26D9" w:rsidRPr="00B35A22" w:rsidRDefault="000A26D9" w:rsidP="00B35A22">
            <w:pPr>
              <w:widowControl w:val="0"/>
              <w:jc w:val="both"/>
              <w:rPr>
                <w:sz w:val="22"/>
                <w:lang w:val="sr-Latn-ME"/>
              </w:rPr>
            </w:pPr>
          </w:p>
        </w:tc>
      </w:tr>
      <w:tr w:rsidR="000A26D9" w:rsidRPr="00B35A22" w14:paraId="492EFC38" w14:textId="77777777" w:rsidTr="00B35A22">
        <w:trPr>
          <w:tblHeader/>
        </w:trPr>
        <w:tc>
          <w:tcPr>
            <w:tcW w:w="2327" w:type="dxa"/>
            <w:vMerge/>
          </w:tcPr>
          <w:p w14:paraId="47AEA041" w14:textId="77777777" w:rsidR="000A26D9" w:rsidRPr="00B35A22" w:rsidRDefault="000A26D9" w:rsidP="00B35A22">
            <w:pPr>
              <w:widowControl w:val="0"/>
              <w:tabs>
                <w:tab w:val="right" w:pos="8640"/>
              </w:tabs>
              <w:jc w:val="both"/>
              <w:rPr>
                <w:b/>
                <w:sz w:val="22"/>
                <w:lang w:val="sr-Latn-ME"/>
              </w:rPr>
            </w:pPr>
          </w:p>
        </w:tc>
        <w:tc>
          <w:tcPr>
            <w:tcW w:w="3368" w:type="dxa"/>
          </w:tcPr>
          <w:p w14:paraId="1146BBA7" w14:textId="77777777" w:rsidR="000A26D9" w:rsidRPr="00B35A22" w:rsidRDefault="000A26D9" w:rsidP="00B35A22">
            <w:pPr>
              <w:widowControl w:val="0"/>
              <w:jc w:val="both"/>
              <w:rPr>
                <w:sz w:val="22"/>
                <w:lang w:val="sr-Latn-ME"/>
              </w:rPr>
            </w:pPr>
            <w:r w:rsidRPr="00B35A22">
              <w:rPr>
                <w:sz w:val="22"/>
                <w:lang w:val="sr-Latn-ME"/>
              </w:rPr>
              <w:t>4. stepen ili rekurentni pankreatitis bilo kojeg stepena</w:t>
            </w:r>
          </w:p>
          <w:p w14:paraId="6199A792" w14:textId="77777777" w:rsidR="000A26D9" w:rsidRPr="00B35A22" w:rsidRDefault="000A26D9" w:rsidP="00B35A22">
            <w:pPr>
              <w:widowControl w:val="0"/>
              <w:jc w:val="both"/>
              <w:rPr>
                <w:sz w:val="22"/>
                <w:lang w:val="sr-Latn-ME"/>
              </w:rPr>
            </w:pPr>
          </w:p>
        </w:tc>
        <w:tc>
          <w:tcPr>
            <w:tcW w:w="3368" w:type="dxa"/>
          </w:tcPr>
          <w:p w14:paraId="5EBE64D4" w14:textId="1352F287" w:rsidR="000A26D9" w:rsidRPr="00B35A22" w:rsidRDefault="000A26D9" w:rsidP="00B35A22">
            <w:pPr>
              <w:widowControl w:val="0"/>
              <w:jc w:val="both"/>
              <w:rPr>
                <w:sz w:val="22"/>
                <w:lang w:val="sr-Latn-ME"/>
              </w:rPr>
            </w:pPr>
            <w:r w:rsidRPr="00B35A22">
              <w:rPr>
                <w:sz w:val="22"/>
                <w:lang w:val="sr-Latn-ME"/>
              </w:rPr>
              <w:t>Trajno prekinuti liječenje lijekom Tecentriq</w:t>
            </w:r>
          </w:p>
        </w:tc>
      </w:tr>
      <w:tr w:rsidR="000A26D9" w:rsidRPr="00B35A22" w14:paraId="7EE31DC1" w14:textId="77777777" w:rsidTr="00B35A22">
        <w:trPr>
          <w:tblHeader/>
        </w:trPr>
        <w:tc>
          <w:tcPr>
            <w:tcW w:w="2327" w:type="dxa"/>
          </w:tcPr>
          <w:p w14:paraId="2A8EDD11" w14:textId="77777777" w:rsidR="000A26D9" w:rsidRPr="00B35A22" w:rsidRDefault="000A26D9" w:rsidP="00B35A22">
            <w:pPr>
              <w:widowControl w:val="0"/>
              <w:tabs>
                <w:tab w:val="right" w:pos="8640"/>
              </w:tabs>
              <w:jc w:val="both"/>
              <w:rPr>
                <w:b/>
                <w:sz w:val="22"/>
                <w:lang w:val="sr-Latn-ME"/>
              </w:rPr>
            </w:pPr>
            <w:r w:rsidRPr="00B35A22">
              <w:rPr>
                <w:b/>
                <w:sz w:val="22"/>
                <w:lang w:val="sr-Latn-ME"/>
              </w:rPr>
              <w:t>Miokarditis</w:t>
            </w:r>
          </w:p>
        </w:tc>
        <w:tc>
          <w:tcPr>
            <w:tcW w:w="3368" w:type="dxa"/>
          </w:tcPr>
          <w:p w14:paraId="45C39E28" w14:textId="265AA082" w:rsidR="000A26D9" w:rsidRPr="00B35A22" w:rsidRDefault="000A26D9" w:rsidP="00B35A22">
            <w:pPr>
              <w:widowControl w:val="0"/>
              <w:jc w:val="both"/>
              <w:rPr>
                <w:sz w:val="22"/>
                <w:lang w:val="sr-Latn-ME"/>
              </w:rPr>
            </w:pPr>
            <w:r w:rsidRPr="00B35A22">
              <w:rPr>
                <w:sz w:val="22"/>
                <w:lang w:val="sr-Latn-ME"/>
              </w:rPr>
              <w:t>2. stepena</w:t>
            </w:r>
            <w:r w:rsidR="00C87701" w:rsidRPr="00B35A22">
              <w:rPr>
                <w:sz w:val="22"/>
                <w:lang w:val="sr-Latn-ME"/>
              </w:rPr>
              <w:t xml:space="preserve"> ili više</w:t>
            </w:r>
          </w:p>
        </w:tc>
        <w:tc>
          <w:tcPr>
            <w:tcW w:w="3368" w:type="dxa"/>
          </w:tcPr>
          <w:p w14:paraId="3FA382F1" w14:textId="702EEEB2" w:rsidR="000A26D9" w:rsidRPr="00B35A22" w:rsidRDefault="00C87701" w:rsidP="00B35A22">
            <w:pPr>
              <w:widowControl w:val="0"/>
              <w:jc w:val="both"/>
              <w:rPr>
                <w:sz w:val="22"/>
                <w:lang w:val="sr-Latn-ME"/>
              </w:rPr>
            </w:pPr>
            <w:r w:rsidRPr="00B35A22">
              <w:rPr>
                <w:sz w:val="22"/>
                <w:lang w:val="sr-Latn-ME"/>
              </w:rPr>
              <w:t>Trajno prekinuti liječenje lijekom Tecentriq</w:t>
            </w:r>
          </w:p>
        </w:tc>
      </w:tr>
      <w:tr w:rsidR="0018697C" w:rsidRPr="00B35A22" w14:paraId="24AA69AE" w14:textId="77777777" w:rsidTr="00B35A22">
        <w:trPr>
          <w:tblHeader/>
        </w:trPr>
        <w:tc>
          <w:tcPr>
            <w:tcW w:w="2327" w:type="dxa"/>
          </w:tcPr>
          <w:p w14:paraId="0B45A519" w14:textId="77777777" w:rsidR="0018697C" w:rsidRPr="00B35A22" w:rsidRDefault="0018697C" w:rsidP="00B35A22">
            <w:pPr>
              <w:widowControl w:val="0"/>
              <w:tabs>
                <w:tab w:val="right" w:pos="8640"/>
              </w:tabs>
              <w:jc w:val="both"/>
              <w:rPr>
                <w:b/>
                <w:sz w:val="22"/>
                <w:lang w:val="sr-Latn-ME"/>
              </w:rPr>
            </w:pPr>
            <w:r w:rsidRPr="00B35A22">
              <w:rPr>
                <w:b/>
                <w:sz w:val="22"/>
                <w:lang w:val="sr-Latn-ME"/>
              </w:rPr>
              <w:t>Nefritis</w:t>
            </w:r>
          </w:p>
        </w:tc>
        <w:tc>
          <w:tcPr>
            <w:tcW w:w="3368" w:type="dxa"/>
          </w:tcPr>
          <w:p w14:paraId="09DB728C" w14:textId="77777777" w:rsidR="0018697C" w:rsidRPr="00B35A22" w:rsidRDefault="0018697C" w:rsidP="00B35A22">
            <w:pPr>
              <w:widowControl w:val="0"/>
              <w:jc w:val="both"/>
              <w:rPr>
                <w:sz w:val="22"/>
                <w:lang w:val="sr-Latn-ME"/>
              </w:rPr>
            </w:pPr>
            <w:r w:rsidRPr="00B35A22">
              <w:rPr>
                <w:sz w:val="22"/>
                <w:lang w:val="sr-Latn-ME"/>
              </w:rPr>
              <w:t>2. stepena:</w:t>
            </w:r>
          </w:p>
          <w:p w14:paraId="42C61CC2" w14:textId="04F74154" w:rsidR="0018697C" w:rsidRPr="00B35A22" w:rsidRDefault="0018697C" w:rsidP="00B35A22">
            <w:pPr>
              <w:widowControl w:val="0"/>
              <w:jc w:val="both"/>
              <w:rPr>
                <w:sz w:val="22"/>
                <w:lang w:val="sr-Latn-ME"/>
              </w:rPr>
            </w:pPr>
            <w:r w:rsidRPr="00B35A22">
              <w:rPr>
                <w:sz w:val="22"/>
                <w:lang w:val="sr-Latn-ME"/>
              </w:rPr>
              <w:t xml:space="preserve">(nivo kreatinina &gt;1,5 do 3 x bazalni nivo ili &gt;1,5 do 3,0 x </w:t>
            </w:r>
            <w:r w:rsidR="00836214" w:rsidRPr="00B35A22">
              <w:rPr>
                <w:sz w:val="22"/>
                <w:lang w:val="sr-Latn-ME"/>
              </w:rPr>
              <w:t>GGN</w:t>
            </w:r>
            <w:r w:rsidRPr="00B35A22">
              <w:rPr>
                <w:sz w:val="22"/>
                <w:lang w:val="sr-Latn-ME"/>
              </w:rPr>
              <w:t>)</w:t>
            </w:r>
          </w:p>
        </w:tc>
        <w:tc>
          <w:tcPr>
            <w:tcW w:w="3368" w:type="dxa"/>
          </w:tcPr>
          <w:p w14:paraId="454A0549" w14:textId="538811B5" w:rsidR="0018697C" w:rsidRPr="00B35A22" w:rsidRDefault="0018697C" w:rsidP="00B35A22">
            <w:pPr>
              <w:widowControl w:val="0"/>
              <w:jc w:val="both"/>
              <w:rPr>
                <w:sz w:val="22"/>
                <w:lang w:val="sr-Latn-ME"/>
              </w:rPr>
            </w:pPr>
            <w:r w:rsidRPr="00B35A22">
              <w:rPr>
                <w:sz w:val="22"/>
                <w:lang w:val="sr-Latn-ME"/>
              </w:rPr>
              <w:t>Odložiti primjenu lijeka Tecentriq</w:t>
            </w:r>
          </w:p>
          <w:p w14:paraId="43B98DF2" w14:textId="77777777" w:rsidR="0018697C" w:rsidRPr="00B35A22" w:rsidRDefault="0018697C" w:rsidP="00B35A22">
            <w:pPr>
              <w:widowControl w:val="0"/>
              <w:jc w:val="both"/>
              <w:rPr>
                <w:sz w:val="22"/>
                <w:lang w:val="sr-Latn-ME"/>
              </w:rPr>
            </w:pPr>
          </w:p>
          <w:p w14:paraId="4087613E" w14:textId="77777777" w:rsidR="0018697C" w:rsidRPr="00B35A22" w:rsidRDefault="0018697C" w:rsidP="00B35A22">
            <w:pPr>
              <w:widowControl w:val="0"/>
              <w:jc w:val="both"/>
              <w:rPr>
                <w:sz w:val="22"/>
                <w:lang w:val="sr-Latn-ME"/>
              </w:rPr>
            </w:pPr>
            <w:r w:rsidRPr="00B35A22">
              <w:rPr>
                <w:sz w:val="22"/>
                <w:lang w:val="sr-Latn-ME"/>
              </w:rPr>
              <w:t>Liječenje se može nastaviti kada se simptomi poboljšaju do 0. ili 1. stepena unutar 12 nedjelja, a doza kortikosteroida smanji na ≤ 10 mg prednizona ili ekvivalenta na dan</w:t>
            </w:r>
          </w:p>
        </w:tc>
      </w:tr>
      <w:tr w:rsidR="0018697C" w:rsidRPr="00B35A22" w14:paraId="1D2566B8" w14:textId="77777777" w:rsidTr="00B35A22">
        <w:trPr>
          <w:tblHeader/>
        </w:trPr>
        <w:tc>
          <w:tcPr>
            <w:tcW w:w="2327" w:type="dxa"/>
          </w:tcPr>
          <w:p w14:paraId="38A5101A" w14:textId="77777777" w:rsidR="0018697C" w:rsidRPr="00B35A22" w:rsidRDefault="0018697C" w:rsidP="00B35A22">
            <w:pPr>
              <w:widowControl w:val="0"/>
              <w:tabs>
                <w:tab w:val="right" w:pos="8640"/>
              </w:tabs>
              <w:jc w:val="both"/>
              <w:rPr>
                <w:b/>
                <w:sz w:val="22"/>
                <w:lang w:val="sr-Latn-ME"/>
              </w:rPr>
            </w:pPr>
          </w:p>
        </w:tc>
        <w:tc>
          <w:tcPr>
            <w:tcW w:w="3368" w:type="dxa"/>
          </w:tcPr>
          <w:p w14:paraId="2F6791C2" w14:textId="33C53E24" w:rsidR="0018697C" w:rsidRPr="00B35A22" w:rsidRDefault="0018697C" w:rsidP="00B35A22">
            <w:pPr>
              <w:widowControl w:val="0"/>
              <w:jc w:val="both"/>
              <w:rPr>
                <w:sz w:val="22"/>
                <w:lang w:val="sr-Latn-ME"/>
              </w:rPr>
            </w:pPr>
            <w:r w:rsidRPr="00B35A22">
              <w:rPr>
                <w:sz w:val="22"/>
                <w:lang w:val="sr-Latn-ME"/>
              </w:rPr>
              <w:t xml:space="preserve">3. </w:t>
            </w:r>
            <w:r w:rsidR="0055127C" w:rsidRPr="00B35A22">
              <w:rPr>
                <w:sz w:val="22"/>
                <w:lang w:val="sr-Latn-ME"/>
              </w:rPr>
              <w:t>i</w:t>
            </w:r>
            <w:r w:rsidR="006C4BD6" w:rsidRPr="00B35A22">
              <w:rPr>
                <w:sz w:val="22"/>
                <w:lang w:val="sr-Latn-ME"/>
              </w:rPr>
              <w:t>li</w:t>
            </w:r>
            <w:r w:rsidRPr="00B35A22">
              <w:rPr>
                <w:sz w:val="22"/>
                <w:lang w:val="sr-Latn-ME"/>
              </w:rPr>
              <w:t xml:space="preserve"> 4. stepena:</w:t>
            </w:r>
          </w:p>
          <w:p w14:paraId="334F90ED" w14:textId="1C91F96D" w:rsidR="0018697C" w:rsidRPr="00B35A22" w:rsidRDefault="0018697C" w:rsidP="00B35A22">
            <w:pPr>
              <w:widowControl w:val="0"/>
              <w:jc w:val="both"/>
              <w:rPr>
                <w:sz w:val="22"/>
                <w:lang w:val="sr-Latn-ME"/>
              </w:rPr>
            </w:pPr>
            <w:r w:rsidRPr="00B35A22">
              <w:rPr>
                <w:sz w:val="22"/>
                <w:lang w:val="sr-Latn-ME"/>
              </w:rPr>
              <w:t xml:space="preserve">(nivo kreatinina &gt;3,0 x bazalni nivo ili &gt;3,0 x </w:t>
            </w:r>
            <w:r w:rsidR="00836214" w:rsidRPr="00B35A22">
              <w:rPr>
                <w:sz w:val="22"/>
                <w:lang w:val="sr-Latn-ME"/>
              </w:rPr>
              <w:t>GGN</w:t>
            </w:r>
            <w:r w:rsidRPr="00B35A22">
              <w:rPr>
                <w:sz w:val="22"/>
                <w:lang w:val="sr-Latn-ME"/>
              </w:rPr>
              <w:t>)</w:t>
            </w:r>
          </w:p>
        </w:tc>
        <w:tc>
          <w:tcPr>
            <w:tcW w:w="3368" w:type="dxa"/>
          </w:tcPr>
          <w:p w14:paraId="0E779896" w14:textId="261C2E16" w:rsidR="0018697C" w:rsidRPr="00B35A22" w:rsidRDefault="0018697C" w:rsidP="00B35A22">
            <w:pPr>
              <w:widowControl w:val="0"/>
              <w:jc w:val="both"/>
              <w:rPr>
                <w:sz w:val="22"/>
                <w:lang w:val="sr-Latn-ME"/>
              </w:rPr>
            </w:pPr>
            <w:r w:rsidRPr="00B35A22">
              <w:rPr>
                <w:sz w:val="22"/>
                <w:lang w:val="sr-Latn-ME"/>
              </w:rPr>
              <w:t>Trajno prekinuti liječenje lijekom Tecentriq</w:t>
            </w:r>
          </w:p>
        </w:tc>
      </w:tr>
      <w:tr w:rsidR="006C4BD6" w:rsidRPr="00B35A22" w14:paraId="092DB13B" w14:textId="77777777" w:rsidTr="00B35A22">
        <w:trPr>
          <w:tblHeader/>
        </w:trPr>
        <w:tc>
          <w:tcPr>
            <w:tcW w:w="2327" w:type="dxa"/>
            <w:vMerge w:val="restart"/>
          </w:tcPr>
          <w:p w14:paraId="3A83FE8E" w14:textId="22FAE076" w:rsidR="006C4BD6" w:rsidRPr="00B35A22" w:rsidRDefault="006C4BD6" w:rsidP="00B35A22">
            <w:pPr>
              <w:widowControl w:val="0"/>
              <w:tabs>
                <w:tab w:val="right" w:pos="8640"/>
              </w:tabs>
              <w:jc w:val="both"/>
              <w:rPr>
                <w:b/>
                <w:sz w:val="22"/>
                <w:lang w:val="sr-Latn-ME"/>
              </w:rPr>
            </w:pPr>
            <w:r w:rsidRPr="00B35A22">
              <w:rPr>
                <w:b/>
                <w:sz w:val="22"/>
                <w:lang w:val="sr-Latn-ME"/>
              </w:rPr>
              <w:lastRenderedPageBreak/>
              <w:t>Miozitis</w:t>
            </w:r>
          </w:p>
        </w:tc>
        <w:tc>
          <w:tcPr>
            <w:tcW w:w="3368" w:type="dxa"/>
          </w:tcPr>
          <w:p w14:paraId="1E43069F" w14:textId="77777777" w:rsidR="006C4BD6" w:rsidRPr="00B35A22" w:rsidRDefault="006C4BD6" w:rsidP="00B35A22">
            <w:pPr>
              <w:widowControl w:val="0"/>
              <w:jc w:val="both"/>
              <w:rPr>
                <w:sz w:val="22"/>
                <w:lang w:val="sr-Latn-ME"/>
              </w:rPr>
            </w:pPr>
            <w:r w:rsidRPr="00B35A22">
              <w:rPr>
                <w:sz w:val="22"/>
                <w:lang w:val="sr-Latn-ME"/>
              </w:rPr>
              <w:t>2. ili 3. stepena:</w:t>
            </w:r>
          </w:p>
        </w:tc>
        <w:tc>
          <w:tcPr>
            <w:tcW w:w="3368" w:type="dxa"/>
          </w:tcPr>
          <w:p w14:paraId="57B0E46F" w14:textId="2220D9F6" w:rsidR="006C4BD6" w:rsidRPr="00B35A22" w:rsidRDefault="006C4BD6" w:rsidP="00B35A22">
            <w:pPr>
              <w:widowControl w:val="0"/>
              <w:jc w:val="both"/>
              <w:rPr>
                <w:sz w:val="22"/>
                <w:szCs w:val="22"/>
                <w:lang w:val="sr-Latn-ME"/>
              </w:rPr>
            </w:pPr>
            <w:r w:rsidRPr="00B35A22">
              <w:rPr>
                <w:sz w:val="22"/>
                <w:lang w:val="sr-Latn-ME"/>
              </w:rPr>
              <w:t>Odložiti primjenu lijeka Tecentriq</w:t>
            </w:r>
          </w:p>
          <w:p w14:paraId="69FF7B65" w14:textId="27AC764C" w:rsidR="006C4BD6" w:rsidRPr="00B35A22" w:rsidRDefault="006C4BD6" w:rsidP="00B35A22">
            <w:pPr>
              <w:widowControl w:val="0"/>
              <w:jc w:val="both"/>
              <w:rPr>
                <w:sz w:val="22"/>
                <w:lang w:val="sr-Latn-ME"/>
              </w:rPr>
            </w:pPr>
          </w:p>
        </w:tc>
      </w:tr>
      <w:tr w:rsidR="006C4BD6" w:rsidRPr="00B35A22" w14:paraId="6D5CD568" w14:textId="77777777" w:rsidTr="00B35A22">
        <w:trPr>
          <w:tblHeader/>
        </w:trPr>
        <w:tc>
          <w:tcPr>
            <w:tcW w:w="2327" w:type="dxa"/>
            <w:vMerge/>
          </w:tcPr>
          <w:p w14:paraId="62CED08B" w14:textId="77777777" w:rsidR="006C4BD6" w:rsidRPr="00B35A22" w:rsidRDefault="006C4BD6" w:rsidP="00B35A22">
            <w:pPr>
              <w:widowControl w:val="0"/>
              <w:tabs>
                <w:tab w:val="right" w:pos="8640"/>
              </w:tabs>
              <w:jc w:val="both"/>
              <w:rPr>
                <w:b/>
                <w:sz w:val="22"/>
                <w:lang w:val="sr-Latn-ME"/>
              </w:rPr>
            </w:pPr>
          </w:p>
        </w:tc>
        <w:tc>
          <w:tcPr>
            <w:tcW w:w="3368" w:type="dxa"/>
          </w:tcPr>
          <w:p w14:paraId="7EF8D713" w14:textId="2BB603B2" w:rsidR="006C4BD6" w:rsidRPr="00B35A22" w:rsidRDefault="006C4BD6" w:rsidP="00B35A22">
            <w:pPr>
              <w:widowControl w:val="0"/>
              <w:jc w:val="both"/>
              <w:rPr>
                <w:sz w:val="22"/>
                <w:lang w:val="sr-Latn-ME"/>
              </w:rPr>
            </w:pPr>
            <w:r w:rsidRPr="00B35A22">
              <w:rPr>
                <w:sz w:val="22"/>
                <w:lang w:val="sr-Latn-ME"/>
              </w:rPr>
              <w:t>4. stepena ili rekurentni miozitis 3. stepena</w:t>
            </w:r>
          </w:p>
        </w:tc>
        <w:tc>
          <w:tcPr>
            <w:tcW w:w="3368" w:type="dxa"/>
          </w:tcPr>
          <w:p w14:paraId="33235411" w14:textId="61566F48" w:rsidR="006C4BD6" w:rsidRPr="00B35A22" w:rsidRDefault="006C4BD6" w:rsidP="00B35A22">
            <w:pPr>
              <w:widowControl w:val="0"/>
              <w:jc w:val="both"/>
              <w:rPr>
                <w:sz w:val="22"/>
                <w:lang w:val="sr-Latn-ME"/>
              </w:rPr>
            </w:pPr>
            <w:r w:rsidRPr="00B35A22">
              <w:rPr>
                <w:sz w:val="22"/>
                <w:lang w:val="sr-Latn-ME"/>
              </w:rPr>
              <w:t>Trajno prekinuti liječenje lijekom Tecentriq</w:t>
            </w:r>
          </w:p>
        </w:tc>
      </w:tr>
      <w:tr w:rsidR="00B51DBB" w:rsidRPr="00B35A22" w14:paraId="7D05C7A0" w14:textId="77777777" w:rsidTr="00B35A22">
        <w:trPr>
          <w:tblHeader/>
        </w:trPr>
        <w:tc>
          <w:tcPr>
            <w:tcW w:w="2327" w:type="dxa"/>
            <w:vMerge w:val="restart"/>
          </w:tcPr>
          <w:p w14:paraId="30B4B700" w14:textId="46B827CA" w:rsidR="00B51DBB" w:rsidRPr="00B35A22" w:rsidRDefault="00B51DBB" w:rsidP="00B35A22">
            <w:pPr>
              <w:widowControl w:val="0"/>
              <w:tabs>
                <w:tab w:val="right" w:pos="8640"/>
              </w:tabs>
              <w:jc w:val="both"/>
              <w:rPr>
                <w:b/>
                <w:sz w:val="22"/>
                <w:lang w:val="sr-Latn-ME"/>
              </w:rPr>
            </w:pPr>
            <w:r w:rsidRPr="00B35A22">
              <w:rPr>
                <w:b/>
                <w:sz w:val="22"/>
                <w:lang w:val="sr-Latn-ME"/>
              </w:rPr>
              <w:t>Poremećaji perikarda</w:t>
            </w:r>
          </w:p>
        </w:tc>
        <w:tc>
          <w:tcPr>
            <w:tcW w:w="3368" w:type="dxa"/>
          </w:tcPr>
          <w:p w14:paraId="1FDD493A" w14:textId="3D2627E3" w:rsidR="00B51DBB" w:rsidRPr="00B35A22" w:rsidRDefault="00B51DBB" w:rsidP="00B35A22">
            <w:pPr>
              <w:widowControl w:val="0"/>
              <w:jc w:val="both"/>
              <w:rPr>
                <w:sz w:val="22"/>
                <w:lang w:val="sr-Latn-ME"/>
              </w:rPr>
            </w:pPr>
            <w:r w:rsidRPr="00B35A22">
              <w:rPr>
                <w:sz w:val="22"/>
                <w:lang w:val="sr-Latn-ME"/>
              </w:rPr>
              <w:t>Perikarditis 1. stepena</w:t>
            </w:r>
          </w:p>
        </w:tc>
        <w:tc>
          <w:tcPr>
            <w:tcW w:w="3368" w:type="dxa"/>
          </w:tcPr>
          <w:p w14:paraId="074F01D4" w14:textId="4BF810D8" w:rsidR="00B51DBB" w:rsidRPr="00B35A22" w:rsidRDefault="00B51DBB" w:rsidP="00B35A22">
            <w:pPr>
              <w:widowControl w:val="0"/>
              <w:jc w:val="both"/>
              <w:rPr>
                <w:sz w:val="22"/>
                <w:lang w:val="sr-Latn-ME"/>
              </w:rPr>
            </w:pPr>
            <w:r w:rsidRPr="00B35A22">
              <w:rPr>
                <w:sz w:val="22"/>
                <w:lang w:val="sr-Latn-ME"/>
              </w:rPr>
              <w:t>Odložiti primjenu lijeka Tecentriq</w:t>
            </w:r>
            <w:r w:rsidRPr="00B35A22">
              <w:rPr>
                <w:sz w:val="22"/>
                <w:vertAlign w:val="superscript"/>
                <w:lang w:val="sr-Latn-ME"/>
              </w:rPr>
              <w:t>2</w:t>
            </w:r>
          </w:p>
        </w:tc>
      </w:tr>
      <w:tr w:rsidR="00B51DBB" w:rsidRPr="00B35A22" w14:paraId="6DC81330" w14:textId="77777777" w:rsidTr="00B35A22">
        <w:trPr>
          <w:tblHeader/>
        </w:trPr>
        <w:tc>
          <w:tcPr>
            <w:tcW w:w="2327" w:type="dxa"/>
            <w:vMerge/>
          </w:tcPr>
          <w:p w14:paraId="61C84C5E" w14:textId="77777777" w:rsidR="00B51DBB" w:rsidRPr="00B35A22" w:rsidRDefault="00B51DBB" w:rsidP="00B35A22">
            <w:pPr>
              <w:widowControl w:val="0"/>
              <w:tabs>
                <w:tab w:val="right" w:pos="8640"/>
              </w:tabs>
              <w:jc w:val="both"/>
              <w:rPr>
                <w:b/>
                <w:sz w:val="22"/>
                <w:lang w:val="sr-Latn-ME"/>
              </w:rPr>
            </w:pPr>
          </w:p>
        </w:tc>
        <w:tc>
          <w:tcPr>
            <w:tcW w:w="3368" w:type="dxa"/>
          </w:tcPr>
          <w:p w14:paraId="5C26AD1B" w14:textId="1C1FBD11" w:rsidR="00B51DBB" w:rsidRPr="00B35A22" w:rsidRDefault="00B51DBB" w:rsidP="00B35A22">
            <w:pPr>
              <w:widowControl w:val="0"/>
              <w:jc w:val="both"/>
              <w:rPr>
                <w:sz w:val="22"/>
                <w:lang w:val="sr-Latn-ME"/>
              </w:rPr>
            </w:pPr>
            <w:r w:rsidRPr="00B35A22">
              <w:rPr>
                <w:sz w:val="22"/>
                <w:lang w:val="sr-Latn-ME"/>
              </w:rPr>
              <w:t>2. ili višeg stepena</w:t>
            </w:r>
          </w:p>
        </w:tc>
        <w:tc>
          <w:tcPr>
            <w:tcW w:w="3368" w:type="dxa"/>
          </w:tcPr>
          <w:p w14:paraId="52CBC16B" w14:textId="06AB19B2" w:rsidR="00B51DBB" w:rsidRPr="00B35A22" w:rsidRDefault="00B51DBB" w:rsidP="00B35A22">
            <w:pPr>
              <w:widowControl w:val="0"/>
              <w:jc w:val="both"/>
              <w:rPr>
                <w:sz w:val="22"/>
                <w:lang w:val="sr-Latn-ME"/>
              </w:rPr>
            </w:pPr>
            <w:r w:rsidRPr="00B35A22">
              <w:rPr>
                <w:sz w:val="22"/>
                <w:lang w:val="sr-Latn-ME"/>
              </w:rPr>
              <w:t>Trajno prekinuti liječenje lijekom Tecentriq</w:t>
            </w:r>
          </w:p>
        </w:tc>
      </w:tr>
      <w:tr w:rsidR="008F10E3" w:rsidRPr="00B35A22" w14:paraId="4C2D28D1" w14:textId="77777777" w:rsidTr="00B35A22">
        <w:trPr>
          <w:tblHeader/>
        </w:trPr>
        <w:tc>
          <w:tcPr>
            <w:tcW w:w="2327" w:type="dxa"/>
          </w:tcPr>
          <w:p w14:paraId="33958E4D" w14:textId="5B65E829" w:rsidR="008F10E3" w:rsidRPr="00B35A22" w:rsidRDefault="008F10E3" w:rsidP="00B35A22">
            <w:pPr>
              <w:widowControl w:val="0"/>
              <w:tabs>
                <w:tab w:val="right" w:pos="8640"/>
              </w:tabs>
              <w:rPr>
                <w:sz w:val="22"/>
                <w:lang w:val="sr-Latn-ME"/>
              </w:rPr>
            </w:pPr>
            <w:r w:rsidRPr="00B35A22">
              <w:rPr>
                <w:b/>
                <w:sz w:val="22"/>
                <w:lang w:val="sr-Latn-ME"/>
              </w:rPr>
              <w:t>Hemofagocitna limfohistiocitoza</w:t>
            </w:r>
          </w:p>
        </w:tc>
        <w:tc>
          <w:tcPr>
            <w:tcW w:w="3368" w:type="dxa"/>
          </w:tcPr>
          <w:p w14:paraId="0B80E582" w14:textId="5D4C580A" w:rsidR="008F10E3" w:rsidRPr="00B35A22" w:rsidRDefault="008F10E3" w:rsidP="00B35A22">
            <w:pPr>
              <w:widowControl w:val="0"/>
              <w:rPr>
                <w:sz w:val="22"/>
                <w:lang w:val="sr-Latn-ME"/>
              </w:rPr>
            </w:pPr>
            <w:r w:rsidRPr="00B35A22">
              <w:rPr>
                <w:sz w:val="22"/>
                <w:lang w:val="sr-Latn-ME"/>
              </w:rPr>
              <w:t>Sumnja na hemofagocitnu limfohistiocitozu</w:t>
            </w:r>
            <w:r w:rsidRPr="00B35A22">
              <w:rPr>
                <w:sz w:val="22"/>
                <w:vertAlign w:val="superscript"/>
                <w:lang w:val="sr-Latn-ME"/>
              </w:rPr>
              <w:t>1</w:t>
            </w:r>
          </w:p>
        </w:tc>
        <w:tc>
          <w:tcPr>
            <w:tcW w:w="3368" w:type="dxa"/>
          </w:tcPr>
          <w:p w14:paraId="6AF17548" w14:textId="59E62DC7" w:rsidR="008F10E3" w:rsidRPr="00B35A22" w:rsidRDefault="008F10E3" w:rsidP="00B35A22">
            <w:pPr>
              <w:widowControl w:val="0"/>
              <w:rPr>
                <w:sz w:val="22"/>
                <w:lang w:val="sr-Latn-ME"/>
              </w:rPr>
            </w:pPr>
            <w:r w:rsidRPr="00B35A22">
              <w:rPr>
                <w:sz w:val="22"/>
                <w:lang w:val="sr-Latn-ME"/>
              </w:rPr>
              <w:t>Trajno prekinuti liječenje lijekom Tecentriq</w:t>
            </w:r>
          </w:p>
        </w:tc>
      </w:tr>
      <w:tr w:rsidR="000A26D9" w:rsidRPr="00B35A22" w14:paraId="352BBFDC" w14:textId="77777777" w:rsidTr="00B35A22">
        <w:trPr>
          <w:tblHeader/>
        </w:trPr>
        <w:tc>
          <w:tcPr>
            <w:tcW w:w="2327" w:type="dxa"/>
            <w:vMerge w:val="restart"/>
          </w:tcPr>
          <w:p w14:paraId="3EE26B79" w14:textId="77777777" w:rsidR="000A26D9" w:rsidRPr="00B35A22" w:rsidRDefault="000A26D9" w:rsidP="00B35A22">
            <w:pPr>
              <w:widowControl w:val="0"/>
              <w:tabs>
                <w:tab w:val="right" w:pos="8640"/>
              </w:tabs>
              <w:rPr>
                <w:b/>
                <w:sz w:val="22"/>
                <w:lang w:val="sr-Latn-ME"/>
              </w:rPr>
            </w:pPr>
            <w:r w:rsidRPr="00B35A22">
              <w:rPr>
                <w:b/>
                <w:sz w:val="22"/>
                <w:lang w:val="sr-Latn-ME"/>
              </w:rPr>
              <w:t xml:space="preserve">Druga imunološki pruzrokovana neželjena dejstva </w:t>
            </w:r>
          </w:p>
        </w:tc>
        <w:tc>
          <w:tcPr>
            <w:tcW w:w="3368" w:type="dxa"/>
          </w:tcPr>
          <w:p w14:paraId="0F41D781" w14:textId="77777777" w:rsidR="000A26D9" w:rsidRPr="00B35A22" w:rsidRDefault="000A26D9" w:rsidP="00B35A22">
            <w:pPr>
              <w:widowControl w:val="0"/>
              <w:jc w:val="both"/>
              <w:rPr>
                <w:sz w:val="22"/>
                <w:lang w:val="sr-Latn-ME"/>
              </w:rPr>
            </w:pPr>
            <w:r w:rsidRPr="00B35A22">
              <w:rPr>
                <w:sz w:val="22"/>
                <w:lang w:val="sr-Latn-ME"/>
              </w:rPr>
              <w:t>2. ili 3. stepena</w:t>
            </w:r>
          </w:p>
        </w:tc>
        <w:tc>
          <w:tcPr>
            <w:tcW w:w="3368" w:type="dxa"/>
          </w:tcPr>
          <w:p w14:paraId="6BF51B78" w14:textId="77777777" w:rsidR="000A26D9" w:rsidRPr="00B35A22" w:rsidRDefault="000A26D9" w:rsidP="00B35A22">
            <w:pPr>
              <w:widowControl w:val="0"/>
              <w:jc w:val="both"/>
              <w:rPr>
                <w:sz w:val="22"/>
                <w:lang w:val="sr-Latn-ME"/>
              </w:rPr>
            </w:pPr>
            <w:r w:rsidRPr="00B35A22">
              <w:rPr>
                <w:sz w:val="22"/>
                <w:lang w:val="sr-Latn-ME"/>
              </w:rPr>
              <w:t>Odložiti primjenu dok se neželjena dejstva ne poboljšaju do 0. ili 1. stepena unutar 12 nedjelja, a doza kortikosteroida smanji na ≤ 10 mg prednizona ili ekvivalenta na dan</w:t>
            </w:r>
          </w:p>
        </w:tc>
      </w:tr>
      <w:tr w:rsidR="000A26D9" w:rsidRPr="00B35A22" w14:paraId="42BE6F93" w14:textId="77777777" w:rsidTr="00B35A22">
        <w:trPr>
          <w:tblHeader/>
        </w:trPr>
        <w:tc>
          <w:tcPr>
            <w:tcW w:w="2327" w:type="dxa"/>
            <w:vMerge/>
          </w:tcPr>
          <w:p w14:paraId="6A6C18BC" w14:textId="77777777" w:rsidR="000A26D9" w:rsidRPr="00B35A22" w:rsidRDefault="000A26D9" w:rsidP="00B35A22">
            <w:pPr>
              <w:widowControl w:val="0"/>
              <w:tabs>
                <w:tab w:val="right" w:pos="8640"/>
              </w:tabs>
              <w:jc w:val="both"/>
              <w:rPr>
                <w:b/>
                <w:sz w:val="22"/>
                <w:lang w:val="sr-Latn-ME"/>
              </w:rPr>
            </w:pPr>
          </w:p>
        </w:tc>
        <w:tc>
          <w:tcPr>
            <w:tcW w:w="3368" w:type="dxa"/>
          </w:tcPr>
          <w:p w14:paraId="4FFDDEE1" w14:textId="77777777" w:rsidR="000A26D9" w:rsidRPr="00B35A22" w:rsidRDefault="000A26D9" w:rsidP="00B35A22">
            <w:pPr>
              <w:widowControl w:val="0"/>
              <w:jc w:val="both"/>
              <w:rPr>
                <w:sz w:val="22"/>
                <w:lang w:val="sr-Latn-ME"/>
              </w:rPr>
            </w:pPr>
            <w:r w:rsidRPr="00B35A22">
              <w:rPr>
                <w:sz w:val="22"/>
                <w:lang w:val="sr-Latn-ME"/>
              </w:rPr>
              <w:t>4. stepena ili rekurentni događaj 3. stepena</w:t>
            </w:r>
          </w:p>
        </w:tc>
        <w:tc>
          <w:tcPr>
            <w:tcW w:w="3368" w:type="dxa"/>
          </w:tcPr>
          <w:p w14:paraId="595C3DDF" w14:textId="6D05725D" w:rsidR="000A26D9" w:rsidRPr="00B35A22" w:rsidRDefault="000A26D9" w:rsidP="00B35A22">
            <w:pPr>
              <w:widowControl w:val="0"/>
              <w:rPr>
                <w:sz w:val="22"/>
                <w:lang w:val="sr-Latn-ME"/>
              </w:rPr>
            </w:pPr>
            <w:r w:rsidRPr="00B35A22">
              <w:rPr>
                <w:sz w:val="22"/>
                <w:lang w:val="sr-Latn-ME"/>
              </w:rPr>
              <w:t>Trajno prekinuti liječenje lijekom Tecentriq (osim u slučaju endokrinopatija kontrolisanih hormonskom supstitucionom terapijom)</w:t>
            </w:r>
          </w:p>
        </w:tc>
      </w:tr>
      <w:tr w:rsidR="00B51DBB" w:rsidRPr="00B35A22" w14:paraId="431020D6" w14:textId="77777777" w:rsidTr="00B35A22">
        <w:trPr>
          <w:tblHeader/>
        </w:trPr>
        <w:tc>
          <w:tcPr>
            <w:tcW w:w="2327" w:type="dxa"/>
          </w:tcPr>
          <w:p w14:paraId="32FD0C0F" w14:textId="59F63913" w:rsidR="00B51DBB" w:rsidRPr="00B35A22" w:rsidRDefault="00B51DBB" w:rsidP="00B35A22">
            <w:pPr>
              <w:widowControl w:val="0"/>
              <w:tabs>
                <w:tab w:val="right" w:pos="8640"/>
              </w:tabs>
              <w:jc w:val="both"/>
              <w:rPr>
                <w:b/>
                <w:sz w:val="22"/>
                <w:lang w:val="sr-Latn-ME"/>
              </w:rPr>
            </w:pPr>
            <w:r w:rsidRPr="00B35A22">
              <w:rPr>
                <w:b/>
                <w:sz w:val="22"/>
                <w:lang w:val="sr-Latn-ME"/>
              </w:rPr>
              <w:t>Druge neželjene reakcije</w:t>
            </w:r>
          </w:p>
        </w:tc>
        <w:tc>
          <w:tcPr>
            <w:tcW w:w="3368" w:type="dxa"/>
          </w:tcPr>
          <w:p w14:paraId="30C457EB" w14:textId="00AAFB49" w:rsidR="00B51DBB" w:rsidRPr="00B35A22" w:rsidRDefault="00B51DBB" w:rsidP="00B35A22">
            <w:pPr>
              <w:widowControl w:val="0"/>
              <w:jc w:val="both"/>
              <w:rPr>
                <w:sz w:val="22"/>
                <w:lang w:val="sr-Latn-ME"/>
              </w:rPr>
            </w:pPr>
            <w:r w:rsidRPr="00B35A22">
              <w:rPr>
                <w:sz w:val="22"/>
                <w:lang w:val="sr-Latn-ME"/>
              </w:rPr>
              <w:t>Težina</w:t>
            </w:r>
          </w:p>
        </w:tc>
        <w:tc>
          <w:tcPr>
            <w:tcW w:w="3368" w:type="dxa"/>
          </w:tcPr>
          <w:p w14:paraId="776D9C3F" w14:textId="36B3DA55" w:rsidR="00B51DBB" w:rsidRPr="00B35A22" w:rsidRDefault="00B51DBB" w:rsidP="00B35A22">
            <w:pPr>
              <w:widowControl w:val="0"/>
              <w:rPr>
                <w:sz w:val="22"/>
                <w:lang w:val="sr-Latn-ME"/>
              </w:rPr>
            </w:pPr>
            <w:r w:rsidRPr="00B35A22">
              <w:rPr>
                <w:sz w:val="22"/>
                <w:lang w:val="sr-Latn-ME"/>
              </w:rPr>
              <w:t>Prilagođavanje liječenja</w:t>
            </w:r>
          </w:p>
        </w:tc>
      </w:tr>
      <w:tr w:rsidR="00B51DBB" w:rsidRPr="00B35A22" w14:paraId="4EE9EB15" w14:textId="77777777" w:rsidTr="00B35A22">
        <w:trPr>
          <w:tblHeader/>
        </w:trPr>
        <w:tc>
          <w:tcPr>
            <w:tcW w:w="2327" w:type="dxa"/>
            <w:tcBorders>
              <w:top w:val="single" w:sz="4" w:space="0" w:color="auto"/>
              <w:left w:val="single" w:sz="4" w:space="0" w:color="auto"/>
              <w:bottom w:val="single" w:sz="4" w:space="0" w:color="auto"/>
              <w:right w:val="single" w:sz="4" w:space="0" w:color="auto"/>
            </w:tcBorders>
          </w:tcPr>
          <w:p w14:paraId="376472AF" w14:textId="77777777" w:rsidR="00B51DBB" w:rsidRPr="00B35A22" w:rsidRDefault="00B51DBB" w:rsidP="00B35A22">
            <w:pPr>
              <w:widowControl w:val="0"/>
              <w:tabs>
                <w:tab w:val="right" w:pos="8640"/>
              </w:tabs>
              <w:jc w:val="both"/>
              <w:rPr>
                <w:b/>
                <w:sz w:val="22"/>
                <w:lang w:val="sr-Latn-ME"/>
              </w:rPr>
            </w:pPr>
            <w:r w:rsidRPr="00B35A22">
              <w:rPr>
                <w:b/>
                <w:sz w:val="22"/>
                <w:lang w:val="sr-Latn-ME"/>
              </w:rPr>
              <w:t>Reakcije na infuziju</w:t>
            </w:r>
          </w:p>
          <w:p w14:paraId="239080DD" w14:textId="77777777" w:rsidR="00B51DBB" w:rsidRPr="00B35A22" w:rsidRDefault="00B51DBB" w:rsidP="00B35A22">
            <w:pPr>
              <w:widowControl w:val="0"/>
              <w:tabs>
                <w:tab w:val="right" w:pos="8640"/>
              </w:tabs>
              <w:jc w:val="both"/>
              <w:rPr>
                <w:b/>
                <w:sz w:val="22"/>
                <w:lang w:val="sr-Latn-ME"/>
              </w:rPr>
            </w:pPr>
          </w:p>
        </w:tc>
        <w:tc>
          <w:tcPr>
            <w:tcW w:w="3368" w:type="dxa"/>
            <w:tcBorders>
              <w:top w:val="single" w:sz="4" w:space="0" w:color="auto"/>
              <w:left w:val="single" w:sz="4" w:space="0" w:color="auto"/>
              <w:bottom w:val="single" w:sz="4" w:space="0" w:color="auto"/>
              <w:right w:val="single" w:sz="4" w:space="0" w:color="auto"/>
            </w:tcBorders>
          </w:tcPr>
          <w:p w14:paraId="79AC573A" w14:textId="77777777" w:rsidR="00B51DBB" w:rsidRPr="00B35A22" w:rsidRDefault="00B51DBB" w:rsidP="00B35A22">
            <w:pPr>
              <w:widowControl w:val="0"/>
              <w:jc w:val="both"/>
              <w:rPr>
                <w:sz w:val="22"/>
                <w:lang w:val="sr-Latn-ME"/>
              </w:rPr>
            </w:pPr>
            <w:r w:rsidRPr="00B35A22">
              <w:rPr>
                <w:sz w:val="22"/>
                <w:lang w:val="sr-Latn-ME"/>
              </w:rPr>
              <w:t>1. ili 2. stepen</w:t>
            </w:r>
          </w:p>
        </w:tc>
        <w:tc>
          <w:tcPr>
            <w:tcW w:w="3368" w:type="dxa"/>
            <w:tcBorders>
              <w:top w:val="single" w:sz="4" w:space="0" w:color="auto"/>
              <w:left w:val="single" w:sz="4" w:space="0" w:color="auto"/>
              <w:bottom w:val="single" w:sz="4" w:space="0" w:color="auto"/>
              <w:right w:val="single" w:sz="4" w:space="0" w:color="auto"/>
            </w:tcBorders>
          </w:tcPr>
          <w:p w14:paraId="639B4E12" w14:textId="77777777" w:rsidR="00B51DBB" w:rsidRPr="00B35A22" w:rsidRDefault="00B51DBB" w:rsidP="00B35A22">
            <w:pPr>
              <w:widowControl w:val="0"/>
              <w:rPr>
                <w:sz w:val="22"/>
                <w:szCs w:val="22"/>
                <w:lang w:val="sr-Latn-ME"/>
              </w:rPr>
            </w:pPr>
            <w:r w:rsidRPr="00B35A22">
              <w:rPr>
                <w:sz w:val="22"/>
                <w:lang w:val="sr-Latn-ME"/>
              </w:rPr>
              <w:t>Smanjiti brzinu infuzije ili privremeno prekinuti njenu primjenu. Liječenje se može nastaviti nakon što se reakcija povuče</w:t>
            </w:r>
          </w:p>
          <w:p w14:paraId="580EE812" w14:textId="77777777" w:rsidR="00B51DBB" w:rsidRPr="00B35A22" w:rsidRDefault="00B51DBB" w:rsidP="00B35A22">
            <w:pPr>
              <w:widowControl w:val="0"/>
              <w:rPr>
                <w:sz w:val="22"/>
                <w:lang w:val="sr-Latn-ME"/>
              </w:rPr>
            </w:pPr>
          </w:p>
        </w:tc>
      </w:tr>
      <w:tr w:rsidR="00B51DBB" w:rsidRPr="00B35A22" w14:paraId="4FC3FF75" w14:textId="77777777" w:rsidTr="00B35A22">
        <w:trPr>
          <w:tblHeader/>
        </w:trPr>
        <w:tc>
          <w:tcPr>
            <w:tcW w:w="2327" w:type="dxa"/>
            <w:tcBorders>
              <w:top w:val="single" w:sz="4" w:space="0" w:color="auto"/>
              <w:left w:val="single" w:sz="4" w:space="0" w:color="auto"/>
              <w:bottom w:val="single" w:sz="4" w:space="0" w:color="auto"/>
              <w:right w:val="single" w:sz="4" w:space="0" w:color="auto"/>
            </w:tcBorders>
          </w:tcPr>
          <w:p w14:paraId="7EEC57B9" w14:textId="77777777" w:rsidR="00B51DBB" w:rsidRPr="00B35A22" w:rsidRDefault="00B51DBB" w:rsidP="00B35A22">
            <w:pPr>
              <w:widowControl w:val="0"/>
              <w:tabs>
                <w:tab w:val="right" w:pos="8640"/>
              </w:tabs>
              <w:jc w:val="both"/>
              <w:rPr>
                <w:b/>
                <w:sz w:val="22"/>
                <w:lang w:val="sr-Latn-ME"/>
              </w:rPr>
            </w:pPr>
          </w:p>
        </w:tc>
        <w:tc>
          <w:tcPr>
            <w:tcW w:w="3368" w:type="dxa"/>
            <w:tcBorders>
              <w:top w:val="single" w:sz="4" w:space="0" w:color="auto"/>
              <w:left w:val="single" w:sz="4" w:space="0" w:color="auto"/>
              <w:bottom w:val="single" w:sz="4" w:space="0" w:color="auto"/>
              <w:right w:val="single" w:sz="4" w:space="0" w:color="auto"/>
            </w:tcBorders>
          </w:tcPr>
          <w:p w14:paraId="4BEE3EE8" w14:textId="77777777" w:rsidR="00B51DBB" w:rsidRPr="00B35A22" w:rsidRDefault="00B51DBB" w:rsidP="00B35A22">
            <w:pPr>
              <w:widowControl w:val="0"/>
              <w:jc w:val="both"/>
              <w:rPr>
                <w:sz w:val="22"/>
                <w:lang w:val="sr-Latn-ME"/>
              </w:rPr>
            </w:pPr>
            <w:r w:rsidRPr="00B35A22">
              <w:rPr>
                <w:sz w:val="22"/>
                <w:lang w:val="sr-Latn-ME"/>
              </w:rPr>
              <w:t>3. ili 4. stepen</w:t>
            </w:r>
          </w:p>
        </w:tc>
        <w:tc>
          <w:tcPr>
            <w:tcW w:w="3368" w:type="dxa"/>
            <w:tcBorders>
              <w:top w:val="single" w:sz="4" w:space="0" w:color="auto"/>
              <w:left w:val="single" w:sz="4" w:space="0" w:color="auto"/>
              <w:bottom w:val="single" w:sz="4" w:space="0" w:color="auto"/>
              <w:right w:val="single" w:sz="4" w:space="0" w:color="auto"/>
            </w:tcBorders>
          </w:tcPr>
          <w:p w14:paraId="0DF016F0" w14:textId="05015C8A" w:rsidR="00B51DBB" w:rsidRPr="00B35A22" w:rsidRDefault="00B51DBB" w:rsidP="00B35A22">
            <w:pPr>
              <w:widowControl w:val="0"/>
              <w:rPr>
                <w:sz w:val="22"/>
                <w:szCs w:val="22"/>
                <w:lang w:val="sr-Latn-ME"/>
              </w:rPr>
            </w:pPr>
            <w:r w:rsidRPr="00B35A22">
              <w:rPr>
                <w:sz w:val="22"/>
                <w:lang w:val="sr-Latn-ME"/>
              </w:rPr>
              <w:t>Trajno prekinuti liječenje lijekom Tecentriq</w:t>
            </w:r>
          </w:p>
          <w:p w14:paraId="4EACA1B2" w14:textId="77777777" w:rsidR="00B51DBB" w:rsidRPr="00B35A22" w:rsidRDefault="00B51DBB" w:rsidP="00B35A22">
            <w:pPr>
              <w:widowControl w:val="0"/>
              <w:rPr>
                <w:sz w:val="22"/>
                <w:lang w:val="sr-Latn-ME"/>
              </w:rPr>
            </w:pPr>
          </w:p>
        </w:tc>
      </w:tr>
    </w:tbl>
    <w:p w14:paraId="149962BC" w14:textId="77777777" w:rsidR="003D374D" w:rsidRPr="00B35A22" w:rsidRDefault="003D374D" w:rsidP="00B35A22">
      <w:pPr>
        <w:widowControl w:val="0"/>
        <w:jc w:val="both"/>
        <w:rPr>
          <w:sz w:val="20"/>
          <w:szCs w:val="20"/>
          <w:lang w:val="sr-Latn-ME"/>
        </w:rPr>
      </w:pPr>
      <w:r w:rsidRPr="00B35A22">
        <w:rPr>
          <w:sz w:val="20"/>
          <w:szCs w:val="20"/>
          <w:lang w:val="sr-Latn-ME"/>
        </w:rPr>
        <w:t>ALT = alanin aminotransferaza; AST = aspartat aminotransferaza; GGN = gornja granica normale.</w:t>
      </w:r>
    </w:p>
    <w:p w14:paraId="746C4285" w14:textId="7EE82FDC" w:rsidR="000A26D9" w:rsidRPr="00B35A22" w:rsidRDefault="000A26D9" w:rsidP="00B35A22">
      <w:pPr>
        <w:widowControl w:val="0"/>
        <w:jc w:val="both"/>
        <w:rPr>
          <w:sz w:val="20"/>
          <w:szCs w:val="20"/>
          <w:u w:val="single"/>
          <w:lang w:val="sr-Latn-ME"/>
        </w:rPr>
      </w:pPr>
      <w:r w:rsidRPr="00B35A22">
        <w:rPr>
          <w:sz w:val="20"/>
          <w:szCs w:val="20"/>
          <w:lang w:val="sr-Latn-ME"/>
        </w:rPr>
        <w:t xml:space="preserve">Napomena: </w:t>
      </w:r>
      <w:r w:rsidR="007F5599" w:rsidRPr="00B35A22">
        <w:rPr>
          <w:sz w:val="20"/>
          <w:szCs w:val="20"/>
          <w:lang w:val="sr-Latn-ME"/>
        </w:rPr>
        <w:t>T</w:t>
      </w:r>
      <w:r w:rsidRPr="00B35A22">
        <w:rPr>
          <w:sz w:val="20"/>
          <w:szCs w:val="20"/>
          <w:lang w:val="sr-Latn-ME"/>
        </w:rPr>
        <w:t>oksičnost</w:t>
      </w:r>
      <w:r w:rsidR="007F5599" w:rsidRPr="00B35A22">
        <w:rPr>
          <w:sz w:val="20"/>
          <w:szCs w:val="20"/>
          <w:lang w:val="sr-Latn-ME"/>
        </w:rPr>
        <w:t xml:space="preserve"> treba da bude graduisana</w:t>
      </w:r>
      <w:r w:rsidRPr="00B35A22">
        <w:rPr>
          <w:sz w:val="20"/>
          <w:szCs w:val="20"/>
          <w:lang w:val="sr-Latn-ME"/>
        </w:rPr>
        <w:t xml:space="preserve"> u skladu sa </w:t>
      </w:r>
      <w:r w:rsidR="007F5599" w:rsidRPr="00B35A22">
        <w:rPr>
          <w:sz w:val="20"/>
          <w:szCs w:val="20"/>
          <w:lang w:val="sr-Latn-ME"/>
        </w:rPr>
        <w:t xml:space="preserve">trenutnom </w:t>
      </w:r>
      <w:r w:rsidRPr="00B35A22">
        <w:rPr>
          <w:sz w:val="20"/>
          <w:szCs w:val="20"/>
          <w:lang w:val="sr-Latn-ME"/>
        </w:rPr>
        <w:t xml:space="preserve">verzijom  Zajedničkih terminoloških kriterijuma za neželjena dejstva Nacionalnog instituta za kancer (engl. </w:t>
      </w:r>
      <w:r w:rsidRPr="00B35A22">
        <w:rPr>
          <w:i/>
          <w:sz w:val="20"/>
          <w:szCs w:val="20"/>
          <w:lang w:val="sr-Latn-ME"/>
        </w:rPr>
        <w:t>National Cancer Institute Common Terminology Criteria for Adverse Events,</w:t>
      </w:r>
      <w:r w:rsidRPr="00B35A22">
        <w:rPr>
          <w:sz w:val="20"/>
          <w:szCs w:val="20"/>
          <w:lang w:val="sr-Latn-ME"/>
        </w:rPr>
        <w:t xml:space="preserve"> NCI CTCAE).</w:t>
      </w:r>
    </w:p>
    <w:p w14:paraId="7840E585" w14:textId="71196D11" w:rsidR="000A26D9" w:rsidRPr="00B35A22" w:rsidRDefault="006B10C4" w:rsidP="00B35A22">
      <w:pPr>
        <w:widowControl w:val="0"/>
        <w:jc w:val="both"/>
        <w:rPr>
          <w:sz w:val="20"/>
          <w:lang w:val="sr-Latn-ME"/>
        </w:rPr>
      </w:pPr>
      <w:r w:rsidRPr="00B35A22">
        <w:rPr>
          <w:sz w:val="20"/>
          <w:vertAlign w:val="superscript"/>
          <w:lang w:val="sr-Latn-ME"/>
        </w:rPr>
        <w:t xml:space="preserve">1  </w:t>
      </w:r>
      <w:r w:rsidRPr="00B35A22">
        <w:rPr>
          <w:sz w:val="20"/>
          <w:lang w:val="sr-Latn-ME"/>
        </w:rPr>
        <w:t>Nezavisno od težine</w:t>
      </w:r>
    </w:p>
    <w:p w14:paraId="777A0B86" w14:textId="0EE64D59" w:rsidR="00B51DBB" w:rsidRPr="00B35A22" w:rsidRDefault="00B51DBB" w:rsidP="00B35A22">
      <w:pPr>
        <w:widowControl w:val="0"/>
        <w:rPr>
          <w:sz w:val="20"/>
          <w:lang w:val="sr-Latn-ME"/>
        </w:rPr>
      </w:pPr>
      <w:bookmarkStart w:id="0" w:name="_Hlk125701250"/>
      <w:r w:rsidRPr="00B35A22">
        <w:rPr>
          <w:sz w:val="20"/>
          <w:vertAlign w:val="superscript"/>
          <w:lang w:val="sr-Latn-ME"/>
        </w:rPr>
        <w:t>2</w:t>
      </w:r>
      <w:r w:rsidRPr="00B35A22">
        <w:rPr>
          <w:sz w:val="20"/>
          <w:lang w:val="sr-Latn-ME"/>
        </w:rPr>
        <w:t xml:space="preserve"> Sprovesti detaljnu proc</w:t>
      </w:r>
      <w:r w:rsidR="00333127" w:rsidRPr="00B35A22">
        <w:rPr>
          <w:sz w:val="20"/>
          <w:lang w:val="sr-Latn-ME"/>
        </w:rPr>
        <w:t>j</w:t>
      </w:r>
      <w:r w:rsidRPr="00B35A22">
        <w:rPr>
          <w:sz w:val="20"/>
          <w:lang w:val="sr-Latn-ME"/>
        </w:rPr>
        <w:t xml:space="preserve">enu srčane funkcije radi utvrđivanja etiologije i odgovarajućeg liječenja </w:t>
      </w:r>
      <w:bookmarkEnd w:id="0"/>
    </w:p>
    <w:p w14:paraId="05B2A29F" w14:textId="77777777" w:rsidR="000A26D9" w:rsidRPr="00B35A22" w:rsidRDefault="000A26D9" w:rsidP="00B35A22">
      <w:pPr>
        <w:widowControl w:val="0"/>
        <w:jc w:val="both"/>
        <w:rPr>
          <w:sz w:val="22"/>
          <w:lang w:val="sr-Latn-ME"/>
        </w:rPr>
      </w:pPr>
    </w:p>
    <w:p w14:paraId="31156FED" w14:textId="77777777" w:rsidR="000A26D9" w:rsidRPr="00B35A22" w:rsidRDefault="000A26D9" w:rsidP="00B35A22">
      <w:pPr>
        <w:widowControl w:val="0"/>
        <w:jc w:val="both"/>
        <w:rPr>
          <w:sz w:val="22"/>
          <w:u w:val="single"/>
          <w:lang w:val="sr-Latn-ME"/>
        </w:rPr>
      </w:pPr>
      <w:r w:rsidRPr="00B35A22">
        <w:rPr>
          <w:sz w:val="22"/>
          <w:u w:val="single"/>
          <w:lang w:val="sr-Latn-ME"/>
        </w:rPr>
        <w:t xml:space="preserve">Posebne grupe pacijenata  </w:t>
      </w:r>
    </w:p>
    <w:p w14:paraId="1E73997D" w14:textId="77777777" w:rsidR="000A26D9" w:rsidRPr="00B35A22" w:rsidRDefault="000A26D9" w:rsidP="00B35A22">
      <w:pPr>
        <w:widowControl w:val="0"/>
        <w:jc w:val="both"/>
        <w:rPr>
          <w:sz w:val="22"/>
          <w:lang w:val="sr-Latn-ME"/>
        </w:rPr>
      </w:pPr>
    </w:p>
    <w:p w14:paraId="53D40156" w14:textId="77777777" w:rsidR="000A26D9" w:rsidRPr="00B35A22" w:rsidRDefault="000A26D9" w:rsidP="00B35A22">
      <w:pPr>
        <w:widowControl w:val="0"/>
        <w:jc w:val="both"/>
        <w:rPr>
          <w:i/>
          <w:sz w:val="22"/>
          <w:u w:val="single"/>
          <w:lang w:val="sr-Latn-ME"/>
        </w:rPr>
      </w:pPr>
      <w:r w:rsidRPr="00B35A22">
        <w:rPr>
          <w:i/>
          <w:sz w:val="22"/>
          <w:u w:val="single"/>
          <w:lang w:val="sr-Latn-ME"/>
        </w:rPr>
        <w:t>Pedijatrijska populacija</w:t>
      </w:r>
    </w:p>
    <w:p w14:paraId="0744318A" w14:textId="2047CC43" w:rsidR="000A26D9" w:rsidRPr="00B35A22" w:rsidRDefault="000A26D9" w:rsidP="00B35A22">
      <w:pPr>
        <w:widowControl w:val="0"/>
        <w:jc w:val="both"/>
        <w:rPr>
          <w:sz w:val="22"/>
          <w:lang w:val="sr-Latn-ME"/>
        </w:rPr>
      </w:pPr>
      <w:r w:rsidRPr="00B35A22">
        <w:rPr>
          <w:sz w:val="22"/>
          <w:lang w:val="sr-Latn-ME"/>
        </w:rPr>
        <w:t xml:space="preserve">Bezbjednost i efikasnost lijeka Tecentriq kod djece i adolescenata mlađih od 18 godina nijesu utvrđene. </w:t>
      </w:r>
      <w:r w:rsidR="00E42227" w:rsidRPr="00B35A22">
        <w:rPr>
          <w:sz w:val="22"/>
          <w:lang w:val="sr-Latn-ME"/>
        </w:rPr>
        <w:t>Trenutno dostupni podaci opisani su u djelovima 4.8, 5.1 i 5.2, međutim nije moguće dati preporuku o doziranju.</w:t>
      </w:r>
    </w:p>
    <w:p w14:paraId="3DBEA7DB" w14:textId="778B94A3" w:rsidR="000F62CF" w:rsidRPr="00B35A22" w:rsidRDefault="000F62CF" w:rsidP="00B35A22">
      <w:pPr>
        <w:widowControl w:val="0"/>
        <w:jc w:val="both"/>
        <w:rPr>
          <w:i/>
          <w:sz w:val="22"/>
          <w:lang w:val="sr-Latn-ME"/>
        </w:rPr>
      </w:pPr>
    </w:p>
    <w:p w14:paraId="04510025" w14:textId="77777777" w:rsidR="000A26D9" w:rsidRPr="00B35A22" w:rsidRDefault="000A26D9" w:rsidP="00B35A22">
      <w:pPr>
        <w:widowControl w:val="0"/>
        <w:jc w:val="both"/>
        <w:rPr>
          <w:i/>
          <w:sz w:val="22"/>
          <w:u w:val="single"/>
          <w:lang w:val="sr-Latn-ME"/>
        </w:rPr>
      </w:pPr>
      <w:r w:rsidRPr="00B35A22">
        <w:rPr>
          <w:i/>
          <w:sz w:val="22"/>
          <w:u w:val="single"/>
          <w:lang w:val="sr-Latn-ME"/>
        </w:rPr>
        <w:t>Stariji pacijenti</w:t>
      </w:r>
    </w:p>
    <w:p w14:paraId="327F357A" w14:textId="7D73EDAB" w:rsidR="000A26D9" w:rsidRPr="00B35A22" w:rsidRDefault="000A26D9" w:rsidP="00B35A22">
      <w:pPr>
        <w:widowControl w:val="0"/>
        <w:jc w:val="both"/>
        <w:rPr>
          <w:sz w:val="22"/>
          <w:lang w:val="sr-Latn-ME"/>
        </w:rPr>
      </w:pPr>
      <w:r w:rsidRPr="00B35A22">
        <w:rPr>
          <w:sz w:val="22"/>
          <w:lang w:val="sr-Latn-ME"/>
        </w:rPr>
        <w:t>Prema populacionoj farmakokinetičkoj analizi, nije potrebno prilagođavanje doze lijeka Tecentriq kod pacijenata starosti ≥ 65 godina</w:t>
      </w:r>
      <w:r w:rsidR="00E7594C" w:rsidRPr="00B35A22">
        <w:rPr>
          <w:sz w:val="22"/>
          <w:lang w:val="sr-Latn-ME"/>
        </w:rPr>
        <w:t xml:space="preserve"> (vidjeti djelove 4.8 i 5.1).</w:t>
      </w:r>
      <w:r w:rsidRPr="00B35A22">
        <w:rPr>
          <w:sz w:val="22"/>
          <w:lang w:val="sr-Latn-ME"/>
        </w:rPr>
        <w:t xml:space="preserve"> </w:t>
      </w:r>
    </w:p>
    <w:p w14:paraId="55335F56" w14:textId="77777777" w:rsidR="007D2948" w:rsidRPr="00B35A22" w:rsidRDefault="007D2948" w:rsidP="00B35A22">
      <w:pPr>
        <w:widowControl w:val="0"/>
        <w:jc w:val="both"/>
        <w:rPr>
          <w:sz w:val="22"/>
          <w:lang w:val="sr-Latn-ME"/>
        </w:rPr>
      </w:pPr>
    </w:p>
    <w:p w14:paraId="2EDD542A" w14:textId="4E532AE6" w:rsidR="007D2948" w:rsidRPr="00B35A22" w:rsidRDefault="007D2948" w:rsidP="00B35A22">
      <w:pPr>
        <w:widowControl w:val="0"/>
        <w:jc w:val="both"/>
        <w:rPr>
          <w:i/>
          <w:sz w:val="22"/>
          <w:u w:val="single"/>
          <w:lang w:val="sr-Latn-ME"/>
        </w:rPr>
      </w:pPr>
      <w:r w:rsidRPr="00B35A22">
        <w:rPr>
          <w:i/>
          <w:sz w:val="22"/>
          <w:u w:val="single"/>
          <w:lang w:val="sr-Latn-ME"/>
        </w:rPr>
        <w:t>Pacijenti azijskog por</w:t>
      </w:r>
      <w:r w:rsidR="000F62CF" w:rsidRPr="00B35A22">
        <w:rPr>
          <w:i/>
          <w:sz w:val="22"/>
          <w:u w:val="single"/>
          <w:lang w:val="sr-Latn-ME"/>
        </w:rPr>
        <w:t>ij</w:t>
      </w:r>
      <w:r w:rsidRPr="00B35A22">
        <w:rPr>
          <w:i/>
          <w:sz w:val="22"/>
          <w:u w:val="single"/>
          <w:lang w:val="sr-Latn-ME"/>
        </w:rPr>
        <w:t>ekla</w:t>
      </w:r>
    </w:p>
    <w:p w14:paraId="5493793C" w14:textId="77777777" w:rsidR="000F62CF" w:rsidRPr="00B35A22" w:rsidRDefault="007D2948" w:rsidP="00B35A22">
      <w:pPr>
        <w:widowControl w:val="0"/>
        <w:jc w:val="both"/>
        <w:rPr>
          <w:sz w:val="22"/>
          <w:lang w:val="sr-Latn-ME"/>
        </w:rPr>
      </w:pPr>
      <w:r w:rsidRPr="00B35A22">
        <w:rPr>
          <w:sz w:val="22"/>
          <w:lang w:val="sr-Latn-ME"/>
        </w:rPr>
        <w:t>S obzirom na povećanu hematološku toksičnost koja je zapažena kod pacijenata azijskog porijekla u kliničkom ispitivanju IMpower150, preporučuje se da početna doza paklitaksela bude 175</w:t>
      </w:r>
      <w:r w:rsidR="000F62CF" w:rsidRPr="00B35A22">
        <w:rPr>
          <w:sz w:val="22"/>
          <w:lang w:val="sr-Latn-ME"/>
        </w:rPr>
        <w:t xml:space="preserve"> </w:t>
      </w:r>
      <w:r w:rsidRPr="00B35A22">
        <w:rPr>
          <w:sz w:val="22"/>
          <w:lang w:val="sr-Latn-ME"/>
        </w:rPr>
        <w:t>mg/m</w:t>
      </w:r>
      <w:r w:rsidRPr="00B35A22">
        <w:rPr>
          <w:sz w:val="22"/>
          <w:vertAlign w:val="superscript"/>
          <w:lang w:val="sr-Latn-ME"/>
        </w:rPr>
        <w:t xml:space="preserve">2 </w:t>
      </w:r>
      <w:r w:rsidRPr="00B35A22">
        <w:rPr>
          <w:sz w:val="22"/>
          <w:lang w:val="sr-Latn-ME"/>
        </w:rPr>
        <w:t>na svake tri nedjelje.</w:t>
      </w:r>
    </w:p>
    <w:p w14:paraId="5E0C1B23" w14:textId="77777777" w:rsidR="000F62CF" w:rsidRPr="00B35A22" w:rsidRDefault="000F62CF" w:rsidP="00B35A22">
      <w:pPr>
        <w:widowControl w:val="0"/>
        <w:jc w:val="both"/>
        <w:rPr>
          <w:sz w:val="22"/>
          <w:lang w:val="sr-Latn-ME"/>
        </w:rPr>
      </w:pPr>
    </w:p>
    <w:p w14:paraId="725D93BD" w14:textId="77777777" w:rsidR="000F62CF" w:rsidRPr="00B35A22" w:rsidRDefault="000A26D9" w:rsidP="00B35A22">
      <w:pPr>
        <w:widowControl w:val="0"/>
        <w:jc w:val="both"/>
        <w:rPr>
          <w:i/>
          <w:sz w:val="22"/>
          <w:u w:val="single"/>
          <w:lang w:val="sr-Latn-ME"/>
        </w:rPr>
      </w:pPr>
      <w:r w:rsidRPr="00B35A22">
        <w:rPr>
          <w:i/>
          <w:sz w:val="22"/>
          <w:u w:val="single"/>
          <w:lang w:val="sr-Latn-ME"/>
        </w:rPr>
        <w:t>Oštećenje funkcije bubrega</w:t>
      </w:r>
    </w:p>
    <w:p w14:paraId="57DA2943" w14:textId="03FBEA71" w:rsidR="000A26D9" w:rsidRPr="00B35A22" w:rsidRDefault="000A26D9" w:rsidP="00B35A22">
      <w:pPr>
        <w:widowControl w:val="0"/>
        <w:jc w:val="both"/>
        <w:rPr>
          <w:sz w:val="22"/>
          <w:lang w:val="sr-Latn-ME"/>
        </w:rPr>
      </w:pPr>
      <w:r w:rsidRPr="00B35A22">
        <w:rPr>
          <w:sz w:val="22"/>
          <w:lang w:val="sr-Latn-ME"/>
        </w:rPr>
        <w:t>Prema populacionoj farmakokinetičkoj analizi, nije potrebno prilagođavati dozu kod pacijenata sa blagim ili umjerenim oštećenjem bubrežne funkcije (vidjeti dio 5.2). Podaci o primjeni kod pacijenata sa teškim oštećenjem bubrežne funkcije previše su ograničeni da bi se na osnovu njih donijeli zaključci za tu populaciju.</w:t>
      </w:r>
    </w:p>
    <w:p w14:paraId="676DD3E4" w14:textId="77777777" w:rsidR="000A26D9" w:rsidRPr="00B35A22" w:rsidRDefault="000A26D9" w:rsidP="00B35A22">
      <w:pPr>
        <w:widowControl w:val="0"/>
        <w:jc w:val="both"/>
        <w:rPr>
          <w:sz w:val="22"/>
          <w:lang w:val="sr-Latn-ME"/>
        </w:rPr>
      </w:pPr>
    </w:p>
    <w:p w14:paraId="7B66C8E3" w14:textId="77777777" w:rsidR="000A26D9" w:rsidRPr="00B35A22" w:rsidRDefault="000A26D9" w:rsidP="00B35A22">
      <w:pPr>
        <w:widowControl w:val="0"/>
        <w:jc w:val="both"/>
        <w:rPr>
          <w:i/>
          <w:sz w:val="22"/>
          <w:u w:val="single"/>
          <w:lang w:val="sr-Latn-ME"/>
        </w:rPr>
      </w:pPr>
      <w:r w:rsidRPr="00B35A22">
        <w:rPr>
          <w:i/>
          <w:sz w:val="22"/>
          <w:u w:val="single"/>
          <w:lang w:val="sr-Latn-ME"/>
        </w:rPr>
        <w:lastRenderedPageBreak/>
        <w:t xml:space="preserve">Oštećenje funkcije jetre </w:t>
      </w:r>
    </w:p>
    <w:p w14:paraId="31359E5B" w14:textId="6371B653" w:rsidR="000A26D9" w:rsidRPr="00B35A22" w:rsidRDefault="000A26D9" w:rsidP="00B35A22">
      <w:pPr>
        <w:widowControl w:val="0"/>
        <w:jc w:val="both"/>
        <w:rPr>
          <w:sz w:val="22"/>
          <w:lang w:val="sr-Latn-ME"/>
        </w:rPr>
      </w:pPr>
      <w:r w:rsidRPr="00B35A22">
        <w:rPr>
          <w:sz w:val="22"/>
          <w:lang w:val="sr-Latn-ME"/>
        </w:rPr>
        <w:t>Prema populacionoj farmakokinetičkoj analizi nije potrebno prilagođavati dozu kod pacijenata sa blagim</w:t>
      </w:r>
      <w:r w:rsidR="00627942" w:rsidRPr="00B35A22">
        <w:rPr>
          <w:sz w:val="22"/>
          <w:lang w:val="sr-Latn-ME"/>
        </w:rPr>
        <w:t xml:space="preserve"> ili umjerenim</w:t>
      </w:r>
      <w:r w:rsidRPr="00B35A22">
        <w:rPr>
          <w:sz w:val="22"/>
          <w:lang w:val="sr-Latn-ME"/>
        </w:rPr>
        <w:t xml:space="preserve"> oštećenjem funkcije jetre. Lijek Tecentriq se nije ispitivao kod pacijenata sa teškim oštećenjem funkcije jetre (vidjeti dio 5.2).</w:t>
      </w:r>
    </w:p>
    <w:p w14:paraId="7108E67E" w14:textId="77777777" w:rsidR="000A26D9" w:rsidRPr="00B35A22" w:rsidRDefault="000A26D9" w:rsidP="00B35A22">
      <w:pPr>
        <w:widowControl w:val="0"/>
        <w:jc w:val="both"/>
        <w:rPr>
          <w:sz w:val="22"/>
          <w:lang w:val="sr-Latn-ME"/>
        </w:rPr>
      </w:pPr>
    </w:p>
    <w:p w14:paraId="7D7F5D04" w14:textId="77777777" w:rsidR="000A26D9" w:rsidRPr="00B35A22" w:rsidRDefault="000A26D9" w:rsidP="00B35A22">
      <w:pPr>
        <w:widowControl w:val="0"/>
        <w:jc w:val="both"/>
        <w:rPr>
          <w:i/>
          <w:sz w:val="22"/>
          <w:u w:val="single"/>
          <w:lang w:val="sr-Latn-ME"/>
        </w:rPr>
      </w:pPr>
      <w:r w:rsidRPr="00B35A22">
        <w:rPr>
          <w:i/>
          <w:sz w:val="22"/>
          <w:u w:val="single"/>
          <w:lang w:val="sr-Latn-ME"/>
        </w:rPr>
        <w:t>Funkcionalni ECOG status ≥ 2</w:t>
      </w:r>
    </w:p>
    <w:p w14:paraId="1A205C5D" w14:textId="1BD38936" w:rsidR="000A26D9" w:rsidRPr="00B35A22" w:rsidRDefault="000A26D9" w:rsidP="00B35A22">
      <w:pPr>
        <w:widowControl w:val="0"/>
        <w:jc w:val="both"/>
        <w:rPr>
          <w:sz w:val="22"/>
          <w:lang w:val="sr-Latn-ME"/>
        </w:rPr>
      </w:pPr>
      <w:r w:rsidRPr="00B35A22">
        <w:rPr>
          <w:sz w:val="22"/>
          <w:lang w:val="sr-Latn-ME"/>
        </w:rPr>
        <w:t xml:space="preserve">Pacijenti sa funkcionalnim ECOG </w:t>
      </w:r>
      <w:r w:rsidRPr="00B35A22">
        <w:rPr>
          <w:i/>
          <w:sz w:val="22"/>
          <w:lang w:val="sr-Latn-ME"/>
        </w:rPr>
        <w:t>(Eastern Cooperative Oncology Group</w:t>
      </w:r>
      <w:r w:rsidRPr="00B35A22">
        <w:rPr>
          <w:sz w:val="22"/>
          <w:lang w:val="sr-Latn-ME"/>
        </w:rPr>
        <w:t>) statusom ≥ 2 nijesu bili uključeni u klinička ispitivanja liječenja</w:t>
      </w:r>
      <w:r w:rsidR="002E21F0" w:rsidRPr="00B35A22">
        <w:rPr>
          <w:sz w:val="22"/>
          <w:lang w:val="sr-Latn-ME"/>
        </w:rPr>
        <w:t xml:space="preserve"> </w:t>
      </w:r>
      <w:r w:rsidR="00E14959" w:rsidRPr="00B35A22">
        <w:rPr>
          <w:sz w:val="22"/>
          <w:lang w:val="sr-Latn-ME"/>
        </w:rPr>
        <w:t xml:space="preserve">TNBC-a, </w:t>
      </w:r>
      <w:r w:rsidR="009F3636" w:rsidRPr="00B35A22">
        <w:rPr>
          <w:sz w:val="22"/>
          <w:lang w:val="sr-Latn-ME"/>
        </w:rPr>
        <w:t>ES-</w:t>
      </w:r>
      <w:r w:rsidR="002E21F0" w:rsidRPr="00B35A22">
        <w:rPr>
          <w:sz w:val="22"/>
          <w:lang w:val="sr-Latn-ME"/>
        </w:rPr>
        <w:t>SCLC-a,</w:t>
      </w:r>
      <w:r w:rsidRPr="00B35A22">
        <w:rPr>
          <w:sz w:val="22"/>
          <w:lang w:val="sr-Latn-ME"/>
        </w:rPr>
        <w:t xml:space="preserve"> druge linije liječenja </w:t>
      </w:r>
      <w:r w:rsidR="0067691B" w:rsidRPr="00B35A22">
        <w:rPr>
          <w:sz w:val="22"/>
          <w:lang w:val="sr-Latn-ME"/>
        </w:rPr>
        <w:t>U</w:t>
      </w:r>
      <w:r w:rsidR="00B438BF" w:rsidRPr="00B35A22">
        <w:rPr>
          <w:sz w:val="22"/>
          <w:lang w:val="sr-Latn-ME"/>
        </w:rPr>
        <w:t>K</w:t>
      </w:r>
      <w:r w:rsidR="00627942" w:rsidRPr="00B35A22">
        <w:rPr>
          <w:sz w:val="22"/>
          <w:lang w:val="sr-Latn-ME"/>
        </w:rPr>
        <w:t>-</w:t>
      </w:r>
      <w:r w:rsidRPr="00B35A22">
        <w:rPr>
          <w:sz w:val="22"/>
          <w:lang w:val="sr-Latn-ME"/>
        </w:rPr>
        <w:t xml:space="preserve">a </w:t>
      </w:r>
      <w:r w:rsidR="00627942" w:rsidRPr="00B35A22">
        <w:rPr>
          <w:sz w:val="22"/>
          <w:lang w:val="sr-Latn-ME"/>
        </w:rPr>
        <w:t xml:space="preserve">i liječenja HCC-a </w:t>
      </w:r>
      <w:r w:rsidRPr="00B35A22">
        <w:rPr>
          <w:sz w:val="22"/>
          <w:lang w:val="sr-Latn-ME"/>
        </w:rPr>
        <w:t>(vidjeti djelove 4.4 i 5.1).</w:t>
      </w:r>
    </w:p>
    <w:p w14:paraId="668423A4" w14:textId="77777777" w:rsidR="00452E9D" w:rsidRPr="00B35A22" w:rsidRDefault="00452E9D" w:rsidP="00B35A22">
      <w:pPr>
        <w:widowControl w:val="0"/>
        <w:tabs>
          <w:tab w:val="left" w:pos="540"/>
          <w:tab w:val="left" w:pos="569"/>
        </w:tabs>
        <w:jc w:val="both"/>
        <w:rPr>
          <w:sz w:val="22"/>
          <w:u w:val="single"/>
          <w:lang w:val="sr-Latn-ME"/>
        </w:rPr>
      </w:pPr>
    </w:p>
    <w:p w14:paraId="76582BD5" w14:textId="77777777" w:rsidR="00452E9D" w:rsidRPr="00B35A22" w:rsidRDefault="00452E9D" w:rsidP="00B35A22">
      <w:pPr>
        <w:widowControl w:val="0"/>
        <w:tabs>
          <w:tab w:val="left" w:pos="540"/>
          <w:tab w:val="left" w:pos="569"/>
        </w:tabs>
        <w:jc w:val="both"/>
        <w:rPr>
          <w:sz w:val="22"/>
          <w:u w:val="single"/>
          <w:lang w:val="sr-Latn-ME"/>
        </w:rPr>
      </w:pPr>
      <w:r w:rsidRPr="00B35A22">
        <w:rPr>
          <w:sz w:val="22"/>
          <w:u w:val="single"/>
          <w:lang w:val="sr-Latn-ME"/>
        </w:rPr>
        <w:t>Način primjene</w:t>
      </w:r>
    </w:p>
    <w:p w14:paraId="0080C07C" w14:textId="1D438B13" w:rsidR="00003DB3" w:rsidRPr="00B35A22" w:rsidRDefault="00003DB3" w:rsidP="00B35A22">
      <w:pPr>
        <w:widowControl w:val="0"/>
        <w:jc w:val="both"/>
        <w:rPr>
          <w:sz w:val="22"/>
          <w:szCs w:val="22"/>
          <w:lang w:val="sr-Latn-ME"/>
        </w:rPr>
      </w:pPr>
      <w:r w:rsidRPr="00B35A22">
        <w:rPr>
          <w:sz w:val="22"/>
          <w:szCs w:val="22"/>
          <w:lang w:val="sr-Latn-ME"/>
        </w:rPr>
        <w:t>Važno je prov</w:t>
      </w:r>
      <w:r w:rsidR="00A153EA" w:rsidRPr="00B35A22">
        <w:rPr>
          <w:sz w:val="22"/>
          <w:szCs w:val="22"/>
          <w:lang w:val="sr-Latn-ME"/>
        </w:rPr>
        <w:t>j</w:t>
      </w:r>
      <w:r w:rsidRPr="00B35A22">
        <w:rPr>
          <w:sz w:val="22"/>
          <w:szCs w:val="22"/>
          <w:lang w:val="sr-Latn-ME"/>
        </w:rPr>
        <w:t>eriti navode na pakovanju lijeka kako bi se osiguralo da pacijent primi odgovarajuću formulaciju lijeka (intravensku ili subkutanu) koja mu je propisana.</w:t>
      </w:r>
    </w:p>
    <w:p w14:paraId="66650A05" w14:textId="77777777" w:rsidR="00003DB3" w:rsidRPr="00B35A22" w:rsidRDefault="00003DB3" w:rsidP="00B35A22">
      <w:pPr>
        <w:widowControl w:val="0"/>
        <w:jc w:val="both"/>
        <w:rPr>
          <w:sz w:val="22"/>
          <w:szCs w:val="22"/>
          <w:lang w:val="sr-Latn-ME"/>
        </w:rPr>
      </w:pPr>
    </w:p>
    <w:p w14:paraId="4D3E4BC4" w14:textId="37E2F8EB" w:rsidR="00003DB3" w:rsidRPr="00B35A22" w:rsidRDefault="00003DB3" w:rsidP="00B35A22">
      <w:pPr>
        <w:widowControl w:val="0"/>
        <w:jc w:val="both"/>
        <w:rPr>
          <w:sz w:val="22"/>
          <w:szCs w:val="22"/>
          <w:lang w:val="sr-Latn-ME"/>
        </w:rPr>
      </w:pPr>
      <w:r w:rsidRPr="00B35A22">
        <w:rPr>
          <w:sz w:val="22"/>
          <w:szCs w:val="22"/>
          <w:lang w:val="sr-Latn-ME"/>
        </w:rPr>
        <w:t>Intravenska formulacija lijeka Tecentriq nije namijenjena za subkutanu primjenu i smije se primjeniti isključivo intravenskom infuzijom.</w:t>
      </w:r>
    </w:p>
    <w:p w14:paraId="497E919F" w14:textId="77777777" w:rsidR="00003DB3" w:rsidRPr="00B35A22" w:rsidRDefault="00003DB3" w:rsidP="00B35A22">
      <w:pPr>
        <w:widowControl w:val="0"/>
        <w:jc w:val="both"/>
        <w:rPr>
          <w:sz w:val="22"/>
          <w:szCs w:val="22"/>
          <w:lang w:val="sr-Latn-ME"/>
        </w:rPr>
      </w:pPr>
    </w:p>
    <w:p w14:paraId="2F9681BE" w14:textId="2E0FEE7A" w:rsidR="000A26D9" w:rsidRPr="00B35A22" w:rsidRDefault="000A26D9" w:rsidP="00B35A22">
      <w:pPr>
        <w:widowControl w:val="0"/>
        <w:jc w:val="both"/>
        <w:rPr>
          <w:sz w:val="22"/>
          <w:lang w:val="sr-Latn-ME"/>
        </w:rPr>
      </w:pPr>
      <w:r w:rsidRPr="00B35A22">
        <w:rPr>
          <w:sz w:val="22"/>
          <w:lang w:val="sr-Latn-ME"/>
        </w:rPr>
        <w:t>Infuzije se ne smiju primijeniti kao brza ili bolusna intravenska injekcija.</w:t>
      </w:r>
    </w:p>
    <w:p w14:paraId="238DB2F9" w14:textId="77777777" w:rsidR="00C7382D" w:rsidRPr="00B35A22" w:rsidRDefault="00C7382D" w:rsidP="00B35A22">
      <w:pPr>
        <w:widowControl w:val="0"/>
        <w:jc w:val="both"/>
        <w:rPr>
          <w:sz w:val="22"/>
          <w:szCs w:val="22"/>
          <w:lang w:val="sr-Latn-ME"/>
        </w:rPr>
      </w:pPr>
    </w:p>
    <w:p w14:paraId="54BCF387" w14:textId="52082284" w:rsidR="00C7382D" w:rsidRPr="00B35A22" w:rsidRDefault="00C7382D" w:rsidP="00B35A22">
      <w:pPr>
        <w:widowControl w:val="0"/>
        <w:jc w:val="both"/>
        <w:rPr>
          <w:sz w:val="22"/>
          <w:lang w:val="sr-Latn-ME"/>
        </w:rPr>
      </w:pPr>
      <w:r w:rsidRPr="00B35A22">
        <w:rPr>
          <w:sz w:val="22"/>
          <w:szCs w:val="22"/>
          <w:lang w:val="sr-Latn-ME"/>
        </w:rPr>
        <w:t>Pacijenti koji trenutno primaju intravensku formulaciju lijeka Tecentriq mogu preći na lječenje atezolizumabom u obliku rastvora za injekciju i obrnuto.</w:t>
      </w:r>
    </w:p>
    <w:p w14:paraId="3BFC1723" w14:textId="77777777" w:rsidR="000A26D9" w:rsidRPr="00B35A22" w:rsidRDefault="000A26D9" w:rsidP="00B35A22">
      <w:pPr>
        <w:widowControl w:val="0"/>
        <w:jc w:val="both"/>
        <w:rPr>
          <w:sz w:val="22"/>
          <w:lang w:val="sr-Latn-ME"/>
        </w:rPr>
      </w:pPr>
    </w:p>
    <w:p w14:paraId="51106DA2" w14:textId="720632C9" w:rsidR="000A26D9" w:rsidRPr="00B35A22" w:rsidRDefault="000A26D9" w:rsidP="00B35A22">
      <w:pPr>
        <w:widowControl w:val="0"/>
        <w:jc w:val="both"/>
        <w:rPr>
          <w:sz w:val="22"/>
          <w:lang w:val="sr-Latn-ME"/>
        </w:rPr>
      </w:pPr>
      <w:r w:rsidRPr="00B35A22">
        <w:rPr>
          <w:sz w:val="22"/>
          <w:lang w:val="sr-Latn-ME"/>
        </w:rPr>
        <w:t xml:space="preserve">Početna doza </w:t>
      </w:r>
      <w:r w:rsidR="00C7382D" w:rsidRPr="00B35A22">
        <w:rPr>
          <w:sz w:val="22"/>
          <w:lang w:val="sr-Latn-ME"/>
        </w:rPr>
        <w:t xml:space="preserve">intravenske formulacije </w:t>
      </w:r>
      <w:r w:rsidRPr="00B35A22">
        <w:rPr>
          <w:sz w:val="22"/>
          <w:lang w:val="sr-Latn-ME"/>
        </w:rPr>
        <w:t>lijeka Tecentriq mora da se primijeni u periodu od 60 minuta. Ako pacijent dobro podnese prvu infuziju, sve sljedeće infuzije mogu se primijeniti tokom perioda od 30 minuta.</w:t>
      </w:r>
    </w:p>
    <w:p w14:paraId="7E4ACA79" w14:textId="77777777" w:rsidR="000A26D9" w:rsidRPr="00B35A22" w:rsidRDefault="000A26D9" w:rsidP="00B35A22">
      <w:pPr>
        <w:widowControl w:val="0"/>
        <w:jc w:val="both"/>
        <w:rPr>
          <w:sz w:val="22"/>
          <w:lang w:val="sr-Latn-ME"/>
        </w:rPr>
      </w:pPr>
    </w:p>
    <w:p w14:paraId="16467002" w14:textId="5D1A517A" w:rsidR="000A26D9" w:rsidRPr="00B35A22" w:rsidRDefault="000A26D9" w:rsidP="00B35A22">
      <w:pPr>
        <w:widowControl w:val="0"/>
        <w:jc w:val="both"/>
        <w:rPr>
          <w:sz w:val="22"/>
          <w:lang w:val="sr-Latn-ME"/>
        </w:rPr>
      </w:pPr>
      <w:r w:rsidRPr="00B35A22">
        <w:rPr>
          <w:sz w:val="22"/>
          <w:lang w:val="sr-Latn-ME"/>
        </w:rPr>
        <w:t xml:space="preserve">Za uputstvo o razblaživanju i rukovanju lijekom </w:t>
      </w:r>
      <w:r w:rsidR="00B35A22">
        <w:rPr>
          <w:sz w:val="22"/>
          <w:lang w:val="sr-Latn-ME"/>
        </w:rPr>
        <w:t>prije primjene vidjeti dio 6.6.</w:t>
      </w:r>
    </w:p>
    <w:p w14:paraId="2743AD82" w14:textId="77777777" w:rsidR="00452E9D" w:rsidRPr="00B35A22" w:rsidRDefault="00452E9D" w:rsidP="00B35A22">
      <w:pPr>
        <w:widowControl w:val="0"/>
        <w:tabs>
          <w:tab w:val="left" w:pos="540"/>
          <w:tab w:val="left" w:pos="569"/>
        </w:tabs>
        <w:jc w:val="both"/>
        <w:rPr>
          <w:sz w:val="22"/>
          <w:lang w:val="sr-Latn-ME"/>
        </w:rPr>
      </w:pPr>
    </w:p>
    <w:p w14:paraId="6A641137" w14:textId="3F04DB71"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4.3. </w:t>
      </w:r>
      <w:r w:rsidR="00480FB1" w:rsidRPr="00B35A22">
        <w:rPr>
          <w:b/>
          <w:sz w:val="22"/>
          <w:lang w:val="sr-Latn-ME"/>
        </w:rPr>
        <w:tab/>
      </w:r>
      <w:r w:rsidRPr="00B35A22">
        <w:rPr>
          <w:b/>
          <w:sz w:val="22"/>
          <w:lang w:val="sr-Latn-ME"/>
        </w:rPr>
        <w:t>Kontraindikacije</w:t>
      </w:r>
    </w:p>
    <w:p w14:paraId="38635EB6" w14:textId="77777777" w:rsidR="000F62CF" w:rsidRPr="00B35A22" w:rsidRDefault="000F62CF" w:rsidP="00B35A22">
      <w:pPr>
        <w:widowControl w:val="0"/>
        <w:tabs>
          <w:tab w:val="left" w:pos="540"/>
          <w:tab w:val="left" w:pos="569"/>
        </w:tabs>
        <w:jc w:val="both"/>
        <w:rPr>
          <w:b/>
          <w:sz w:val="22"/>
          <w:lang w:val="sr-Latn-ME"/>
        </w:rPr>
      </w:pPr>
    </w:p>
    <w:p w14:paraId="1BF565A4" w14:textId="77777777" w:rsidR="0072020E" w:rsidRPr="00B35A22" w:rsidRDefault="000A26D9" w:rsidP="00B35A22">
      <w:pPr>
        <w:widowControl w:val="0"/>
        <w:tabs>
          <w:tab w:val="left" w:pos="540"/>
          <w:tab w:val="left" w:pos="569"/>
        </w:tabs>
        <w:jc w:val="both"/>
        <w:rPr>
          <w:sz w:val="22"/>
          <w:lang w:val="sr-Latn-ME"/>
        </w:rPr>
      </w:pPr>
      <w:r w:rsidRPr="00B35A22">
        <w:rPr>
          <w:sz w:val="22"/>
          <w:lang w:val="sr-Latn-ME"/>
        </w:rPr>
        <w:t>Preosjetljivost na atezolizumab ili bilo koju od pomoćnih supstanci navedenih u dijelu 6.1.</w:t>
      </w:r>
    </w:p>
    <w:p w14:paraId="30490551" w14:textId="77777777" w:rsidR="000A26D9" w:rsidRPr="00B35A22" w:rsidRDefault="000A26D9" w:rsidP="00B35A22">
      <w:pPr>
        <w:widowControl w:val="0"/>
        <w:tabs>
          <w:tab w:val="left" w:pos="540"/>
          <w:tab w:val="left" w:pos="569"/>
        </w:tabs>
        <w:jc w:val="both"/>
        <w:rPr>
          <w:sz w:val="22"/>
          <w:lang w:val="sr-Latn-ME"/>
        </w:rPr>
      </w:pPr>
    </w:p>
    <w:p w14:paraId="7C5DCBDD" w14:textId="634EF895" w:rsidR="00411B4B" w:rsidRPr="00B35A22" w:rsidRDefault="00411B4B" w:rsidP="00B35A22">
      <w:pPr>
        <w:widowControl w:val="0"/>
        <w:tabs>
          <w:tab w:val="left" w:pos="540"/>
          <w:tab w:val="left" w:pos="569"/>
        </w:tabs>
        <w:jc w:val="both"/>
        <w:rPr>
          <w:b/>
          <w:sz w:val="22"/>
          <w:lang w:val="sr-Latn-ME"/>
        </w:rPr>
      </w:pPr>
      <w:r w:rsidRPr="00B35A22">
        <w:rPr>
          <w:b/>
          <w:sz w:val="22"/>
          <w:lang w:val="sr-Latn-ME"/>
        </w:rPr>
        <w:t xml:space="preserve">4.4. </w:t>
      </w:r>
      <w:r w:rsidR="00480FB1" w:rsidRPr="00B35A22">
        <w:rPr>
          <w:b/>
          <w:sz w:val="22"/>
          <w:lang w:val="sr-Latn-ME"/>
        </w:rPr>
        <w:tab/>
      </w:r>
      <w:r w:rsidRPr="00B35A22">
        <w:rPr>
          <w:b/>
          <w:sz w:val="22"/>
          <w:lang w:val="sr-Latn-ME"/>
        </w:rPr>
        <w:t>Posebna upozorenja i mjere opreza pri upotrebi lijeka</w:t>
      </w:r>
    </w:p>
    <w:p w14:paraId="67A34D02" w14:textId="1EE39589" w:rsidR="009F426C" w:rsidRPr="00B35A22" w:rsidRDefault="009F426C" w:rsidP="00B35A22">
      <w:pPr>
        <w:widowControl w:val="0"/>
        <w:tabs>
          <w:tab w:val="left" w:pos="540"/>
          <w:tab w:val="left" w:pos="569"/>
        </w:tabs>
        <w:jc w:val="both"/>
        <w:rPr>
          <w:b/>
          <w:sz w:val="22"/>
          <w:lang w:val="sr-Latn-ME"/>
        </w:rPr>
      </w:pPr>
    </w:p>
    <w:p w14:paraId="1BEC610B" w14:textId="46885DCD" w:rsidR="009F426C" w:rsidRPr="00B35A22" w:rsidRDefault="009F426C" w:rsidP="00B35A22">
      <w:pPr>
        <w:widowControl w:val="0"/>
        <w:tabs>
          <w:tab w:val="left" w:pos="540"/>
          <w:tab w:val="left" w:pos="569"/>
        </w:tabs>
        <w:jc w:val="both"/>
        <w:rPr>
          <w:sz w:val="22"/>
          <w:u w:val="single"/>
          <w:lang w:val="sr-Latn-ME"/>
        </w:rPr>
      </w:pPr>
      <w:r w:rsidRPr="00B35A22">
        <w:rPr>
          <w:sz w:val="22"/>
          <w:u w:val="single"/>
          <w:lang w:val="sr-Latn-ME"/>
        </w:rPr>
        <w:t>Sl</w:t>
      </w:r>
      <w:r w:rsidR="000F62CF" w:rsidRPr="00B35A22">
        <w:rPr>
          <w:sz w:val="22"/>
          <w:u w:val="single"/>
          <w:lang w:val="sr-Latn-ME"/>
        </w:rPr>
        <w:t>j</w:t>
      </w:r>
      <w:r w:rsidRPr="00B35A22">
        <w:rPr>
          <w:sz w:val="22"/>
          <w:u w:val="single"/>
          <w:lang w:val="sr-Latn-ME"/>
        </w:rPr>
        <w:t>edljivost</w:t>
      </w:r>
    </w:p>
    <w:p w14:paraId="76600294" w14:textId="77777777" w:rsidR="009F426C" w:rsidRPr="00B35A22" w:rsidRDefault="009F426C" w:rsidP="00B35A22">
      <w:pPr>
        <w:widowControl w:val="0"/>
        <w:tabs>
          <w:tab w:val="left" w:pos="540"/>
          <w:tab w:val="left" w:pos="569"/>
        </w:tabs>
        <w:jc w:val="both"/>
        <w:rPr>
          <w:b/>
          <w:sz w:val="22"/>
          <w:lang w:val="sr-Latn-ME"/>
        </w:rPr>
      </w:pPr>
    </w:p>
    <w:p w14:paraId="3562DC84" w14:textId="521CBE86" w:rsidR="000A26D9" w:rsidRPr="00B35A22" w:rsidRDefault="000A26D9" w:rsidP="00B35A22">
      <w:pPr>
        <w:widowControl w:val="0"/>
        <w:jc w:val="both"/>
        <w:rPr>
          <w:sz w:val="22"/>
          <w:lang w:val="sr-Latn-ME"/>
        </w:rPr>
      </w:pPr>
      <w:r w:rsidRPr="00B35A22">
        <w:rPr>
          <w:sz w:val="22"/>
          <w:lang w:val="sr-Latn-ME"/>
        </w:rPr>
        <w:t>Kako bi se poboljšala sl</w:t>
      </w:r>
      <w:r w:rsidR="000F62CF" w:rsidRPr="00B35A22">
        <w:rPr>
          <w:sz w:val="22"/>
          <w:lang w:val="sr-Latn-ME"/>
        </w:rPr>
        <w:t>j</w:t>
      </w:r>
      <w:r w:rsidRPr="00B35A22">
        <w:rPr>
          <w:sz w:val="22"/>
          <w:lang w:val="sr-Latn-ME"/>
        </w:rPr>
        <w:t>edljivost bioloških ljekova, ime i broj serije primijenjenog lijeka treba jasno zabilježiti.</w:t>
      </w:r>
    </w:p>
    <w:p w14:paraId="2CB277EA" w14:textId="55080A15" w:rsidR="000A26D9" w:rsidRPr="00B35A22" w:rsidRDefault="000A26D9" w:rsidP="00B35A22">
      <w:pPr>
        <w:widowControl w:val="0"/>
        <w:jc w:val="both"/>
        <w:rPr>
          <w:sz w:val="22"/>
          <w:lang w:val="sr-Latn-ME"/>
        </w:rPr>
      </w:pPr>
    </w:p>
    <w:p w14:paraId="30779EB2" w14:textId="7A9E6EE7" w:rsidR="009F426C" w:rsidRPr="00B35A22" w:rsidRDefault="009F426C" w:rsidP="00B35A22">
      <w:pPr>
        <w:widowControl w:val="0"/>
        <w:jc w:val="both"/>
        <w:rPr>
          <w:sz w:val="22"/>
          <w:u w:val="single"/>
          <w:lang w:val="sr-Latn-ME"/>
        </w:rPr>
      </w:pPr>
      <w:r w:rsidRPr="00B35A22">
        <w:rPr>
          <w:sz w:val="22"/>
          <w:u w:val="single"/>
          <w:lang w:val="sr-Latn-ME"/>
        </w:rPr>
        <w:t>Imunološki prouzrokovana neželjena dejstva</w:t>
      </w:r>
    </w:p>
    <w:p w14:paraId="2B11873C" w14:textId="77777777" w:rsidR="009F426C" w:rsidRPr="00B35A22" w:rsidRDefault="009F426C" w:rsidP="00B35A22">
      <w:pPr>
        <w:widowControl w:val="0"/>
        <w:jc w:val="both"/>
        <w:rPr>
          <w:sz w:val="22"/>
          <w:u w:val="single"/>
          <w:lang w:val="sr-Latn-ME"/>
        </w:rPr>
      </w:pPr>
    </w:p>
    <w:p w14:paraId="55AF1C2E" w14:textId="2E5AF03F" w:rsidR="000A26D9" w:rsidRPr="00B35A22" w:rsidRDefault="000A26D9" w:rsidP="00B35A22">
      <w:pPr>
        <w:widowControl w:val="0"/>
        <w:jc w:val="both"/>
        <w:rPr>
          <w:sz w:val="22"/>
          <w:lang w:val="sr-Latn-ME"/>
        </w:rPr>
      </w:pPr>
      <w:r w:rsidRPr="00B35A22">
        <w:rPr>
          <w:sz w:val="22"/>
          <w:lang w:val="sr-Latn-ME"/>
        </w:rPr>
        <w:t xml:space="preserve">Većina imunološki prouzrokovanih neželjenih dejstava koja su se javila tokom liječenja atezolizumabom povukla se uz privremeni prekid primjene atezolizumaba i uvođenje kortikosteroida i/ili </w:t>
      </w:r>
      <w:r w:rsidR="00024781" w:rsidRPr="00B35A22">
        <w:rPr>
          <w:sz w:val="22"/>
          <w:lang w:val="sr-Latn-ME"/>
        </w:rPr>
        <w:t>suportivne</w:t>
      </w:r>
      <w:r w:rsidRPr="00B35A22">
        <w:rPr>
          <w:sz w:val="22"/>
          <w:lang w:val="sr-Latn-ME"/>
        </w:rPr>
        <w:t xml:space="preserve"> njege. Primijećena su imunološki prouzrokovana neželjena dejstva koja su zahvatila više od jednog organskog sistema. Imunološki prouzrokovana neželjena dejstva povezana sa primjenom atezolizumaba mogu da se jave i nakon primjene posljednje doze ovog lijeka.</w:t>
      </w:r>
    </w:p>
    <w:p w14:paraId="39D8F830" w14:textId="77777777" w:rsidR="000A26D9" w:rsidRPr="00B35A22" w:rsidRDefault="000A26D9" w:rsidP="00B35A22">
      <w:pPr>
        <w:widowControl w:val="0"/>
        <w:jc w:val="both"/>
        <w:rPr>
          <w:sz w:val="22"/>
          <w:lang w:val="sr-Latn-ME"/>
        </w:rPr>
      </w:pPr>
    </w:p>
    <w:p w14:paraId="53B61D5B" w14:textId="0C4DB058" w:rsidR="000A26D9" w:rsidRPr="00B35A22" w:rsidRDefault="000A26D9" w:rsidP="00B35A22">
      <w:pPr>
        <w:widowControl w:val="0"/>
        <w:jc w:val="both"/>
        <w:rPr>
          <w:sz w:val="22"/>
          <w:lang w:val="sr-Latn-ME"/>
        </w:rPr>
      </w:pPr>
      <w:r w:rsidRPr="00B35A22">
        <w:rPr>
          <w:sz w:val="22"/>
          <w:lang w:val="sr-Latn-ME"/>
        </w:rPr>
        <w:t>Ako se sumnja na imunološki prouzrokovana neželjena dejstva, potrebno je sprovesti detaljnu procjenu kako bi se potvrdila etiologija ili isključili drugi uzroci. Zavisno od težine neželjenih dejstava, treba odložiti primjenu atezolizumaba i primijeniti kortikosteroide. Nakon poboljšanja do ≤ 1. stepen, primjenu kortikosteroida treba prekinuti postupnim smanjivanjem doze tokom perioda od ≥ 1 mjesec</w:t>
      </w:r>
      <w:r w:rsidR="000F62CF" w:rsidRPr="00B35A22">
        <w:rPr>
          <w:sz w:val="22"/>
          <w:lang w:val="sr-Latn-ME"/>
        </w:rPr>
        <w:t>a</w:t>
      </w:r>
      <w:r w:rsidRPr="00B35A22">
        <w:rPr>
          <w:sz w:val="22"/>
          <w:lang w:val="sr-Latn-ME"/>
        </w:rPr>
        <w:t>. Na osnovu ograničenih podataka iz kliničkih ispitivanja kod pacijenata kod kojih se imunološki prouzrokovana neželjena dejstva nijesu mogla kontrolisati sistemskim kortikosteroidima, može se razmotriti i primjena drugih sistemskih imunosupresiva.</w:t>
      </w:r>
    </w:p>
    <w:p w14:paraId="0C9116AF" w14:textId="77777777" w:rsidR="000A26D9" w:rsidRPr="00B35A22" w:rsidRDefault="000A26D9" w:rsidP="00B35A22">
      <w:pPr>
        <w:widowControl w:val="0"/>
        <w:jc w:val="both"/>
        <w:rPr>
          <w:sz w:val="22"/>
          <w:lang w:val="sr-Latn-ME"/>
        </w:rPr>
      </w:pPr>
    </w:p>
    <w:p w14:paraId="351FFD42" w14:textId="2D148E6F" w:rsidR="000A26D9" w:rsidRPr="00B35A22" w:rsidRDefault="000A26D9" w:rsidP="00B35A22">
      <w:pPr>
        <w:widowControl w:val="0"/>
        <w:jc w:val="both"/>
        <w:rPr>
          <w:sz w:val="22"/>
          <w:lang w:val="sr-Latn-ME"/>
        </w:rPr>
      </w:pPr>
      <w:r w:rsidRPr="00B35A22">
        <w:rPr>
          <w:sz w:val="22"/>
          <w:lang w:val="sr-Latn-ME"/>
        </w:rPr>
        <w:t xml:space="preserve">Liječenje atezolizumabom mora se trajno prekinuti u slučaju bilo kog imunološki prouzrokovanog neželjenog dejstva 3. stepen koji se ponovno javi ili u slučaju bilo kog imunološki prouzrokovanog neželjenog dejstva 4. stepen, osim endokrinopatija kontrolisanih hormonskom supstitucionom terapijom (vidjeti djelove 4.2 i 4.8).  </w:t>
      </w:r>
    </w:p>
    <w:p w14:paraId="08A8FE89" w14:textId="5AC08529" w:rsidR="00AA4BF6" w:rsidRPr="00B35A22" w:rsidRDefault="00AA4BF6" w:rsidP="00B35A22">
      <w:pPr>
        <w:widowControl w:val="0"/>
        <w:jc w:val="both"/>
        <w:rPr>
          <w:sz w:val="22"/>
          <w:lang w:val="sr-Latn-ME"/>
        </w:rPr>
      </w:pPr>
    </w:p>
    <w:p w14:paraId="26C15F9F" w14:textId="0096DA29" w:rsidR="00AA4BF6" w:rsidRPr="00B35A22" w:rsidRDefault="00AA4BF6" w:rsidP="00B35A22">
      <w:pPr>
        <w:widowControl w:val="0"/>
        <w:jc w:val="both"/>
        <w:rPr>
          <w:sz w:val="22"/>
          <w:lang w:val="sr-Latn-ME"/>
        </w:rPr>
      </w:pPr>
      <w:r w:rsidRPr="00B35A22">
        <w:rPr>
          <w:sz w:val="22"/>
          <w:lang w:val="sr-Latn-ME"/>
        </w:rPr>
        <w:t>Podaci iz opservaci</w:t>
      </w:r>
      <w:r w:rsidR="003A5E30" w:rsidRPr="00B35A22">
        <w:rPr>
          <w:sz w:val="22"/>
          <w:lang w:val="sr-Latn-ME"/>
        </w:rPr>
        <w:t>onih</w:t>
      </w:r>
      <w:r w:rsidRPr="00B35A22">
        <w:rPr>
          <w:sz w:val="22"/>
          <w:lang w:val="sr-Latn-ME"/>
        </w:rPr>
        <w:t xml:space="preserve"> ispitivanja ukazuju na to da bi kod pacijenata sa već postojećom autoimun</w:t>
      </w:r>
      <w:r w:rsidR="003A5E30" w:rsidRPr="00B35A22">
        <w:rPr>
          <w:sz w:val="22"/>
          <w:lang w:val="sr-Latn-ME"/>
        </w:rPr>
        <w:t>om</w:t>
      </w:r>
      <w:r w:rsidRPr="00B35A22">
        <w:rPr>
          <w:sz w:val="22"/>
          <w:lang w:val="sr-Latn-ME"/>
        </w:rPr>
        <w:t xml:space="preserve"> bolešću rizik od imunološki uzrokovanih neželjenih reakcija nakon terapije inhibitorom kontrolnih tačaka imunskog sistema mogao biti povećan u odnosu na rizik kod pacijenata bez od prije postojeće autoimun</w:t>
      </w:r>
      <w:r w:rsidR="003A5E30" w:rsidRPr="00B35A22">
        <w:rPr>
          <w:sz w:val="22"/>
          <w:lang w:val="sr-Latn-ME"/>
        </w:rPr>
        <w:t>e</w:t>
      </w:r>
      <w:r w:rsidRPr="00B35A22">
        <w:rPr>
          <w:sz w:val="22"/>
          <w:lang w:val="sr-Latn-ME"/>
        </w:rPr>
        <w:t xml:space="preserve"> bolesti. Osim toga, razbuktavanja osnovne autoimun</w:t>
      </w:r>
      <w:r w:rsidR="003A5E30" w:rsidRPr="00B35A22">
        <w:rPr>
          <w:sz w:val="22"/>
          <w:lang w:val="sr-Latn-ME"/>
        </w:rPr>
        <w:t>e</w:t>
      </w:r>
      <w:r w:rsidRPr="00B35A22">
        <w:rPr>
          <w:sz w:val="22"/>
          <w:lang w:val="sr-Latn-ME"/>
        </w:rPr>
        <w:t xml:space="preserve"> bolesti bila su česta, ali većinom blaga i mogla su se kontrolisati.</w:t>
      </w:r>
    </w:p>
    <w:p w14:paraId="2743A3F8" w14:textId="77777777" w:rsidR="000A26D9" w:rsidRPr="00B35A22" w:rsidRDefault="000A26D9" w:rsidP="00B35A22">
      <w:pPr>
        <w:widowControl w:val="0"/>
        <w:jc w:val="both"/>
        <w:rPr>
          <w:sz w:val="22"/>
          <w:u w:val="single"/>
          <w:lang w:val="sr-Latn-ME"/>
        </w:rPr>
      </w:pPr>
    </w:p>
    <w:p w14:paraId="68F63683" w14:textId="77777777" w:rsidR="000A26D9" w:rsidRPr="00B35A22" w:rsidRDefault="000A26D9" w:rsidP="00B35A22">
      <w:pPr>
        <w:widowControl w:val="0"/>
        <w:jc w:val="both"/>
        <w:rPr>
          <w:i/>
          <w:sz w:val="22"/>
          <w:u w:val="single"/>
          <w:lang w:val="sr-Latn-ME"/>
        </w:rPr>
      </w:pPr>
      <w:r w:rsidRPr="00B35A22">
        <w:rPr>
          <w:i/>
          <w:sz w:val="22"/>
          <w:u w:val="single"/>
          <w:lang w:val="sr-Latn-ME"/>
        </w:rPr>
        <w:t xml:space="preserve">Imunološki prouzrokovan pneumonitis </w:t>
      </w:r>
    </w:p>
    <w:p w14:paraId="41C1DDFA" w14:textId="0EA49367" w:rsidR="000A26D9" w:rsidRPr="00B35A22" w:rsidRDefault="000A26D9" w:rsidP="00B35A22">
      <w:pPr>
        <w:widowControl w:val="0"/>
        <w:jc w:val="both"/>
        <w:rPr>
          <w:sz w:val="22"/>
          <w:lang w:val="sr-Latn-ME"/>
        </w:rPr>
      </w:pPr>
      <w:r w:rsidRPr="00B35A22">
        <w:rPr>
          <w:sz w:val="22"/>
          <w:lang w:val="sr-Latn-ME"/>
        </w:rPr>
        <w:t>U kliničkim ispitivanjima atezolizumaba primijećeni su slučajevi pneumonitisa, uključujući slučajeve sa smrtnim ishodom (vidjeti dio 4.8). Pacijente treba nadgledati zbog moguće pojave znakova i simptoma pneumonitisa</w:t>
      </w:r>
      <w:r w:rsidR="00196349" w:rsidRPr="00B35A22">
        <w:rPr>
          <w:sz w:val="22"/>
          <w:lang w:val="sr-Latn-ME"/>
        </w:rPr>
        <w:t xml:space="preserve"> i potrebno je isključiti druge uzroke osim imunološki prouzrokovanog pneumonitisa</w:t>
      </w:r>
      <w:r w:rsidRPr="00B35A22">
        <w:rPr>
          <w:sz w:val="22"/>
          <w:lang w:val="sr-Latn-ME"/>
        </w:rPr>
        <w:t>.</w:t>
      </w:r>
    </w:p>
    <w:p w14:paraId="456D9E4E" w14:textId="77777777" w:rsidR="000A26D9" w:rsidRPr="00B35A22" w:rsidRDefault="000A26D9" w:rsidP="00B35A22">
      <w:pPr>
        <w:widowControl w:val="0"/>
        <w:jc w:val="both"/>
        <w:rPr>
          <w:sz w:val="22"/>
          <w:lang w:val="sr-Latn-ME"/>
        </w:rPr>
      </w:pPr>
    </w:p>
    <w:p w14:paraId="195EF20D" w14:textId="61E31ED4" w:rsidR="000A26D9" w:rsidRPr="00B35A22" w:rsidRDefault="000A26D9" w:rsidP="00B35A22">
      <w:pPr>
        <w:widowControl w:val="0"/>
        <w:jc w:val="both"/>
        <w:rPr>
          <w:sz w:val="22"/>
          <w:lang w:val="sr-Latn-ME"/>
        </w:rPr>
      </w:pPr>
      <w:r w:rsidRPr="00B35A22">
        <w:rPr>
          <w:sz w:val="22"/>
          <w:lang w:val="sr-Latn-ME"/>
        </w:rPr>
        <w:t xml:space="preserve">U slučaju pneumonitisa 2. stepena treba odložiti primjenu atezolizumaba i uvesti 1 – 2 mg/kg </w:t>
      </w:r>
      <w:r w:rsidR="00E14959" w:rsidRPr="00B35A22">
        <w:rPr>
          <w:sz w:val="22"/>
          <w:lang w:val="sr-Latn-ME"/>
        </w:rPr>
        <w:t>t</w:t>
      </w:r>
      <w:r w:rsidR="00C2460C" w:rsidRPr="00B35A22">
        <w:rPr>
          <w:sz w:val="22"/>
          <w:lang w:val="sr-Latn-ME"/>
        </w:rPr>
        <w:t>j</w:t>
      </w:r>
      <w:r w:rsidR="00E14959" w:rsidRPr="00B35A22">
        <w:rPr>
          <w:sz w:val="22"/>
          <w:lang w:val="sr-Latn-ME"/>
        </w:rPr>
        <w:t xml:space="preserve">elesne mase (TM) </w:t>
      </w:r>
      <w:r w:rsidRPr="00B35A22">
        <w:rPr>
          <w:sz w:val="22"/>
          <w:lang w:val="sr-Latn-ME"/>
        </w:rPr>
        <w:t>prednizona ili ekvivalenta na dan. Ako se simptomi poboljšaju do ≤ 1. stepena, primjenu kortikosteroida treba prekinuti postupnim smanjivanjem doze tokom perioda od ≥ 1 mjeseca. Liječenje atezolizumabom može se nastaviti ako se događaj poboljša do ≤ 1. stepena u roku od 12 nedjelja, a doza kortikosteroida smanji na ≤ 10 mg prednizona ili ekvivalenta na dan. Liječenje atezolizumabom mora se trajno prekinuti u slučaju pneumonitisa 3. ili 4. stepena.</w:t>
      </w:r>
    </w:p>
    <w:p w14:paraId="6A789CC9" w14:textId="77777777" w:rsidR="000A26D9" w:rsidRPr="00B35A22" w:rsidRDefault="000A26D9" w:rsidP="00B35A22">
      <w:pPr>
        <w:widowControl w:val="0"/>
        <w:jc w:val="both"/>
        <w:rPr>
          <w:sz w:val="22"/>
          <w:lang w:val="sr-Latn-ME"/>
        </w:rPr>
      </w:pPr>
    </w:p>
    <w:p w14:paraId="3023B079" w14:textId="77777777" w:rsidR="000A26D9" w:rsidRPr="00B35A22" w:rsidRDefault="000A26D9" w:rsidP="00B35A22">
      <w:pPr>
        <w:widowControl w:val="0"/>
        <w:jc w:val="both"/>
        <w:rPr>
          <w:i/>
          <w:sz w:val="22"/>
          <w:u w:val="single"/>
          <w:lang w:val="sr-Latn-ME"/>
        </w:rPr>
      </w:pPr>
      <w:r w:rsidRPr="00B35A22">
        <w:rPr>
          <w:i/>
          <w:sz w:val="22"/>
          <w:u w:val="single"/>
          <w:lang w:val="sr-Latn-ME"/>
        </w:rPr>
        <w:t xml:space="preserve">Imunološki prouzrokovan hepatitis </w:t>
      </w:r>
    </w:p>
    <w:p w14:paraId="034D86AA" w14:textId="77777777" w:rsidR="000A26D9" w:rsidRPr="00B35A22" w:rsidRDefault="000A26D9" w:rsidP="00B35A22">
      <w:pPr>
        <w:widowControl w:val="0"/>
        <w:jc w:val="both"/>
        <w:rPr>
          <w:sz w:val="22"/>
          <w:lang w:val="sr-Latn-ME"/>
        </w:rPr>
      </w:pPr>
      <w:r w:rsidRPr="00B35A22">
        <w:rPr>
          <w:sz w:val="22"/>
          <w:lang w:val="sr-Latn-ME"/>
        </w:rPr>
        <w:t>U kliničkim ispitivanjima atezolizumaba primijećeni su slučajevi hepatitisa, od kojih su neki imali smrtni ishod (vidjeti dio 4.8). Pacijente treba nadgledati zbog moguće pojave znakova i simptoma hepatitisa.</w:t>
      </w:r>
    </w:p>
    <w:p w14:paraId="5033E353" w14:textId="77777777" w:rsidR="000A26D9" w:rsidRPr="00B35A22" w:rsidRDefault="000A26D9" w:rsidP="00B35A22">
      <w:pPr>
        <w:widowControl w:val="0"/>
        <w:jc w:val="both"/>
        <w:rPr>
          <w:sz w:val="22"/>
          <w:lang w:val="sr-Latn-ME"/>
        </w:rPr>
      </w:pPr>
    </w:p>
    <w:p w14:paraId="71A4D080" w14:textId="77777777" w:rsidR="000A26D9" w:rsidRPr="00B35A22" w:rsidRDefault="000A26D9" w:rsidP="00B35A22">
      <w:pPr>
        <w:widowControl w:val="0"/>
        <w:jc w:val="both"/>
        <w:rPr>
          <w:sz w:val="22"/>
          <w:lang w:val="sr-Latn-ME"/>
        </w:rPr>
      </w:pPr>
      <w:r w:rsidRPr="00B35A22">
        <w:rPr>
          <w:sz w:val="22"/>
          <w:lang w:val="sr-Latn-ME"/>
        </w:rPr>
        <w:t>Vrijednosti aspartat aminotransferaze (AST), alanin aminotransferaze (ALT) i bilirubina treba kontrolisati prije početka liječenja atezolizumabom, periodično tokom liječenja i kada je indikovano na osnovu kliničke procjene.</w:t>
      </w:r>
    </w:p>
    <w:p w14:paraId="5ADFBE2D" w14:textId="77777777" w:rsidR="000A26D9" w:rsidRPr="00B35A22" w:rsidRDefault="000A26D9" w:rsidP="00B35A22">
      <w:pPr>
        <w:widowControl w:val="0"/>
        <w:jc w:val="both"/>
        <w:rPr>
          <w:sz w:val="22"/>
          <w:lang w:val="sr-Latn-ME"/>
        </w:rPr>
      </w:pPr>
    </w:p>
    <w:p w14:paraId="548FB1F8" w14:textId="0DF000C2" w:rsidR="000A26D9" w:rsidRPr="00B35A22" w:rsidRDefault="000A26D9" w:rsidP="00B35A22">
      <w:pPr>
        <w:widowControl w:val="0"/>
        <w:jc w:val="both"/>
        <w:rPr>
          <w:sz w:val="22"/>
          <w:lang w:val="sr-Latn-ME"/>
        </w:rPr>
      </w:pPr>
      <w:r w:rsidRPr="00B35A22">
        <w:rPr>
          <w:sz w:val="22"/>
          <w:lang w:val="sr-Latn-ME"/>
        </w:rPr>
        <w:t xml:space="preserve">Ako </w:t>
      </w:r>
      <w:r w:rsidR="0067691B" w:rsidRPr="00B35A22">
        <w:rPr>
          <w:sz w:val="22"/>
          <w:lang w:val="sr-Latn-ME"/>
        </w:rPr>
        <w:t xml:space="preserve">kod pacijenata bez HCC-a </w:t>
      </w:r>
      <w:r w:rsidRPr="00B35A22">
        <w:rPr>
          <w:sz w:val="22"/>
          <w:lang w:val="sr-Latn-ME"/>
        </w:rPr>
        <w:t>odstupanja 2. stepen (ALT ili AST &gt; 3 – 5 x GGN ili bilirubin u krvi &gt; 1,5 – 3 x GGN) potraju duže od 5 – 7 dana, treba odložiti primjenu atezolizumaba i uvesti 1 – 2 mg/kg</w:t>
      </w:r>
      <w:r w:rsidR="00E14959" w:rsidRPr="00B35A22">
        <w:rPr>
          <w:sz w:val="22"/>
          <w:lang w:val="sr-Latn-ME"/>
        </w:rPr>
        <w:t xml:space="preserve"> </w:t>
      </w:r>
      <w:r w:rsidR="001C2391" w:rsidRPr="00B35A22">
        <w:rPr>
          <w:sz w:val="22"/>
          <w:lang w:val="sr-Latn-ME"/>
        </w:rPr>
        <w:t>t</w:t>
      </w:r>
      <w:r w:rsidR="00C2460C" w:rsidRPr="00B35A22">
        <w:rPr>
          <w:sz w:val="22"/>
          <w:lang w:val="sr-Latn-ME"/>
        </w:rPr>
        <w:t>j</w:t>
      </w:r>
      <w:r w:rsidR="001C2391" w:rsidRPr="00B35A22">
        <w:rPr>
          <w:sz w:val="22"/>
          <w:lang w:val="sr-Latn-ME"/>
        </w:rPr>
        <w:t>elesne mase</w:t>
      </w:r>
      <w:r w:rsidRPr="00B35A22">
        <w:rPr>
          <w:sz w:val="22"/>
          <w:lang w:val="sr-Latn-ME"/>
        </w:rPr>
        <w:t xml:space="preserve"> oralnog prednizona ili ekvivalenta na dan. Ako se događaj poboljša do ≤ 1. stepen</w:t>
      </w:r>
      <w:r w:rsidR="00C2460C" w:rsidRPr="00B35A22">
        <w:rPr>
          <w:sz w:val="22"/>
          <w:lang w:val="sr-Latn-ME"/>
        </w:rPr>
        <w:t>a</w:t>
      </w:r>
      <w:r w:rsidRPr="00B35A22">
        <w:rPr>
          <w:sz w:val="22"/>
          <w:lang w:val="sr-Latn-ME"/>
        </w:rPr>
        <w:t xml:space="preserve">, primjenu kortikosteroida treba prekinuti postupnim smanjivanjem doze tokom perioda od ≥ 1 mjeseca. </w:t>
      </w:r>
    </w:p>
    <w:p w14:paraId="27AB46F8" w14:textId="77777777" w:rsidR="000A26D9" w:rsidRPr="00B35A22" w:rsidRDefault="000A26D9" w:rsidP="00B35A22">
      <w:pPr>
        <w:widowControl w:val="0"/>
        <w:jc w:val="both"/>
        <w:rPr>
          <w:sz w:val="22"/>
          <w:lang w:val="sr-Latn-ME"/>
        </w:rPr>
      </w:pPr>
    </w:p>
    <w:p w14:paraId="70CE63B2" w14:textId="26613277" w:rsidR="000A26D9" w:rsidRPr="00B35A22" w:rsidRDefault="000A26D9" w:rsidP="00B35A22">
      <w:pPr>
        <w:widowControl w:val="0"/>
        <w:jc w:val="both"/>
        <w:rPr>
          <w:sz w:val="22"/>
          <w:lang w:val="sr-Latn-ME"/>
        </w:rPr>
      </w:pPr>
      <w:r w:rsidRPr="00B35A22">
        <w:rPr>
          <w:sz w:val="22"/>
          <w:lang w:val="sr-Latn-ME"/>
        </w:rPr>
        <w:t>Liječenje atezolizumabom može da se nastavi ako se događaj poboljša do ≤ 1. stepena u roku od 12 nedjelja</w:t>
      </w:r>
      <w:r w:rsidR="004719AD" w:rsidRPr="00B35A22">
        <w:rPr>
          <w:sz w:val="22"/>
          <w:lang w:val="sr-Latn-ME"/>
        </w:rPr>
        <w:t>,</w:t>
      </w:r>
      <w:r w:rsidRPr="00B35A22">
        <w:rPr>
          <w:sz w:val="22"/>
          <w:lang w:val="sr-Latn-ME"/>
        </w:rPr>
        <w:t xml:space="preserve"> a doza kortikosteroida smanji na ≤ 10 mg oralnog prednizona ili ekvivalenta na dan. Liječenje atezolizumabom mora da se trajno prekine u slučaju događaja 3. ili 4. stepena (ALT ili AST &gt; 5,0 x GGN ili bilirubin u krvi &gt; 3 x GGN).</w:t>
      </w:r>
    </w:p>
    <w:p w14:paraId="38D38812" w14:textId="32199438" w:rsidR="000A26D9" w:rsidRPr="00B35A22" w:rsidRDefault="000A26D9" w:rsidP="00B35A22">
      <w:pPr>
        <w:widowControl w:val="0"/>
        <w:jc w:val="both"/>
        <w:rPr>
          <w:sz w:val="22"/>
          <w:lang w:val="sr-Latn-ME"/>
        </w:rPr>
      </w:pPr>
    </w:p>
    <w:p w14:paraId="68FACBF7" w14:textId="4DF016E8" w:rsidR="00627942" w:rsidRPr="00B35A22" w:rsidRDefault="00627942" w:rsidP="00B35A22">
      <w:pPr>
        <w:widowControl w:val="0"/>
        <w:jc w:val="both"/>
        <w:rPr>
          <w:sz w:val="22"/>
          <w:lang w:val="sr-Latn-ME"/>
        </w:rPr>
      </w:pPr>
      <w:r w:rsidRPr="00B35A22">
        <w:rPr>
          <w:sz w:val="22"/>
          <w:lang w:val="sr-Latn-ME"/>
        </w:rPr>
        <w:t xml:space="preserve">Ako </w:t>
      </w:r>
      <w:r w:rsidR="0067691B" w:rsidRPr="00B35A22">
        <w:rPr>
          <w:sz w:val="22"/>
          <w:lang w:val="sr-Latn-ME"/>
        </w:rPr>
        <w:t>kod pacijenata sa HCC-om</w:t>
      </w:r>
      <w:r w:rsidR="00C2460C" w:rsidRPr="00B35A22">
        <w:rPr>
          <w:sz w:val="22"/>
          <w:lang w:val="sr-Latn-ME"/>
        </w:rPr>
        <w:t>,</w:t>
      </w:r>
      <w:r w:rsidR="0067691B" w:rsidRPr="00B35A22">
        <w:rPr>
          <w:sz w:val="22"/>
          <w:lang w:val="sr-Latn-ME"/>
        </w:rPr>
        <w:t xml:space="preserve"> </w:t>
      </w:r>
      <w:r w:rsidRPr="00B35A22">
        <w:rPr>
          <w:sz w:val="22"/>
          <w:lang w:val="sr-Latn-ME"/>
        </w:rPr>
        <w:t xml:space="preserve">vrijednosti ALT-a ili AST-a porastu od početnih normalnih vrijednosti na &gt; 3 i ≤ 10 x GGN, ili od početnih vrijednosti &gt; 1 i ≤ 3 x GGN do &gt; 5 i ≤ 10 x GGN ili od početnih vrijednosti &gt; 3 i ≤ 5 x GGN do &gt; 8 i ≤ 10 x GGN i to povišenje potraje duže od 5 do 7 dana, treba odložiti primjenu atezolizumaba i uvesti 1 – 2 mg/kg </w:t>
      </w:r>
      <w:r w:rsidR="001C2391" w:rsidRPr="00B35A22">
        <w:rPr>
          <w:sz w:val="22"/>
          <w:lang w:val="sr-Latn-ME"/>
        </w:rPr>
        <w:t>t</w:t>
      </w:r>
      <w:r w:rsidR="00C2460C" w:rsidRPr="00B35A22">
        <w:rPr>
          <w:sz w:val="22"/>
          <w:lang w:val="sr-Latn-ME"/>
        </w:rPr>
        <w:t>j</w:t>
      </w:r>
      <w:r w:rsidR="001C2391" w:rsidRPr="00B35A22">
        <w:rPr>
          <w:sz w:val="22"/>
          <w:lang w:val="sr-Latn-ME"/>
        </w:rPr>
        <w:t>elesne mase</w:t>
      </w:r>
      <w:r w:rsidR="00E14959" w:rsidRPr="00B35A22">
        <w:rPr>
          <w:sz w:val="22"/>
          <w:lang w:val="sr-Latn-ME"/>
        </w:rPr>
        <w:t xml:space="preserve"> </w:t>
      </w:r>
      <w:r w:rsidRPr="00B35A22">
        <w:rPr>
          <w:sz w:val="22"/>
          <w:lang w:val="sr-Latn-ME"/>
        </w:rPr>
        <w:t>oralnog prednizona ili ekvivalenta na dan. Ako se događaj poboljša do ≤ 1. stepena, primjenu kortikosteroida treba prekinuti postupnim smanjivanjem doze tokom perioda od ≥ 1 mjeseca.</w:t>
      </w:r>
    </w:p>
    <w:p w14:paraId="786FBF09" w14:textId="77777777" w:rsidR="00627942" w:rsidRPr="00B35A22" w:rsidRDefault="00627942" w:rsidP="00B35A22">
      <w:pPr>
        <w:widowControl w:val="0"/>
        <w:jc w:val="both"/>
        <w:rPr>
          <w:sz w:val="22"/>
          <w:lang w:val="sr-Latn-ME"/>
        </w:rPr>
      </w:pPr>
    </w:p>
    <w:p w14:paraId="7200A338" w14:textId="66B4619E" w:rsidR="00627942" w:rsidRPr="00B35A22" w:rsidRDefault="00627942" w:rsidP="00B35A22">
      <w:pPr>
        <w:widowControl w:val="0"/>
        <w:jc w:val="both"/>
        <w:rPr>
          <w:sz w:val="22"/>
          <w:lang w:val="sr-Latn-ME"/>
        </w:rPr>
      </w:pPr>
      <w:r w:rsidRPr="00B35A22">
        <w:rPr>
          <w:sz w:val="22"/>
          <w:lang w:val="sr-Latn-ME"/>
        </w:rPr>
        <w:t>Liječenje atezolizumabom može da se nastavi ako se događaj poboljša do ≤ 1. stepena u roku od 12 nedjelja</w:t>
      </w:r>
      <w:r w:rsidR="004719AD" w:rsidRPr="00B35A22">
        <w:rPr>
          <w:sz w:val="22"/>
          <w:lang w:val="sr-Latn-ME"/>
        </w:rPr>
        <w:t>,</w:t>
      </w:r>
      <w:r w:rsidRPr="00B35A22">
        <w:rPr>
          <w:sz w:val="22"/>
          <w:lang w:val="sr-Latn-ME"/>
        </w:rPr>
        <w:t xml:space="preserve"> a doza kortikosteroida smanji na ≤ 10 mg oralnog prednizona ili ekvivalenta na dan. Liječenje atezolizumabom mora da se trajno prekine u slučaju porasta vr</w:t>
      </w:r>
      <w:r w:rsidR="00886ACF" w:rsidRPr="00B35A22">
        <w:rPr>
          <w:sz w:val="22"/>
          <w:lang w:val="sr-Latn-ME"/>
        </w:rPr>
        <w:t>ij</w:t>
      </w:r>
      <w:r w:rsidRPr="00B35A22">
        <w:rPr>
          <w:sz w:val="22"/>
          <w:lang w:val="sr-Latn-ME"/>
        </w:rPr>
        <w:t>ednosti ALT-a ili AST-a na &gt; 10 x GGN ili porasta vr</w:t>
      </w:r>
      <w:r w:rsidR="00886ACF" w:rsidRPr="00B35A22">
        <w:rPr>
          <w:sz w:val="22"/>
          <w:lang w:val="sr-Latn-ME"/>
        </w:rPr>
        <w:t>ij</w:t>
      </w:r>
      <w:r w:rsidRPr="00B35A22">
        <w:rPr>
          <w:sz w:val="22"/>
          <w:lang w:val="sr-Latn-ME"/>
        </w:rPr>
        <w:t>ednosti ukupnog bilirubina na &gt; 3 x GGN.</w:t>
      </w:r>
    </w:p>
    <w:p w14:paraId="1A57EF01" w14:textId="77777777" w:rsidR="00627942" w:rsidRPr="00B35A22" w:rsidRDefault="00627942" w:rsidP="00B35A22">
      <w:pPr>
        <w:widowControl w:val="0"/>
        <w:jc w:val="both"/>
        <w:rPr>
          <w:sz w:val="22"/>
          <w:u w:val="single"/>
          <w:lang w:val="sr-Latn-ME"/>
        </w:rPr>
      </w:pPr>
    </w:p>
    <w:p w14:paraId="2617DD4D"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kolitis</w:t>
      </w:r>
    </w:p>
    <w:p w14:paraId="7AB6A3B5" w14:textId="77777777" w:rsidR="000A26D9" w:rsidRPr="00B35A22" w:rsidRDefault="000A26D9" w:rsidP="00B35A22">
      <w:pPr>
        <w:widowControl w:val="0"/>
        <w:jc w:val="both"/>
        <w:rPr>
          <w:sz w:val="22"/>
          <w:lang w:val="sr-Latn-ME"/>
        </w:rPr>
      </w:pPr>
      <w:r w:rsidRPr="00B35A22">
        <w:rPr>
          <w:sz w:val="22"/>
          <w:lang w:val="sr-Latn-ME"/>
        </w:rPr>
        <w:t xml:space="preserve">U kliničkim ispitivanjima atezolizumaba primijećeni su slučajevi dijareje ili kolitisa (vidjeti dio 4.8). Pacijente treba nadgledati zbog moguće pojave znakova i simptoma kolitisa. </w:t>
      </w:r>
    </w:p>
    <w:p w14:paraId="38559B2F" w14:textId="1D20F460" w:rsidR="000A26D9" w:rsidRPr="00B35A22" w:rsidRDefault="000A26D9" w:rsidP="00B35A22">
      <w:pPr>
        <w:widowControl w:val="0"/>
        <w:jc w:val="both"/>
        <w:rPr>
          <w:sz w:val="22"/>
          <w:lang w:val="sr-Latn-ME"/>
        </w:rPr>
      </w:pPr>
      <w:r w:rsidRPr="00B35A22">
        <w:rPr>
          <w:sz w:val="22"/>
          <w:lang w:val="sr-Latn-ME"/>
        </w:rPr>
        <w:t xml:space="preserve">Primjenu atezolizumaba treba odložiti u slučaju dijareje 2. ili 3. stepena (povećanje za ≥ 4 stolice/dan u odnosu na početnu vrijednost) ili kolitisa 2. ili 3. stepena (simptomatskog). U slučaju dijareje ili kolitisa 2. stepen, ako simptomi potraju &gt; 5 dana ili se ponovno jave, treba uvesti 1 – 2 mg/kg </w:t>
      </w:r>
      <w:r w:rsidR="001C2391" w:rsidRPr="00B35A22">
        <w:rPr>
          <w:sz w:val="22"/>
          <w:lang w:val="sr-Latn-ME"/>
        </w:rPr>
        <w:t>t</w:t>
      </w:r>
      <w:r w:rsidR="00BF4E78" w:rsidRPr="00B35A22">
        <w:rPr>
          <w:sz w:val="22"/>
          <w:lang w:val="sr-Latn-ME"/>
        </w:rPr>
        <w:t>j</w:t>
      </w:r>
      <w:r w:rsidR="001C2391" w:rsidRPr="00B35A22">
        <w:rPr>
          <w:sz w:val="22"/>
          <w:lang w:val="sr-Latn-ME"/>
        </w:rPr>
        <w:t>elesne mase</w:t>
      </w:r>
      <w:r w:rsidR="00E14959" w:rsidRPr="00B35A22">
        <w:rPr>
          <w:sz w:val="22"/>
          <w:lang w:val="sr-Latn-ME"/>
        </w:rPr>
        <w:t xml:space="preserve"> </w:t>
      </w:r>
      <w:r w:rsidRPr="00B35A22">
        <w:rPr>
          <w:sz w:val="22"/>
          <w:lang w:val="sr-Latn-ME"/>
        </w:rPr>
        <w:t xml:space="preserve">prednizona ili ekvivalenta na dan. U slučaju dijareje ili kolitisa 3. stepen treba započeti liječenje intravenskim kortikosteroidima (1 –2 mg/kg </w:t>
      </w:r>
      <w:r w:rsidR="001C2391" w:rsidRPr="00B35A22">
        <w:rPr>
          <w:sz w:val="22"/>
          <w:lang w:val="sr-Latn-ME"/>
        </w:rPr>
        <w:t>t</w:t>
      </w:r>
      <w:r w:rsidR="00BF4E78" w:rsidRPr="00B35A22">
        <w:rPr>
          <w:sz w:val="22"/>
          <w:lang w:val="sr-Latn-ME"/>
        </w:rPr>
        <w:t>j</w:t>
      </w:r>
      <w:r w:rsidR="001C2391" w:rsidRPr="00B35A22">
        <w:rPr>
          <w:sz w:val="22"/>
          <w:lang w:val="sr-Latn-ME"/>
        </w:rPr>
        <w:t>elesne mase</w:t>
      </w:r>
      <w:r w:rsidR="00E14959" w:rsidRPr="00B35A22">
        <w:rPr>
          <w:sz w:val="22"/>
          <w:lang w:val="sr-Latn-ME"/>
        </w:rPr>
        <w:t xml:space="preserve"> </w:t>
      </w:r>
      <w:r w:rsidRPr="00B35A22">
        <w:rPr>
          <w:sz w:val="22"/>
          <w:lang w:val="sr-Latn-ME"/>
        </w:rPr>
        <w:t xml:space="preserve">metiprednizolona ili ekvivalenta na dan). </w:t>
      </w:r>
      <w:r w:rsidRPr="00B35A22">
        <w:rPr>
          <w:sz w:val="22"/>
          <w:lang w:val="sr-Latn-ME"/>
        </w:rPr>
        <w:lastRenderedPageBreak/>
        <w:t xml:space="preserve">Nakon što se simptomi poboljšaju, treba uvesti liječenje prednizonom ili ekvivalentom u dozi od 1 </w:t>
      </w:r>
      <w:r w:rsidR="00C7382D" w:rsidRPr="00B35A22">
        <w:rPr>
          <w:sz w:val="22"/>
          <w:lang w:val="sr-Latn-ME"/>
        </w:rPr>
        <w:t>–</w:t>
      </w:r>
      <w:r w:rsidRPr="00B35A22">
        <w:rPr>
          <w:sz w:val="22"/>
          <w:lang w:val="sr-Latn-ME"/>
        </w:rPr>
        <w:t xml:space="preserve"> 2 mg/kg </w:t>
      </w:r>
      <w:r w:rsidR="001C2391" w:rsidRPr="00B35A22">
        <w:rPr>
          <w:sz w:val="22"/>
          <w:lang w:val="sr-Latn-ME"/>
        </w:rPr>
        <w:t>t</w:t>
      </w:r>
      <w:r w:rsidR="00BF4E78" w:rsidRPr="00B35A22">
        <w:rPr>
          <w:sz w:val="22"/>
          <w:lang w:val="sr-Latn-ME"/>
        </w:rPr>
        <w:t>j</w:t>
      </w:r>
      <w:r w:rsidR="001C2391" w:rsidRPr="00B35A22">
        <w:rPr>
          <w:sz w:val="22"/>
          <w:lang w:val="sr-Latn-ME"/>
        </w:rPr>
        <w:t xml:space="preserve">elesne mase </w:t>
      </w:r>
      <w:r w:rsidR="00E14959" w:rsidRPr="00B35A22">
        <w:rPr>
          <w:sz w:val="22"/>
          <w:lang w:val="sr-Latn-ME"/>
        </w:rPr>
        <w:t xml:space="preserve">TM </w:t>
      </w:r>
      <w:r w:rsidRPr="00B35A22">
        <w:rPr>
          <w:sz w:val="22"/>
          <w:lang w:val="sr-Latn-ME"/>
        </w:rPr>
        <w:t>na dan. Ako se simptomi poboljšaju do ≤ 1. stepen, primjenu kortikosteroida treba prekinuti postupnim smanjivanjem doze tokom perioda od ≥ 1 mjeseca. Liječenje atezolizumabom može se nastaviti ako se događaj poboljša do ≤ 1. stepena u roku od 12 nedjelja</w:t>
      </w:r>
      <w:r w:rsidR="00BF4E78" w:rsidRPr="00B35A22">
        <w:rPr>
          <w:sz w:val="22"/>
          <w:lang w:val="sr-Latn-ME"/>
        </w:rPr>
        <w:t>,</w:t>
      </w:r>
      <w:r w:rsidRPr="00B35A22">
        <w:rPr>
          <w:sz w:val="22"/>
          <w:lang w:val="sr-Latn-ME"/>
        </w:rPr>
        <w:t xml:space="preserve"> a doza kortikosteroida smanji na ≤ 10 mg prednizona ili ekvivalenta na dan. Liječenje atezolizumabom mora se trajno prekinuti u slučaju dijareje ili kolitisa 4. stepena (opasnog po život, za koji je indikovana hitna intervencija).</w:t>
      </w:r>
      <w:r w:rsidR="008F10E3" w:rsidRPr="00B35A22">
        <w:rPr>
          <w:sz w:val="22"/>
          <w:lang w:val="sr-Latn-ME"/>
        </w:rPr>
        <w:t xml:space="preserve"> Potrebno je razmotriti perforaciju u gastrointestinalnom sistemu kao moguću komplikaciju povezanu sa kolitisom.</w:t>
      </w:r>
    </w:p>
    <w:p w14:paraId="472F3962" w14:textId="77777777" w:rsidR="000A26D9" w:rsidRPr="00B35A22" w:rsidRDefault="000A26D9" w:rsidP="00B35A22">
      <w:pPr>
        <w:widowControl w:val="0"/>
        <w:jc w:val="both"/>
        <w:rPr>
          <w:sz w:val="22"/>
          <w:lang w:val="sr-Latn-ME"/>
        </w:rPr>
      </w:pPr>
    </w:p>
    <w:p w14:paraId="79B9403C" w14:textId="77777777" w:rsidR="000A26D9" w:rsidRPr="00B35A22" w:rsidRDefault="000A26D9" w:rsidP="00B35A22">
      <w:pPr>
        <w:widowControl w:val="0"/>
        <w:jc w:val="both"/>
        <w:rPr>
          <w:i/>
          <w:sz w:val="22"/>
          <w:u w:val="single"/>
          <w:lang w:val="sr-Latn-ME"/>
        </w:rPr>
      </w:pPr>
      <w:r w:rsidRPr="00B35A22">
        <w:rPr>
          <w:i/>
          <w:sz w:val="22"/>
          <w:u w:val="single"/>
          <w:lang w:val="sr-Latn-ME"/>
        </w:rPr>
        <w:t xml:space="preserve">Imunološki prouzrokovane endokrinopatije </w:t>
      </w:r>
    </w:p>
    <w:p w14:paraId="52E2439E" w14:textId="77777777" w:rsidR="000A26D9" w:rsidRPr="00B35A22" w:rsidRDefault="000A26D9" w:rsidP="00B35A22">
      <w:pPr>
        <w:widowControl w:val="0"/>
        <w:jc w:val="both"/>
        <w:rPr>
          <w:sz w:val="22"/>
          <w:lang w:val="sr-Latn-ME"/>
        </w:rPr>
      </w:pPr>
      <w:r w:rsidRPr="00B35A22">
        <w:rPr>
          <w:sz w:val="22"/>
          <w:lang w:val="sr-Latn-ME"/>
        </w:rPr>
        <w:t xml:space="preserve">U kliničkim ispitivanjima atezolizumaba primijećeni su hipotireoza, hipertireoza, insuficijencija nadbubrežne žlijezde, hipofizitis i šećerna bolest tipa 1, uključujući dijabetičku ketoacidozu (vidjeti dio 4.8). </w:t>
      </w:r>
    </w:p>
    <w:p w14:paraId="4D48EE1F" w14:textId="77777777" w:rsidR="000A26D9" w:rsidRPr="00B35A22" w:rsidRDefault="000A26D9" w:rsidP="00B35A22">
      <w:pPr>
        <w:widowControl w:val="0"/>
        <w:jc w:val="both"/>
        <w:rPr>
          <w:sz w:val="22"/>
          <w:lang w:val="sr-Latn-ME"/>
        </w:rPr>
      </w:pPr>
    </w:p>
    <w:p w14:paraId="01E4006B" w14:textId="77777777" w:rsidR="000A26D9" w:rsidRPr="00B35A22" w:rsidRDefault="000A26D9" w:rsidP="00B35A22">
      <w:pPr>
        <w:widowControl w:val="0"/>
        <w:jc w:val="both"/>
        <w:rPr>
          <w:sz w:val="22"/>
          <w:lang w:val="sr-Latn-ME"/>
        </w:rPr>
      </w:pPr>
      <w:r w:rsidRPr="00B35A22">
        <w:rPr>
          <w:sz w:val="22"/>
          <w:lang w:val="sr-Latn-ME"/>
        </w:rPr>
        <w:t>Pacijente treba nadgledati zbog moguće pojave kliničkih znakova i simptoma endokrinopatija. Funkciju štitaste žlijezde treba provjeriti prije početka liječenja atezolizumabom i kontrolisati periodično tokom liječenja. Treba razmotriti odgovarajuće liječenje pacijenata koji na početku liječenja imaju odstupanja u nalazima testova funkcije štitaste žlijezde.</w:t>
      </w:r>
    </w:p>
    <w:p w14:paraId="22F0C497" w14:textId="77777777" w:rsidR="000A26D9" w:rsidRPr="00B35A22" w:rsidRDefault="000A26D9" w:rsidP="00B35A22">
      <w:pPr>
        <w:widowControl w:val="0"/>
        <w:jc w:val="both"/>
        <w:rPr>
          <w:sz w:val="22"/>
          <w:lang w:val="sr-Latn-ME"/>
        </w:rPr>
      </w:pPr>
    </w:p>
    <w:p w14:paraId="09B2A5C9" w14:textId="77777777" w:rsidR="000A26D9" w:rsidRPr="00B35A22" w:rsidRDefault="000A26D9" w:rsidP="00B35A22">
      <w:pPr>
        <w:widowControl w:val="0"/>
        <w:jc w:val="both"/>
        <w:rPr>
          <w:sz w:val="22"/>
          <w:lang w:val="sr-Latn-ME"/>
        </w:rPr>
      </w:pPr>
      <w:r w:rsidRPr="00B35A22">
        <w:rPr>
          <w:sz w:val="22"/>
          <w:lang w:val="sr-Latn-ME"/>
        </w:rPr>
        <w:t>Asimptomatski pacijenti sa odstupanjima u nalazima testova funkcije štitaste žlijezde mogu primati atezolizumab. U slučaju simptomatske hipotireoze treba odložiti primjenu atezolizumaba i po potrebi uvesti hormonsku supstitucionu terapiju. Izolovana hipotireoza može da se liječi supstitucionom terapijom i bez kortikosteroida. U slučaju simptomatske hipertireoze treba odložiti primjenu atezolizumaba i po potrebi uvesti lijek koji potiskuje funkciju štitaste žlijezde. Liječenje atezolizumabom može se nastaviti kada se simptomi stave pod kontrolu, a funkcija štitaste žlijezde počne poboljšavati.</w:t>
      </w:r>
    </w:p>
    <w:p w14:paraId="258EBABB" w14:textId="77777777" w:rsidR="000A26D9" w:rsidRPr="00B35A22" w:rsidRDefault="000A26D9" w:rsidP="00B35A22">
      <w:pPr>
        <w:widowControl w:val="0"/>
        <w:jc w:val="both"/>
        <w:rPr>
          <w:sz w:val="22"/>
          <w:lang w:val="sr-Latn-ME"/>
        </w:rPr>
      </w:pPr>
    </w:p>
    <w:p w14:paraId="6F9E5FF0" w14:textId="144BD939" w:rsidR="000A26D9" w:rsidRPr="00B35A22" w:rsidRDefault="000A26D9" w:rsidP="00B35A22">
      <w:pPr>
        <w:widowControl w:val="0"/>
        <w:jc w:val="both"/>
        <w:rPr>
          <w:sz w:val="22"/>
          <w:lang w:val="sr-Latn-ME"/>
        </w:rPr>
      </w:pPr>
      <w:r w:rsidRPr="00B35A22">
        <w:rPr>
          <w:sz w:val="22"/>
          <w:lang w:val="sr-Latn-ME"/>
        </w:rPr>
        <w:t xml:space="preserve">U slučaju simptomatske insuficijencije nadbubrežne žlijezde treba odložiti primjenu atezolizumaba i uvesti liječenje intravenskim kortikosteroidima (1 – 2 mg/kg </w:t>
      </w:r>
      <w:r w:rsidR="001C2391" w:rsidRPr="00B35A22">
        <w:rPr>
          <w:sz w:val="22"/>
          <w:lang w:val="sr-Latn-ME"/>
        </w:rPr>
        <w:t>t</w:t>
      </w:r>
      <w:r w:rsidR="00443AD4" w:rsidRPr="00B35A22">
        <w:rPr>
          <w:sz w:val="22"/>
          <w:lang w:val="sr-Latn-ME"/>
        </w:rPr>
        <w:t>j</w:t>
      </w:r>
      <w:r w:rsidR="001C2391" w:rsidRPr="00B35A22">
        <w:rPr>
          <w:sz w:val="22"/>
          <w:lang w:val="sr-Latn-ME"/>
        </w:rPr>
        <w:t>elesne mase</w:t>
      </w:r>
      <w:r w:rsidR="00E14959" w:rsidRPr="00B35A22">
        <w:rPr>
          <w:sz w:val="22"/>
          <w:lang w:val="sr-Latn-ME"/>
        </w:rPr>
        <w:t xml:space="preserve"> </w:t>
      </w:r>
      <w:r w:rsidRPr="00B35A22">
        <w:rPr>
          <w:sz w:val="22"/>
          <w:lang w:val="sr-Latn-ME"/>
        </w:rPr>
        <w:t xml:space="preserve">metilprednizolona ili ekvivalenta na dan). Nakon što se simptomi poboljšaju, treba uvesti liječenje oralnim prednizonom ili ekvivalentom u dozi od 1 </w:t>
      </w:r>
      <w:r w:rsidR="00C7382D" w:rsidRPr="00B35A22">
        <w:rPr>
          <w:sz w:val="22"/>
          <w:lang w:val="sr-Latn-ME"/>
        </w:rPr>
        <w:t>–</w:t>
      </w:r>
      <w:r w:rsidRPr="00B35A22">
        <w:rPr>
          <w:sz w:val="22"/>
          <w:lang w:val="sr-Latn-ME"/>
        </w:rPr>
        <w:t xml:space="preserve"> 2 mg/kg na dan. Ako se simptomi poboljšaju do ≤ 1. stepena, primjenu kortikosteroida treba prekinuti postupnim smanjivanjem doze tokom perioda od ≥ 1 mjeseca. Liječenje se može nastaviti ako se događaj poboljša do ≤ 1. stepena u roku od 12 nedjelja, doza kortikosteroida smanji na ekvivalent ≤ 10 mg prednizona ili ekvivalenta na dan, a pacijentovo stanje stabilizuje supstitucionom terapijom (ako je to potrebno).</w:t>
      </w:r>
    </w:p>
    <w:p w14:paraId="29D36962" w14:textId="77777777" w:rsidR="000A26D9" w:rsidRPr="00B35A22" w:rsidRDefault="000A26D9" w:rsidP="00B35A22">
      <w:pPr>
        <w:widowControl w:val="0"/>
        <w:jc w:val="both"/>
        <w:rPr>
          <w:sz w:val="22"/>
          <w:lang w:val="sr-Latn-ME"/>
        </w:rPr>
      </w:pPr>
    </w:p>
    <w:p w14:paraId="02ADA188" w14:textId="611FF91A" w:rsidR="000A26D9" w:rsidRPr="00B35A22" w:rsidRDefault="000A26D9" w:rsidP="00B35A22">
      <w:pPr>
        <w:widowControl w:val="0"/>
        <w:tabs>
          <w:tab w:val="left" w:pos="540"/>
          <w:tab w:val="left" w:pos="569"/>
        </w:tabs>
        <w:jc w:val="both"/>
        <w:rPr>
          <w:sz w:val="22"/>
          <w:lang w:val="sr-Latn-ME"/>
        </w:rPr>
      </w:pPr>
      <w:r w:rsidRPr="00B35A22">
        <w:rPr>
          <w:sz w:val="22"/>
          <w:lang w:val="sr-Latn-ME"/>
        </w:rPr>
        <w:t>U slučaju hipofizitisa 2. ili 3. stepen</w:t>
      </w:r>
      <w:r w:rsidR="00644AB5" w:rsidRPr="00B35A22">
        <w:rPr>
          <w:sz w:val="22"/>
          <w:lang w:val="sr-Latn-ME"/>
        </w:rPr>
        <w:t>a</w:t>
      </w:r>
      <w:r w:rsidRPr="00B35A22">
        <w:rPr>
          <w:sz w:val="22"/>
          <w:lang w:val="sr-Latn-ME"/>
        </w:rPr>
        <w:t xml:space="preserve"> treba odložiti primjenu atezolizumaba i uvesti liječenje intravenskim kortikosteroidima (1 – 2 mg/kg </w:t>
      </w:r>
      <w:r w:rsidR="001C2391" w:rsidRPr="00B35A22">
        <w:rPr>
          <w:sz w:val="22"/>
          <w:lang w:val="sr-Latn-ME"/>
        </w:rPr>
        <w:t>t</w:t>
      </w:r>
      <w:r w:rsidR="009012F0" w:rsidRPr="00B35A22">
        <w:rPr>
          <w:sz w:val="22"/>
          <w:lang w:val="sr-Latn-ME"/>
        </w:rPr>
        <w:t>j</w:t>
      </w:r>
      <w:r w:rsidR="001C2391" w:rsidRPr="00B35A22">
        <w:rPr>
          <w:sz w:val="22"/>
          <w:lang w:val="sr-Latn-ME"/>
        </w:rPr>
        <w:t xml:space="preserve">elesne mase metilprednizolona ili ekvivalenta na dan), a po potrebi i hormonsko supstituciono liječenje. nakon što se simptomi poboljšaju, treba uvesti liječenje prednizonom ili ekvivalentom u dozi od 1 </w:t>
      </w:r>
      <w:r w:rsidR="00C7382D" w:rsidRPr="00B35A22">
        <w:rPr>
          <w:sz w:val="22"/>
          <w:lang w:val="sr-Latn-ME"/>
        </w:rPr>
        <w:t>–</w:t>
      </w:r>
      <w:r w:rsidR="001C2391" w:rsidRPr="00B35A22">
        <w:rPr>
          <w:sz w:val="22"/>
          <w:lang w:val="sr-Latn-ME"/>
        </w:rPr>
        <w:t xml:space="preserve"> 2 mg/kg t</w:t>
      </w:r>
      <w:r w:rsidR="00644AB5" w:rsidRPr="00B35A22">
        <w:rPr>
          <w:sz w:val="22"/>
          <w:lang w:val="sr-Latn-ME"/>
        </w:rPr>
        <w:t>j</w:t>
      </w:r>
      <w:r w:rsidR="001C2391" w:rsidRPr="00B35A22">
        <w:rPr>
          <w:sz w:val="22"/>
          <w:lang w:val="sr-Latn-ME"/>
        </w:rPr>
        <w:t xml:space="preserve">elesne mase </w:t>
      </w:r>
      <w:r w:rsidRPr="00B35A22">
        <w:rPr>
          <w:sz w:val="22"/>
          <w:lang w:val="sr-Latn-ME"/>
        </w:rPr>
        <w:t>na dan. Ako se simptomi poboljšaju do ≤ 1. stepena, primjenu kortikosteroida treba prekinuti postupnim smanjivanjem doze tokom perioda od ≥ 1 mjeseca. Liječenje se može nastaviti ako se događaj poboljša do ≤ 1.</w:t>
      </w:r>
      <w:r w:rsidR="00981DD5" w:rsidRPr="00B35A22">
        <w:rPr>
          <w:sz w:val="22"/>
          <w:lang w:val="sr-Latn-ME"/>
        </w:rPr>
        <w:t xml:space="preserve"> </w:t>
      </w:r>
      <w:r w:rsidRPr="00B35A22">
        <w:rPr>
          <w:sz w:val="22"/>
          <w:lang w:val="sr-Latn-ME"/>
        </w:rPr>
        <w:t>stepen</w:t>
      </w:r>
      <w:r w:rsidR="00981DD5" w:rsidRPr="00B35A22">
        <w:rPr>
          <w:sz w:val="22"/>
          <w:lang w:val="sr-Latn-ME"/>
        </w:rPr>
        <w:t>a</w:t>
      </w:r>
      <w:r w:rsidRPr="00B35A22">
        <w:rPr>
          <w:sz w:val="22"/>
          <w:lang w:val="sr-Latn-ME"/>
        </w:rPr>
        <w:t xml:space="preserve"> u roku od 12 nedjelja, doza kortikosteroida smanji na ≤ 10 mg prednizona ili ekvivalenta na dan, a pacijentovo stanje stabilizuje supstitucionom terapijom (ako je to potrebno). Liječenje atezolizumabom mora se trajno prekinuti u slučaju hipofizitisa 4. stepen</w:t>
      </w:r>
      <w:r w:rsidR="00644AB5" w:rsidRPr="00B35A22">
        <w:rPr>
          <w:sz w:val="22"/>
          <w:lang w:val="sr-Latn-ME"/>
        </w:rPr>
        <w:t>a</w:t>
      </w:r>
      <w:r w:rsidRPr="00B35A22">
        <w:rPr>
          <w:sz w:val="22"/>
          <w:lang w:val="sr-Latn-ME"/>
        </w:rPr>
        <w:t>.</w:t>
      </w:r>
    </w:p>
    <w:p w14:paraId="5A1A7D93" w14:textId="77777777" w:rsidR="000A26D9" w:rsidRPr="00B35A22" w:rsidRDefault="000A26D9" w:rsidP="00B35A22">
      <w:pPr>
        <w:widowControl w:val="0"/>
        <w:jc w:val="both"/>
        <w:rPr>
          <w:sz w:val="22"/>
          <w:lang w:val="sr-Latn-ME"/>
        </w:rPr>
      </w:pPr>
    </w:p>
    <w:p w14:paraId="45505FD3" w14:textId="77777777" w:rsidR="000A26D9" w:rsidRPr="00B35A22" w:rsidRDefault="000A26D9" w:rsidP="00B35A22">
      <w:pPr>
        <w:widowControl w:val="0"/>
        <w:jc w:val="both"/>
        <w:rPr>
          <w:sz w:val="22"/>
          <w:lang w:val="sr-Latn-ME"/>
        </w:rPr>
      </w:pPr>
      <w:r w:rsidRPr="00B35A22">
        <w:rPr>
          <w:sz w:val="22"/>
          <w:lang w:val="sr-Latn-ME"/>
        </w:rPr>
        <w:t>U slučaju dijabetesa tipa 1 treba uvesti liječenje insulinom. U slučaju hiperglikemije ≥ 3. stepen (glukoza natašte &gt; 250 mg/dl ili 13,9 mmol/l) treba odložiti primjenu atezolizumaba. Liječenje atezolizumabom može se nastaviti ako se uspostavi metabolička kontrola uz insulinsku supstitucionu terapiju.</w:t>
      </w:r>
    </w:p>
    <w:p w14:paraId="3778EFF4" w14:textId="77777777" w:rsidR="000A26D9" w:rsidRPr="00B35A22" w:rsidRDefault="000A26D9" w:rsidP="00B35A22">
      <w:pPr>
        <w:widowControl w:val="0"/>
        <w:jc w:val="both"/>
        <w:rPr>
          <w:sz w:val="22"/>
          <w:lang w:val="sr-Latn-ME"/>
        </w:rPr>
      </w:pPr>
    </w:p>
    <w:p w14:paraId="0CED2180" w14:textId="0640AD54" w:rsidR="00A53D39" w:rsidRPr="00B35A22" w:rsidRDefault="000A26D9" w:rsidP="00B35A22">
      <w:pPr>
        <w:widowControl w:val="0"/>
        <w:jc w:val="both"/>
        <w:rPr>
          <w:sz w:val="22"/>
          <w:u w:val="single"/>
          <w:lang w:val="sr-Latn-ME"/>
        </w:rPr>
      </w:pPr>
      <w:r w:rsidRPr="00B35A22">
        <w:rPr>
          <w:i/>
          <w:sz w:val="22"/>
          <w:u w:val="single"/>
          <w:lang w:val="sr-Latn-ME"/>
        </w:rPr>
        <w:t xml:space="preserve">Imunološki prouzrokovan meningoencefalitis </w:t>
      </w:r>
    </w:p>
    <w:p w14:paraId="782455A3" w14:textId="77777777" w:rsidR="000A26D9" w:rsidRPr="00B35A22" w:rsidRDefault="000A26D9" w:rsidP="00B35A22">
      <w:pPr>
        <w:widowControl w:val="0"/>
        <w:jc w:val="both"/>
        <w:rPr>
          <w:sz w:val="22"/>
          <w:lang w:val="sr-Latn-ME"/>
        </w:rPr>
      </w:pPr>
      <w:r w:rsidRPr="00B35A22">
        <w:rPr>
          <w:sz w:val="22"/>
          <w:lang w:val="sr-Latn-ME"/>
        </w:rPr>
        <w:t>U kliničkim ispitivanjima atezolizumaba primijećen je meningoencefalitis (vidjeti dio 4.8). Pacijente treba nadgledati zbog moguće pojave kliničkih znakova i simptoma meningitisa ili encefalitisa.</w:t>
      </w:r>
    </w:p>
    <w:p w14:paraId="1947C3E4" w14:textId="7256BA7D" w:rsidR="000A26D9" w:rsidRPr="00B35A22" w:rsidRDefault="000A26D9" w:rsidP="00B35A22">
      <w:pPr>
        <w:widowControl w:val="0"/>
        <w:jc w:val="both"/>
        <w:rPr>
          <w:sz w:val="22"/>
          <w:lang w:val="sr-Latn-ME"/>
        </w:rPr>
      </w:pPr>
      <w:r w:rsidRPr="00B35A22">
        <w:rPr>
          <w:sz w:val="22"/>
          <w:lang w:val="sr-Latn-ME"/>
        </w:rPr>
        <w:t>U slučaju meningitisa ili encefalitisa bilo kojeg stepena</w:t>
      </w:r>
      <w:r w:rsidR="0049381F" w:rsidRPr="00B35A22">
        <w:rPr>
          <w:sz w:val="22"/>
          <w:lang w:val="sr-Latn-ME"/>
        </w:rPr>
        <w:t>,</w:t>
      </w:r>
      <w:r w:rsidRPr="00B35A22">
        <w:rPr>
          <w:sz w:val="22"/>
          <w:lang w:val="sr-Latn-ME"/>
        </w:rPr>
        <w:t xml:space="preserve"> liječenje atezolizumabom mora se trajno prekinuti. Treba uvesti liječenje intravenskim kortikosteroidima (1 –</w:t>
      </w:r>
      <w:r w:rsidR="0049381F" w:rsidRPr="00B35A22">
        <w:rPr>
          <w:sz w:val="22"/>
          <w:lang w:val="sr-Latn-ME"/>
        </w:rPr>
        <w:t xml:space="preserve"> </w:t>
      </w:r>
      <w:r w:rsidRPr="00B35A22">
        <w:rPr>
          <w:sz w:val="22"/>
          <w:lang w:val="sr-Latn-ME"/>
        </w:rPr>
        <w:t xml:space="preserve">2 mg/kg </w:t>
      </w:r>
      <w:r w:rsidR="001C2391" w:rsidRPr="00B35A22">
        <w:rPr>
          <w:sz w:val="22"/>
          <w:lang w:val="sr-Latn-ME"/>
        </w:rPr>
        <w:t>t</w:t>
      </w:r>
      <w:r w:rsidR="0049381F" w:rsidRPr="00B35A22">
        <w:rPr>
          <w:sz w:val="22"/>
          <w:lang w:val="sr-Latn-ME"/>
        </w:rPr>
        <w:t>j</w:t>
      </w:r>
      <w:r w:rsidR="001C2391" w:rsidRPr="00B35A22">
        <w:rPr>
          <w:sz w:val="22"/>
          <w:lang w:val="sr-Latn-ME"/>
        </w:rPr>
        <w:t xml:space="preserve">elesne mase </w:t>
      </w:r>
      <w:r w:rsidRPr="00B35A22">
        <w:rPr>
          <w:sz w:val="22"/>
          <w:lang w:val="sr-Latn-ME"/>
        </w:rPr>
        <w:t xml:space="preserve">metiprednizolona ili ekvivalenta na dan). Nakon što se simptomi poboljšaju, treba uvesti liječenje prednizonom ili ekvivalentom u dozi od 1 </w:t>
      </w:r>
      <w:r w:rsidR="00C7382D" w:rsidRPr="00B35A22">
        <w:rPr>
          <w:sz w:val="22"/>
          <w:lang w:val="sr-Latn-ME"/>
        </w:rPr>
        <w:t>–</w:t>
      </w:r>
      <w:r w:rsidRPr="00B35A22">
        <w:rPr>
          <w:sz w:val="22"/>
          <w:lang w:val="sr-Latn-ME"/>
        </w:rPr>
        <w:t xml:space="preserve"> 2 mg/kg na dan. </w:t>
      </w:r>
    </w:p>
    <w:p w14:paraId="7132D0CD" w14:textId="77777777" w:rsidR="000A26D9" w:rsidRPr="00B35A22" w:rsidRDefault="000A26D9" w:rsidP="00B35A22">
      <w:pPr>
        <w:widowControl w:val="0"/>
        <w:jc w:val="both"/>
        <w:rPr>
          <w:sz w:val="22"/>
          <w:lang w:val="sr-Latn-ME"/>
        </w:rPr>
      </w:pPr>
    </w:p>
    <w:p w14:paraId="4581338C"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prouzrokovane neuropatije</w:t>
      </w:r>
    </w:p>
    <w:p w14:paraId="08A34B11" w14:textId="02B48FC4" w:rsidR="000A26D9" w:rsidRPr="00B35A22" w:rsidRDefault="000A26D9" w:rsidP="00B35A22">
      <w:pPr>
        <w:widowControl w:val="0"/>
        <w:jc w:val="both"/>
        <w:rPr>
          <w:sz w:val="22"/>
          <w:lang w:val="sr-Latn-ME"/>
        </w:rPr>
      </w:pPr>
      <w:r w:rsidRPr="00B35A22">
        <w:rPr>
          <w:sz w:val="22"/>
          <w:lang w:val="sr-Latn-ME"/>
        </w:rPr>
        <w:lastRenderedPageBreak/>
        <w:t>Kod pacijenata koji su primali atezolizumab primijećeni su mijastenički sindrom/miastenija gravis ili Guillain Barréov sindrom, koji mogu biti opasni po život</w:t>
      </w:r>
      <w:r w:rsidR="00FD1DA9" w:rsidRPr="00B35A22">
        <w:rPr>
          <w:sz w:val="22"/>
          <w:lang w:val="sr-Latn-ME"/>
        </w:rPr>
        <w:t>, kao i pareza lica</w:t>
      </w:r>
      <w:r w:rsidRPr="00B35A22">
        <w:rPr>
          <w:sz w:val="22"/>
          <w:lang w:val="sr-Latn-ME"/>
        </w:rPr>
        <w:t xml:space="preserve">. Pacijente treba nadgledati zbog mogućih simptoma motorne i senzorne neuropatije. </w:t>
      </w:r>
    </w:p>
    <w:p w14:paraId="63FC0B85" w14:textId="2AC6432C" w:rsidR="00FD1DA9" w:rsidRPr="00B35A22" w:rsidRDefault="00FD1DA9" w:rsidP="00B35A22">
      <w:pPr>
        <w:widowControl w:val="0"/>
        <w:jc w:val="both"/>
        <w:rPr>
          <w:sz w:val="22"/>
          <w:lang w:val="sr-Latn-ME"/>
        </w:rPr>
      </w:pPr>
    </w:p>
    <w:p w14:paraId="130BB1D3" w14:textId="021BC45A" w:rsidR="00FD1DA9" w:rsidRPr="00B35A22" w:rsidRDefault="00FD1DA9" w:rsidP="00B35A22">
      <w:pPr>
        <w:widowControl w:val="0"/>
        <w:jc w:val="both"/>
        <w:rPr>
          <w:sz w:val="22"/>
          <w:lang w:val="sr-Latn-ME"/>
        </w:rPr>
      </w:pPr>
      <w:r w:rsidRPr="00B35A22">
        <w:rPr>
          <w:sz w:val="22"/>
          <w:lang w:val="sr-Latn-ME"/>
        </w:rPr>
        <w:t>U kliničkim ispitivanjima atezolizumaba primijećen je mijelitis (vidjeti dio 4.8). Pacijente treba pažljivo nadgledati zbog moguće pojave znakova i simptoma koji ukazuju na mijelitis.</w:t>
      </w:r>
    </w:p>
    <w:p w14:paraId="7B839068" w14:textId="77777777" w:rsidR="000A26D9" w:rsidRPr="00B35A22" w:rsidRDefault="000A26D9" w:rsidP="00B35A22">
      <w:pPr>
        <w:widowControl w:val="0"/>
        <w:jc w:val="both"/>
        <w:rPr>
          <w:sz w:val="22"/>
          <w:lang w:val="sr-Latn-ME"/>
        </w:rPr>
      </w:pPr>
    </w:p>
    <w:p w14:paraId="0147DFB2" w14:textId="043D42E7" w:rsidR="000A26D9" w:rsidRPr="00B35A22" w:rsidRDefault="000A26D9" w:rsidP="00B35A22">
      <w:pPr>
        <w:widowControl w:val="0"/>
        <w:jc w:val="both"/>
        <w:rPr>
          <w:sz w:val="22"/>
          <w:lang w:val="sr-Latn-ME"/>
        </w:rPr>
      </w:pPr>
      <w:r w:rsidRPr="00B35A22">
        <w:rPr>
          <w:sz w:val="22"/>
          <w:lang w:val="sr-Latn-ME"/>
        </w:rPr>
        <w:t>U slučaju mijasteničkog sindroma/miastenije gravis ili Guillain Barréova sindroma bilo kojeg stepena</w:t>
      </w:r>
      <w:r w:rsidR="0049381F" w:rsidRPr="00B35A22">
        <w:rPr>
          <w:sz w:val="22"/>
          <w:lang w:val="sr-Latn-ME"/>
        </w:rPr>
        <w:t>,</w:t>
      </w:r>
      <w:r w:rsidRPr="00B35A22">
        <w:rPr>
          <w:sz w:val="22"/>
          <w:lang w:val="sr-Latn-ME"/>
        </w:rPr>
        <w:t xml:space="preserve"> liječenje atezolizumabom mora se trajno prekinuti. Treba razmotriti uvođenje liječenja sistemskim kortikosteroidima u dozi od 1 </w:t>
      </w:r>
      <w:r w:rsidR="00C7382D" w:rsidRPr="00B35A22">
        <w:rPr>
          <w:sz w:val="22"/>
          <w:lang w:val="sr-Latn-ME"/>
        </w:rPr>
        <w:t>–</w:t>
      </w:r>
      <w:r w:rsidRPr="00B35A22">
        <w:rPr>
          <w:sz w:val="22"/>
          <w:lang w:val="sr-Latn-ME"/>
        </w:rPr>
        <w:t xml:space="preserve"> 2 mg/kg </w:t>
      </w:r>
      <w:r w:rsidR="001C2391" w:rsidRPr="00B35A22">
        <w:rPr>
          <w:sz w:val="22"/>
          <w:lang w:val="sr-Latn-ME"/>
        </w:rPr>
        <w:t>t</w:t>
      </w:r>
      <w:r w:rsidR="0049381F" w:rsidRPr="00B35A22">
        <w:rPr>
          <w:sz w:val="22"/>
          <w:lang w:val="sr-Latn-ME"/>
        </w:rPr>
        <w:t>j</w:t>
      </w:r>
      <w:r w:rsidR="001C2391" w:rsidRPr="00B35A22">
        <w:rPr>
          <w:sz w:val="22"/>
          <w:lang w:val="sr-Latn-ME"/>
        </w:rPr>
        <w:t xml:space="preserve">elesne mase </w:t>
      </w:r>
      <w:r w:rsidRPr="00B35A22">
        <w:rPr>
          <w:sz w:val="22"/>
          <w:lang w:val="sr-Latn-ME"/>
        </w:rPr>
        <w:t>na dan prednizona ili ekvivalenta.</w:t>
      </w:r>
    </w:p>
    <w:p w14:paraId="7F074BBF" w14:textId="365B2994" w:rsidR="00FD1DA9" w:rsidRPr="00B35A22" w:rsidRDefault="00FD1DA9" w:rsidP="00B35A22">
      <w:pPr>
        <w:widowControl w:val="0"/>
        <w:jc w:val="both"/>
        <w:rPr>
          <w:sz w:val="22"/>
          <w:lang w:val="sr-Latn-ME"/>
        </w:rPr>
      </w:pPr>
    </w:p>
    <w:p w14:paraId="2F703BF2" w14:textId="3D3C4433" w:rsidR="00FD1DA9" w:rsidRPr="00B35A22" w:rsidRDefault="00FD1DA9" w:rsidP="00B35A22">
      <w:pPr>
        <w:widowControl w:val="0"/>
        <w:jc w:val="both"/>
        <w:rPr>
          <w:sz w:val="22"/>
          <w:lang w:val="sr-Latn-ME"/>
        </w:rPr>
      </w:pPr>
      <w:r w:rsidRPr="00B35A22">
        <w:rPr>
          <w:sz w:val="22"/>
          <w:lang w:val="sr-Latn-ME"/>
        </w:rPr>
        <w:t>U slučaju pareze lica 1. ili 2. stepena, treba odložiti primjenu atezolizumaba i razmotriti liječenje sistemskim kortikosteroidima (1</w:t>
      </w:r>
      <w:r w:rsidR="00C7382D" w:rsidRPr="00B35A22">
        <w:rPr>
          <w:sz w:val="22"/>
          <w:lang w:val="sr-Latn-ME"/>
        </w:rPr>
        <w:t xml:space="preserve"> –</w:t>
      </w:r>
      <w:r w:rsidRPr="00B35A22">
        <w:rPr>
          <w:sz w:val="22"/>
          <w:lang w:val="sr-Latn-ME"/>
        </w:rPr>
        <w:t xml:space="preserve"> 2 mg/kg TM/dan prednizona ili ekvivalenta). Liječenje se može nastaviti samo ako se simptomi u potpunosti povuku. Liječenje atezolizumabom mora se trajno prekinuti u slučaju pareze lica 3. ili 4. stepena ili bilo koje druge neuropatije koja se uz odlaganje liječenja atezolizumabom ne povuče u potpunosti.</w:t>
      </w:r>
    </w:p>
    <w:p w14:paraId="7FB88C73" w14:textId="77777777" w:rsidR="00FD1DA9" w:rsidRPr="00B35A22" w:rsidRDefault="00FD1DA9" w:rsidP="00B35A22">
      <w:pPr>
        <w:widowControl w:val="0"/>
        <w:jc w:val="both"/>
        <w:rPr>
          <w:sz w:val="22"/>
          <w:lang w:val="sr-Latn-ME"/>
        </w:rPr>
      </w:pPr>
    </w:p>
    <w:p w14:paraId="6256DC45" w14:textId="01F57204" w:rsidR="00FD1DA9" w:rsidRPr="00B35A22" w:rsidRDefault="00FD1DA9" w:rsidP="00B35A22">
      <w:pPr>
        <w:widowControl w:val="0"/>
        <w:jc w:val="both"/>
        <w:rPr>
          <w:sz w:val="22"/>
          <w:lang w:val="sr-Latn-ME"/>
        </w:rPr>
      </w:pPr>
      <w:r w:rsidRPr="00B35A22">
        <w:rPr>
          <w:sz w:val="22"/>
          <w:lang w:val="sr-Latn-ME"/>
        </w:rPr>
        <w:t>U slučaju mijelitisa 2, 3. ili 4. stepena, liječenje atezolizumabom mora se trajno prekinuti.</w:t>
      </w:r>
    </w:p>
    <w:p w14:paraId="3D5D5128" w14:textId="68ADE642" w:rsidR="000A26D9" w:rsidRPr="00B35A22" w:rsidRDefault="000A26D9" w:rsidP="00B35A22">
      <w:pPr>
        <w:widowControl w:val="0"/>
        <w:jc w:val="both"/>
        <w:rPr>
          <w:sz w:val="22"/>
          <w:lang w:val="sr-Latn-ME"/>
        </w:rPr>
      </w:pPr>
    </w:p>
    <w:p w14:paraId="3FFF4CCA"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pankreatitis</w:t>
      </w:r>
    </w:p>
    <w:p w14:paraId="4031BDD8" w14:textId="77777777" w:rsidR="000A26D9" w:rsidRPr="00B35A22" w:rsidRDefault="000A26D9" w:rsidP="00B35A22">
      <w:pPr>
        <w:widowControl w:val="0"/>
        <w:jc w:val="both"/>
        <w:rPr>
          <w:sz w:val="22"/>
          <w:lang w:val="sr-Latn-ME"/>
        </w:rPr>
      </w:pPr>
      <w:r w:rsidRPr="00B35A22">
        <w:rPr>
          <w:sz w:val="22"/>
          <w:lang w:val="sr-Latn-ME"/>
        </w:rPr>
        <w:t>U kliničkim ispitivanjima atezolizumaba primijećen je pankreatitis, uključujući povišenja serumskih vrijednosti amilaze i lipaze (vidjeti dio 4.8). Pacijente treba pažljivo nadgledati zbog moguće pojave znakova i simptoma koji ukazuju na akutni pankreatitis.</w:t>
      </w:r>
    </w:p>
    <w:p w14:paraId="4F4CE6DA" w14:textId="77777777" w:rsidR="000A26D9" w:rsidRPr="00B35A22" w:rsidRDefault="000A26D9" w:rsidP="00B35A22">
      <w:pPr>
        <w:widowControl w:val="0"/>
        <w:jc w:val="both"/>
        <w:rPr>
          <w:sz w:val="22"/>
          <w:lang w:val="sr-Latn-ME"/>
        </w:rPr>
      </w:pPr>
    </w:p>
    <w:p w14:paraId="54411BCD" w14:textId="4C113FC7" w:rsidR="000A26D9" w:rsidRPr="00B35A22" w:rsidRDefault="000A26D9" w:rsidP="00B35A22">
      <w:pPr>
        <w:widowControl w:val="0"/>
        <w:jc w:val="both"/>
        <w:rPr>
          <w:sz w:val="22"/>
          <w:lang w:val="sr-Latn-ME"/>
        </w:rPr>
      </w:pPr>
      <w:r w:rsidRPr="00B35A22">
        <w:rPr>
          <w:sz w:val="22"/>
          <w:lang w:val="sr-Latn-ME"/>
        </w:rPr>
        <w:t>U slučaju pov</w:t>
      </w:r>
      <w:r w:rsidR="00A821FA" w:rsidRPr="00B35A22">
        <w:rPr>
          <w:sz w:val="22"/>
          <w:lang w:val="sr-Latn-ME"/>
        </w:rPr>
        <w:t>ećanja</w:t>
      </w:r>
      <w:r w:rsidRPr="00B35A22">
        <w:rPr>
          <w:sz w:val="22"/>
          <w:lang w:val="sr-Latn-ME"/>
        </w:rPr>
        <w:t xml:space="preserve"> serumskih vrijednosti amilaze ili lipaze ≥ 3. stepen (&gt; 2 x GGN) ili pankreatitisa 2. ili 3. stepen</w:t>
      </w:r>
      <w:r w:rsidR="00A821FA" w:rsidRPr="00B35A22">
        <w:rPr>
          <w:sz w:val="22"/>
          <w:lang w:val="sr-Latn-ME"/>
        </w:rPr>
        <w:t>a</w:t>
      </w:r>
      <w:r w:rsidRPr="00B35A22">
        <w:rPr>
          <w:sz w:val="22"/>
          <w:lang w:val="sr-Latn-ME"/>
        </w:rPr>
        <w:t xml:space="preserve"> treba odložiti primjenu atezolizumaba te uvesti liječenje intravenskim kortikosteroidima (1–2 mg/kg </w:t>
      </w:r>
      <w:r w:rsidR="001C2391" w:rsidRPr="00B35A22">
        <w:rPr>
          <w:sz w:val="22"/>
          <w:lang w:val="sr-Latn-ME"/>
        </w:rPr>
        <w:t>t</w:t>
      </w:r>
      <w:r w:rsidR="00A821FA" w:rsidRPr="00B35A22">
        <w:rPr>
          <w:sz w:val="22"/>
          <w:lang w:val="sr-Latn-ME"/>
        </w:rPr>
        <w:t>j</w:t>
      </w:r>
      <w:r w:rsidR="001C2391" w:rsidRPr="00B35A22">
        <w:rPr>
          <w:sz w:val="22"/>
          <w:lang w:val="sr-Latn-ME"/>
        </w:rPr>
        <w:t xml:space="preserve">elesne mase </w:t>
      </w:r>
      <w:r w:rsidRPr="00B35A22">
        <w:rPr>
          <w:sz w:val="22"/>
          <w:lang w:val="sr-Latn-ME"/>
        </w:rPr>
        <w:t xml:space="preserve">metiprednizolona ili ekvivalenta na dan). Nakon što se simptomi poboljšaju, treba uvesti liječenje prednizonom ili ekvivalentom u dozi od 1 </w:t>
      </w:r>
      <w:r w:rsidR="00C7382D" w:rsidRPr="00B35A22">
        <w:rPr>
          <w:sz w:val="22"/>
          <w:lang w:val="sr-Latn-ME"/>
        </w:rPr>
        <w:t>–</w:t>
      </w:r>
      <w:r w:rsidRPr="00B35A22">
        <w:rPr>
          <w:sz w:val="22"/>
          <w:lang w:val="sr-Latn-ME"/>
        </w:rPr>
        <w:t xml:space="preserve"> 2 mg/kg na dan. Liječenje atezolizumabom može se nastaviti kada se serumske vrijednosti amilaze i lipaze poboljšaju do ≤ 1. stepen u roku od 12 nedjelja ili kada se povuku simptomi pankreatitisa, a doza kortikosteroida smanji na ≤ 10 mg prednizona ili ekvivalenta na dan. Liječenje atezolizumabom mora se trajno prekinuti u slučaju pankreatitisa 4. stepen</w:t>
      </w:r>
      <w:r w:rsidR="00A821FA" w:rsidRPr="00B35A22">
        <w:rPr>
          <w:sz w:val="22"/>
          <w:lang w:val="sr-Latn-ME"/>
        </w:rPr>
        <w:t>a</w:t>
      </w:r>
      <w:r w:rsidRPr="00B35A22">
        <w:rPr>
          <w:sz w:val="22"/>
          <w:lang w:val="sr-Latn-ME"/>
        </w:rPr>
        <w:t xml:space="preserve"> ili rekurentnog pankreatitisa bilo kog stepena.</w:t>
      </w:r>
    </w:p>
    <w:p w14:paraId="60D462CF" w14:textId="77777777" w:rsidR="000A26D9" w:rsidRPr="00B35A22" w:rsidRDefault="000A26D9" w:rsidP="00B35A22">
      <w:pPr>
        <w:widowControl w:val="0"/>
        <w:jc w:val="both"/>
        <w:rPr>
          <w:u w:val="single"/>
          <w:lang w:val="sr-Latn-ME"/>
        </w:rPr>
      </w:pPr>
    </w:p>
    <w:p w14:paraId="709D4A7F" w14:textId="3851CF47" w:rsidR="000A26D9" w:rsidRPr="00B35A22" w:rsidRDefault="000A26D9" w:rsidP="00B35A22">
      <w:pPr>
        <w:widowControl w:val="0"/>
        <w:jc w:val="both"/>
        <w:rPr>
          <w:sz w:val="22"/>
          <w:u w:val="single"/>
          <w:lang w:val="sr-Latn-ME"/>
        </w:rPr>
      </w:pPr>
      <w:r w:rsidRPr="00B35A22">
        <w:rPr>
          <w:i/>
          <w:sz w:val="22"/>
          <w:u w:val="single"/>
          <w:lang w:val="sr-Latn-ME"/>
        </w:rPr>
        <w:t>Imunološki prouzrokovan miokarditis</w:t>
      </w:r>
    </w:p>
    <w:p w14:paraId="5D3FE637" w14:textId="63CBD42F" w:rsidR="000A26D9" w:rsidRPr="00B35A22" w:rsidRDefault="00C87701" w:rsidP="00B35A22">
      <w:pPr>
        <w:widowControl w:val="0"/>
        <w:jc w:val="both"/>
        <w:rPr>
          <w:sz w:val="22"/>
          <w:lang w:val="sr-Latn-ME"/>
        </w:rPr>
      </w:pPr>
      <w:r w:rsidRPr="00B35A22">
        <w:rPr>
          <w:sz w:val="22"/>
          <w:lang w:val="sr-Latn-ME"/>
        </w:rPr>
        <w:t>Kod primjene</w:t>
      </w:r>
      <w:r w:rsidR="000A26D9" w:rsidRPr="00B35A22">
        <w:rPr>
          <w:sz w:val="22"/>
          <w:lang w:val="sr-Latn-ME"/>
        </w:rPr>
        <w:t xml:space="preserve"> atezolizumaba primijećen</w:t>
      </w:r>
      <w:r w:rsidRPr="00B35A22">
        <w:rPr>
          <w:sz w:val="22"/>
          <w:lang w:val="sr-Latn-ME"/>
        </w:rPr>
        <w:t>i</w:t>
      </w:r>
      <w:r w:rsidR="000A26D9" w:rsidRPr="00B35A22">
        <w:rPr>
          <w:sz w:val="22"/>
          <w:lang w:val="sr-Latn-ME"/>
        </w:rPr>
        <w:t xml:space="preserve"> </w:t>
      </w:r>
      <w:r w:rsidRPr="00B35A22">
        <w:rPr>
          <w:sz w:val="22"/>
          <w:lang w:val="sr-Latn-ME"/>
        </w:rPr>
        <w:t xml:space="preserve">su slučajevi </w:t>
      </w:r>
      <w:r w:rsidR="000A26D9" w:rsidRPr="00B35A22">
        <w:rPr>
          <w:sz w:val="22"/>
          <w:lang w:val="sr-Latn-ME"/>
        </w:rPr>
        <w:t>miokarditis</w:t>
      </w:r>
      <w:r w:rsidRPr="00B35A22">
        <w:rPr>
          <w:sz w:val="22"/>
          <w:lang w:val="sr-Latn-ME"/>
        </w:rPr>
        <w:t>a, uključujući slučajeve sa smrtnim ishodom</w:t>
      </w:r>
      <w:r w:rsidR="000A26D9" w:rsidRPr="00B35A22">
        <w:rPr>
          <w:sz w:val="22"/>
          <w:lang w:val="sr-Latn-ME"/>
        </w:rPr>
        <w:t xml:space="preserve"> (vidjeti dio 4.8). Pacijente treba nadzirati zbog moguće pojave znakova i simptoma miokarditisa.</w:t>
      </w:r>
      <w:r w:rsidRPr="00B35A22">
        <w:rPr>
          <w:sz w:val="22"/>
          <w:lang w:val="sr-Latn-ME"/>
        </w:rPr>
        <w:t xml:space="preserve"> Miokarditis može biti i klinička manifestacija miozitisa pa ga treba </w:t>
      </w:r>
      <w:r w:rsidR="008C5C59" w:rsidRPr="00B35A22">
        <w:rPr>
          <w:sz w:val="22"/>
          <w:lang w:val="sr-Latn-ME"/>
        </w:rPr>
        <w:t>na odgovarajući način</w:t>
      </w:r>
      <w:r w:rsidRPr="00B35A22">
        <w:rPr>
          <w:sz w:val="22"/>
          <w:lang w:val="sr-Latn-ME"/>
        </w:rPr>
        <w:t xml:space="preserve"> liječiti.</w:t>
      </w:r>
    </w:p>
    <w:p w14:paraId="776FC463" w14:textId="77777777" w:rsidR="000A26D9" w:rsidRPr="00B35A22" w:rsidRDefault="000A26D9" w:rsidP="00B35A22">
      <w:pPr>
        <w:widowControl w:val="0"/>
        <w:jc w:val="both"/>
        <w:rPr>
          <w:sz w:val="22"/>
          <w:lang w:val="sr-Latn-ME"/>
        </w:rPr>
      </w:pPr>
    </w:p>
    <w:p w14:paraId="1BD08C4D" w14:textId="4CC89AAC" w:rsidR="000A26D9" w:rsidRPr="00B35A22" w:rsidRDefault="00C87701" w:rsidP="00B35A22">
      <w:pPr>
        <w:widowControl w:val="0"/>
        <w:tabs>
          <w:tab w:val="left" w:pos="540"/>
          <w:tab w:val="left" w:pos="569"/>
        </w:tabs>
        <w:jc w:val="both"/>
        <w:rPr>
          <w:sz w:val="22"/>
          <w:lang w:val="sr-Latn-ME"/>
        </w:rPr>
      </w:pPr>
      <w:r w:rsidRPr="00B35A22">
        <w:rPr>
          <w:sz w:val="22"/>
          <w:lang w:val="sr-Latn-ME"/>
        </w:rPr>
        <w:t>Kod pacijenata sa srčanim ili srčano plućnim simptomima potrebno je sprovesti procjenu zbog mogućeg miokarditisa kako bi se osiguralo uvođenje odgovarajućih mjera u ranoj fazi. U slučaju sumnje na miokarditis, potrebno je od</w:t>
      </w:r>
      <w:r w:rsidR="008C5C59" w:rsidRPr="00B35A22">
        <w:rPr>
          <w:sz w:val="22"/>
          <w:lang w:val="sr-Latn-ME"/>
        </w:rPr>
        <w:t>loži</w:t>
      </w:r>
      <w:r w:rsidRPr="00B35A22">
        <w:rPr>
          <w:sz w:val="22"/>
          <w:lang w:val="sr-Latn-ME"/>
        </w:rPr>
        <w:t>ti liječenje atezolizumabom, odmah započeti liječenje sistemskim kortikosteroidima u dozi od 1</w:t>
      </w:r>
      <w:r w:rsidR="00C7382D" w:rsidRPr="00B35A22">
        <w:rPr>
          <w:sz w:val="22"/>
          <w:lang w:val="sr-Latn-ME"/>
        </w:rPr>
        <w:t xml:space="preserve"> – </w:t>
      </w:r>
      <w:r w:rsidRPr="00B35A22">
        <w:rPr>
          <w:sz w:val="22"/>
          <w:lang w:val="sr-Latn-ME"/>
        </w:rPr>
        <w:t>2 mg/kg TM/dan prednizona ili ekvivalentnog lijeka</w:t>
      </w:r>
      <w:r w:rsidR="008C5C59" w:rsidRPr="00B35A22">
        <w:rPr>
          <w:sz w:val="22"/>
          <w:lang w:val="sr-Latn-ME"/>
        </w:rPr>
        <w:t>,</w:t>
      </w:r>
      <w:r w:rsidRPr="00B35A22">
        <w:rPr>
          <w:sz w:val="22"/>
          <w:lang w:val="sr-Latn-ME"/>
        </w:rPr>
        <w:t xml:space="preserve"> te odmah sprovesti kardiološki pregled sa dijagnostičkom obradom u skladu sa trenutnim kliničkim smjernicama. Nakon utvrđivanja dijagnoze miokarditisa liječenje atezolizumabom mora se trajno prekinuti u slučaju miokarditisa ≥ 2. stepena (vidjeti dio 4.2).</w:t>
      </w:r>
    </w:p>
    <w:p w14:paraId="559EE3A5" w14:textId="77777777" w:rsidR="008C5C59" w:rsidRPr="00B35A22" w:rsidRDefault="008C5C59" w:rsidP="00B35A22">
      <w:pPr>
        <w:widowControl w:val="0"/>
        <w:tabs>
          <w:tab w:val="left" w:pos="540"/>
          <w:tab w:val="left" w:pos="569"/>
        </w:tabs>
        <w:jc w:val="both"/>
        <w:rPr>
          <w:sz w:val="22"/>
          <w:lang w:val="sr-Latn-ME"/>
        </w:rPr>
      </w:pPr>
    </w:p>
    <w:p w14:paraId="4E563F79" w14:textId="693F1A20" w:rsidR="0018697C" w:rsidRPr="00B35A22" w:rsidRDefault="0018697C" w:rsidP="00B35A22">
      <w:pPr>
        <w:widowControl w:val="0"/>
        <w:jc w:val="both"/>
        <w:rPr>
          <w:sz w:val="22"/>
          <w:lang w:val="sr-Latn-ME"/>
        </w:rPr>
      </w:pPr>
      <w:r w:rsidRPr="00B35A22">
        <w:rPr>
          <w:i/>
          <w:sz w:val="22"/>
          <w:u w:val="single"/>
          <w:lang w:val="sr-Latn-ME"/>
        </w:rPr>
        <w:t>Imunološki prouzrokovan nefritis</w:t>
      </w:r>
    </w:p>
    <w:p w14:paraId="5DCDF2A7" w14:textId="5B4A64EA" w:rsidR="0018697C" w:rsidRPr="00B35A22" w:rsidRDefault="0018697C" w:rsidP="00B35A22">
      <w:pPr>
        <w:widowControl w:val="0"/>
        <w:tabs>
          <w:tab w:val="left" w:pos="284"/>
        </w:tabs>
        <w:jc w:val="both"/>
        <w:rPr>
          <w:sz w:val="22"/>
          <w:lang w:val="sr-Latn-ME"/>
        </w:rPr>
      </w:pPr>
      <w:r w:rsidRPr="00B35A22">
        <w:rPr>
          <w:sz w:val="22"/>
          <w:lang w:val="sr-Latn-ME"/>
        </w:rPr>
        <w:t>U kliničkim ispitivanjima atezolizumaba prim</w:t>
      </w:r>
      <w:r w:rsidR="008C5C59" w:rsidRPr="00B35A22">
        <w:rPr>
          <w:sz w:val="22"/>
          <w:lang w:val="sr-Latn-ME"/>
        </w:rPr>
        <w:t>i</w:t>
      </w:r>
      <w:r w:rsidRPr="00B35A22">
        <w:rPr>
          <w:sz w:val="22"/>
          <w:lang w:val="sr-Latn-ME"/>
        </w:rPr>
        <w:t>jećen je nefritis (videti dio 4.8). Pacijente treba nadzirati  radi prom</w:t>
      </w:r>
      <w:r w:rsidR="0055127C" w:rsidRPr="00B35A22">
        <w:rPr>
          <w:sz w:val="22"/>
          <w:lang w:val="sr-Latn-ME"/>
        </w:rPr>
        <w:t>j</w:t>
      </w:r>
      <w:r w:rsidRPr="00B35A22">
        <w:rPr>
          <w:sz w:val="22"/>
          <w:lang w:val="sr-Latn-ME"/>
        </w:rPr>
        <w:t>ena u bubrežnoj funkciji.</w:t>
      </w:r>
    </w:p>
    <w:p w14:paraId="40E2C783" w14:textId="77777777" w:rsidR="0018697C" w:rsidRPr="00B35A22" w:rsidRDefault="0018697C" w:rsidP="00B35A22">
      <w:pPr>
        <w:widowControl w:val="0"/>
        <w:tabs>
          <w:tab w:val="left" w:pos="284"/>
        </w:tabs>
        <w:jc w:val="both"/>
        <w:rPr>
          <w:sz w:val="22"/>
          <w:lang w:val="sr-Latn-ME"/>
        </w:rPr>
      </w:pPr>
    </w:p>
    <w:p w14:paraId="43AED21D" w14:textId="6AF16646" w:rsidR="008C5C59" w:rsidRPr="00B35A22" w:rsidRDefault="0018697C" w:rsidP="00B35A22">
      <w:pPr>
        <w:widowControl w:val="0"/>
        <w:jc w:val="both"/>
        <w:rPr>
          <w:sz w:val="22"/>
          <w:lang w:val="sr-Latn-ME"/>
        </w:rPr>
      </w:pPr>
      <w:r w:rsidRPr="00B35A22">
        <w:rPr>
          <w:sz w:val="22"/>
          <w:lang w:val="sr-Latn-ME"/>
        </w:rPr>
        <w:t xml:space="preserve">U slučaju nefritisa 2. stepena treba odložiti primjenu atezolizumaba i započeti liječenje sistemskim kortikosteroidima u dozi od 1 do 2 mg/kg </w:t>
      </w:r>
      <w:r w:rsidR="001C2391" w:rsidRPr="00B35A22">
        <w:rPr>
          <w:sz w:val="22"/>
          <w:lang w:val="sr-Latn-ME"/>
        </w:rPr>
        <w:t>t</w:t>
      </w:r>
      <w:r w:rsidR="008C5C59" w:rsidRPr="00B35A22">
        <w:rPr>
          <w:sz w:val="22"/>
          <w:lang w:val="sr-Latn-ME"/>
        </w:rPr>
        <w:t>j</w:t>
      </w:r>
      <w:r w:rsidR="001C2391" w:rsidRPr="00B35A22">
        <w:rPr>
          <w:sz w:val="22"/>
          <w:lang w:val="sr-Latn-ME"/>
        </w:rPr>
        <w:t>elesne mase</w:t>
      </w:r>
      <w:r w:rsidR="00E14959" w:rsidRPr="00B35A22">
        <w:rPr>
          <w:sz w:val="22"/>
          <w:lang w:val="sr-Latn-ME"/>
        </w:rPr>
        <w:t xml:space="preserve"> </w:t>
      </w:r>
      <w:r w:rsidRPr="00B35A22">
        <w:rPr>
          <w:sz w:val="22"/>
          <w:lang w:val="sr-Latn-ME"/>
        </w:rPr>
        <w:t xml:space="preserve">prednizona ili ekvivalenta na dan. Liječenje atezolizumabom može se nastaviti ako se događaj poboljša do ≤ 1. stepena unutar 12 nedjelja, a doza kortikosteroida smanji na ≤ 10 mg prednizona ili ekvivalenta na dan. U slučaju nefritisa 3. ili 4. stepena liječenje atezolizumabom mora se trajno prekinuti. </w:t>
      </w:r>
    </w:p>
    <w:p w14:paraId="70CDFFE2" w14:textId="77777777" w:rsidR="008C5C59" w:rsidRPr="00B35A22" w:rsidRDefault="008C5C59" w:rsidP="00B35A22">
      <w:pPr>
        <w:widowControl w:val="0"/>
        <w:jc w:val="both"/>
        <w:rPr>
          <w:sz w:val="22"/>
          <w:lang w:val="sr-Latn-ME"/>
        </w:rPr>
      </w:pPr>
    </w:p>
    <w:p w14:paraId="3091E418" w14:textId="34DA209B" w:rsidR="006C4BD6" w:rsidRPr="00B35A22" w:rsidRDefault="006C4BD6" w:rsidP="00B35A22">
      <w:pPr>
        <w:widowControl w:val="0"/>
        <w:jc w:val="both"/>
        <w:rPr>
          <w:sz w:val="22"/>
          <w:lang w:val="sr-Latn-ME"/>
        </w:rPr>
      </w:pPr>
      <w:r w:rsidRPr="00B35A22">
        <w:rPr>
          <w:i/>
          <w:sz w:val="22"/>
          <w:u w:val="single"/>
          <w:lang w:val="sr-Latn-ME"/>
        </w:rPr>
        <w:t>Imunološki prouzrokovan miozitis</w:t>
      </w:r>
    </w:p>
    <w:p w14:paraId="67E831F3" w14:textId="6967ADF5" w:rsidR="006C4BD6" w:rsidRPr="00B35A22" w:rsidRDefault="00C87701" w:rsidP="00B35A22">
      <w:pPr>
        <w:widowControl w:val="0"/>
        <w:jc w:val="both"/>
        <w:rPr>
          <w:sz w:val="22"/>
          <w:lang w:val="sr-Latn-ME"/>
        </w:rPr>
      </w:pPr>
      <w:r w:rsidRPr="00B35A22">
        <w:rPr>
          <w:sz w:val="22"/>
          <w:lang w:val="sr-Latn-ME"/>
        </w:rPr>
        <w:t>Kod primjene</w:t>
      </w:r>
      <w:r w:rsidR="006C4BD6" w:rsidRPr="00B35A22">
        <w:rPr>
          <w:sz w:val="22"/>
          <w:lang w:val="sr-Latn-ME"/>
        </w:rPr>
        <w:t xml:space="preserve"> </w:t>
      </w:r>
      <w:r w:rsidRPr="00B35A22">
        <w:rPr>
          <w:sz w:val="22"/>
          <w:lang w:val="sr-Latn-ME"/>
        </w:rPr>
        <w:t xml:space="preserve">atezolizumaba </w:t>
      </w:r>
      <w:r w:rsidR="006C4BD6" w:rsidRPr="00B35A22">
        <w:rPr>
          <w:sz w:val="22"/>
          <w:lang w:val="sr-Latn-ME"/>
        </w:rPr>
        <w:t xml:space="preserve">primijećen je miozitis, uključujući slučajeve sa smrtnim ishodom (vidjeti </w:t>
      </w:r>
      <w:r w:rsidR="006C4BD6" w:rsidRPr="00B35A22">
        <w:rPr>
          <w:sz w:val="22"/>
          <w:lang w:val="sr-Latn-ME"/>
        </w:rPr>
        <w:lastRenderedPageBreak/>
        <w:t>dio 4.8). Pacijente treba nadgledati zbog moguće pojave znakova i simptoma miozitisa.</w:t>
      </w:r>
      <w:r w:rsidRPr="00B35A22">
        <w:rPr>
          <w:sz w:val="22"/>
          <w:lang w:val="sr-Latn-ME"/>
        </w:rPr>
        <w:t xml:space="preserve"> Pacijente sa mogućim miozitisom treba nadgledati kako bi se uočili eventualni znakovi miokarditisa.</w:t>
      </w:r>
    </w:p>
    <w:p w14:paraId="51D1312F" w14:textId="77777777" w:rsidR="006C4BD6" w:rsidRPr="00B35A22" w:rsidRDefault="006C4BD6" w:rsidP="00B35A22">
      <w:pPr>
        <w:widowControl w:val="0"/>
        <w:jc w:val="both"/>
        <w:rPr>
          <w:sz w:val="22"/>
          <w:lang w:val="sr-Latn-ME"/>
        </w:rPr>
      </w:pPr>
    </w:p>
    <w:p w14:paraId="1D64FB52" w14:textId="46E2891B" w:rsidR="0018697C" w:rsidRPr="00B35A22" w:rsidRDefault="001540EC" w:rsidP="00B35A22">
      <w:pPr>
        <w:widowControl w:val="0"/>
        <w:tabs>
          <w:tab w:val="left" w:pos="540"/>
          <w:tab w:val="left" w:pos="569"/>
        </w:tabs>
        <w:jc w:val="both"/>
        <w:rPr>
          <w:sz w:val="22"/>
          <w:lang w:val="sr-Latn-ME"/>
        </w:rPr>
      </w:pPr>
      <w:r w:rsidRPr="00B35A22">
        <w:rPr>
          <w:sz w:val="22"/>
          <w:lang w:val="sr-Latn-ME"/>
        </w:rPr>
        <w:t>U slučaju miozitisa 2. ili 3. stepena treba odložiti primjenu atezolizumaba i započeti liječenje kortikosteroidima (1</w:t>
      </w:r>
      <w:r w:rsidR="00C7382D" w:rsidRPr="00B35A22">
        <w:rPr>
          <w:sz w:val="22"/>
          <w:lang w:val="sr-Latn-ME"/>
        </w:rPr>
        <w:t xml:space="preserve"> – </w:t>
      </w:r>
      <w:r w:rsidRPr="00B35A22">
        <w:rPr>
          <w:sz w:val="22"/>
          <w:lang w:val="sr-Latn-ME"/>
        </w:rPr>
        <w:t>2mg/kg</w:t>
      </w:r>
      <w:r w:rsidR="00E14959" w:rsidRPr="00B35A22">
        <w:rPr>
          <w:sz w:val="22"/>
          <w:lang w:val="sr-Latn-ME"/>
        </w:rPr>
        <w:t xml:space="preserve"> </w:t>
      </w:r>
      <w:r w:rsidR="001C2391" w:rsidRPr="00B35A22">
        <w:rPr>
          <w:sz w:val="22"/>
          <w:lang w:val="sr-Latn-ME"/>
        </w:rPr>
        <w:t>t</w:t>
      </w:r>
      <w:r w:rsidR="0080055F" w:rsidRPr="00B35A22">
        <w:rPr>
          <w:sz w:val="22"/>
          <w:lang w:val="sr-Latn-ME"/>
        </w:rPr>
        <w:t>j</w:t>
      </w:r>
      <w:r w:rsidR="001C2391" w:rsidRPr="00B35A22">
        <w:rPr>
          <w:sz w:val="22"/>
          <w:lang w:val="sr-Latn-ME"/>
        </w:rPr>
        <w:t>elesne mase</w:t>
      </w:r>
      <w:r w:rsidRPr="00B35A22">
        <w:rPr>
          <w:sz w:val="22"/>
          <w:lang w:val="sr-Latn-ME"/>
        </w:rPr>
        <w:t xml:space="preserve">/dan prednizona ili ekvivalentnog lijeka). </w:t>
      </w:r>
      <w:r w:rsidR="00F86B62" w:rsidRPr="00B35A22">
        <w:rPr>
          <w:sz w:val="22"/>
          <w:lang w:val="sr-Latn-ME"/>
        </w:rPr>
        <w:t xml:space="preserve">Ako se simptomi poboljšaju do ≤ 1. stepena, dozu kortikosteroida treba postepeno smanjivati u skladu sa kliničkom indikacijom. </w:t>
      </w:r>
      <w:r w:rsidRPr="00B35A22">
        <w:rPr>
          <w:sz w:val="22"/>
          <w:lang w:val="sr-Latn-ME"/>
        </w:rPr>
        <w:t xml:space="preserve">Liječenje atezolizumabom može se nastaviti ako se događaj poboljša do ≤ 1. stepena unutar 12 nedjelja, a doza kortikosteroida smanji na ≤ 10 mg </w:t>
      </w:r>
      <w:r w:rsidR="00F86B62" w:rsidRPr="00B35A22">
        <w:rPr>
          <w:sz w:val="22"/>
          <w:lang w:val="sr-Latn-ME"/>
        </w:rPr>
        <w:t xml:space="preserve">oralnog </w:t>
      </w:r>
      <w:r w:rsidRPr="00B35A22">
        <w:rPr>
          <w:sz w:val="22"/>
          <w:lang w:val="sr-Latn-ME"/>
        </w:rPr>
        <w:t>prednizona ili ekvivalenta na dan.</w:t>
      </w:r>
      <w:r w:rsidR="00F86B62" w:rsidRPr="00B35A22">
        <w:rPr>
          <w:sz w:val="22"/>
          <w:lang w:val="sr-Latn-ME"/>
        </w:rPr>
        <w:t xml:space="preserve"> U slučaju miozitisa 4. stepena ili rekurentnog miozitisa 3. stepena, ili ukoliko se doza kortikosteroida ne može smanjiti na dozu ekvivalentnu onoj od ≤10 mg prednizona na dan unutar 12 ned</w:t>
      </w:r>
      <w:r w:rsidR="00C7382D" w:rsidRPr="00B35A22">
        <w:rPr>
          <w:sz w:val="22"/>
          <w:lang w:val="sr-Latn-ME"/>
        </w:rPr>
        <w:t>j</w:t>
      </w:r>
      <w:r w:rsidR="00F86B62" w:rsidRPr="00B35A22">
        <w:rPr>
          <w:sz w:val="22"/>
          <w:lang w:val="sr-Latn-ME"/>
        </w:rPr>
        <w:t xml:space="preserve">elja od pojave miozitisa, liječenje </w:t>
      </w:r>
      <w:r w:rsidR="00FA3665" w:rsidRPr="00B35A22">
        <w:rPr>
          <w:sz w:val="22"/>
          <w:lang w:val="sr-Latn-ME"/>
        </w:rPr>
        <w:t>atezolizumabom</w:t>
      </w:r>
      <w:r w:rsidR="00F86B62" w:rsidRPr="00B35A22">
        <w:rPr>
          <w:sz w:val="22"/>
          <w:lang w:val="sr-Latn-ME"/>
        </w:rPr>
        <w:t xml:space="preserve"> mora se trajno prekinuti.</w:t>
      </w:r>
    </w:p>
    <w:p w14:paraId="6E37E844" w14:textId="629DF4F8" w:rsidR="007D2948" w:rsidRPr="00B35A22" w:rsidRDefault="007D2948" w:rsidP="00B35A22">
      <w:pPr>
        <w:widowControl w:val="0"/>
        <w:jc w:val="both"/>
        <w:rPr>
          <w:sz w:val="22"/>
          <w:lang w:val="sr-Latn-ME"/>
        </w:rPr>
      </w:pPr>
    </w:p>
    <w:p w14:paraId="7D18192E" w14:textId="2F21B220" w:rsidR="006B10C4" w:rsidRPr="00B35A22" w:rsidRDefault="006B10C4" w:rsidP="00B35A22">
      <w:pPr>
        <w:widowControl w:val="0"/>
        <w:jc w:val="both"/>
        <w:rPr>
          <w:sz w:val="22"/>
          <w:lang w:val="sr-Latn-ME"/>
        </w:rPr>
      </w:pPr>
      <w:r w:rsidRPr="00B35A22">
        <w:rPr>
          <w:i/>
          <w:sz w:val="22"/>
          <w:u w:val="single"/>
          <w:lang w:val="sr-Latn-ME"/>
        </w:rPr>
        <w:t>Imunološki prouzrokovane teške kožne neželjene reakcije</w:t>
      </w:r>
    </w:p>
    <w:p w14:paraId="208AF006" w14:textId="77777777" w:rsidR="006B10C4" w:rsidRPr="00B35A22" w:rsidRDefault="006B10C4" w:rsidP="00B35A22">
      <w:pPr>
        <w:widowControl w:val="0"/>
        <w:jc w:val="both"/>
        <w:rPr>
          <w:sz w:val="22"/>
          <w:lang w:val="sr-Latn-ME"/>
        </w:rPr>
      </w:pPr>
      <w:r w:rsidRPr="00B35A22">
        <w:rPr>
          <w:sz w:val="22"/>
          <w:lang w:val="sr-Latn-ME"/>
        </w:rPr>
        <w:t xml:space="preserve">Kod pacijenata koji su primali atezolizumab prijavljene su teške kožne neželjene reakcije (engl. </w:t>
      </w:r>
      <w:r w:rsidRPr="00B35A22">
        <w:rPr>
          <w:i/>
          <w:sz w:val="22"/>
          <w:lang w:val="sr-Latn-ME"/>
        </w:rPr>
        <w:t>severe cutaneous adverse reactions</w:t>
      </w:r>
      <w:r w:rsidRPr="00B35A22">
        <w:rPr>
          <w:sz w:val="22"/>
          <w:lang w:val="sr-Latn-ME"/>
        </w:rPr>
        <w:t>, SCARs), uključujući slučajeve Stevens-Johnsonovog sindroma (SJS) i toksične epidermalne nekrolize (TEN). Pacijente treba nadgledati zbog moguće sumnje na teške kožne neželjene reakcije i potrebno je isključiti druge uzroke. U slučaju sumnje na teške kožne neželjene reakcije pacijente treba uputiti ljekaru specijalisti radi dalje dijagnoze i liječenja.</w:t>
      </w:r>
    </w:p>
    <w:p w14:paraId="0D26E8D4" w14:textId="77777777" w:rsidR="006B10C4" w:rsidRPr="00B35A22" w:rsidRDefault="006B10C4" w:rsidP="00B35A22">
      <w:pPr>
        <w:widowControl w:val="0"/>
        <w:jc w:val="both"/>
        <w:rPr>
          <w:sz w:val="22"/>
          <w:lang w:val="sr-Latn-ME"/>
        </w:rPr>
      </w:pPr>
    </w:p>
    <w:p w14:paraId="28BECDE8" w14:textId="7BB2BBBA" w:rsidR="006B10C4" w:rsidRPr="00B35A22" w:rsidRDefault="006B10C4" w:rsidP="00B35A22">
      <w:pPr>
        <w:widowControl w:val="0"/>
        <w:jc w:val="both"/>
        <w:rPr>
          <w:sz w:val="22"/>
          <w:lang w:val="sr-Latn-ME"/>
        </w:rPr>
      </w:pPr>
      <w:r w:rsidRPr="00B35A22">
        <w:rPr>
          <w:sz w:val="22"/>
          <w:lang w:val="sr-Latn-ME"/>
        </w:rPr>
        <w:t xml:space="preserve">U zavisnosti od težine neželjene reakcije, u slučaju kožnih reakcija 3. stepena treba odložiti primjenu atezolizumaba i započeti liječenje sistemskim kortikosteroidima u dozi od 1 </w:t>
      </w:r>
      <w:r w:rsidR="00C7382D" w:rsidRPr="00B35A22">
        <w:rPr>
          <w:sz w:val="22"/>
          <w:lang w:val="sr-Latn-ME"/>
        </w:rPr>
        <w:t>–</w:t>
      </w:r>
      <w:r w:rsidRPr="00B35A22">
        <w:rPr>
          <w:sz w:val="22"/>
          <w:lang w:val="sr-Latn-ME"/>
        </w:rPr>
        <w:t xml:space="preserve"> 2 mg/kg</w:t>
      </w:r>
      <w:r w:rsidR="00E14959" w:rsidRPr="00B35A22">
        <w:rPr>
          <w:sz w:val="22"/>
          <w:lang w:val="sr-Latn-ME"/>
        </w:rPr>
        <w:t xml:space="preserve"> </w:t>
      </w:r>
      <w:r w:rsidR="001C2391" w:rsidRPr="00B35A22">
        <w:rPr>
          <w:sz w:val="22"/>
          <w:lang w:val="sr-Latn-ME"/>
        </w:rPr>
        <w:t>t</w:t>
      </w:r>
      <w:r w:rsidR="0080055F" w:rsidRPr="00B35A22">
        <w:rPr>
          <w:sz w:val="22"/>
          <w:lang w:val="sr-Latn-ME"/>
        </w:rPr>
        <w:t>j</w:t>
      </w:r>
      <w:r w:rsidR="001C2391" w:rsidRPr="00B35A22">
        <w:rPr>
          <w:sz w:val="22"/>
          <w:lang w:val="sr-Latn-ME"/>
        </w:rPr>
        <w:t xml:space="preserve">elesne mase </w:t>
      </w:r>
      <w:r w:rsidRPr="00B35A22">
        <w:rPr>
          <w:sz w:val="22"/>
          <w:lang w:val="sr-Latn-ME"/>
        </w:rPr>
        <w:t xml:space="preserve">/dan prednizona ili ekvivalentnog lijeka. Liječenje atezolizumabom se može nastaviti ako se događaj poboljša do  ≤ 1. stepena u roku od 12 nedjelja, a doza kortikosteroida smanji na ≤ 10 mg prednizona ili ekvivalentnog lijeka na dan. U slučaju kožnih reakcija 4. stepena liječenje atezolizumabom mora se trajno prekinuti i uvesti primjena kortikosteroida. </w:t>
      </w:r>
    </w:p>
    <w:p w14:paraId="3AEDFC4C" w14:textId="77777777" w:rsidR="006B10C4" w:rsidRPr="00B35A22" w:rsidRDefault="006B10C4" w:rsidP="00B35A22">
      <w:pPr>
        <w:widowControl w:val="0"/>
        <w:jc w:val="both"/>
        <w:rPr>
          <w:sz w:val="22"/>
          <w:lang w:val="sr-Latn-ME"/>
        </w:rPr>
      </w:pPr>
    </w:p>
    <w:p w14:paraId="56F4C03B" w14:textId="77777777" w:rsidR="006B10C4" w:rsidRPr="00B35A22" w:rsidRDefault="006B10C4" w:rsidP="00B35A22">
      <w:pPr>
        <w:widowControl w:val="0"/>
        <w:jc w:val="both"/>
        <w:rPr>
          <w:sz w:val="22"/>
          <w:lang w:val="sr-Latn-ME"/>
        </w:rPr>
      </w:pPr>
      <w:r w:rsidRPr="00B35A22">
        <w:rPr>
          <w:sz w:val="22"/>
          <w:lang w:val="sr-Latn-ME"/>
        </w:rPr>
        <w:t>Primjenu atezolizumaba treba privremeno prekinuti kod pacijenata kod kojih se sumnja na SJS ili TEN. Ako se SJS ili TEN potvrde, liječenje atezolizumabom mora biti trajno prekinuto.</w:t>
      </w:r>
    </w:p>
    <w:p w14:paraId="067F825C" w14:textId="77777777" w:rsidR="006B10C4" w:rsidRPr="00B35A22" w:rsidRDefault="006B10C4" w:rsidP="00B35A22">
      <w:pPr>
        <w:widowControl w:val="0"/>
        <w:jc w:val="both"/>
        <w:rPr>
          <w:sz w:val="22"/>
          <w:lang w:val="sr-Latn-ME"/>
        </w:rPr>
      </w:pPr>
    </w:p>
    <w:p w14:paraId="60CBC168" w14:textId="28ACBC0B" w:rsidR="006B10C4" w:rsidRPr="00B35A22" w:rsidRDefault="006B10C4" w:rsidP="00B35A22">
      <w:pPr>
        <w:widowControl w:val="0"/>
        <w:jc w:val="both"/>
        <w:rPr>
          <w:sz w:val="22"/>
          <w:lang w:val="sr-Latn-ME"/>
        </w:rPr>
      </w:pPr>
      <w:r w:rsidRPr="00B35A22">
        <w:rPr>
          <w:sz w:val="22"/>
          <w:lang w:val="sr-Latn-ME"/>
        </w:rPr>
        <w:t>Potreban je oprez kad se razmatra primjena atezolizumaba kod pacijenata koji su prijethodno imali tešku ili po život opasnu kožnu neželjenu reakciju tokom ranijeg liječenja drugim imunostimulativnim ljekovima protiv raka.</w:t>
      </w:r>
    </w:p>
    <w:p w14:paraId="20EFA52C" w14:textId="4089072D" w:rsidR="008F10E3" w:rsidRPr="00B35A22" w:rsidRDefault="008F10E3" w:rsidP="00B35A22">
      <w:pPr>
        <w:widowControl w:val="0"/>
        <w:jc w:val="both"/>
        <w:rPr>
          <w:sz w:val="22"/>
          <w:lang w:val="sr-Latn-ME"/>
        </w:rPr>
      </w:pPr>
    </w:p>
    <w:p w14:paraId="1446992C" w14:textId="358996C8" w:rsidR="00B51DBB" w:rsidRPr="00B35A22" w:rsidRDefault="00B51DBB" w:rsidP="00B35A22">
      <w:pPr>
        <w:widowControl w:val="0"/>
        <w:jc w:val="both"/>
        <w:rPr>
          <w:sz w:val="22"/>
          <w:lang w:val="sr-Latn-ME"/>
        </w:rPr>
      </w:pPr>
      <w:r w:rsidRPr="00B35A22">
        <w:rPr>
          <w:i/>
          <w:sz w:val="22"/>
          <w:u w:val="single"/>
          <w:lang w:val="sr-Latn-ME"/>
        </w:rPr>
        <w:t>Imunološki prouzrokovani poremećaji perikarda</w:t>
      </w:r>
    </w:p>
    <w:p w14:paraId="736EE674" w14:textId="277CA89B" w:rsidR="00B51DBB" w:rsidRPr="00B35A22" w:rsidRDefault="00B51DBB" w:rsidP="00B35A22">
      <w:pPr>
        <w:widowControl w:val="0"/>
        <w:jc w:val="both"/>
        <w:rPr>
          <w:sz w:val="22"/>
          <w:lang w:val="sr-Latn-ME"/>
        </w:rPr>
      </w:pPr>
      <w:r w:rsidRPr="00B35A22">
        <w:rPr>
          <w:sz w:val="22"/>
          <w:lang w:val="sr-Latn-ME"/>
        </w:rPr>
        <w:t>Kod primjene atezolizumaba primijećeni su poremećaji perikarda, uključujući perikarditis, perikardni izliv i srčana tamponada, od kojih su neki imali smrtni ishod (vidjeti dio 4.8). Pacijente treba nadgledati zbog moguće pojave kliničkih znakova i simptoma poremećaja perikarda.</w:t>
      </w:r>
    </w:p>
    <w:p w14:paraId="008BD632" w14:textId="77777777" w:rsidR="00B51DBB" w:rsidRPr="00B35A22" w:rsidRDefault="00B51DBB" w:rsidP="00B35A22">
      <w:pPr>
        <w:widowControl w:val="0"/>
        <w:jc w:val="both"/>
        <w:rPr>
          <w:sz w:val="22"/>
          <w:lang w:val="sr-Latn-ME"/>
        </w:rPr>
      </w:pPr>
    </w:p>
    <w:p w14:paraId="63E51C4B" w14:textId="3CFBA59F" w:rsidR="00B51DBB" w:rsidRPr="00B35A22" w:rsidRDefault="00B51DBB" w:rsidP="00B35A22">
      <w:pPr>
        <w:widowControl w:val="0"/>
        <w:jc w:val="both"/>
        <w:rPr>
          <w:sz w:val="22"/>
          <w:lang w:val="sr-Latn-ME"/>
        </w:rPr>
      </w:pPr>
      <w:r w:rsidRPr="00B35A22">
        <w:rPr>
          <w:sz w:val="22"/>
          <w:lang w:val="sr-Latn-ME"/>
        </w:rPr>
        <w:t>U slučaju sumnje na perikarditis 1. stepena potrebno je odložiti liječenje atezolizumabom i odmah sprovesti kardiološki pregled sa dijagnostičkom obradom u skladu sa trenutnim kliničkim smjernicama. U slučaju sumnje na poremećaje perikarda ≥ 2. stepena potrebno je odložiti liječenje atezolizumabom, odmah započeti liječenje sistemskim kortikosteroidima u dozi od 1 – 2 mg/kg TM/dan prednizona ili ekvivalenta i odmah sprovesti kardiološki pregled sa dijagnostičkom obradom u skladu sa trenutnim kliničkim smjernicama. Nakon utvrđivanja dijagnoze poremećaja perikarda liječenje atezolizumabom mora se trajno prekinuti u slučaju poremećaja perikarda ≥ 2. stepena (vidjeti dio 4.2).</w:t>
      </w:r>
    </w:p>
    <w:p w14:paraId="13B0795D" w14:textId="77777777" w:rsidR="00B51DBB" w:rsidRPr="00B35A22" w:rsidRDefault="00B51DBB" w:rsidP="00B35A22">
      <w:pPr>
        <w:widowControl w:val="0"/>
        <w:jc w:val="both"/>
        <w:rPr>
          <w:sz w:val="22"/>
          <w:lang w:val="sr-Latn-ME"/>
        </w:rPr>
      </w:pPr>
    </w:p>
    <w:p w14:paraId="335BBF9C" w14:textId="7A6A5523" w:rsidR="008F10E3" w:rsidRPr="00B35A22" w:rsidRDefault="008F10E3" w:rsidP="00B35A22">
      <w:pPr>
        <w:widowControl w:val="0"/>
        <w:jc w:val="both"/>
        <w:rPr>
          <w:sz w:val="22"/>
          <w:lang w:val="sr-Latn-ME"/>
        </w:rPr>
      </w:pPr>
      <w:r w:rsidRPr="00B35A22">
        <w:rPr>
          <w:i/>
          <w:sz w:val="22"/>
          <w:u w:val="single"/>
          <w:lang w:val="sr-Latn-ME"/>
        </w:rPr>
        <w:t>Hemofagocitna limfohistiocitoza</w:t>
      </w:r>
    </w:p>
    <w:p w14:paraId="33F0C6B0" w14:textId="5C5121CA" w:rsidR="008F10E3" w:rsidRPr="00B35A22" w:rsidRDefault="008F10E3" w:rsidP="00B35A22">
      <w:pPr>
        <w:widowControl w:val="0"/>
        <w:jc w:val="both"/>
        <w:rPr>
          <w:sz w:val="22"/>
          <w:lang w:val="sr-Latn-ME"/>
        </w:rPr>
      </w:pPr>
      <w:r w:rsidRPr="00B35A22">
        <w:rPr>
          <w:sz w:val="22"/>
          <w:lang w:val="sr-Latn-ME"/>
        </w:rPr>
        <w:t>Kod pacijenata liječenih atezolizumabom prijavljena je hemofagocitna limfohistiocitoza (HLH), uključujući slučajeve sa smrtnim ishodom (vidjeti dio 4.8). HLH treba razmotriti u slučaju atipičnog ili dugotrajnog sindroma otpuštanja citokina. Pacijente treba nadzirati zbog moguće pojave kliničkih znakova i simptoma HLH-a. U slučaju sumnje na HLH, liječenje atezolizumabom mora se trajno prekinuti, a pacijente treba uputiti specijalisti radi dalje dijagnoze i liječenja.</w:t>
      </w:r>
    </w:p>
    <w:p w14:paraId="2A65A639" w14:textId="704597FE" w:rsidR="00E14959" w:rsidRPr="00B35A22" w:rsidRDefault="00E14959" w:rsidP="00B35A22">
      <w:pPr>
        <w:widowControl w:val="0"/>
        <w:jc w:val="both"/>
        <w:rPr>
          <w:sz w:val="22"/>
          <w:lang w:val="sr-Latn-ME"/>
        </w:rPr>
      </w:pPr>
    </w:p>
    <w:p w14:paraId="11AF810E" w14:textId="3ABB4AF8" w:rsidR="00674F13" w:rsidRPr="00B35A22" w:rsidRDefault="00674F13" w:rsidP="00B35A22">
      <w:pPr>
        <w:widowControl w:val="0"/>
        <w:jc w:val="both"/>
        <w:rPr>
          <w:i/>
          <w:sz w:val="22"/>
          <w:u w:val="single"/>
          <w:lang w:val="sr-Latn-ME"/>
        </w:rPr>
      </w:pPr>
      <w:r w:rsidRPr="00B35A22">
        <w:rPr>
          <w:i/>
          <w:sz w:val="22"/>
          <w:u w:val="single"/>
          <w:lang w:val="sr-Latn-ME"/>
        </w:rPr>
        <w:t>Ostale imunološki uzrokovane neželjene reakcije</w:t>
      </w:r>
    </w:p>
    <w:p w14:paraId="14F6BC99" w14:textId="59E58D93" w:rsidR="00674F13" w:rsidRPr="00B35A22" w:rsidRDefault="00674F13" w:rsidP="00B35A22">
      <w:pPr>
        <w:widowControl w:val="0"/>
        <w:jc w:val="both"/>
        <w:rPr>
          <w:sz w:val="22"/>
          <w:lang w:val="sr-Latn-ME"/>
        </w:rPr>
      </w:pPr>
      <w:r w:rsidRPr="00B35A22">
        <w:rPr>
          <w:sz w:val="22"/>
          <w:lang w:val="sr-Latn-ME"/>
        </w:rPr>
        <w:t>S obzirom na mehanizam djelovanja atezolizumaba, mogu se pojaviti druge potencijalne imunološki</w:t>
      </w:r>
    </w:p>
    <w:p w14:paraId="58ADEA22" w14:textId="77777777" w:rsidR="00674F13" w:rsidRPr="00B35A22" w:rsidRDefault="00674F13" w:rsidP="00B35A22">
      <w:pPr>
        <w:widowControl w:val="0"/>
        <w:jc w:val="both"/>
        <w:rPr>
          <w:sz w:val="22"/>
          <w:lang w:val="sr-Latn-ME"/>
        </w:rPr>
      </w:pPr>
      <w:r w:rsidRPr="00B35A22">
        <w:rPr>
          <w:sz w:val="22"/>
          <w:lang w:val="sr-Latn-ME"/>
        </w:rPr>
        <w:t>uzrokovane neželjene reakcije, uključujući neinfektivni cistitis.</w:t>
      </w:r>
    </w:p>
    <w:p w14:paraId="22FC0F2B" w14:textId="77777777" w:rsidR="00674F13" w:rsidRPr="00B35A22" w:rsidRDefault="00674F13" w:rsidP="00B35A22">
      <w:pPr>
        <w:widowControl w:val="0"/>
        <w:jc w:val="both"/>
        <w:rPr>
          <w:sz w:val="22"/>
          <w:lang w:val="sr-Latn-ME"/>
        </w:rPr>
      </w:pPr>
    </w:p>
    <w:p w14:paraId="3ADE9EEA" w14:textId="73E97BD3" w:rsidR="00674F13" w:rsidRPr="00B35A22" w:rsidRDefault="00674F13" w:rsidP="00B35A22">
      <w:pPr>
        <w:widowControl w:val="0"/>
        <w:jc w:val="both"/>
        <w:rPr>
          <w:sz w:val="22"/>
          <w:lang w:val="sr-Latn-ME"/>
        </w:rPr>
      </w:pPr>
      <w:r w:rsidRPr="00B35A22">
        <w:rPr>
          <w:sz w:val="22"/>
          <w:lang w:val="sr-Latn-ME"/>
        </w:rPr>
        <w:t xml:space="preserve">Treba procijeniti sve sumnje na imunski uzrokovane neželjene reakcije kako bi se isključili drugi uzroci. Pacijente treba nadgledati zbog moguće pojave znakova i simptoma imunološki uzrokovanih neželjenih </w:t>
      </w:r>
      <w:r w:rsidRPr="00B35A22">
        <w:rPr>
          <w:sz w:val="22"/>
          <w:lang w:val="sr-Latn-ME"/>
        </w:rPr>
        <w:lastRenderedPageBreak/>
        <w:t>reakcija i na osnovu težine reakcije, prilagoditi terapiju i liječiti kortikosteroidima kako je klinički indikovano (vidjeti dio 4.2 i dio 4.8).</w:t>
      </w:r>
    </w:p>
    <w:p w14:paraId="38E4D812" w14:textId="77777777" w:rsidR="00674F13" w:rsidRPr="00B35A22" w:rsidRDefault="00674F13" w:rsidP="00B35A22">
      <w:pPr>
        <w:widowControl w:val="0"/>
        <w:jc w:val="both"/>
        <w:rPr>
          <w:sz w:val="22"/>
          <w:lang w:val="sr-Latn-ME"/>
        </w:rPr>
      </w:pPr>
    </w:p>
    <w:p w14:paraId="448EEED5" w14:textId="3E37E1AA" w:rsidR="00E14959" w:rsidRPr="00B35A22" w:rsidRDefault="00E14959" w:rsidP="00B35A22">
      <w:pPr>
        <w:widowControl w:val="0"/>
        <w:jc w:val="both"/>
        <w:rPr>
          <w:sz w:val="22"/>
          <w:lang w:val="sr-Latn-ME"/>
        </w:rPr>
      </w:pPr>
      <w:r w:rsidRPr="00B35A22">
        <w:rPr>
          <w:sz w:val="22"/>
          <w:u w:val="single"/>
          <w:lang w:val="sr-Latn-ME"/>
        </w:rPr>
        <w:t>Reakcije na infuziju</w:t>
      </w:r>
    </w:p>
    <w:p w14:paraId="3A6D4376" w14:textId="77777777" w:rsidR="00E14959" w:rsidRPr="00B35A22" w:rsidRDefault="00E14959" w:rsidP="00B35A22">
      <w:pPr>
        <w:widowControl w:val="0"/>
        <w:jc w:val="both"/>
        <w:rPr>
          <w:sz w:val="22"/>
          <w:lang w:val="sr-Latn-ME"/>
        </w:rPr>
      </w:pPr>
      <w:r w:rsidRPr="00B35A22">
        <w:rPr>
          <w:sz w:val="22"/>
          <w:lang w:val="sr-Latn-ME"/>
        </w:rPr>
        <w:t xml:space="preserve">Tokom primjene atezolizumaba primijećene su reakcije na infuziju (vidjeti dio 4.8). </w:t>
      </w:r>
    </w:p>
    <w:p w14:paraId="0CC1D6CB" w14:textId="77777777" w:rsidR="00E14959" w:rsidRPr="00B35A22" w:rsidRDefault="00E14959" w:rsidP="00B35A22">
      <w:pPr>
        <w:widowControl w:val="0"/>
        <w:jc w:val="both"/>
        <w:rPr>
          <w:sz w:val="22"/>
          <w:lang w:val="sr-Latn-ME"/>
        </w:rPr>
      </w:pPr>
    </w:p>
    <w:p w14:paraId="0359E3D2" w14:textId="0F84070F" w:rsidR="00E14959" w:rsidRPr="00B35A22" w:rsidRDefault="00E14959" w:rsidP="00B35A22">
      <w:pPr>
        <w:widowControl w:val="0"/>
        <w:jc w:val="both"/>
        <w:rPr>
          <w:sz w:val="22"/>
          <w:lang w:val="sr-Latn-ME"/>
        </w:rPr>
      </w:pPr>
      <w:r w:rsidRPr="00B35A22">
        <w:rPr>
          <w:sz w:val="22"/>
          <w:lang w:val="sr-Latn-ME"/>
        </w:rPr>
        <w:t>Kod pacijenata sa reakcijama na infuziju 1. ili 2. stepen</w:t>
      </w:r>
      <w:r w:rsidR="0080055F" w:rsidRPr="00B35A22">
        <w:rPr>
          <w:sz w:val="22"/>
          <w:lang w:val="sr-Latn-ME"/>
        </w:rPr>
        <w:t>a</w:t>
      </w:r>
      <w:r w:rsidRPr="00B35A22">
        <w:rPr>
          <w:sz w:val="22"/>
          <w:lang w:val="sr-Latn-ME"/>
        </w:rPr>
        <w:t xml:space="preserve"> potrebno je smanjiti brzinu infuzije ili privremeno prekinuti primjenu. Liječenje atezolizumabom mora se trajno prekinuti kod pacijenata sa reakcijama na infuziju 3. ili 4. stepena. Pacijenti sa reakcijama na infuziju 1. ili 2. stepena mogu nastaviti primati atezolizumab pod strogim nadzorom, a može se razmotriti i premedikacija antipiretikom i antihistaminicima. </w:t>
      </w:r>
    </w:p>
    <w:p w14:paraId="2ECB6662" w14:textId="77777777" w:rsidR="00E14959" w:rsidRPr="00B35A22" w:rsidRDefault="00E14959" w:rsidP="00B35A22">
      <w:pPr>
        <w:widowControl w:val="0"/>
        <w:jc w:val="both"/>
        <w:rPr>
          <w:sz w:val="22"/>
          <w:lang w:val="sr-Latn-ME"/>
        </w:rPr>
      </w:pPr>
    </w:p>
    <w:p w14:paraId="71D67322" w14:textId="3C1B7581" w:rsidR="007D2948" w:rsidRPr="00B35A22" w:rsidRDefault="007D2948" w:rsidP="00B35A22">
      <w:pPr>
        <w:widowControl w:val="0"/>
        <w:jc w:val="both"/>
        <w:rPr>
          <w:sz w:val="22"/>
          <w:u w:val="single"/>
          <w:lang w:val="sr-Latn-ME"/>
        </w:rPr>
      </w:pPr>
      <w:r w:rsidRPr="00B35A22">
        <w:rPr>
          <w:sz w:val="22"/>
          <w:u w:val="single"/>
          <w:lang w:val="sr-Latn-ME"/>
        </w:rPr>
        <w:t>M</w:t>
      </w:r>
      <w:r w:rsidR="00042108" w:rsidRPr="00B35A22">
        <w:rPr>
          <w:sz w:val="22"/>
          <w:u w:val="single"/>
          <w:lang w:val="sr-Latn-ME"/>
        </w:rPr>
        <w:t>j</w:t>
      </w:r>
      <w:r w:rsidRPr="00B35A22">
        <w:rPr>
          <w:sz w:val="22"/>
          <w:u w:val="single"/>
          <w:lang w:val="sr-Latn-ME"/>
        </w:rPr>
        <w:t>ere opreza specifične za pojedine bolesti</w:t>
      </w:r>
    </w:p>
    <w:p w14:paraId="4B0BE373" w14:textId="77777777" w:rsidR="007D2948" w:rsidRPr="00B35A22" w:rsidRDefault="007D2948" w:rsidP="00B35A22">
      <w:pPr>
        <w:widowControl w:val="0"/>
        <w:jc w:val="both"/>
        <w:rPr>
          <w:sz w:val="22"/>
          <w:lang w:val="sr-Latn-ME"/>
        </w:rPr>
      </w:pPr>
    </w:p>
    <w:p w14:paraId="2221959C" w14:textId="2A95DE1F" w:rsidR="007D2948" w:rsidRPr="00B35A22" w:rsidRDefault="007D2948" w:rsidP="00B35A22">
      <w:pPr>
        <w:widowControl w:val="0"/>
        <w:jc w:val="both"/>
        <w:rPr>
          <w:i/>
          <w:sz w:val="22"/>
          <w:u w:val="single"/>
          <w:lang w:val="sr-Latn-ME"/>
        </w:rPr>
      </w:pPr>
      <w:r w:rsidRPr="00B35A22">
        <w:rPr>
          <w:i/>
          <w:sz w:val="22"/>
          <w:u w:val="single"/>
          <w:lang w:val="sr-Latn-ME"/>
        </w:rPr>
        <w:t xml:space="preserve">Primjena atezolizumaba u kombinaciji sa bevacizumabom, paklitakselom i karboplatinom kod metastatskog neskvamoznog </w:t>
      </w:r>
      <w:r w:rsidR="009F3636" w:rsidRPr="00B35A22">
        <w:rPr>
          <w:i/>
          <w:sz w:val="22"/>
          <w:u w:val="single"/>
          <w:lang w:val="sr-Latn-ME"/>
        </w:rPr>
        <w:t>NSCLC-a</w:t>
      </w:r>
    </w:p>
    <w:p w14:paraId="7D754B8C" w14:textId="77777777" w:rsidR="007D2948" w:rsidRPr="00B35A22" w:rsidRDefault="007D2948" w:rsidP="00B35A22">
      <w:pPr>
        <w:widowControl w:val="0"/>
        <w:jc w:val="both"/>
        <w:rPr>
          <w:i/>
          <w:sz w:val="22"/>
          <w:lang w:val="sr-Latn-ME"/>
        </w:rPr>
      </w:pPr>
    </w:p>
    <w:p w14:paraId="17E03DD0" w14:textId="5EB92DD5" w:rsidR="007D2948" w:rsidRPr="00B35A22" w:rsidRDefault="007D2948" w:rsidP="00B35A22">
      <w:pPr>
        <w:widowControl w:val="0"/>
        <w:jc w:val="both"/>
        <w:rPr>
          <w:sz w:val="22"/>
          <w:lang w:val="sr-Latn-ME"/>
        </w:rPr>
      </w:pPr>
      <w:r w:rsidRPr="00B35A22">
        <w:rPr>
          <w:sz w:val="22"/>
          <w:lang w:val="sr-Latn-ME"/>
        </w:rPr>
        <w:t>Pr</w:t>
      </w:r>
      <w:r w:rsidR="00042108" w:rsidRPr="00B35A22">
        <w:rPr>
          <w:sz w:val="22"/>
          <w:lang w:val="sr-Latn-ME"/>
        </w:rPr>
        <w:t>ij</w:t>
      </w:r>
      <w:r w:rsidRPr="00B35A22">
        <w:rPr>
          <w:sz w:val="22"/>
          <w:lang w:val="sr-Latn-ME"/>
        </w:rPr>
        <w:t>e započinjanja terapije lijekari treba pažljivo da razmotre udružene rizike četvorostrukog terapijskog protokola koji uključuje atezolizumab, bevacizumab, paklitaksel i karboplatin (vidjeti dio 4.8).</w:t>
      </w:r>
    </w:p>
    <w:p w14:paraId="7497189E" w14:textId="77777777" w:rsidR="00BB2FA0" w:rsidRPr="00B35A22" w:rsidRDefault="00BB2FA0" w:rsidP="00B35A22">
      <w:pPr>
        <w:widowControl w:val="0"/>
        <w:jc w:val="both"/>
        <w:rPr>
          <w:i/>
          <w:sz w:val="22"/>
          <w:lang w:val="sr-Latn-ME"/>
        </w:rPr>
      </w:pPr>
    </w:p>
    <w:p w14:paraId="03D53F1E" w14:textId="49AECD01" w:rsidR="002E21F0" w:rsidRPr="00B35A22" w:rsidRDefault="002E21F0" w:rsidP="00B35A22">
      <w:pPr>
        <w:widowControl w:val="0"/>
        <w:jc w:val="both"/>
        <w:rPr>
          <w:i/>
          <w:sz w:val="22"/>
          <w:u w:val="single"/>
          <w:lang w:val="sr-Latn-ME"/>
        </w:rPr>
      </w:pPr>
      <w:r w:rsidRPr="00B35A22">
        <w:rPr>
          <w:i/>
          <w:sz w:val="22"/>
          <w:u w:val="single"/>
          <w:lang w:val="sr-Latn-ME"/>
        </w:rPr>
        <w:t xml:space="preserve">Primjena atezolizumaba u kombinaciji sa nab-paklitakselom kod metastatskog </w:t>
      </w:r>
      <w:r w:rsidR="009F3636" w:rsidRPr="00B35A22">
        <w:rPr>
          <w:i/>
          <w:sz w:val="22"/>
          <w:u w:val="single"/>
          <w:lang w:val="sr-Latn-ME"/>
        </w:rPr>
        <w:t>TNBC-a</w:t>
      </w:r>
    </w:p>
    <w:p w14:paraId="26E3112E" w14:textId="77777777" w:rsidR="002E21F0" w:rsidRPr="00B35A22" w:rsidRDefault="002E21F0" w:rsidP="00B35A22">
      <w:pPr>
        <w:widowControl w:val="0"/>
        <w:jc w:val="both"/>
        <w:rPr>
          <w:sz w:val="22"/>
          <w:lang w:val="sr-Latn-ME"/>
        </w:rPr>
      </w:pPr>
    </w:p>
    <w:p w14:paraId="6CA97E83" w14:textId="7D65C9D1" w:rsidR="000A26D9" w:rsidRPr="00B35A22" w:rsidRDefault="002E21F0" w:rsidP="00B35A22">
      <w:pPr>
        <w:widowControl w:val="0"/>
        <w:jc w:val="both"/>
        <w:rPr>
          <w:sz w:val="22"/>
          <w:lang w:val="sr-Latn-ME"/>
        </w:rPr>
      </w:pPr>
      <w:r w:rsidRPr="00B35A22">
        <w:rPr>
          <w:sz w:val="22"/>
          <w:lang w:val="sr-Latn-ME"/>
        </w:rPr>
        <w:t>Neutropenija i periferne neuropatije koje se jave tokom liječenja atezolizumabom i nab-paklitakselom mogu se povući nakon privremenog prekida primjene nab-paklitaksela. Za specifične mjere opreza i kontraindikacije kod primjene nab-paklitaksela ljekari treba da pročitaju Sažetak karakteristika lijeka za ovaj agens.</w:t>
      </w:r>
    </w:p>
    <w:p w14:paraId="3E17C131" w14:textId="099E4BA6" w:rsidR="007D2948" w:rsidRPr="00B35A22" w:rsidRDefault="007D2948" w:rsidP="00B35A22">
      <w:pPr>
        <w:widowControl w:val="0"/>
        <w:jc w:val="both"/>
        <w:rPr>
          <w:sz w:val="22"/>
          <w:lang w:val="sr-Latn-ME"/>
        </w:rPr>
      </w:pPr>
    </w:p>
    <w:p w14:paraId="33CF532C" w14:textId="607D6636" w:rsidR="00484131" w:rsidRPr="00B35A22" w:rsidRDefault="00484131" w:rsidP="00B35A22">
      <w:pPr>
        <w:widowControl w:val="0"/>
        <w:jc w:val="both"/>
        <w:rPr>
          <w:i/>
          <w:sz w:val="22"/>
          <w:u w:val="single"/>
          <w:lang w:val="sr-Latn-ME"/>
        </w:rPr>
      </w:pPr>
      <w:r w:rsidRPr="00B35A22">
        <w:rPr>
          <w:i/>
          <w:sz w:val="22"/>
          <w:u w:val="single"/>
          <w:lang w:val="sr-Latn-ME"/>
        </w:rPr>
        <w:t xml:space="preserve">Primjena atezolizumaba za liječenje </w:t>
      </w:r>
      <w:r w:rsidR="009F3636" w:rsidRPr="00B35A22">
        <w:rPr>
          <w:i/>
          <w:sz w:val="22"/>
          <w:u w:val="single"/>
          <w:lang w:val="sr-Latn-ME"/>
        </w:rPr>
        <w:t>UK-a</w:t>
      </w:r>
      <w:r w:rsidRPr="00B35A22">
        <w:rPr>
          <w:i/>
          <w:sz w:val="22"/>
          <w:u w:val="single"/>
          <w:lang w:val="sr-Latn-ME"/>
        </w:rPr>
        <w:t xml:space="preserve"> kod prethodno neliječenih pacijenata koji se ne smatraju pogodnima za liječenje cisplatinom</w:t>
      </w:r>
    </w:p>
    <w:p w14:paraId="18C8DB7A" w14:textId="5B1769B0" w:rsidR="00484131" w:rsidRPr="00B35A22" w:rsidRDefault="00484131" w:rsidP="00B35A22">
      <w:pPr>
        <w:widowControl w:val="0"/>
        <w:jc w:val="both"/>
        <w:rPr>
          <w:sz w:val="22"/>
          <w:lang w:val="sr-Latn-ME"/>
        </w:rPr>
      </w:pPr>
    </w:p>
    <w:p w14:paraId="688A9616" w14:textId="73343C8D" w:rsidR="00484131" w:rsidRPr="00B35A22" w:rsidRDefault="00484131" w:rsidP="00B35A22">
      <w:pPr>
        <w:widowControl w:val="0"/>
        <w:jc w:val="both"/>
        <w:rPr>
          <w:sz w:val="22"/>
          <w:lang w:val="sr-Latn-ME"/>
        </w:rPr>
      </w:pPr>
      <w:r w:rsidRPr="00B35A22">
        <w:rPr>
          <w:sz w:val="22"/>
          <w:lang w:val="sr-Latn-ME"/>
        </w:rPr>
        <w:t>Početne i prognostičke karakteristike bolesti u populaciji iz 1. Kohorte 1 kliničkog ispitivanja IMvigor210 sveukupno su bile uporedive sa onim kod pacijenata iz kliničke prakse koji bi se smatrali nepogodnim za liječenje cisplatinom, ali pogodnima za liječenje kombinovanom hemoterapijom zasnovanoj na karboplatinu. Nema dovoljno podataka za podgrupu pacijenata koji bi se smatrali nepogodnim za bilo koji oblik hemoterapije, pa kod tih pacijenata atezolizumab treba primjenjivati uz oprez, nakon pažljive procjene mogućeg odnosa koristi i rizika za svakog pojedinog pacijenta.</w:t>
      </w:r>
    </w:p>
    <w:p w14:paraId="3E7D31E9" w14:textId="77777777" w:rsidR="00484131" w:rsidRPr="00B35A22" w:rsidRDefault="00484131" w:rsidP="00B35A22">
      <w:pPr>
        <w:widowControl w:val="0"/>
        <w:jc w:val="both"/>
        <w:rPr>
          <w:sz w:val="22"/>
          <w:lang w:val="sr-Latn-ME"/>
        </w:rPr>
      </w:pPr>
    </w:p>
    <w:p w14:paraId="15ED6403" w14:textId="77777777" w:rsidR="007D2948" w:rsidRPr="00B35A22" w:rsidRDefault="007D2948" w:rsidP="00B35A22">
      <w:pPr>
        <w:widowControl w:val="0"/>
        <w:jc w:val="both"/>
        <w:rPr>
          <w:i/>
          <w:sz w:val="22"/>
          <w:u w:val="single"/>
          <w:lang w:val="sr-Latn-ME"/>
        </w:rPr>
      </w:pPr>
      <w:r w:rsidRPr="00B35A22">
        <w:rPr>
          <w:i/>
          <w:sz w:val="22"/>
          <w:u w:val="single"/>
          <w:lang w:val="sr-Latn-ME"/>
        </w:rPr>
        <w:t>Primjena atezolizumaba u kombinaciji sa bevacizumabom, paklitakselom i karboplatinom</w:t>
      </w:r>
    </w:p>
    <w:p w14:paraId="4F229743" w14:textId="77777777" w:rsidR="007D2948" w:rsidRPr="00B35A22" w:rsidRDefault="007D2948" w:rsidP="00B35A22">
      <w:pPr>
        <w:widowControl w:val="0"/>
        <w:jc w:val="both"/>
        <w:rPr>
          <w:i/>
          <w:sz w:val="22"/>
          <w:u w:val="single"/>
          <w:lang w:val="sr-Latn-ME"/>
        </w:rPr>
      </w:pPr>
    </w:p>
    <w:p w14:paraId="7D11CCD0" w14:textId="40FA2E59" w:rsidR="007D2948" w:rsidRPr="00B35A22" w:rsidRDefault="007D2948" w:rsidP="00B35A22">
      <w:pPr>
        <w:widowControl w:val="0"/>
        <w:jc w:val="both"/>
        <w:rPr>
          <w:sz w:val="22"/>
          <w:lang w:val="sr-Latn-ME"/>
        </w:rPr>
      </w:pPr>
      <w:r w:rsidRPr="00B35A22">
        <w:rPr>
          <w:sz w:val="22"/>
          <w:lang w:val="sr-Latn-ME"/>
        </w:rPr>
        <w:t>Pacijenti sa NSCLC-om koji su imali jasnu infiltraciju tumora u velike torakalne krvne sudove ili jasnu kavitaciju plućnih lezija, vidljivu na dobijenim snimcima, ni</w:t>
      </w:r>
      <w:r w:rsidR="009B366E" w:rsidRPr="00B35A22">
        <w:rPr>
          <w:sz w:val="22"/>
          <w:lang w:val="sr-Latn-ME"/>
        </w:rPr>
        <w:t>je</w:t>
      </w:r>
      <w:r w:rsidRPr="00B35A22">
        <w:rPr>
          <w:sz w:val="22"/>
          <w:lang w:val="sr-Latn-ME"/>
        </w:rPr>
        <w:t xml:space="preserve">su bili uključeni u pivotalno kliničko ispitivanje IMpower150 nakon što je primjećeno nekoliko slučajeva plućnog krvarenja sa smrtnim ishodom, koje je poznat faktor rizika kod liječenja bevacizumabom. </w:t>
      </w:r>
    </w:p>
    <w:p w14:paraId="1249E618" w14:textId="77777777" w:rsidR="000A26D9" w:rsidRPr="00B35A22" w:rsidRDefault="000A26D9" w:rsidP="00B35A22">
      <w:pPr>
        <w:widowControl w:val="0"/>
        <w:jc w:val="both"/>
        <w:rPr>
          <w:sz w:val="22"/>
          <w:lang w:val="sr-Latn-ME"/>
        </w:rPr>
      </w:pPr>
    </w:p>
    <w:p w14:paraId="380CEC67" w14:textId="77777777" w:rsidR="000A26D9" w:rsidRPr="00B35A22" w:rsidRDefault="000A26D9" w:rsidP="00B35A22">
      <w:pPr>
        <w:widowControl w:val="0"/>
        <w:jc w:val="both"/>
        <w:rPr>
          <w:sz w:val="22"/>
          <w:lang w:val="sr-Latn-ME"/>
        </w:rPr>
      </w:pPr>
      <w:r w:rsidRPr="00B35A22">
        <w:rPr>
          <w:sz w:val="22"/>
          <w:lang w:val="sr-Latn-ME"/>
        </w:rPr>
        <w:t>Zbog nedostatka podataka, atezolizumab u tim populacijama treba primjenjivati uz oprez nakon pažljive procjene odnosa koristi i rizika za pacijenta.</w:t>
      </w:r>
    </w:p>
    <w:p w14:paraId="62D60268" w14:textId="77777777" w:rsidR="007D2948" w:rsidRPr="00B35A22" w:rsidRDefault="007D2948" w:rsidP="00B35A22">
      <w:pPr>
        <w:widowControl w:val="0"/>
        <w:jc w:val="both"/>
        <w:rPr>
          <w:sz w:val="22"/>
          <w:lang w:val="sr-Latn-ME"/>
        </w:rPr>
      </w:pPr>
    </w:p>
    <w:p w14:paraId="47274B90" w14:textId="77777777" w:rsidR="007D2948" w:rsidRPr="00B35A22" w:rsidRDefault="007D2948" w:rsidP="00B35A22">
      <w:pPr>
        <w:widowControl w:val="0"/>
        <w:jc w:val="both"/>
        <w:rPr>
          <w:i/>
          <w:sz w:val="22"/>
          <w:u w:val="single"/>
          <w:lang w:val="sr-Latn-ME"/>
        </w:rPr>
      </w:pPr>
      <w:r w:rsidRPr="00B35A22">
        <w:rPr>
          <w:i/>
          <w:sz w:val="22"/>
          <w:u w:val="single"/>
          <w:lang w:val="sr-Latn-ME"/>
        </w:rPr>
        <w:t xml:space="preserve">Primjena atezolizumaba u kombinaciji sa bevacizumabom, paklitakselom i karboplatinom kod EGFR+ pacijenata sa NSCLC-om kojima je bolest uznapredovala na terapijskom režimu erlotinib+bevacizumab </w:t>
      </w:r>
    </w:p>
    <w:p w14:paraId="498AAFD9" w14:textId="77777777" w:rsidR="007D2948" w:rsidRPr="00B35A22" w:rsidRDefault="007D2948" w:rsidP="00B35A22">
      <w:pPr>
        <w:widowControl w:val="0"/>
        <w:jc w:val="both"/>
        <w:rPr>
          <w:u w:val="single"/>
          <w:lang w:val="sr-Latn-ME"/>
        </w:rPr>
      </w:pPr>
    </w:p>
    <w:p w14:paraId="6888FE2F" w14:textId="77777777" w:rsidR="007D2948" w:rsidRPr="00B35A22" w:rsidRDefault="007D2948" w:rsidP="00B35A22">
      <w:pPr>
        <w:widowControl w:val="0"/>
        <w:jc w:val="both"/>
        <w:rPr>
          <w:sz w:val="22"/>
          <w:lang w:val="sr-Latn-ME"/>
        </w:rPr>
      </w:pPr>
      <w:r w:rsidRPr="00B35A22">
        <w:rPr>
          <w:sz w:val="22"/>
          <w:lang w:val="sr-Latn-ME"/>
        </w:rPr>
        <w:t xml:space="preserve">U ispitivanju IMpower150 nema podataka o efikasnosti atezolizumaba u kombinaciji s bevacizumabom, paklitakselom i karboplatinom kod EGFR+ pacijenata kojima je bolest uznapredovala tokom prethodnog liječenja erlotinibom + bevacizumabom. </w:t>
      </w:r>
    </w:p>
    <w:p w14:paraId="0E73BBD7" w14:textId="54EC17E7" w:rsidR="000A26D9" w:rsidRPr="00B35A22" w:rsidRDefault="000A26D9" w:rsidP="00B35A22">
      <w:pPr>
        <w:widowControl w:val="0"/>
        <w:jc w:val="both"/>
        <w:rPr>
          <w:sz w:val="22"/>
          <w:lang w:val="sr-Latn-ME"/>
        </w:rPr>
      </w:pPr>
    </w:p>
    <w:p w14:paraId="6A2CC8CB" w14:textId="0160B062" w:rsidR="00627942" w:rsidRPr="00B35A22" w:rsidRDefault="00627942" w:rsidP="00B35A22">
      <w:pPr>
        <w:widowControl w:val="0"/>
        <w:jc w:val="both"/>
        <w:rPr>
          <w:i/>
          <w:sz w:val="22"/>
          <w:u w:val="single"/>
          <w:lang w:val="sr-Latn-ME"/>
        </w:rPr>
      </w:pPr>
      <w:r w:rsidRPr="00B35A22">
        <w:rPr>
          <w:i/>
          <w:sz w:val="22"/>
          <w:u w:val="single"/>
          <w:lang w:val="sr-Latn-ME"/>
        </w:rPr>
        <w:t xml:space="preserve">Primjena atezolizumaba u kombinaciji sa bevacizumabom kod </w:t>
      </w:r>
      <w:r w:rsidR="009F3636" w:rsidRPr="00B35A22">
        <w:rPr>
          <w:i/>
          <w:sz w:val="22"/>
          <w:u w:val="single"/>
          <w:lang w:val="sr-Latn-ME"/>
        </w:rPr>
        <w:t>HCC-a</w:t>
      </w:r>
    </w:p>
    <w:p w14:paraId="531FF66D" w14:textId="77777777" w:rsidR="00627942" w:rsidRPr="00B35A22" w:rsidRDefault="00627942" w:rsidP="00B35A22">
      <w:pPr>
        <w:widowControl w:val="0"/>
        <w:jc w:val="both"/>
        <w:rPr>
          <w:i/>
          <w:sz w:val="22"/>
          <w:u w:val="single"/>
          <w:lang w:val="sr-Latn-ME"/>
        </w:rPr>
      </w:pPr>
    </w:p>
    <w:p w14:paraId="0C3D95E8" w14:textId="77777777" w:rsidR="00627942" w:rsidRPr="00B35A22" w:rsidRDefault="00627942" w:rsidP="00B35A22">
      <w:pPr>
        <w:widowControl w:val="0"/>
        <w:jc w:val="both"/>
        <w:rPr>
          <w:sz w:val="22"/>
          <w:lang w:val="sr-Latn-ME"/>
        </w:rPr>
      </w:pPr>
      <w:r w:rsidRPr="00B35A22">
        <w:rPr>
          <w:sz w:val="22"/>
          <w:lang w:val="sr-Latn-ME"/>
        </w:rPr>
        <w:t>Podaci prikupljeni kod pacijenata sa HCC-om i bolešću jetre stadijuma B prema Child-Pugh klasifikaciji koji su primali atezolizumab u kombinaciji sa bevacizumabom vrlo su ograničeni, dok za pacijente sa HCC-om i bolešću jetre stadijuma C prema Child-Pugh klasifikaciji trenutno nema podataka.</w:t>
      </w:r>
    </w:p>
    <w:p w14:paraId="31ACA4BF" w14:textId="77777777" w:rsidR="00627942" w:rsidRPr="00B35A22" w:rsidRDefault="00627942" w:rsidP="00B35A22">
      <w:pPr>
        <w:widowControl w:val="0"/>
        <w:jc w:val="both"/>
        <w:rPr>
          <w:sz w:val="22"/>
          <w:lang w:val="sr-Latn-ME"/>
        </w:rPr>
      </w:pPr>
    </w:p>
    <w:p w14:paraId="47390775" w14:textId="2EF959CC" w:rsidR="00627942" w:rsidRPr="00B35A22" w:rsidRDefault="00627942" w:rsidP="00B35A22">
      <w:pPr>
        <w:widowControl w:val="0"/>
        <w:jc w:val="both"/>
        <w:rPr>
          <w:sz w:val="22"/>
          <w:lang w:val="sr-Latn-ME"/>
        </w:rPr>
      </w:pPr>
      <w:r w:rsidRPr="00B35A22">
        <w:rPr>
          <w:sz w:val="22"/>
          <w:lang w:val="sr-Latn-ME"/>
        </w:rPr>
        <w:t xml:space="preserve">Pacijenti liječeni bevacizumabom izloženi su povećanom riziku od krvarenja, pa su kod pacijenata sa </w:t>
      </w:r>
      <w:r w:rsidR="009F3636" w:rsidRPr="00B35A22">
        <w:rPr>
          <w:sz w:val="22"/>
          <w:lang w:val="sr-Latn-ME"/>
        </w:rPr>
        <w:t>HCC-om</w:t>
      </w:r>
      <w:r w:rsidRPr="00B35A22">
        <w:rPr>
          <w:sz w:val="22"/>
          <w:lang w:val="sr-Latn-ME"/>
        </w:rPr>
        <w:t xml:space="preserve"> liječenih atezolizumabom u kombinaciji sa bevacizumabom prijavljeni slučajevi teškog krvarenja u gastrointestinalnom traktu, uključujući slučajeve sa smrtnim ishodom. Kod pacijenata sa HCC-om potrebno je prije početka liječenja kombinacijom atezolizumaba i bevacizumaba sprovesti skrining na varikozitete jednjaka i uvesti odgovarajuće liječenje u skladu sa kliničkom praksom. Primjenu bevacizumaba potrebno je trajno prekinuti kod pacijenata kod kojih tokom liječenja kombinacijom (atezolizumaba sa bevacizumabom) dođe do krvarenja 3. ili 4. stepena. Potrebno je pročitati Sažetak karakteristika lijeka za bevacizumab.</w:t>
      </w:r>
    </w:p>
    <w:p w14:paraId="71DFE5B3" w14:textId="77777777" w:rsidR="00627942" w:rsidRPr="00B35A22" w:rsidRDefault="00627942" w:rsidP="00B35A22">
      <w:pPr>
        <w:widowControl w:val="0"/>
        <w:jc w:val="both"/>
        <w:rPr>
          <w:sz w:val="22"/>
          <w:lang w:val="sr-Latn-ME"/>
        </w:rPr>
      </w:pPr>
    </w:p>
    <w:p w14:paraId="357BE7D5" w14:textId="433B230E" w:rsidR="00627942" w:rsidRPr="00B35A22" w:rsidRDefault="00627942" w:rsidP="00B35A22">
      <w:pPr>
        <w:widowControl w:val="0"/>
        <w:jc w:val="both"/>
        <w:rPr>
          <w:sz w:val="22"/>
          <w:lang w:val="sr-Latn-ME"/>
        </w:rPr>
      </w:pPr>
      <w:r w:rsidRPr="00B35A22">
        <w:rPr>
          <w:sz w:val="22"/>
          <w:lang w:val="sr-Latn-ME"/>
        </w:rPr>
        <w:t>Tokom liječenja atezolizumabom u kombinaciji sa bevacizumabom može doći do razvoja dijabetes melitusa. Ljekari treba da prate nivo glukoze u krvi pr</w:t>
      </w:r>
      <w:r w:rsidR="00676021" w:rsidRPr="00B35A22">
        <w:rPr>
          <w:sz w:val="22"/>
          <w:lang w:val="sr-Latn-ME"/>
        </w:rPr>
        <w:t>ij</w:t>
      </w:r>
      <w:r w:rsidRPr="00B35A22">
        <w:rPr>
          <w:sz w:val="22"/>
          <w:lang w:val="sr-Latn-ME"/>
        </w:rPr>
        <w:t>e početka liječenja atezolizumabom u kombinaciji sa bevacizumabom i periodično tokom liječenja u skladu sa kliničkim preporukama</w:t>
      </w:r>
    </w:p>
    <w:p w14:paraId="6D79AE1E" w14:textId="77777777" w:rsidR="00627942" w:rsidRPr="00B35A22" w:rsidRDefault="00627942" w:rsidP="00B35A22">
      <w:pPr>
        <w:widowControl w:val="0"/>
        <w:jc w:val="both"/>
        <w:rPr>
          <w:sz w:val="22"/>
          <w:u w:val="single"/>
          <w:lang w:val="sr-Latn-ME"/>
        </w:rPr>
      </w:pPr>
    </w:p>
    <w:p w14:paraId="1D2C16CE" w14:textId="3BA1A28F" w:rsidR="00080978" w:rsidRPr="00B35A22" w:rsidRDefault="00080978" w:rsidP="00B35A22">
      <w:pPr>
        <w:widowControl w:val="0"/>
        <w:jc w:val="both"/>
        <w:rPr>
          <w:i/>
          <w:sz w:val="22"/>
          <w:u w:val="single"/>
          <w:lang w:val="sr-Latn-ME"/>
        </w:rPr>
      </w:pPr>
      <w:r w:rsidRPr="00B35A22">
        <w:rPr>
          <w:i/>
          <w:sz w:val="22"/>
          <w:u w:val="single"/>
          <w:lang w:val="sr-Latn-ME"/>
        </w:rPr>
        <w:t xml:space="preserve">Primjena atezolizumaba kao monoterapije u prvoj liniji liječenja metastatskog </w:t>
      </w:r>
      <w:r w:rsidR="009F3636" w:rsidRPr="00B35A22">
        <w:rPr>
          <w:i/>
          <w:sz w:val="22"/>
          <w:u w:val="single"/>
          <w:lang w:val="sr-Latn-ME"/>
        </w:rPr>
        <w:t>NSCLC</w:t>
      </w:r>
    </w:p>
    <w:p w14:paraId="3F738ED0" w14:textId="77777777" w:rsidR="00080978" w:rsidRPr="00B35A22" w:rsidRDefault="00080978" w:rsidP="00B35A22">
      <w:pPr>
        <w:widowControl w:val="0"/>
        <w:jc w:val="both"/>
        <w:rPr>
          <w:sz w:val="22"/>
          <w:u w:val="single"/>
          <w:lang w:val="sr-Latn-ME"/>
        </w:rPr>
      </w:pPr>
    </w:p>
    <w:p w14:paraId="799FD2FC" w14:textId="1F1CF4C3" w:rsidR="00080978" w:rsidRPr="00B35A22" w:rsidRDefault="00080978" w:rsidP="00B35A22">
      <w:pPr>
        <w:widowControl w:val="0"/>
        <w:jc w:val="both"/>
        <w:rPr>
          <w:sz w:val="22"/>
          <w:lang w:val="sr-Latn-ME"/>
        </w:rPr>
      </w:pPr>
      <w:r w:rsidRPr="00B35A22">
        <w:rPr>
          <w:sz w:val="22"/>
          <w:lang w:val="sr-Latn-ME"/>
        </w:rPr>
        <w:t>Ljekari treba da uzmu u obzir odložen početak djelovanja atezolizumaba prije nego što ga uvedu kao monoterapiju u prvoj liniji liječenja pacijenata sa NSCLC-om. Primijećen je pov</w:t>
      </w:r>
      <w:r w:rsidR="00676021" w:rsidRPr="00B35A22">
        <w:rPr>
          <w:sz w:val="22"/>
          <w:lang w:val="sr-Latn-ME"/>
        </w:rPr>
        <w:t>ećan</w:t>
      </w:r>
      <w:r w:rsidRPr="00B35A22">
        <w:rPr>
          <w:sz w:val="22"/>
          <w:lang w:val="sr-Latn-ME"/>
        </w:rPr>
        <w:t xml:space="preserve"> broj smrtnih ishoda unutar 2,5 mjeseca nakon randomizacije praćen dugoročnim korisnim ut</w:t>
      </w:r>
      <w:r w:rsidR="0067431A" w:rsidRPr="00B35A22">
        <w:rPr>
          <w:sz w:val="22"/>
          <w:lang w:val="sr-Latn-ME"/>
        </w:rPr>
        <w:t>icajem</w:t>
      </w:r>
      <w:r w:rsidRPr="00B35A22">
        <w:rPr>
          <w:sz w:val="22"/>
          <w:lang w:val="sr-Latn-ME"/>
        </w:rPr>
        <w:t xml:space="preserve"> na preživljavanje uz atezolizumab u odnosu na hemioterapiju. Nije se mogao utvrditi nijedan specifičan faktor povezan sa ranim smrtnim ishodom (vidjeti dio 5.1).</w:t>
      </w:r>
    </w:p>
    <w:p w14:paraId="0F72CDCF" w14:textId="77777777" w:rsidR="00080978" w:rsidRPr="00B35A22" w:rsidRDefault="00080978" w:rsidP="00B35A22">
      <w:pPr>
        <w:widowControl w:val="0"/>
        <w:jc w:val="both"/>
        <w:rPr>
          <w:sz w:val="22"/>
          <w:u w:val="single"/>
          <w:lang w:val="sr-Latn-ME"/>
        </w:rPr>
      </w:pPr>
    </w:p>
    <w:p w14:paraId="7019A9A2" w14:textId="49A9F6EC" w:rsidR="00627942" w:rsidRPr="00B35A22" w:rsidRDefault="00627942" w:rsidP="00B35A22">
      <w:pPr>
        <w:widowControl w:val="0"/>
        <w:jc w:val="both"/>
        <w:rPr>
          <w:sz w:val="22"/>
          <w:u w:val="single"/>
          <w:lang w:val="sr-Latn-ME"/>
        </w:rPr>
      </w:pPr>
      <w:r w:rsidRPr="00B35A22">
        <w:rPr>
          <w:sz w:val="22"/>
          <w:u w:val="single"/>
          <w:lang w:val="sr-Latn-ME"/>
        </w:rPr>
        <w:t>Pacijenti koji nijesu bili uključeni u klinička ispitivanja</w:t>
      </w:r>
    </w:p>
    <w:p w14:paraId="238DAC0E" w14:textId="77777777" w:rsidR="00627942" w:rsidRPr="00B35A22" w:rsidRDefault="00627942" w:rsidP="00B35A22">
      <w:pPr>
        <w:widowControl w:val="0"/>
        <w:jc w:val="both"/>
        <w:rPr>
          <w:sz w:val="22"/>
          <w:lang w:val="sr-Latn-ME"/>
        </w:rPr>
      </w:pPr>
    </w:p>
    <w:p w14:paraId="0D0E66D6" w14:textId="43B80904" w:rsidR="00627942" w:rsidRPr="00B35A22" w:rsidRDefault="00627942" w:rsidP="00B35A22">
      <w:pPr>
        <w:widowControl w:val="0"/>
        <w:jc w:val="both"/>
        <w:rPr>
          <w:sz w:val="22"/>
          <w:lang w:val="sr-Latn-ME"/>
        </w:rPr>
      </w:pPr>
      <w:r w:rsidRPr="00B35A22">
        <w:rPr>
          <w:sz w:val="22"/>
          <w:lang w:val="sr-Latn-ME"/>
        </w:rPr>
        <w:t xml:space="preserve">U klinička ispitivanja nijesu bili uključeni pacijenti koji su imali sljedeća stanja: autoimunu bolest u anamnezi, pneumonitis u anamnezi, aktivne moždane metastaze, </w:t>
      </w:r>
      <w:r w:rsidR="001755D3" w:rsidRPr="00B35A22">
        <w:rPr>
          <w:sz w:val="22"/>
          <w:szCs w:val="22"/>
          <w:lang w:val="sr-Latn-ME"/>
        </w:rPr>
        <w:t xml:space="preserve">funkcionalni ECOG status ≥ 2 (osim pacijenata sa uznapredovalim NSCLC-om koji nijesu bili pogodni za terapiju zasnovanu na platini), </w:t>
      </w:r>
      <w:r w:rsidRPr="00B35A22">
        <w:rPr>
          <w:sz w:val="22"/>
          <w:lang w:val="sr-Latn-ME"/>
        </w:rPr>
        <w:t>infekciju virusom HIV, virusom hepatitisa B ili virusom hepatitisa C</w:t>
      </w:r>
      <w:r w:rsidR="00EE12B7" w:rsidRPr="00B35A22">
        <w:rPr>
          <w:sz w:val="22"/>
          <w:lang w:val="sr-Latn-ME"/>
        </w:rPr>
        <w:t xml:space="preserve"> (za pacijente bez HCC-a)</w:t>
      </w:r>
      <w:r w:rsidRPr="00B35A22">
        <w:rPr>
          <w:sz w:val="22"/>
          <w:lang w:val="sr-Latn-ME"/>
        </w:rPr>
        <w:t>, značajnu kardiovaskularn</w:t>
      </w:r>
      <w:r w:rsidR="00886ACF" w:rsidRPr="00B35A22">
        <w:rPr>
          <w:sz w:val="22"/>
          <w:lang w:val="sr-Latn-ME"/>
        </w:rPr>
        <w:t>u</w:t>
      </w:r>
      <w:r w:rsidRPr="00B35A22">
        <w:rPr>
          <w:sz w:val="22"/>
          <w:lang w:val="sr-Latn-ME"/>
        </w:rPr>
        <w:t xml:space="preserve"> bolest ili oslabljenu hematološku funkciju i funkciju ciljnih organa (engl. </w:t>
      </w:r>
      <w:r w:rsidRPr="00B35A22">
        <w:rPr>
          <w:i/>
          <w:sz w:val="22"/>
          <w:lang w:val="sr-Latn-ME"/>
        </w:rPr>
        <w:t>end-organ</w:t>
      </w:r>
      <w:r w:rsidRPr="00B35A22">
        <w:rPr>
          <w:sz w:val="22"/>
          <w:lang w:val="sr-Latn-ME"/>
        </w:rPr>
        <w:t>), kao ni pacijenti koji su primili živu atenuisanu vakcinu u roku od 28 dana prije uključivanja u ispitivanje, sistemske imunostimulatore u roku od 4 nedjelje prije uključivanja u ispitivanje ili sistemske imunosupresive u roku od 2 nedjelje prije uključivanja u ispitivanje;</w:t>
      </w:r>
      <w:r w:rsidRPr="00B35A22">
        <w:rPr>
          <w:lang w:val="sr-Latn-ME"/>
        </w:rPr>
        <w:t xml:space="preserve"> </w:t>
      </w:r>
      <w:r w:rsidRPr="00B35A22">
        <w:rPr>
          <w:sz w:val="22"/>
          <w:lang w:val="sr-Latn-ME"/>
        </w:rPr>
        <w:t xml:space="preserve">peroralne ili intravenske antibiotike u roku od 2 nedjelje prije uključivanja u ispitivanje. </w:t>
      </w:r>
    </w:p>
    <w:p w14:paraId="005DDB74" w14:textId="77777777" w:rsidR="00627942" w:rsidRPr="00B35A22" w:rsidRDefault="00627942" w:rsidP="00B35A22">
      <w:pPr>
        <w:widowControl w:val="0"/>
        <w:jc w:val="both"/>
        <w:rPr>
          <w:sz w:val="22"/>
          <w:lang w:val="sr-Latn-ME"/>
        </w:rPr>
      </w:pPr>
    </w:p>
    <w:p w14:paraId="08F9E2AD" w14:textId="3417AFED" w:rsidR="000A26D9" w:rsidRPr="00B35A22" w:rsidRDefault="000A26D9" w:rsidP="00B35A22">
      <w:pPr>
        <w:widowControl w:val="0"/>
        <w:jc w:val="both"/>
        <w:rPr>
          <w:sz w:val="22"/>
          <w:u w:val="single"/>
          <w:lang w:val="sr-Latn-ME"/>
        </w:rPr>
      </w:pPr>
      <w:r w:rsidRPr="00B35A22">
        <w:rPr>
          <w:sz w:val="22"/>
          <w:u w:val="single"/>
          <w:lang w:val="sr-Latn-ME"/>
        </w:rPr>
        <w:t xml:space="preserve">Kartica za pacijenta </w:t>
      </w:r>
    </w:p>
    <w:p w14:paraId="7579C9D5" w14:textId="77777777" w:rsidR="000A26D9" w:rsidRPr="00B35A22" w:rsidRDefault="000A26D9" w:rsidP="00B35A22">
      <w:pPr>
        <w:widowControl w:val="0"/>
        <w:jc w:val="both"/>
        <w:rPr>
          <w:sz w:val="22"/>
          <w:lang w:val="sr-Latn-ME"/>
        </w:rPr>
      </w:pPr>
    </w:p>
    <w:p w14:paraId="5C40D90D" w14:textId="27C7A9E7" w:rsidR="000A26D9" w:rsidRPr="00B35A22" w:rsidRDefault="000A26D9" w:rsidP="00B35A22">
      <w:pPr>
        <w:widowControl w:val="0"/>
        <w:tabs>
          <w:tab w:val="left" w:pos="540"/>
          <w:tab w:val="left" w:pos="569"/>
        </w:tabs>
        <w:jc w:val="both"/>
        <w:rPr>
          <w:sz w:val="22"/>
          <w:lang w:val="sr-Latn-ME"/>
        </w:rPr>
      </w:pPr>
      <w:r w:rsidRPr="00B35A22">
        <w:rPr>
          <w:sz w:val="22"/>
          <w:lang w:val="sr-Latn-ME"/>
        </w:rPr>
        <w:t xml:space="preserve">Ljekar koji propisuje lijek mora sa pacijentom da razgovara o rizicima liječenja lijekom Tecentriq. Pacijent će dobiti </w:t>
      </w:r>
      <w:r w:rsidR="00AF7584" w:rsidRPr="00B35A22">
        <w:rPr>
          <w:sz w:val="22"/>
          <w:lang w:val="sr-Latn-ME"/>
        </w:rPr>
        <w:t xml:space="preserve">karticu </w:t>
      </w:r>
      <w:r w:rsidRPr="00B35A22">
        <w:rPr>
          <w:sz w:val="22"/>
          <w:lang w:val="sr-Latn-ME"/>
        </w:rPr>
        <w:t>za pacijenta, uz napomenu da je uvijek mora nositi sa sobom.</w:t>
      </w:r>
    </w:p>
    <w:p w14:paraId="3ED3BE7C" w14:textId="77777777" w:rsidR="00057E35" w:rsidRPr="00B35A22" w:rsidRDefault="00057E35" w:rsidP="00B35A22">
      <w:pPr>
        <w:widowControl w:val="0"/>
        <w:tabs>
          <w:tab w:val="left" w:pos="540"/>
          <w:tab w:val="left" w:pos="569"/>
        </w:tabs>
        <w:jc w:val="both"/>
        <w:rPr>
          <w:sz w:val="22"/>
          <w:lang w:val="sr-Latn-ME"/>
        </w:rPr>
      </w:pPr>
    </w:p>
    <w:p w14:paraId="5C3F7110" w14:textId="192C2CD8" w:rsidR="00411B4B" w:rsidRPr="00B35A22" w:rsidRDefault="00411B4B" w:rsidP="00B35A22">
      <w:pPr>
        <w:widowControl w:val="0"/>
        <w:tabs>
          <w:tab w:val="left" w:pos="540"/>
          <w:tab w:val="left" w:pos="569"/>
        </w:tabs>
        <w:jc w:val="both"/>
        <w:rPr>
          <w:b/>
          <w:sz w:val="22"/>
          <w:lang w:val="sr-Latn-ME"/>
        </w:rPr>
      </w:pPr>
      <w:r w:rsidRPr="00B35A22">
        <w:rPr>
          <w:b/>
          <w:sz w:val="22"/>
          <w:lang w:val="sr-Latn-ME"/>
        </w:rPr>
        <w:t>4.5.</w:t>
      </w:r>
      <w:r w:rsidR="000D60CC" w:rsidRPr="00B35A22">
        <w:rPr>
          <w:b/>
          <w:sz w:val="22"/>
          <w:lang w:val="sr-Latn-ME"/>
        </w:rPr>
        <w:tab/>
      </w:r>
      <w:r w:rsidRPr="00B35A22">
        <w:rPr>
          <w:b/>
          <w:sz w:val="22"/>
          <w:lang w:val="sr-Latn-ME"/>
        </w:rPr>
        <w:t>Interakcije sa drugim ljekovima i druge vrste interakcija</w:t>
      </w:r>
    </w:p>
    <w:p w14:paraId="4EC11057" w14:textId="77777777" w:rsidR="00676021" w:rsidRPr="00B35A22" w:rsidRDefault="00676021" w:rsidP="00B35A22">
      <w:pPr>
        <w:widowControl w:val="0"/>
        <w:tabs>
          <w:tab w:val="left" w:pos="540"/>
          <w:tab w:val="left" w:pos="569"/>
        </w:tabs>
        <w:jc w:val="both"/>
        <w:rPr>
          <w:b/>
          <w:sz w:val="22"/>
          <w:lang w:val="sr-Latn-ME"/>
        </w:rPr>
      </w:pPr>
    </w:p>
    <w:p w14:paraId="08E160BC" w14:textId="2E86E625" w:rsidR="000A26D9" w:rsidRPr="00B35A22" w:rsidRDefault="000A26D9" w:rsidP="00B35A22">
      <w:pPr>
        <w:widowControl w:val="0"/>
        <w:jc w:val="both"/>
        <w:rPr>
          <w:sz w:val="22"/>
          <w:lang w:val="sr-Latn-ME"/>
        </w:rPr>
      </w:pPr>
      <w:r w:rsidRPr="00B35A22">
        <w:rPr>
          <w:sz w:val="22"/>
          <w:lang w:val="sr-Latn-ME"/>
        </w:rPr>
        <w:t xml:space="preserve">Nijesu sprovedena formalna farmakokinetička ispitivanja interakcija </w:t>
      </w:r>
      <w:r w:rsidR="009F3636" w:rsidRPr="00B35A22">
        <w:rPr>
          <w:sz w:val="22"/>
          <w:lang w:val="sr-Latn-ME"/>
        </w:rPr>
        <w:t>sa atezolizumabom</w:t>
      </w:r>
      <w:r w:rsidRPr="00B35A22">
        <w:rPr>
          <w:sz w:val="22"/>
          <w:lang w:val="sr-Latn-ME"/>
        </w:rPr>
        <w:t xml:space="preserve">. S obzirom da se atezolizumab eliminiše iz cirkulacije katabolizmom, ne očekuju se metaboličke interakcije sa drugim ljekovima. </w:t>
      </w:r>
    </w:p>
    <w:p w14:paraId="4948D1AE" w14:textId="77777777" w:rsidR="000A26D9" w:rsidRPr="00B35A22" w:rsidRDefault="000A26D9" w:rsidP="00B35A22">
      <w:pPr>
        <w:widowControl w:val="0"/>
        <w:jc w:val="both"/>
        <w:rPr>
          <w:sz w:val="22"/>
          <w:lang w:val="sr-Latn-ME"/>
        </w:rPr>
      </w:pPr>
      <w:r w:rsidRPr="00B35A22">
        <w:rPr>
          <w:sz w:val="22"/>
          <w:lang w:val="sr-Latn-ME"/>
        </w:rPr>
        <w:t>Treba izbjegavati primjenu sistemskih kortikosteroida ili imunosupresiva prije početka liječenja atezolizumabom jer ti lijekovi mogu da utiču na farmakodinamičku aktivnost i efikasnost atezolizumaba. Međutim, sistemski kortikosteroidi ili drugi imunosupresivi mogu da se primjenjuju za liječenje imunološki prouzrokovanih neželjenih dejstava nakon uvođenja atezolizumaba (vidjeti dio 4.4).</w:t>
      </w:r>
    </w:p>
    <w:p w14:paraId="09A0E1B2" w14:textId="77777777" w:rsidR="0072020E" w:rsidRPr="00B35A22" w:rsidRDefault="0072020E" w:rsidP="00B35A22">
      <w:pPr>
        <w:widowControl w:val="0"/>
        <w:tabs>
          <w:tab w:val="left" w:pos="540"/>
          <w:tab w:val="left" w:pos="569"/>
        </w:tabs>
        <w:jc w:val="both"/>
        <w:rPr>
          <w:sz w:val="22"/>
          <w:lang w:val="sr-Latn-ME"/>
        </w:rPr>
      </w:pPr>
    </w:p>
    <w:p w14:paraId="7BFF2933" w14:textId="4F3C7654"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4.6. </w:t>
      </w:r>
      <w:r w:rsidR="00480FB1" w:rsidRPr="00B35A22">
        <w:rPr>
          <w:b/>
          <w:sz w:val="22"/>
          <w:lang w:val="sr-Latn-ME"/>
        </w:rPr>
        <w:tab/>
      </w:r>
      <w:r w:rsidR="006D20A5" w:rsidRPr="00B35A22">
        <w:rPr>
          <w:b/>
          <w:sz w:val="22"/>
          <w:lang w:val="sr-Latn-ME"/>
        </w:rPr>
        <w:t>Plodnost, trudnoća i dojenje</w:t>
      </w:r>
    </w:p>
    <w:p w14:paraId="5D945DF0" w14:textId="77777777" w:rsidR="00676021" w:rsidRPr="00B35A22" w:rsidRDefault="00676021" w:rsidP="00B35A22">
      <w:pPr>
        <w:widowControl w:val="0"/>
        <w:tabs>
          <w:tab w:val="left" w:pos="540"/>
          <w:tab w:val="left" w:pos="569"/>
        </w:tabs>
        <w:jc w:val="both"/>
        <w:rPr>
          <w:b/>
          <w:sz w:val="22"/>
          <w:lang w:val="sr-Latn-ME"/>
        </w:rPr>
      </w:pPr>
    </w:p>
    <w:p w14:paraId="7D4C768A" w14:textId="77777777" w:rsidR="00857F7D" w:rsidRPr="00B35A22" w:rsidRDefault="000A26D9" w:rsidP="00B35A22">
      <w:pPr>
        <w:widowControl w:val="0"/>
        <w:jc w:val="both"/>
        <w:rPr>
          <w:sz w:val="22"/>
          <w:u w:val="single"/>
          <w:lang w:val="sr-Latn-ME"/>
        </w:rPr>
      </w:pPr>
      <w:r w:rsidRPr="00B35A22">
        <w:rPr>
          <w:sz w:val="22"/>
          <w:u w:val="single"/>
          <w:lang w:val="sr-Latn-ME"/>
        </w:rPr>
        <w:t>Žene u reproduktivnom periodu</w:t>
      </w:r>
    </w:p>
    <w:p w14:paraId="0C874A7F" w14:textId="7D52D4E9" w:rsidR="00DB2346" w:rsidRPr="00B35A22" w:rsidRDefault="000A26D9" w:rsidP="00B35A22">
      <w:pPr>
        <w:widowControl w:val="0"/>
        <w:jc w:val="both"/>
        <w:rPr>
          <w:sz w:val="22"/>
          <w:szCs w:val="22"/>
          <w:u w:val="single"/>
          <w:lang w:val="sr-Latn-ME"/>
        </w:rPr>
      </w:pPr>
      <w:r w:rsidRPr="00B35A22">
        <w:rPr>
          <w:sz w:val="22"/>
          <w:lang w:val="sr-Latn-ME"/>
        </w:rPr>
        <w:t>Žen</w:t>
      </w:r>
      <w:r w:rsidR="00676021" w:rsidRPr="00B35A22">
        <w:rPr>
          <w:sz w:val="22"/>
          <w:lang w:val="sr-Latn-ME"/>
        </w:rPr>
        <w:t>e</w:t>
      </w:r>
      <w:r w:rsidRPr="00B35A22">
        <w:rPr>
          <w:sz w:val="22"/>
          <w:lang w:val="sr-Latn-ME"/>
        </w:rPr>
        <w:t xml:space="preserve"> u reproduktivnom periodu moraju da koriste efikasne metode kontracepcije tokom i još 5 mjeseci nakon liječenja atezolizumabom.</w:t>
      </w:r>
    </w:p>
    <w:p w14:paraId="55E578C5" w14:textId="77777777" w:rsidR="00DB2346" w:rsidRPr="00B35A22" w:rsidRDefault="00DB2346" w:rsidP="00B35A22">
      <w:pPr>
        <w:widowControl w:val="0"/>
        <w:tabs>
          <w:tab w:val="left" w:pos="540"/>
          <w:tab w:val="left" w:pos="569"/>
        </w:tabs>
        <w:jc w:val="both"/>
        <w:rPr>
          <w:sz w:val="22"/>
          <w:szCs w:val="22"/>
          <w:u w:val="single"/>
          <w:lang w:val="sr-Latn-ME"/>
        </w:rPr>
      </w:pPr>
    </w:p>
    <w:p w14:paraId="7517CB87" w14:textId="77777777" w:rsidR="007A3ECB" w:rsidRPr="00B35A22" w:rsidRDefault="007A3ECB" w:rsidP="00B35A22">
      <w:pPr>
        <w:widowControl w:val="0"/>
        <w:tabs>
          <w:tab w:val="left" w:pos="540"/>
          <w:tab w:val="left" w:pos="569"/>
        </w:tabs>
        <w:jc w:val="both"/>
        <w:rPr>
          <w:sz w:val="22"/>
          <w:u w:val="single"/>
          <w:lang w:val="sr-Latn-ME"/>
        </w:rPr>
      </w:pPr>
      <w:r w:rsidRPr="00B35A22">
        <w:rPr>
          <w:sz w:val="22"/>
          <w:u w:val="single"/>
          <w:lang w:val="sr-Latn-ME"/>
        </w:rPr>
        <w:t>Trudnoća</w:t>
      </w:r>
    </w:p>
    <w:p w14:paraId="2CE7FCCB" w14:textId="31CDDDF5" w:rsidR="000A26D9" w:rsidRPr="00B35A22" w:rsidRDefault="000A26D9" w:rsidP="00B35A22">
      <w:pPr>
        <w:widowControl w:val="0"/>
        <w:jc w:val="both"/>
        <w:rPr>
          <w:sz w:val="22"/>
          <w:lang w:val="sr-Latn-ME"/>
        </w:rPr>
      </w:pPr>
      <w:r w:rsidRPr="00B35A22">
        <w:rPr>
          <w:sz w:val="22"/>
          <w:lang w:val="sr-Latn-ME"/>
        </w:rPr>
        <w:t xml:space="preserve">Nema podataka o primjeni lijeka Tecentriq kod trudnica. Nijesu sprovedena ispitivanja efekata  atezolizumaba na razvoj i reprodukciju. Ispitivanja na životinjama su ukazala da inhibicija puta PD </w:t>
      </w:r>
      <w:r w:rsidRPr="00B35A22">
        <w:rPr>
          <w:sz w:val="22"/>
          <w:lang w:val="sr-Latn-ME"/>
        </w:rPr>
        <w:lastRenderedPageBreak/>
        <w:t xml:space="preserve">L1/PD 1 u mišjim modelima skotnosti može da dovede do imunološki prouzrokovanog odbacivanja ploda u razvoju i tako da dovede do smrti ploda (vidjeti dio 5.3). Ovi rezultati upućuju na mogući rizik da bi zbog mehanizma djelovanja atezolizumaba njegova primjena u trudnoći mogla naškoditi plodu te tako dovesti do povećanog stepena pobačaja ili mrtvorođenja. </w:t>
      </w:r>
    </w:p>
    <w:p w14:paraId="5AD9D03C" w14:textId="77777777" w:rsidR="000A26D9" w:rsidRPr="00B35A22" w:rsidRDefault="000A26D9" w:rsidP="00B35A22">
      <w:pPr>
        <w:widowControl w:val="0"/>
        <w:jc w:val="both"/>
        <w:rPr>
          <w:sz w:val="22"/>
          <w:lang w:val="sr-Latn-ME"/>
        </w:rPr>
      </w:pPr>
    </w:p>
    <w:p w14:paraId="71167B7D" w14:textId="77777777" w:rsidR="000A26D9" w:rsidRPr="00B35A22" w:rsidRDefault="000A26D9" w:rsidP="00B35A22">
      <w:pPr>
        <w:widowControl w:val="0"/>
        <w:jc w:val="both"/>
        <w:rPr>
          <w:sz w:val="22"/>
          <w:lang w:val="sr-Latn-ME"/>
        </w:rPr>
      </w:pPr>
      <w:r w:rsidRPr="00B35A22">
        <w:rPr>
          <w:sz w:val="22"/>
          <w:lang w:val="sr-Latn-ME"/>
        </w:rPr>
        <w:t xml:space="preserve">Poznato je da humani imunoglobulini G1 (IgG1) prolaze kroz barijeru placente. Budući da je atezolizumab IgG1, može doći do njegovog prenosa sa majke na plod u razvoju. </w:t>
      </w:r>
    </w:p>
    <w:p w14:paraId="068C679F" w14:textId="77777777" w:rsidR="000A26D9" w:rsidRPr="00B35A22" w:rsidRDefault="000A26D9" w:rsidP="00B35A22">
      <w:pPr>
        <w:widowControl w:val="0"/>
        <w:jc w:val="both"/>
        <w:rPr>
          <w:sz w:val="22"/>
          <w:lang w:val="sr-Latn-ME"/>
        </w:rPr>
      </w:pPr>
    </w:p>
    <w:p w14:paraId="536FDFF4" w14:textId="77777777" w:rsidR="000A26D9" w:rsidRPr="00B35A22" w:rsidRDefault="000A26D9" w:rsidP="00B35A22">
      <w:pPr>
        <w:widowControl w:val="0"/>
        <w:jc w:val="both"/>
        <w:rPr>
          <w:sz w:val="22"/>
          <w:lang w:val="sr-Latn-ME"/>
        </w:rPr>
      </w:pPr>
      <w:r w:rsidRPr="00B35A22">
        <w:rPr>
          <w:sz w:val="22"/>
          <w:lang w:val="sr-Latn-ME"/>
        </w:rPr>
        <w:t xml:space="preserve">Atezolizumab se ne smije primjenjivati tokom trudnoće, osim u slučajevima kada kliničko stanje žene zahtijeva liječenje atezolizumabom.  </w:t>
      </w:r>
    </w:p>
    <w:p w14:paraId="05EF7F64" w14:textId="77777777" w:rsidR="002031B3" w:rsidRPr="00B35A22" w:rsidRDefault="002031B3" w:rsidP="00B35A22">
      <w:pPr>
        <w:widowControl w:val="0"/>
        <w:tabs>
          <w:tab w:val="left" w:pos="540"/>
          <w:tab w:val="left" w:pos="569"/>
        </w:tabs>
        <w:jc w:val="both"/>
        <w:rPr>
          <w:sz w:val="22"/>
          <w:u w:val="single"/>
          <w:lang w:val="sr-Latn-ME"/>
        </w:rPr>
      </w:pPr>
    </w:p>
    <w:p w14:paraId="4FF6DA72" w14:textId="77777777" w:rsidR="0072020E" w:rsidRPr="00B35A22" w:rsidRDefault="007A3ECB" w:rsidP="00B35A22">
      <w:pPr>
        <w:widowControl w:val="0"/>
        <w:tabs>
          <w:tab w:val="left" w:pos="540"/>
          <w:tab w:val="left" w:pos="569"/>
        </w:tabs>
        <w:jc w:val="both"/>
        <w:rPr>
          <w:b/>
          <w:sz w:val="22"/>
          <w:lang w:val="sr-Latn-ME"/>
        </w:rPr>
      </w:pPr>
      <w:r w:rsidRPr="00B35A22">
        <w:rPr>
          <w:sz w:val="22"/>
          <w:u w:val="single"/>
          <w:lang w:val="sr-Latn-ME"/>
        </w:rPr>
        <w:t xml:space="preserve">Dojenje </w:t>
      </w:r>
    </w:p>
    <w:p w14:paraId="4C272D51" w14:textId="41C8CE14" w:rsidR="000A26D9" w:rsidRPr="00B35A22" w:rsidRDefault="000A26D9" w:rsidP="00B35A22">
      <w:pPr>
        <w:widowControl w:val="0"/>
        <w:jc w:val="both"/>
        <w:rPr>
          <w:sz w:val="22"/>
          <w:lang w:val="sr-Latn-ME"/>
        </w:rPr>
      </w:pPr>
      <w:r w:rsidRPr="00B35A22">
        <w:rPr>
          <w:sz w:val="22"/>
          <w:lang w:val="sr-Latn-ME"/>
        </w:rPr>
        <w:t>Nije poznato da li se atezolizumab izlučuje u majčino mlijeko. S obzirom da je atezolizumab monoklonsko antitijelo, očekuje se da će biti prisutan u prvom mlijeku, a u niskim koncentracijama i nakon toga. Ne može se isključiti rizik za novorođenčad/odojče. Uzimajući u obzir korist dojenja za dijete i korist liječenja za ženu, potrebno je odlučiti da li prekinuti dojenje ili prekinuti liječenje lijekom Tecentriq.</w:t>
      </w:r>
    </w:p>
    <w:p w14:paraId="1238F6C5" w14:textId="77777777" w:rsidR="00C7382D" w:rsidRPr="00B35A22" w:rsidRDefault="00C7382D" w:rsidP="00B35A22">
      <w:pPr>
        <w:widowControl w:val="0"/>
        <w:jc w:val="both"/>
        <w:rPr>
          <w:sz w:val="22"/>
          <w:lang w:val="sr-Latn-ME"/>
        </w:rPr>
      </w:pPr>
    </w:p>
    <w:p w14:paraId="2EAD3C75" w14:textId="77777777" w:rsidR="00C7382D" w:rsidRPr="00B35A22" w:rsidRDefault="00C7382D" w:rsidP="00B35A22">
      <w:pPr>
        <w:widowControl w:val="0"/>
        <w:tabs>
          <w:tab w:val="left" w:pos="540"/>
          <w:tab w:val="left" w:pos="569"/>
        </w:tabs>
        <w:jc w:val="both"/>
        <w:rPr>
          <w:sz w:val="22"/>
          <w:u w:val="single"/>
          <w:lang w:val="sr-Latn-ME"/>
        </w:rPr>
      </w:pPr>
      <w:r w:rsidRPr="00B35A22">
        <w:rPr>
          <w:sz w:val="22"/>
          <w:u w:val="single"/>
          <w:lang w:val="sr-Latn-ME"/>
        </w:rPr>
        <w:t>Plodnost</w:t>
      </w:r>
    </w:p>
    <w:p w14:paraId="4CC0DAEB" w14:textId="73C49DF1" w:rsidR="00C7382D" w:rsidRPr="00B35A22" w:rsidRDefault="00C7382D" w:rsidP="00B35A22">
      <w:pPr>
        <w:widowControl w:val="0"/>
        <w:jc w:val="both"/>
        <w:rPr>
          <w:sz w:val="22"/>
          <w:lang w:val="sr-Latn-ME"/>
        </w:rPr>
      </w:pPr>
      <w:r w:rsidRPr="00B35A22">
        <w:rPr>
          <w:sz w:val="22"/>
          <w:lang w:val="sr-Latn-ME"/>
        </w:rPr>
        <w:t>Nijesu dostupni klinički podaci o mogućim efektima atezolizumaba na plodnost.  Nijesu sprovedena ispitivanja reproduktivne i razvojne toksičnosti atezolizumaba; međutim, u 26-nedjeljnom ispitivanju toksičnosti ponovljenih doza atezolizumab je pokazao reverzibilan efekat na menstrualne cikluse pri procijenjenom PIK-u koji je bio približno 6 puta veći od PIK-a kod pacijenata koji su primali preporučenu dozu (vidjeti dio 5.3). Nije bilo efekata na reproduktivne organe mužjaka.</w:t>
      </w:r>
    </w:p>
    <w:p w14:paraId="16025777" w14:textId="77777777" w:rsidR="00227BDB" w:rsidRPr="00B35A22" w:rsidRDefault="00227BDB" w:rsidP="00B35A22">
      <w:pPr>
        <w:widowControl w:val="0"/>
        <w:tabs>
          <w:tab w:val="left" w:pos="540"/>
          <w:tab w:val="left" w:pos="569"/>
        </w:tabs>
        <w:ind w:left="540" w:hanging="540"/>
        <w:jc w:val="both"/>
        <w:rPr>
          <w:b/>
          <w:sz w:val="22"/>
          <w:lang w:val="sr-Latn-ME"/>
        </w:rPr>
      </w:pPr>
    </w:p>
    <w:p w14:paraId="72E23E4E" w14:textId="77777777" w:rsidR="0072020E" w:rsidRPr="00B35A22" w:rsidRDefault="0072020E" w:rsidP="00B35A22">
      <w:pPr>
        <w:widowControl w:val="0"/>
        <w:tabs>
          <w:tab w:val="left" w:pos="540"/>
          <w:tab w:val="left" w:pos="569"/>
        </w:tabs>
        <w:ind w:left="540" w:hanging="540"/>
        <w:jc w:val="both"/>
        <w:rPr>
          <w:b/>
          <w:sz w:val="22"/>
          <w:lang w:val="sr-Latn-ME"/>
        </w:rPr>
      </w:pPr>
      <w:r w:rsidRPr="00B35A22">
        <w:rPr>
          <w:b/>
          <w:sz w:val="22"/>
          <w:lang w:val="sr-Latn-ME"/>
        </w:rPr>
        <w:t xml:space="preserve">4.7. </w:t>
      </w:r>
      <w:r w:rsidR="00480FB1" w:rsidRPr="00B35A22">
        <w:rPr>
          <w:b/>
          <w:sz w:val="22"/>
          <w:lang w:val="sr-Latn-ME"/>
        </w:rPr>
        <w:tab/>
      </w:r>
      <w:r w:rsidRPr="00B35A22">
        <w:rPr>
          <w:b/>
          <w:sz w:val="22"/>
          <w:lang w:val="sr-Latn-ME"/>
        </w:rPr>
        <w:t xml:space="preserve">Uticaj na </w:t>
      </w:r>
      <w:r w:rsidR="002031B3" w:rsidRPr="00B35A22">
        <w:rPr>
          <w:b/>
          <w:sz w:val="22"/>
          <w:lang w:val="sr-Latn-ME"/>
        </w:rPr>
        <w:t xml:space="preserve">sposobnost </w:t>
      </w:r>
      <w:r w:rsidR="00F34554" w:rsidRPr="00B35A22">
        <w:rPr>
          <w:b/>
          <w:sz w:val="22"/>
          <w:lang w:val="sr-Latn-ME"/>
        </w:rPr>
        <w:t>upravljanja vozili</w:t>
      </w:r>
      <w:r w:rsidRPr="00B35A22">
        <w:rPr>
          <w:b/>
          <w:sz w:val="22"/>
          <w:lang w:val="sr-Latn-ME"/>
        </w:rPr>
        <w:t>m</w:t>
      </w:r>
      <w:r w:rsidR="00F34554" w:rsidRPr="00B35A22">
        <w:rPr>
          <w:b/>
          <w:sz w:val="22"/>
          <w:lang w:val="sr-Latn-ME"/>
        </w:rPr>
        <w:t>a</w:t>
      </w:r>
      <w:r w:rsidRPr="00B35A22">
        <w:rPr>
          <w:b/>
          <w:sz w:val="22"/>
          <w:lang w:val="sr-Latn-ME"/>
        </w:rPr>
        <w:t xml:space="preserve"> i </w:t>
      </w:r>
      <w:r w:rsidR="000D3449" w:rsidRPr="00B35A22">
        <w:rPr>
          <w:b/>
          <w:sz w:val="22"/>
          <w:lang w:val="sr-Latn-ME"/>
        </w:rPr>
        <w:t xml:space="preserve">rukovanje </w:t>
      </w:r>
      <w:r w:rsidRPr="00B35A22">
        <w:rPr>
          <w:b/>
          <w:sz w:val="22"/>
          <w:lang w:val="sr-Latn-ME"/>
        </w:rPr>
        <w:t>mašinama</w:t>
      </w:r>
    </w:p>
    <w:p w14:paraId="45AE0F33" w14:textId="77777777" w:rsidR="00A53D39" w:rsidRPr="00B35A22" w:rsidRDefault="00A53D39" w:rsidP="00B35A22">
      <w:pPr>
        <w:pStyle w:val="Header"/>
        <w:widowControl w:val="0"/>
        <w:tabs>
          <w:tab w:val="left" w:pos="284"/>
        </w:tabs>
        <w:jc w:val="both"/>
        <w:rPr>
          <w:sz w:val="22"/>
          <w:lang w:val="sr-Latn-ME"/>
        </w:rPr>
      </w:pPr>
    </w:p>
    <w:p w14:paraId="6C7D1A83" w14:textId="4F96B972" w:rsidR="000A26D9" w:rsidRPr="00B35A22" w:rsidRDefault="000A26D9" w:rsidP="00B35A22">
      <w:pPr>
        <w:pStyle w:val="Header"/>
        <w:widowControl w:val="0"/>
        <w:tabs>
          <w:tab w:val="left" w:pos="284"/>
        </w:tabs>
        <w:jc w:val="both"/>
        <w:rPr>
          <w:sz w:val="22"/>
          <w:lang w:val="sr-Latn-ME"/>
        </w:rPr>
      </w:pPr>
      <w:r w:rsidRPr="00B35A22">
        <w:rPr>
          <w:sz w:val="22"/>
          <w:lang w:val="sr-Latn-ME"/>
        </w:rPr>
        <w:t>Lijek Tecentriq malo utiče na sposobnost upravljanja vozilima i rukovanja mašinama.  Pacijentima koji osjećaju umor treba savjetovati da ne upravljaju vozilima i ne rukuju mašinama dok im se simptomi ne povuku (vidjeti dio 4.8).</w:t>
      </w:r>
    </w:p>
    <w:p w14:paraId="166F0E40" w14:textId="77777777" w:rsidR="000A26D9" w:rsidRPr="00B35A22" w:rsidRDefault="000A26D9" w:rsidP="00B35A22">
      <w:pPr>
        <w:pStyle w:val="Header"/>
        <w:widowControl w:val="0"/>
        <w:tabs>
          <w:tab w:val="left" w:pos="284"/>
        </w:tabs>
        <w:jc w:val="both"/>
        <w:rPr>
          <w:sz w:val="22"/>
          <w:lang w:val="sr-Latn-ME"/>
        </w:rPr>
      </w:pPr>
    </w:p>
    <w:p w14:paraId="3D826E10" w14:textId="61052240"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4.8. </w:t>
      </w:r>
      <w:r w:rsidR="00480FB1" w:rsidRPr="00B35A22">
        <w:rPr>
          <w:b/>
          <w:sz w:val="22"/>
          <w:lang w:val="sr-Latn-ME"/>
        </w:rPr>
        <w:tab/>
      </w:r>
      <w:r w:rsidRPr="00B35A22">
        <w:rPr>
          <w:b/>
          <w:sz w:val="22"/>
          <w:lang w:val="sr-Latn-ME"/>
        </w:rPr>
        <w:t>Neželjena dejstva</w:t>
      </w:r>
    </w:p>
    <w:p w14:paraId="1CFFD774" w14:textId="77777777" w:rsidR="00DB2346" w:rsidRPr="00B35A22" w:rsidRDefault="00DB2346" w:rsidP="00B35A22">
      <w:pPr>
        <w:widowControl w:val="0"/>
        <w:tabs>
          <w:tab w:val="left" w:pos="540"/>
          <w:tab w:val="left" w:pos="569"/>
        </w:tabs>
        <w:jc w:val="both"/>
        <w:rPr>
          <w:b/>
          <w:sz w:val="22"/>
          <w:lang w:val="sr-Latn-ME"/>
        </w:rPr>
      </w:pPr>
    </w:p>
    <w:p w14:paraId="4FC53A39" w14:textId="77777777" w:rsidR="000A26D9" w:rsidRPr="00B35A22" w:rsidRDefault="000A26D9" w:rsidP="00B35A22">
      <w:pPr>
        <w:widowControl w:val="0"/>
        <w:jc w:val="both"/>
        <w:rPr>
          <w:sz w:val="22"/>
          <w:u w:val="single"/>
          <w:lang w:val="sr-Latn-ME"/>
        </w:rPr>
      </w:pPr>
      <w:r w:rsidRPr="00B35A22">
        <w:rPr>
          <w:sz w:val="22"/>
          <w:u w:val="single"/>
          <w:lang w:val="sr-Latn-ME"/>
        </w:rPr>
        <w:t xml:space="preserve">Sažetak bezbjednosnog profila </w:t>
      </w:r>
    </w:p>
    <w:p w14:paraId="0DC2BDE3" w14:textId="10F34ABE" w:rsidR="00441159" w:rsidRPr="00B35A22" w:rsidRDefault="00441159" w:rsidP="00B35A22">
      <w:pPr>
        <w:widowControl w:val="0"/>
        <w:jc w:val="both"/>
        <w:rPr>
          <w:sz w:val="22"/>
          <w:lang w:val="sr-Latn-ME"/>
        </w:rPr>
      </w:pPr>
      <w:r w:rsidRPr="00B35A22">
        <w:rPr>
          <w:sz w:val="22"/>
          <w:lang w:val="sr-Latn-ME"/>
        </w:rPr>
        <w:t xml:space="preserve">Bezbjednost atezolizumaba kao monoterapije zasniva se na objedinjenim podacima prikupljenim kod </w:t>
      </w:r>
      <w:r w:rsidR="001755D3" w:rsidRPr="00B35A22">
        <w:rPr>
          <w:sz w:val="22"/>
          <w:szCs w:val="22"/>
          <w:lang w:val="sr-Latn-ME" w:eastAsia="ja-JP"/>
        </w:rPr>
        <w:t>5039</w:t>
      </w:r>
      <w:r w:rsidR="001755D3" w:rsidRPr="00B35A22">
        <w:rPr>
          <w:sz w:val="22"/>
          <w:lang w:val="sr-Latn-ME"/>
        </w:rPr>
        <w:t xml:space="preserve"> </w:t>
      </w:r>
      <w:r w:rsidRPr="00B35A22">
        <w:rPr>
          <w:sz w:val="22"/>
          <w:lang w:val="sr-Latn-ME"/>
        </w:rPr>
        <w:t>pacijenata sa</w:t>
      </w:r>
      <w:r w:rsidR="00024781" w:rsidRPr="00B35A22">
        <w:rPr>
          <w:sz w:val="22"/>
          <w:lang w:val="sr-Latn-ME"/>
        </w:rPr>
        <w:t xml:space="preserve"> </w:t>
      </w:r>
      <w:r w:rsidRPr="00B35A22">
        <w:rPr>
          <w:sz w:val="22"/>
          <w:lang w:val="sr-Latn-ME"/>
        </w:rPr>
        <w:t>različitim vrstama tumora. Najčešća neželjena dejstva (&gt;10%) su bila umor (</w:t>
      </w:r>
      <w:r w:rsidR="00FD1DA9" w:rsidRPr="00B35A22">
        <w:rPr>
          <w:sz w:val="22"/>
          <w:lang w:val="sr-Latn-ME"/>
        </w:rPr>
        <w:t>29,</w:t>
      </w:r>
      <w:r w:rsidR="001755D3" w:rsidRPr="00B35A22">
        <w:rPr>
          <w:sz w:val="22"/>
          <w:szCs w:val="22"/>
          <w:lang w:val="sr-Latn-ME" w:eastAsia="ja-JP"/>
        </w:rPr>
        <w:t>3</w:t>
      </w:r>
      <w:r w:rsidRPr="00B35A22">
        <w:rPr>
          <w:sz w:val="22"/>
          <w:lang w:val="sr-Latn-ME"/>
        </w:rPr>
        <w:t>%), smanjen apetit (2</w:t>
      </w:r>
      <w:r w:rsidR="00FD1DA9" w:rsidRPr="00B35A22">
        <w:rPr>
          <w:sz w:val="22"/>
          <w:lang w:val="sr-Latn-ME"/>
        </w:rPr>
        <w:t>0</w:t>
      </w:r>
      <w:r w:rsidRPr="00B35A22">
        <w:rPr>
          <w:sz w:val="22"/>
          <w:lang w:val="sr-Latn-ME"/>
        </w:rPr>
        <w:t>,</w:t>
      </w:r>
      <w:r w:rsidR="001755D3" w:rsidRPr="00B35A22">
        <w:rPr>
          <w:sz w:val="22"/>
          <w:szCs w:val="22"/>
          <w:lang w:val="sr-Latn-ME" w:eastAsia="ja-JP"/>
        </w:rPr>
        <w:t>1</w:t>
      </w:r>
      <w:r w:rsidRPr="00B35A22">
        <w:rPr>
          <w:sz w:val="22"/>
          <w:lang w:val="sr-Latn-ME"/>
        </w:rPr>
        <w:t xml:space="preserve">%), </w:t>
      </w:r>
      <w:r w:rsidR="00FD1DA9" w:rsidRPr="00B35A22">
        <w:rPr>
          <w:sz w:val="22"/>
          <w:lang w:val="sr-Latn-ME"/>
        </w:rPr>
        <w:t>osip (</w:t>
      </w:r>
      <w:r w:rsidR="001755D3" w:rsidRPr="00B35A22">
        <w:rPr>
          <w:sz w:val="22"/>
          <w:szCs w:val="22"/>
          <w:lang w:val="sr-Latn-ME" w:eastAsia="ja-JP"/>
        </w:rPr>
        <w:t>19,7</w:t>
      </w:r>
      <w:r w:rsidR="00FD1DA9" w:rsidRPr="00B35A22">
        <w:rPr>
          <w:sz w:val="22"/>
          <w:lang w:val="sr-Latn-ME"/>
        </w:rPr>
        <w:t xml:space="preserve">%), </w:t>
      </w:r>
      <w:r w:rsidRPr="00B35A22">
        <w:rPr>
          <w:sz w:val="22"/>
          <w:lang w:val="sr-Latn-ME"/>
        </w:rPr>
        <w:t>mučnina (</w:t>
      </w:r>
      <w:r w:rsidR="001755D3" w:rsidRPr="00B35A22">
        <w:rPr>
          <w:sz w:val="22"/>
          <w:szCs w:val="22"/>
          <w:lang w:val="sr-Latn-ME" w:eastAsia="ja-JP"/>
        </w:rPr>
        <w:t>18,8</w:t>
      </w:r>
      <w:r w:rsidRPr="00B35A22">
        <w:rPr>
          <w:sz w:val="22"/>
          <w:lang w:val="sr-Latn-ME"/>
        </w:rPr>
        <w:t xml:space="preserve">%), </w:t>
      </w:r>
      <w:r w:rsidR="00E30B86" w:rsidRPr="00B35A22">
        <w:rPr>
          <w:sz w:val="22"/>
          <w:lang w:val="sr-Latn-ME"/>
        </w:rPr>
        <w:t xml:space="preserve">kašalj (18,2%), </w:t>
      </w:r>
      <w:r w:rsidR="00FD1DA9" w:rsidRPr="00B35A22">
        <w:rPr>
          <w:sz w:val="22"/>
          <w:lang w:val="sr-Latn-ME"/>
        </w:rPr>
        <w:t>dijareja (18,</w:t>
      </w:r>
      <w:r w:rsidR="001755D3" w:rsidRPr="00B35A22">
        <w:rPr>
          <w:sz w:val="22"/>
          <w:szCs w:val="22"/>
          <w:lang w:val="sr-Latn-ME" w:eastAsia="ja-JP"/>
        </w:rPr>
        <w:t>1</w:t>
      </w:r>
      <w:r w:rsidR="00FD1DA9" w:rsidRPr="00B35A22">
        <w:rPr>
          <w:sz w:val="22"/>
          <w:lang w:val="sr-Latn-ME"/>
        </w:rPr>
        <w:t xml:space="preserve">%), </w:t>
      </w:r>
      <w:r w:rsidRPr="00B35A22">
        <w:rPr>
          <w:sz w:val="22"/>
          <w:lang w:val="sr-Latn-ME"/>
        </w:rPr>
        <w:t>pireksija (</w:t>
      </w:r>
      <w:r w:rsidR="001755D3" w:rsidRPr="00B35A22">
        <w:rPr>
          <w:sz w:val="22"/>
          <w:szCs w:val="22"/>
          <w:lang w:val="sr-Latn-ME" w:eastAsia="ja-JP"/>
        </w:rPr>
        <w:t>17,9</w:t>
      </w:r>
      <w:r w:rsidRPr="00B35A22">
        <w:rPr>
          <w:sz w:val="22"/>
          <w:szCs w:val="22"/>
          <w:lang w:val="sr-Latn-ME" w:eastAsia="ja-JP"/>
        </w:rPr>
        <w:t xml:space="preserve">%), </w:t>
      </w:r>
      <w:r w:rsidR="001755D3" w:rsidRPr="00B35A22">
        <w:rPr>
          <w:sz w:val="22"/>
          <w:szCs w:val="22"/>
          <w:lang w:val="sr-Latn-ME" w:eastAsia="ja-JP"/>
        </w:rPr>
        <w:t>dispneja (16,6</w:t>
      </w:r>
      <w:r w:rsidR="001755D3" w:rsidRPr="00B35A22">
        <w:rPr>
          <w:sz w:val="22"/>
          <w:lang w:val="sr-Latn-ME"/>
        </w:rPr>
        <w:t xml:space="preserve">%), </w:t>
      </w:r>
      <w:r w:rsidR="00FD1DA9" w:rsidRPr="00B35A22">
        <w:rPr>
          <w:sz w:val="22"/>
          <w:lang w:val="sr-Latn-ME"/>
        </w:rPr>
        <w:t>artralgija (16,</w:t>
      </w:r>
      <w:r w:rsidR="001755D3" w:rsidRPr="00B35A22">
        <w:rPr>
          <w:sz w:val="22"/>
          <w:szCs w:val="22"/>
          <w:lang w:val="sr-Latn-ME" w:eastAsia="ja-JP"/>
        </w:rPr>
        <w:t>2</w:t>
      </w:r>
      <w:r w:rsidR="00FD1DA9" w:rsidRPr="00B35A22">
        <w:rPr>
          <w:sz w:val="22"/>
          <w:lang w:val="sr-Latn-ME"/>
        </w:rPr>
        <w:t>%), pruritis (13,</w:t>
      </w:r>
      <w:r w:rsidR="001755D3" w:rsidRPr="00B35A22">
        <w:rPr>
          <w:sz w:val="22"/>
          <w:szCs w:val="22"/>
          <w:lang w:val="sr-Latn-ME" w:eastAsia="ja-JP"/>
        </w:rPr>
        <w:t>3</w:t>
      </w:r>
      <w:r w:rsidR="00FD1DA9" w:rsidRPr="00B35A22">
        <w:rPr>
          <w:sz w:val="22"/>
          <w:lang w:val="sr-Latn-ME"/>
        </w:rPr>
        <w:t xml:space="preserve">%), </w:t>
      </w:r>
      <w:r w:rsidRPr="00B35A22">
        <w:rPr>
          <w:sz w:val="22"/>
          <w:lang w:val="sr-Latn-ME"/>
        </w:rPr>
        <w:t>astenija (</w:t>
      </w:r>
      <w:r w:rsidR="001755D3" w:rsidRPr="00B35A22">
        <w:rPr>
          <w:sz w:val="22"/>
          <w:szCs w:val="22"/>
          <w:lang w:val="sr-Latn-ME" w:eastAsia="ja-JP"/>
        </w:rPr>
        <w:t>13</w:t>
      </w:r>
      <w:r w:rsidRPr="00B35A22">
        <w:rPr>
          <w:sz w:val="22"/>
          <w:lang w:val="sr-Latn-ME"/>
        </w:rPr>
        <w:t>%), bol u leđima (12,</w:t>
      </w:r>
      <w:r w:rsidR="001755D3" w:rsidRPr="00B35A22">
        <w:rPr>
          <w:sz w:val="22"/>
          <w:szCs w:val="22"/>
          <w:lang w:val="sr-Latn-ME" w:eastAsia="ja-JP"/>
        </w:rPr>
        <w:t>2</w:t>
      </w:r>
      <w:r w:rsidRPr="00B35A22">
        <w:rPr>
          <w:sz w:val="22"/>
          <w:lang w:val="sr-Latn-ME"/>
        </w:rPr>
        <w:t>%), povraćanje (</w:t>
      </w:r>
      <w:r w:rsidR="00FD1DA9" w:rsidRPr="00B35A22">
        <w:rPr>
          <w:sz w:val="22"/>
          <w:lang w:val="sr-Latn-ME"/>
        </w:rPr>
        <w:t>11,</w:t>
      </w:r>
      <w:r w:rsidR="001755D3" w:rsidRPr="00B35A22">
        <w:rPr>
          <w:sz w:val="22"/>
          <w:szCs w:val="22"/>
          <w:lang w:val="sr-Latn-ME" w:eastAsia="ja-JP"/>
        </w:rPr>
        <w:t>7</w:t>
      </w:r>
      <w:r w:rsidRPr="00B35A22">
        <w:rPr>
          <w:sz w:val="22"/>
          <w:lang w:val="sr-Latn-ME"/>
        </w:rPr>
        <w:t>%), infekcija mokraćnih puteva (11%) i glavobolja (10,</w:t>
      </w:r>
      <w:r w:rsidR="001755D3" w:rsidRPr="00B35A22">
        <w:rPr>
          <w:sz w:val="22"/>
          <w:szCs w:val="22"/>
          <w:lang w:val="sr-Latn-ME" w:eastAsia="ja-JP"/>
        </w:rPr>
        <w:t>2</w:t>
      </w:r>
      <w:r w:rsidRPr="00B35A22">
        <w:rPr>
          <w:sz w:val="22"/>
          <w:lang w:val="sr-Latn-ME"/>
        </w:rPr>
        <w:t>%).</w:t>
      </w:r>
    </w:p>
    <w:p w14:paraId="233AC3DE" w14:textId="77777777" w:rsidR="006A125B" w:rsidRPr="00B35A22" w:rsidRDefault="006A125B" w:rsidP="00B35A22">
      <w:pPr>
        <w:widowControl w:val="0"/>
        <w:jc w:val="both"/>
        <w:rPr>
          <w:sz w:val="22"/>
          <w:lang w:val="sr-Latn-ME"/>
        </w:rPr>
      </w:pPr>
    </w:p>
    <w:p w14:paraId="59A788C9" w14:textId="58B1A28E" w:rsidR="006A125B" w:rsidRPr="00B35A22" w:rsidRDefault="006A125B" w:rsidP="00B35A22">
      <w:pPr>
        <w:widowControl w:val="0"/>
        <w:jc w:val="both"/>
        <w:rPr>
          <w:sz w:val="22"/>
          <w:lang w:val="sr-Latn-ME"/>
        </w:rPr>
      </w:pPr>
      <w:r w:rsidRPr="00B35A22">
        <w:rPr>
          <w:sz w:val="22"/>
          <w:lang w:val="sr-Latn-ME"/>
        </w:rPr>
        <w:t xml:space="preserve">Bezbjednost atezolizumaba u kombinaciji sa </w:t>
      </w:r>
      <w:r w:rsidR="00C77CC8" w:rsidRPr="00B35A22">
        <w:rPr>
          <w:sz w:val="22"/>
          <w:lang w:val="sr-Latn-ME"/>
        </w:rPr>
        <w:t>drugim l</w:t>
      </w:r>
      <w:r w:rsidR="006705A2" w:rsidRPr="00B35A22">
        <w:rPr>
          <w:sz w:val="22"/>
          <w:lang w:val="sr-Latn-ME"/>
        </w:rPr>
        <w:t>j</w:t>
      </w:r>
      <w:r w:rsidR="00C77CC8" w:rsidRPr="00B35A22">
        <w:rPr>
          <w:sz w:val="22"/>
          <w:lang w:val="sr-Latn-ME"/>
        </w:rPr>
        <w:t>ekovima</w:t>
      </w:r>
      <w:r w:rsidRPr="00B35A22">
        <w:rPr>
          <w:sz w:val="22"/>
          <w:lang w:val="sr-Latn-ME"/>
        </w:rPr>
        <w:t>, proc</w:t>
      </w:r>
      <w:r w:rsidR="00D96016" w:rsidRPr="00B35A22">
        <w:rPr>
          <w:sz w:val="22"/>
          <w:lang w:val="sr-Latn-ME"/>
        </w:rPr>
        <w:t>i</w:t>
      </w:r>
      <w:r w:rsidRPr="00B35A22">
        <w:rPr>
          <w:sz w:val="22"/>
          <w:lang w:val="sr-Latn-ME"/>
        </w:rPr>
        <w:t xml:space="preserve">jenjena je kod </w:t>
      </w:r>
      <w:r w:rsidR="00C96604" w:rsidRPr="00B35A22">
        <w:rPr>
          <w:sz w:val="22"/>
          <w:lang w:val="sr-Latn-ME"/>
        </w:rPr>
        <w:t>4</w:t>
      </w:r>
      <w:r w:rsidR="00574B7C" w:rsidRPr="00B35A22">
        <w:rPr>
          <w:sz w:val="22"/>
          <w:lang w:val="sr-Latn-ME"/>
        </w:rPr>
        <w:t>535</w:t>
      </w:r>
      <w:r w:rsidR="00C96604" w:rsidRPr="00B35A22">
        <w:rPr>
          <w:sz w:val="22"/>
          <w:lang w:val="sr-Latn-ME"/>
        </w:rPr>
        <w:t> </w:t>
      </w:r>
      <w:r w:rsidRPr="00B35A22">
        <w:rPr>
          <w:sz w:val="22"/>
          <w:lang w:val="sr-Latn-ME"/>
        </w:rPr>
        <w:t xml:space="preserve">pacijenta sa </w:t>
      </w:r>
      <w:r w:rsidR="00D5693E" w:rsidRPr="00B35A22">
        <w:rPr>
          <w:sz w:val="22"/>
          <w:lang w:val="sr-Latn-ME"/>
        </w:rPr>
        <w:t>različitim vrstama tumora</w:t>
      </w:r>
      <w:r w:rsidRPr="00B35A22">
        <w:rPr>
          <w:sz w:val="22"/>
          <w:lang w:val="sr-Latn-ME"/>
        </w:rPr>
        <w:t xml:space="preserve">. Najčešće neželjene reakcije (≥ 20%) bile su </w:t>
      </w:r>
      <w:r w:rsidR="007102CC" w:rsidRPr="00B35A22">
        <w:rPr>
          <w:sz w:val="22"/>
          <w:lang w:val="sr-Latn-ME"/>
        </w:rPr>
        <w:t>anemija (</w:t>
      </w:r>
      <w:r w:rsidR="00C96604" w:rsidRPr="00B35A22">
        <w:rPr>
          <w:sz w:val="22"/>
          <w:lang w:val="sr-Latn-ME"/>
        </w:rPr>
        <w:t>36,8</w:t>
      </w:r>
      <w:r w:rsidR="007102CC" w:rsidRPr="00B35A22">
        <w:rPr>
          <w:sz w:val="22"/>
          <w:lang w:val="sr-Latn-ME"/>
        </w:rPr>
        <w:t>%), neutropenija (</w:t>
      </w:r>
      <w:r w:rsidR="00C96604" w:rsidRPr="00B35A22">
        <w:rPr>
          <w:sz w:val="22"/>
          <w:lang w:val="sr-Latn-ME"/>
        </w:rPr>
        <w:t>3</w:t>
      </w:r>
      <w:r w:rsidR="00574B7C" w:rsidRPr="00B35A22">
        <w:rPr>
          <w:sz w:val="22"/>
          <w:lang w:val="sr-Latn-ME"/>
        </w:rPr>
        <w:t>6,6</w:t>
      </w:r>
      <w:r w:rsidR="007102CC" w:rsidRPr="00B35A22">
        <w:rPr>
          <w:sz w:val="22"/>
          <w:lang w:val="sr-Latn-ME"/>
        </w:rPr>
        <w:t xml:space="preserve">%), </w:t>
      </w:r>
      <w:r w:rsidR="00A40ABB" w:rsidRPr="00B35A22">
        <w:rPr>
          <w:sz w:val="22"/>
          <w:lang w:val="sr-Latn-ME"/>
        </w:rPr>
        <w:t>mučnina (</w:t>
      </w:r>
      <w:r w:rsidR="00574B7C" w:rsidRPr="00B35A22">
        <w:rPr>
          <w:sz w:val="22"/>
          <w:lang w:val="sr-Latn-ME"/>
        </w:rPr>
        <w:t>35,5</w:t>
      </w:r>
      <w:r w:rsidR="00D5693E" w:rsidRPr="00B35A22">
        <w:rPr>
          <w:sz w:val="22"/>
          <w:lang w:val="sr-Latn-ME"/>
        </w:rPr>
        <w:t xml:space="preserve">%), </w:t>
      </w:r>
      <w:r w:rsidR="0062185D" w:rsidRPr="00B35A22">
        <w:rPr>
          <w:sz w:val="22"/>
          <w:lang w:val="sr-Latn-ME"/>
        </w:rPr>
        <w:t>umor (</w:t>
      </w:r>
      <w:r w:rsidR="00C96604" w:rsidRPr="00B35A22">
        <w:rPr>
          <w:sz w:val="22"/>
          <w:lang w:val="sr-Latn-ME"/>
        </w:rPr>
        <w:t>33</w:t>
      </w:r>
      <w:r w:rsidR="007102CC" w:rsidRPr="00B35A22">
        <w:rPr>
          <w:sz w:val="22"/>
          <w:lang w:val="sr-Latn-ME"/>
        </w:rPr>
        <w:t>,</w:t>
      </w:r>
      <w:r w:rsidR="00574B7C" w:rsidRPr="00B35A22">
        <w:rPr>
          <w:sz w:val="22"/>
          <w:lang w:val="sr-Latn-ME"/>
        </w:rPr>
        <w:t>1</w:t>
      </w:r>
      <w:r w:rsidRPr="00B35A22">
        <w:rPr>
          <w:sz w:val="22"/>
          <w:lang w:val="sr-Latn-ME"/>
        </w:rPr>
        <w:t xml:space="preserve">%), </w:t>
      </w:r>
      <w:r w:rsidR="00574B7C" w:rsidRPr="00B35A22">
        <w:rPr>
          <w:sz w:val="22"/>
          <w:lang w:val="sr-Latn-ME"/>
        </w:rPr>
        <w:t xml:space="preserve">alopecija (28,1%), osip (27,8%), dijareja (27,6%), </w:t>
      </w:r>
      <w:r w:rsidR="007102CC" w:rsidRPr="00B35A22">
        <w:rPr>
          <w:sz w:val="22"/>
          <w:lang w:val="sr-Latn-ME"/>
        </w:rPr>
        <w:t>trombocitopenija (</w:t>
      </w:r>
      <w:r w:rsidR="00C96604" w:rsidRPr="00B35A22">
        <w:rPr>
          <w:sz w:val="22"/>
          <w:lang w:val="sr-Latn-ME"/>
        </w:rPr>
        <w:t>27</w:t>
      </w:r>
      <w:r w:rsidR="007102CC" w:rsidRPr="00B35A22">
        <w:rPr>
          <w:sz w:val="22"/>
          <w:lang w:val="sr-Latn-ME"/>
        </w:rPr>
        <w:t>,</w:t>
      </w:r>
      <w:r w:rsidR="00574B7C" w:rsidRPr="00B35A22">
        <w:rPr>
          <w:sz w:val="22"/>
          <w:lang w:val="sr-Latn-ME"/>
        </w:rPr>
        <w:t>1</w:t>
      </w:r>
      <w:r w:rsidR="007102CC" w:rsidRPr="00B35A22">
        <w:rPr>
          <w:sz w:val="22"/>
          <w:lang w:val="sr-Latn-ME"/>
        </w:rPr>
        <w:t>%)</w:t>
      </w:r>
      <w:r w:rsidR="00E03ED9" w:rsidRPr="00B35A22">
        <w:rPr>
          <w:sz w:val="22"/>
          <w:lang w:val="sr-Latn-ME"/>
        </w:rPr>
        <w:t>,</w:t>
      </w:r>
      <w:r w:rsidR="00574B7C" w:rsidRPr="00B35A22">
        <w:rPr>
          <w:sz w:val="22"/>
          <w:lang w:val="sr-Latn-ME"/>
        </w:rPr>
        <w:t xml:space="preserve"> </w:t>
      </w:r>
      <w:r w:rsidR="007102CC" w:rsidRPr="00B35A22">
        <w:rPr>
          <w:sz w:val="22"/>
          <w:lang w:val="sr-Latn-ME"/>
        </w:rPr>
        <w:t>konstipacija (</w:t>
      </w:r>
      <w:r w:rsidR="00C96604" w:rsidRPr="00B35A22">
        <w:rPr>
          <w:sz w:val="22"/>
          <w:lang w:val="sr-Latn-ME"/>
        </w:rPr>
        <w:t>25</w:t>
      </w:r>
      <w:r w:rsidR="007102CC" w:rsidRPr="00B35A22">
        <w:rPr>
          <w:sz w:val="22"/>
          <w:lang w:val="sr-Latn-ME"/>
        </w:rPr>
        <w:t>,</w:t>
      </w:r>
      <w:r w:rsidR="00574B7C" w:rsidRPr="00B35A22">
        <w:rPr>
          <w:sz w:val="22"/>
          <w:lang w:val="sr-Latn-ME"/>
        </w:rPr>
        <w:t>8</w:t>
      </w:r>
      <w:r w:rsidR="007102CC" w:rsidRPr="00B35A22">
        <w:rPr>
          <w:sz w:val="22"/>
          <w:lang w:val="sr-Latn-ME"/>
        </w:rPr>
        <w:t>%),</w:t>
      </w:r>
      <w:r w:rsidR="00C96604" w:rsidRPr="00B35A22">
        <w:rPr>
          <w:sz w:val="22"/>
          <w:lang w:val="sr-Latn-ME"/>
        </w:rPr>
        <w:t xml:space="preserve"> smanjen apetit (2</w:t>
      </w:r>
      <w:r w:rsidR="00574B7C" w:rsidRPr="00B35A22">
        <w:rPr>
          <w:sz w:val="22"/>
          <w:lang w:val="sr-Latn-ME"/>
        </w:rPr>
        <w:t>4</w:t>
      </w:r>
      <w:r w:rsidR="00C96604" w:rsidRPr="00B35A22">
        <w:rPr>
          <w:sz w:val="22"/>
          <w:lang w:val="sr-Latn-ME"/>
        </w:rPr>
        <w:t>,</w:t>
      </w:r>
      <w:r w:rsidR="00574B7C" w:rsidRPr="00B35A22">
        <w:rPr>
          <w:sz w:val="22"/>
          <w:lang w:val="sr-Latn-ME"/>
        </w:rPr>
        <w:t>7</w:t>
      </w:r>
      <w:r w:rsidR="00C96604" w:rsidRPr="00B35A22">
        <w:rPr>
          <w:sz w:val="22"/>
          <w:lang w:val="sr-Latn-ME"/>
        </w:rPr>
        <w:t>%) i</w:t>
      </w:r>
      <w:r w:rsidR="007102CC" w:rsidRPr="00B35A22">
        <w:rPr>
          <w:sz w:val="22"/>
          <w:lang w:val="sr-Latn-ME"/>
        </w:rPr>
        <w:t xml:space="preserve"> </w:t>
      </w:r>
      <w:r w:rsidR="00BB2FA0" w:rsidRPr="00B35A22">
        <w:rPr>
          <w:sz w:val="22"/>
          <w:lang w:val="sr-Latn-ME"/>
        </w:rPr>
        <w:t>periferna neuropatija (</w:t>
      </w:r>
      <w:r w:rsidR="00574B7C" w:rsidRPr="00B35A22">
        <w:rPr>
          <w:sz w:val="22"/>
          <w:lang w:val="sr-Latn-ME"/>
        </w:rPr>
        <w:t>24,4</w:t>
      </w:r>
      <w:r w:rsidR="00BB2FA0" w:rsidRPr="00B35A22">
        <w:rPr>
          <w:sz w:val="22"/>
          <w:lang w:val="sr-Latn-ME"/>
        </w:rPr>
        <w:t>%)</w:t>
      </w:r>
      <w:r w:rsidR="00C96604" w:rsidRPr="00B35A22">
        <w:rPr>
          <w:sz w:val="22"/>
          <w:lang w:val="sr-Latn-ME"/>
        </w:rPr>
        <w:t>.</w:t>
      </w:r>
    </w:p>
    <w:p w14:paraId="0B377578" w14:textId="77777777" w:rsidR="006A125B" w:rsidRPr="00B35A22" w:rsidRDefault="006A125B" w:rsidP="00B35A22">
      <w:pPr>
        <w:widowControl w:val="0"/>
        <w:jc w:val="both"/>
        <w:rPr>
          <w:sz w:val="22"/>
          <w:lang w:val="sr-Latn-ME"/>
        </w:rPr>
      </w:pPr>
    </w:p>
    <w:p w14:paraId="0FDC8625" w14:textId="77777777" w:rsidR="00441159" w:rsidRPr="00B35A22" w:rsidRDefault="00441159" w:rsidP="00B35A22">
      <w:pPr>
        <w:widowControl w:val="0"/>
        <w:jc w:val="both"/>
        <w:rPr>
          <w:i/>
          <w:sz w:val="22"/>
          <w:u w:val="single"/>
          <w:lang w:val="sr-Latn-ME"/>
        </w:rPr>
      </w:pPr>
      <w:r w:rsidRPr="00B35A22">
        <w:rPr>
          <w:i/>
          <w:sz w:val="22"/>
          <w:u w:val="single"/>
          <w:lang w:val="sr-Latn-ME"/>
        </w:rPr>
        <w:t>Primjena atezolizumaba za adjuvantno liječenje NSCLC</w:t>
      </w:r>
      <w:r w:rsidRPr="00B35A22">
        <w:rPr>
          <w:i/>
          <w:sz w:val="22"/>
          <w:u w:val="single"/>
          <w:lang w:val="sr-Latn-ME"/>
        </w:rPr>
        <w:noBreakHyphen/>
        <w:t>a</w:t>
      </w:r>
    </w:p>
    <w:p w14:paraId="1A12F875" w14:textId="77777777" w:rsidR="00441159" w:rsidRPr="00B35A22" w:rsidRDefault="00441159" w:rsidP="00B35A22">
      <w:pPr>
        <w:widowControl w:val="0"/>
        <w:jc w:val="both"/>
        <w:rPr>
          <w:sz w:val="22"/>
          <w:lang w:val="sr-Latn-ME"/>
        </w:rPr>
      </w:pPr>
    </w:p>
    <w:p w14:paraId="64D27120" w14:textId="0B44DF57" w:rsidR="00441159" w:rsidRPr="00B35A22" w:rsidRDefault="00441159" w:rsidP="00B35A22">
      <w:pPr>
        <w:widowControl w:val="0"/>
        <w:jc w:val="both"/>
        <w:rPr>
          <w:sz w:val="22"/>
          <w:lang w:val="sr-Latn-ME"/>
        </w:rPr>
      </w:pPr>
      <w:r w:rsidRPr="00B35A22">
        <w:rPr>
          <w:sz w:val="22"/>
          <w:lang w:val="sr-Latn-ME"/>
        </w:rPr>
        <w:t>Bezbjednosni profil atezolizumaba u adjuvantnom liječenju populacije pacijenata sa nesitnoćelijskim karcinomom pluća (NSCLC) (ispitivanje IMpower010) je odgovarao sveukupnom objedinjenom bezbjednosnom profilu lijeka kod primjene u monoterapiji za liječenje uznapredovale bolesti. Ipak, incidenca imunski uzrokovanih neželjenih reakcija atezolizumaba u ispitivanju IMpower010 iznosila je 51,7%, u poređenju sa 38,4% u objedinjenoj populaciji sa uznapredovalom bolešću koja je primala monoterapiju. Tokom adjuvantnog liječenja nijesu primijećene nove imunski uzrokovane neželjene reakcije.</w:t>
      </w:r>
    </w:p>
    <w:p w14:paraId="784AC38B" w14:textId="77777777" w:rsidR="00441159" w:rsidRPr="00B35A22" w:rsidRDefault="00441159" w:rsidP="00B35A22">
      <w:pPr>
        <w:widowControl w:val="0"/>
        <w:jc w:val="both"/>
        <w:rPr>
          <w:sz w:val="22"/>
          <w:lang w:val="sr-Latn-ME"/>
        </w:rPr>
      </w:pPr>
    </w:p>
    <w:p w14:paraId="673CB36A" w14:textId="77777777" w:rsidR="00441159" w:rsidRPr="00B35A22" w:rsidRDefault="00441159" w:rsidP="00B35A22">
      <w:pPr>
        <w:widowControl w:val="0"/>
        <w:jc w:val="both"/>
        <w:rPr>
          <w:i/>
          <w:sz w:val="22"/>
          <w:u w:val="single"/>
          <w:lang w:val="sr-Latn-ME"/>
        </w:rPr>
      </w:pPr>
      <w:r w:rsidRPr="00B35A22">
        <w:rPr>
          <w:i/>
          <w:sz w:val="22"/>
          <w:u w:val="single"/>
          <w:lang w:val="sr-Latn-ME"/>
        </w:rPr>
        <w:t xml:space="preserve">Primjena atezolizumaba u kombinaciji sa bevacizumabom, paklitakselom i karboplatinom </w:t>
      </w:r>
    </w:p>
    <w:p w14:paraId="1EBBD688" w14:textId="77777777" w:rsidR="00441159" w:rsidRPr="00B35A22" w:rsidRDefault="00441159" w:rsidP="00B35A22">
      <w:pPr>
        <w:widowControl w:val="0"/>
        <w:jc w:val="both"/>
        <w:rPr>
          <w:i/>
          <w:sz w:val="22"/>
          <w:u w:val="single"/>
          <w:lang w:val="sr-Latn-ME"/>
        </w:rPr>
      </w:pPr>
    </w:p>
    <w:p w14:paraId="2721DDE6" w14:textId="77777777" w:rsidR="00441159" w:rsidRPr="00B35A22" w:rsidRDefault="00441159" w:rsidP="00B35A22">
      <w:pPr>
        <w:widowControl w:val="0"/>
        <w:jc w:val="both"/>
        <w:rPr>
          <w:sz w:val="22"/>
          <w:lang w:val="sr-Latn-ME"/>
        </w:rPr>
      </w:pPr>
      <w:r w:rsidRPr="00B35A22">
        <w:rPr>
          <w:sz w:val="22"/>
          <w:lang w:val="sr-Latn-ME"/>
        </w:rPr>
        <w:t>U ispitivanju prve linije liječenja NSCLC</w:t>
      </w:r>
      <w:r w:rsidRPr="00B35A22">
        <w:rPr>
          <w:sz w:val="22"/>
          <w:lang w:val="sr-Latn-ME"/>
        </w:rPr>
        <w:noBreakHyphen/>
        <w:t xml:space="preserve">a (IMpower150), u grupi koja je primala četvorostruki protokol koji je uključivao atezolizumab, bevacizumab, paklitaksel i karboplatin primijećena je ukupno </w:t>
      </w:r>
      <w:r w:rsidRPr="00B35A22">
        <w:rPr>
          <w:sz w:val="22"/>
          <w:lang w:val="sr-Latn-ME"/>
        </w:rPr>
        <w:lastRenderedPageBreak/>
        <w:t xml:space="preserve">veća učestalost neželjenih događaja nego u grupi koja je primala atezolizumab, paklitaksel i karboplatin, uključujući događaje gradusa 3 i gradusa 4 (63,6% u odnosu na 57,5%), događaje gradusa 5 (6,1% u odnosu na 2,5%), neželjene događaje od posebnog značaja za atezolizumab (52,4% u odnosu na 48,0%) kao i neželjene događaje koji su doveli do prekida primjene bilo kojeg od ljekova u ispitivanju (33,8% u odnosu na 13,3%). Mučnina, dijareja, stomatitis, umor, pireksija, upala sluznice, smanjen apetit, smanjena tjelesna masa, hipertenzija i proteinurija prijavljeni su sa većom učestalošću (razlika </w:t>
      </w:r>
      <w:r w:rsidRPr="00B35A22">
        <w:rPr>
          <w:sz w:val="22"/>
          <w:lang w:val="sr-Latn-ME"/>
        </w:rPr>
        <w:sym w:font="Symbol" w:char="F0B3"/>
      </w:r>
      <w:r w:rsidRPr="00B35A22">
        <w:rPr>
          <w:sz w:val="22"/>
          <w:lang w:val="sr-Latn-ME"/>
        </w:rPr>
        <w:t> 5%) kod pacijenata koji su primali atezolizumab u kombinaciji sa bevacizumabom, paklitakselom i karboplatinom. Drugi klinički značajni neželjeni događaji primijećeni češće u grupi koja je primala atezolizumab, bevacizumab, paklitaksel i karboplatin bili su epistaksa, hemoptiza i cerebrovaskularni incident, uključujući smrtne slučajeve.</w:t>
      </w:r>
    </w:p>
    <w:p w14:paraId="5071E2CF" w14:textId="77777777" w:rsidR="00441159" w:rsidRPr="00B35A22" w:rsidRDefault="00441159" w:rsidP="00B35A22">
      <w:pPr>
        <w:widowControl w:val="0"/>
        <w:jc w:val="both"/>
        <w:rPr>
          <w:sz w:val="22"/>
          <w:lang w:val="sr-Latn-ME"/>
        </w:rPr>
      </w:pPr>
      <w:r w:rsidRPr="00B35A22">
        <w:rPr>
          <w:sz w:val="22"/>
          <w:lang w:val="sr-Latn-ME"/>
        </w:rPr>
        <w:t xml:space="preserve"> </w:t>
      </w:r>
    </w:p>
    <w:p w14:paraId="69A22607" w14:textId="6AF4E7EA" w:rsidR="006A125B" w:rsidRPr="00B35A22" w:rsidRDefault="006A125B" w:rsidP="00B35A22">
      <w:pPr>
        <w:widowControl w:val="0"/>
        <w:jc w:val="both"/>
        <w:rPr>
          <w:sz w:val="22"/>
          <w:lang w:val="sr-Latn-ME"/>
        </w:rPr>
      </w:pPr>
      <w:r w:rsidRPr="00B35A22">
        <w:rPr>
          <w:sz w:val="22"/>
          <w:lang w:val="sr-Latn-ME"/>
        </w:rPr>
        <w:t>Više detalja o ozbiljnim neželjenim reakcijama navedeno je u dijelu 4.4</w:t>
      </w:r>
      <w:r w:rsidR="00E14959" w:rsidRPr="00B35A22">
        <w:rPr>
          <w:sz w:val="22"/>
          <w:lang w:val="sr-Latn-ME"/>
        </w:rPr>
        <w:t>.</w:t>
      </w:r>
    </w:p>
    <w:p w14:paraId="4CC5DC3B" w14:textId="7715F9BF" w:rsidR="000A26D9" w:rsidRPr="00B35A22" w:rsidRDefault="000A26D9" w:rsidP="00B35A22">
      <w:pPr>
        <w:widowControl w:val="0"/>
        <w:jc w:val="both"/>
        <w:rPr>
          <w:sz w:val="22"/>
          <w:lang w:val="sr-Latn-ME"/>
        </w:rPr>
      </w:pPr>
      <w:r w:rsidRPr="00B35A22">
        <w:rPr>
          <w:sz w:val="22"/>
          <w:lang w:val="sr-Latn-ME"/>
        </w:rPr>
        <w:t xml:space="preserve"> </w:t>
      </w:r>
    </w:p>
    <w:p w14:paraId="5D9E9E8B" w14:textId="77777777" w:rsidR="000A26D9" w:rsidRPr="00B35A22" w:rsidRDefault="000A26D9" w:rsidP="00B35A22">
      <w:pPr>
        <w:widowControl w:val="0"/>
        <w:jc w:val="both"/>
        <w:rPr>
          <w:sz w:val="22"/>
          <w:u w:val="single"/>
          <w:lang w:val="sr-Latn-ME"/>
        </w:rPr>
      </w:pPr>
      <w:r w:rsidRPr="00B35A22">
        <w:rPr>
          <w:sz w:val="22"/>
          <w:u w:val="single"/>
          <w:lang w:val="sr-Latn-ME"/>
        </w:rPr>
        <w:t xml:space="preserve">Tabelarni prikaz neželjenih dejstava </w:t>
      </w:r>
    </w:p>
    <w:p w14:paraId="7961BEF9" w14:textId="5E5DADBF" w:rsidR="000A26D9" w:rsidRPr="00B35A22" w:rsidRDefault="006A125B" w:rsidP="00B35A22">
      <w:pPr>
        <w:widowControl w:val="0"/>
        <w:jc w:val="both"/>
        <w:rPr>
          <w:sz w:val="22"/>
          <w:lang w:val="sr-Latn-ME"/>
        </w:rPr>
      </w:pPr>
      <w:r w:rsidRPr="00B35A22">
        <w:rPr>
          <w:sz w:val="22"/>
          <w:lang w:val="sr-Latn-ME"/>
        </w:rPr>
        <w:t>N</w:t>
      </w:r>
      <w:r w:rsidR="000A26D9" w:rsidRPr="00B35A22">
        <w:rPr>
          <w:sz w:val="22"/>
          <w:lang w:val="sr-Latn-ME"/>
        </w:rPr>
        <w:t xml:space="preserve">eželjena dejstva </w:t>
      </w:r>
      <w:r w:rsidRPr="00B35A22">
        <w:rPr>
          <w:sz w:val="22"/>
          <w:lang w:val="sr-Latn-ME"/>
        </w:rPr>
        <w:t xml:space="preserve"> na l</w:t>
      </w:r>
      <w:r w:rsidR="00042108" w:rsidRPr="00B35A22">
        <w:rPr>
          <w:sz w:val="22"/>
          <w:lang w:val="sr-Latn-ME"/>
        </w:rPr>
        <w:t>ij</w:t>
      </w:r>
      <w:r w:rsidRPr="00B35A22">
        <w:rPr>
          <w:sz w:val="22"/>
          <w:lang w:val="sr-Latn-ME"/>
        </w:rPr>
        <w:t xml:space="preserve">ek (ADRs), </w:t>
      </w:r>
      <w:r w:rsidR="000A26D9" w:rsidRPr="00B35A22">
        <w:rPr>
          <w:sz w:val="22"/>
          <w:lang w:val="sr-Latn-ME"/>
        </w:rPr>
        <w:t>navedena prema MedDRA klasifikaciji organskih sistema</w:t>
      </w:r>
      <w:r w:rsidRPr="00B35A22">
        <w:rPr>
          <w:sz w:val="22"/>
          <w:lang w:val="sr-Latn-ME"/>
        </w:rPr>
        <w:t xml:space="preserve"> (SOC)</w:t>
      </w:r>
      <w:r w:rsidR="000A26D9" w:rsidRPr="00B35A22">
        <w:rPr>
          <w:sz w:val="22"/>
          <w:lang w:val="sr-Latn-ME"/>
        </w:rPr>
        <w:t xml:space="preserve"> i učestalosti ispoljavanja</w:t>
      </w:r>
      <w:r w:rsidRPr="00B35A22">
        <w:rPr>
          <w:sz w:val="22"/>
          <w:lang w:val="sr-Latn-ME"/>
        </w:rPr>
        <w:t xml:space="preserve">, </w:t>
      </w:r>
      <w:r w:rsidRPr="00B35A22">
        <w:rPr>
          <w:lang w:val="sr-Latn-ME"/>
        </w:rPr>
        <w:t xml:space="preserve">prikazane su u Tabeli </w:t>
      </w:r>
      <w:r w:rsidR="001C2391" w:rsidRPr="00B35A22">
        <w:rPr>
          <w:lang w:val="sr-Latn-ME"/>
        </w:rPr>
        <w:t>3</w:t>
      </w:r>
      <w:r w:rsidRPr="00B35A22">
        <w:rPr>
          <w:lang w:val="sr-Latn-ME"/>
        </w:rPr>
        <w:t>, za atezolizumab primjenjen u monoterapiji ili kombinovanoj terapiji. Tokom liječenja ovim l</w:t>
      </w:r>
      <w:r w:rsidR="00042108" w:rsidRPr="00B35A22">
        <w:rPr>
          <w:lang w:val="sr-Latn-ME"/>
        </w:rPr>
        <w:t>j</w:t>
      </w:r>
      <w:r w:rsidRPr="00B35A22">
        <w:rPr>
          <w:lang w:val="sr-Latn-ME"/>
        </w:rPr>
        <w:t>ekovima u kombinovanoj terapiji mo</w:t>
      </w:r>
      <w:r w:rsidR="00D96016" w:rsidRPr="00B35A22">
        <w:rPr>
          <w:lang w:val="sr-Latn-ME"/>
        </w:rPr>
        <w:t>g</w:t>
      </w:r>
      <w:r w:rsidRPr="00B35A22">
        <w:rPr>
          <w:lang w:val="sr-Latn-ME"/>
        </w:rPr>
        <w:t>u se javiti neželjene reakcije koje se javljaju na atezolizumab ili hemioterapiju kada se primjenjuju kao monoterapija, čak i ako te reakcije ni</w:t>
      </w:r>
      <w:r w:rsidR="00D96016" w:rsidRPr="00B35A22">
        <w:rPr>
          <w:lang w:val="sr-Latn-ME"/>
        </w:rPr>
        <w:t>je</w:t>
      </w:r>
      <w:r w:rsidRPr="00B35A22">
        <w:rPr>
          <w:lang w:val="sr-Latn-ME"/>
        </w:rPr>
        <w:t>su prijavljene u kliničkim ispitivanjima u kombinovanoj terapiji.</w:t>
      </w:r>
      <w:r w:rsidR="000A26D9" w:rsidRPr="00B35A22">
        <w:rPr>
          <w:sz w:val="22"/>
          <w:lang w:val="sr-Latn-ME"/>
        </w:rPr>
        <w:t xml:space="preserve"> Za određivanje učestalosti korišćene su sljedeće kategorije:</w:t>
      </w:r>
    </w:p>
    <w:p w14:paraId="35E8516A" w14:textId="77777777" w:rsidR="000A26D9" w:rsidRPr="00B35A22" w:rsidRDefault="000A26D9" w:rsidP="00B35A22">
      <w:pPr>
        <w:widowControl w:val="0"/>
        <w:jc w:val="both"/>
        <w:rPr>
          <w:sz w:val="22"/>
          <w:lang w:val="sr-Latn-ME"/>
        </w:rPr>
      </w:pPr>
    </w:p>
    <w:p w14:paraId="2C882C32" w14:textId="77777777" w:rsidR="000A26D9" w:rsidRPr="00B35A22" w:rsidRDefault="000A26D9" w:rsidP="00B35A22">
      <w:pPr>
        <w:widowControl w:val="0"/>
        <w:jc w:val="both"/>
        <w:rPr>
          <w:sz w:val="22"/>
          <w:lang w:val="sr-Latn-ME"/>
        </w:rPr>
      </w:pPr>
      <w:r w:rsidRPr="00B35A22">
        <w:rPr>
          <w:sz w:val="22"/>
          <w:lang w:val="sr-Latn-ME"/>
        </w:rPr>
        <w:t>Veoma često ≥ 1/10</w:t>
      </w:r>
    </w:p>
    <w:p w14:paraId="7F144816" w14:textId="77777777" w:rsidR="000A26D9" w:rsidRPr="00B35A22" w:rsidRDefault="000A26D9" w:rsidP="00B35A22">
      <w:pPr>
        <w:widowControl w:val="0"/>
        <w:jc w:val="both"/>
        <w:rPr>
          <w:sz w:val="22"/>
          <w:lang w:val="sr-Latn-ME"/>
        </w:rPr>
      </w:pPr>
      <w:r w:rsidRPr="00B35A22">
        <w:rPr>
          <w:sz w:val="22"/>
          <w:lang w:val="sr-Latn-ME"/>
        </w:rPr>
        <w:t>Često ≥ 1/100 i &lt; 1/10</w:t>
      </w:r>
    </w:p>
    <w:p w14:paraId="481E7099" w14:textId="77777777" w:rsidR="000A26D9" w:rsidRPr="00B35A22" w:rsidRDefault="000A26D9" w:rsidP="00B35A22">
      <w:pPr>
        <w:widowControl w:val="0"/>
        <w:jc w:val="both"/>
        <w:rPr>
          <w:sz w:val="22"/>
          <w:lang w:val="sr-Latn-ME"/>
        </w:rPr>
      </w:pPr>
      <w:r w:rsidRPr="00B35A22">
        <w:rPr>
          <w:sz w:val="22"/>
          <w:lang w:val="sr-Latn-ME"/>
        </w:rPr>
        <w:t>Povremeno ≥ 1/1000 i &lt; 1/100</w:t>
      </w:r>
    </w:p>
    <w:p w14:paraId="52D27A1E" w14:textId="77777777" w:rsidR="000A26D9" w:rsidRPr="00B35A22" w:rsidRDefault="000A26D9" w:rsidP="00B35A22">
      <w:pPr>
        <w:widowControl w:val="0"/>
        <w:jc w:val="both"/>
        <w:rPr>
          <w:sz w:val="22"/>
          <w:lang w:val="sr-Latn-ME"/>
        </w:rPr>
      </w:pPr>
      <w:r w:rsidRPr="00B35A22">
        <w:rPr>
          <w:sz w:val="22"/>
          <w:lang w:val="sr-Latn-ME"/>
        </w:rPr>
        <w:t xml:space="preserve">Rijetko ≥ 1/10 000 i &lt; 1/1000 </w:t>
      </w:r>
    </w:p>
    <w:p w14:paraId="6FA3B73F" w14:textId="7426DD53" w:rsidR="000A26D9" w:rsidRPr="00B35A22" w:rsidRDefault="000A26D9" w:rsidP="00B35A22">
      <w:pPr>
        <w:widowControl w:val="0"/>
        <w:jc w:val="both"/>
        <w:rPr>
          <w:sz w:val="22"/>
          <w:lang w:val="sr-Latn-ME"/>
        </w:rPr>
      </w:pPr>
      <w:r w:rsidRPr="00B35A22">
        <w:rPr>
          <w:sz w:val="22"/>
          <w:lang w:val="sr-Latn-ME"/>
        </w:rPr>
        <w:t>Veoma rijetko &lt; 1/10 000.</w:t>
      </w:r>
    </w:p>
    <w:p w14:paraId="1205A43A" w14:textId="6BD4BB88" w:rsidR="00674F13" w:rsidRPr="00B35A22" w:rsidRDefault="00674F13" w:rsidP="00B35A22">
      <w:pPr>
        <w:widowControl w:val="0"/>
        <w:jc w:val="both"/>
        <w:rPr>
          <w:sz w:val="22"/>
          <w:lang w:val="sr-Latn-ME"/>
        </w:rPr>
      </w:pPr>
      <w:r w:rsidRPr="00B35A22">
        <w:rPr>
          <w:lang w:val="sr-Latn-ME"/>
        </w:rPr>
        <w:t xml:space="preserve">Nepoznato (ne može se procijeniti </w:t>
      </w:r>
      <w:r w:rsidR="00E61018" w:rsidRPr="00B35A22">
        <w:rPr>
          <w:lang w:val="sr-Latn-ME"/>
        </w:rPr>
        <w:t xml:space="preserve">na osnovu </w:t>
      </w:r>
      <w:r w:rsidRPr="00B35A22">
        <w:rPr>
          <w:lang w:val="sr-Latn-ME"/>
        </w:rPr>
        <w:t>dostupnih podataka).</w:t>
      </w:r>
    </w:p>
    <w:p w14:paraId="76B9F0BB" w14:textId="77777777" w:rsidR="000A26D9" w:rsidRPr="00B35A22" w:rsidRDefault="000A26D9" w:rsidP="00B35A22">
      <w:pPr>
        <w:widowControl w:val="0"/>
        <w:jc w:val="both"/>
        <w:rPr>
          <w:sz w:val="22"/>
          <w:lang w:val="sr-Latn-ME"/>
        </w:rPr>
      </w:pPr>
    </w:p>
    <w:p w14:paraId="56553815" w14:textId="77777777" w:rsidR="000A26D9" w:rsidRPr="00B35A22" w:rsidRDefault="000A26D9" w:rsidP="00B35A22">
      <w:pPr>
        <w:widowControl w:val="0"/>
        <w:jc w:val="both"/>
        <w:rPr>
          <w:sz w:val="22"/>
          <w:lang w:val="sr-Latn-ME"/>
        </w:rPr>
      </w:pPr>
      <w:r w:rsidRPr="00B35A22">
        <w:rPr>
          <w:sz w:val="22"/>
          <w:lang w:val="sr-Latn-ME"/>
        </w:rPr>
        <w:t xml:space="preserve">U okviru svake kategorije učestalosti neželjena dejstva su navedena u padajućem nizu prema ozbiljnosti. </w:t>
      </w:r>
    </w:p>
    <w:p w14:paraId="1E556B1A" w14:textId="77777777" w:rsidR="000A26D9" w:rsidRPr="00B35A22" w:rsidRDefault="000A26D9" w:rsidP="00B35A22">
      <w:pPr>
        <w:widowControl w:val="0"/>
        <w:jc w:val="both"/>
        <w:rPr>
          <w:sz w:val="22"/>
          <w:lang w:val="sr-Latn-ME"/>
        </w:rPr>
      </w:pPr>
    </w:p>
    <w:p w14:paraId="4DFA8662" w14:textId="2E7CCAD8" w:rsidR="000A26D9" w:rsidRPr="00B35A22" w:rsidRDefault="000A26D9" w:rsidP="00B35A22">
      <w:pPr>
        <w:widowControl w:val="0"/>
        <w:ind w:left="885" w:hanging="885"/>
        <w:jc w:val="both"/>
        <w:rPr>
          <w:b/>
          <w:sz w:val="22"/>
          <w:lang w:val="sr-Latn-ME"/>
        </w:rPr>
      </w:pPr>
      <w:r w:rsidRPr="00B35A22">
        <w:rPr>
          <w:b/>
          <w:sz w:val="22"/>
          <w:lang w:val="sr-Latn-ME"/>
        </w:rPr>
        <w:t>Tabela </w:t>
      </w:r>
      <w:r w:rsidR="00E14959" w:rsidRPr="00B35A22">
        <w:rPr>
          <w:b/>
          <w:sz w:val="22"/>
          <w:lang w:val="sr-Latn-ME"/>
        </w:rPr>
        <w:t>3</w:t>
      </w:r>
      <w:r w:rsidRPr="00B35A22">
        <w:rPr>
          <w:b/>
          <w:sz w:val="22"/>
          <w:lang w:val="sr-Latn-ME"/>
        </w:rPr>
        <w:t xml:space="preserve">  Sažeti prikaz neželjenih dejstava koja su se javila kod pacijenata liječenih </w:t>
      </w:r>
      <w:r w:rsidR="00B40CCA" w:rsidRPr="00B35A22">
        <w:rPr>
          <w:b/>
          <w:sz w:val="22"/>
          <w:lang w:val="sr-Latn-ME"/>
        </w:rPr>
        <w:t xml:space="preserve">atezolizumabom </w:t>
      </w:r>
    </w:p>
    <w:p w14:paraId="0B36C62B" w14:textId="77777777" w:rsidR="00B40CCA" w:rsidRPr="00B35A22" w:rsidRDefault="00B40CCA" w:rsidP="00B35A22">
      <w:pPr>
        <w:widowControl w:val="0"/>
        <w:ind w:left="885" w:hanging="885"/>
        <w:jc w:val="both"/>
        <w:rPr>
          <w:b/>
          <w:sz w:val="22"/>
          <w:lang w:val="sr-Latn-ME"/>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3989"/>
        <w:gridCol w:w="3389"/>
      </w:tblGrid>
      <w:tr w:rsidR="00B40CCA" w:rsidRPr="00B35A22" w14:paraId="2EBFEC38" w14:textId="77777777" w:rsidTr="0065270B">
        <w:trPr>
          <w:cantSplit/>
        </w:trPr>
        <w:tc>
          <w:tcPr>
            <w:tcW w:w="3147" w:type="pct"/>
            <w:gridSpan w:val="2"/>
          </w:tcPr>
          <w:p w14:paraId="4A5C7B6B" w14:textId="77777777" w:rsidR="00B40CCA" w:rsidRPr="00B35A22" w:rsidRDefault="00B40CCA" w:rsidP="00B35A22">
            <w:pPr>
              <w:widowControl w:val="0"/>
              <w:jc w:val="center"/>
              <w:rPr>
                <w:b/>
                <w:sz w:val="22"/>
                <w:lang w:val="sr-Latn-ME"/>
              </w:rPr>
            </w:pPr>
            <w:r w:rsidRPr="00B35A22">
              <w:rPr>
                <w:b/>
                <w:sz w:val="22"/>
                <w:lang w:val="sr-Latn-ME"/>
              </w:rPr>
              <w:t>Atezolizumab u monoterapiji</w:t>
            </w:r>
          </w:p>
        </w:tc>
        <w:tc>
          <w:tcPr>
            <w:tcW w:w="1853" w:type="pct"/>
          </w:tcPr>
          <w:p w14:paraId="58F79FF2" w14:textId="77777777" w:rsidR="00B40CCA" w:rsidRPr="00B35A22" w:rsidRDefault="00B40CCA" w:rsidP="00B35A22">
            <w:pPr>
              <w:widowControl w:val="0"/>
              <w:jc w:val="center"/>
              <w:rPr>
                <w:b/>
                <w:sz w:val="22"/>
                <w:lang w:val="sr-Latn-ME"/>
              </w:rPr>
            </w:pPr>
            <w:r w:rsidRPr="00B35A22">
              <w:rPr>
                <w:b/>
                <w:sz w:val="22"/>
                <w:lang w:val="sr-Latn-ME"/>
              </w:rPr>
              <w:t>Atezolizumab u kombinovanoj terapiji</w:t>
            </w:r>
          </w:p>
        </w:tc>
      </w:tr>
      <w:tr w:rsidR="00B40CCA" w:rsidRPr="00B35A22" w14:paraId="107ECAAF" w14:textId="77777777" w:rsidTr="0065270B">
        <w:trPr>
          <w:cantSplit/>
        </w:trPr>
        <w:tc>
          <w:tcPr>
            <w:tcW w:w="5000" w:type="pct"/>
            <w:gridSpan w:val="3"/>
          </w:tcPr>
          <w:p w14:paraId="13D5EA00" w14:textId="77777777" w:rsidR="00B40CCA" w:rsidRPr="00B35A22" w:rsidRDefault="00B40CCA" w:rsidP="00B35A22">
            <w:pPr>
              <w:widowControl w:val="0"/>
              <w:jc w:val="both"/>
              <w:rPr>
                <w:b/>
                <w:sz w:val="22"/>
                <w:lang w:val="sr-Latn-ME"/>
              </w:rPr>
            </w:pPr>
            <w:r w:rsidRPr="00B35A22">
              <w:rPr>
                <w:b/>
                <w:sz w:val="22"/>
                <w:lang w:val="sr-Latn-ME"/>
              </w:rPr>
              <w:t>Infekcije i infestacije</w:t>
            </w:r>
          </w:p>
        </w:tc>
      </w:tr>
      <w:tr w:rsidR="00B40CCA" w:rsidRPr="00B35A22" w14:paraId="42D8A2BA" w14:textId="77777777" w:rsidTr="0065270B">
        <w:trPr>
          <w:cantSplit/>
        </w:trPr>
        <w:tc>
          <w:tcPr>
            <w:tcW w:w="966" w:type="pct"/>
          </w:tcPr>
          <w:p w14:paraId="6B325664" w14:textId="04C02D61" w:rsidR="00B40CCA" w:rsidRPr="00B35A22" w:rsidRDefault="00B40CCA" w:rsidP="00B35A22">
            <w:pPr>
              <w:widowControl w:val="0"/>
              <w:jc w:val="both"/>
              <w:rPr>
                <w:sz w:val="22"/>
                <w:lang w:val="sr-Latn-ME"/>
              </w:rPr>
            </w:pPr>
            <w:r w:rsidRPr="00B35A22">
              <w:rPr>
                <w:sz w:val="22"/>
                <w:lang w:val="sr-Latn-ME"/>
              </w:rPr>
              <w:t>Veoma često</w:t>
            </w:r>
          </w:p>
        </w:tc>
        <w:tc>
          <w:tcPr>
            <w:tcW w:w="2181" w:type="pct"/>
          </w:tcPr>
          <w:p w14:paraId="05292AB9" w14:textId="09379F89" w:rsidR="00B40CCA" w:rsidRPr="00B35A22" w:rsidRDefault="00D5693E" w:rsidP="00B35A22">
            <w:pPr>
              <w:widowControl w:val="0"/>
              <w:jc w:val="both"/>
              <w:rPr>
                <w:rFonts w:eastAsia="MS Mincho"/>
                <w:sz w:val="22"/>
                <w:vertAlign w:val="superscript"/>
                <w:lang w:val="sr-Latn-ME"/>
              </w:rPr>
            </w:pPr>
            <w:r w:rsidRPr="00B35A22">
              <w:rPr>
                <w:sz w:val="22"/>
                <w:lang w:val="sr-Latn-ME"/>
              </w:rPr>
              <w:t xml:space="preserve">infekcija </w:t>
            </w:r>
            <w:r w:rsidR="00B40CCA" w:rsidRPr="00B35A22">
              <w:rPr>
                <w:sz w:val="22"/>
                <w:lang w:val="sr-Latn-ME"/>
              </w:rPr>
              <w:t>mokraćnih puteva</w:t>
            </w:r>
            <w:r w:rsidR="00B40CCA" w:rsidRPr="00B35A22">
              <w:rPr>
                <w:sz w:val="22"/>
                <w:vertAlign w:val="superscript"/>
                <w:lang w:val="sr-Latn-ME"/>
              </w:rPr>
              <w:t>a</w:t>
            </w:r>
          </w:p>
        </w:tc>
        <w:tc>
          <w:tcPr>
            <w:tcW w:w="1853" w:type="pct"/>
          </w:tcPr>
          <w:p w14:paraId="1758C05E" w14:textId="1A9B522C" w:rsidR="00B40CCA" w:rsidRPr="00B35A22" w:rsidRDefault="00165BC0" w:rsidP="00B35A22">
            <w:pPr>
              <w:widowControl w:val="0"/>
              <w:jc w:val="both"/>
              <w:rPr>
                <w:sz w:val="22"/>
                <w:lang w:val="sr-Latn-ME"/>
              </w:rPr>
            </w:pPr>
            <w:r w:rsidRPr="00B35A22">
              <w:rPr>
                <w:sz w:val="22"/>
                <w:lang w:val="sr-Latn-ME"/>
              </w:rPr>
              <w:t>plućna infekcija</w:t>
            </w:r>
            <w:r w:rsidRPr="00B35A22">
              <w:rPr>
                <w:sz w:val="22"/>
                <w:vertAlign w:val="superscript"/>
                <w:lang w:val="sr-Latn-ME"/>
              </w:rPr>
              <w:t>b</w:t>
            </w:r>
          </w:p>
        </w:tc>
      </w:tr>
      <w:tr w:rsidR="00C96604" w:rsidRPr="00B35A22" w14:paraId="3FFA40CB" w14:textId="77777777" w:rsidTr="0065270B">
        <w:trPr>
          <w:cantSplit/>
        </w:trPr>
        <w:tc>
          <w:tcPr>
            <w:tcW w:w="966" w:type="pct"/>
          </w:tcPr>
          <w:p w14:paraId="295EB917" w14:textId="1D58ADF0" w:rsidR="00C96604" w:rsidRPr="00B35A22" w:rsidRDefault="00C96604" w:rsidP="00B35A22">
            <w:pPr>
              <w:widowControl w:val="0"/>
              <w:jc w:val="both"/>
              <w:rPr>
                <w:sz w:val="22"/>
                <w:lang w:val="sr-Latn-ME"/>
              </w:rPr>
            </w:pPr>
            <w:r w:rsidRPr="00B35A22">
              <w:rPr>
                <w:sz w:val="22"/>
                <w:lang w:val="sr-Latn-ME"/>
              </w:rPr>
              <w:t>Često</w:t>
            </w:r>
          </w:p>
        </w:tc>
        <w:tc>
          <w:tcPr>
            <w:tcW w:w="2181" w:type="pct"/>
          </w:tcPr>
          <w:p w14:paraId="31EF6E3D" w14:textId="77777777" w:rsidR="00C96604" w:rsidRPr="00B35A22" w:rsidRDefault="00C96604" w:rsidP="00B35A22">
            <w:pPr>
              <w:widowControl w:val="0"/>
              <w:jc w:val="both"/>
              <w:rPr>
                <w:sz w:val="22"/>
                <w:lang w:val="sr-Latn-ME"/>
              </w:rPr>
            </w:pPr>
          </w:p>
        </w:tc>
        <w:tc>
          <w:tcPr>
            <w:tcW w:w="1853" w:type="pct"/>
          </w:tcPr>
          <w:p w14:paraId="4964ED8E" w14:textId="625A58D2" w:rsidR="00C96604" w:rsidRPr="00B35A22" w:rsidRDefault="00C96604" w:rsidP="00B35A22">
            <w:pPr>
              <w:widowControl w:val="0"/>
              <w:jc w:val="both"/>
              <w:rPr>
                <w:sz w:val="22"/>
                <w:lang w:val="sr-Latn-ME"/>
              </w:rPr>
            </w:pPr>
            <w:r w:rsidRPr="00B35A22">
              <w:rPr>
                <w:sz w:val="22"/>
                <w:lang w:val="sr-Latn-ME"/>
              </w:rPr>
              <w:t>sepsa</w:t>
            </w:r>
            <w:r w:rsidRPr="00B35A22">
              <w:rPr>
                <w:sz w:val="22"/>
                <w:vertAlign w:val="superscript"/>
                <w:lang w:val="sr-Latn-ME"/>
              </w:rPr>
              <w:t>aj</w:t>
            </w:r>
          </w:p>
        </w:tc>
      </w:tr>
      <w:tr w:rsidR="00B40CCA" w:rsidRPr="00B35A22" w14:paraId="4BF84CDF" w14:textId="77777777" w:rsidTr="0065270B">
        <w:trPr>
          <w:trHeight w:val="399"/>
        </w:trPr>
        <w:tc>
          <w:tcPr>
            <w:tcW w:w="5000" w:type="pct"/>
            <w:gridSpan w:val="3"/>
          </w:tcPr>
          <w:p w14:paraId="0BE7857A" w14:textId="77777777" w:rsidR="00B40CCA" w:rsidRPr="00B35A22" w:rsidRDefault="00B40CCA" w:rsidP="00B35A22">
            <w:pPr>
              <w:widowControl w:val="0"/>
              <w:jc w:val="both"/>
              <w:rPr>
                <w:sz w:val="22"/>
                <w:lang w:val="sr-Latn-ME"/>
              </w:rPr>
            </w:pPr>
            <w:r w:rsidRPr="00B35A22">
              <w:rPr>
                <w:rFonts w:eastAsia="MS Mincho"/>
                <w:b/>
                <w:sz w:val="22"/>
                <w:lang w:val="sr-Latn-ME"/>
              </w:rPr>
              <w:t xml:space="preserve">Poremećaji krvi i limfnog sistema </w:t>
            </w:r>
          </w:p>
        </w:tc>
      </w:tr>
      <w:tr w:rsidR="00B40CCA" w:rsidRPr="00B35A22" w14:paraId="3311EC9E" w14:textId="77777777" w:rsidTr="0065270B">
        <w:trPr>
          <w:trHeight w:val="423"/>
        </w:trPr>
        <w:tc>
          <w:tcPr>
            <w:tcW w:w="966" w:type="pct"/>
          </w:tcPr>
          <w:p w14:paraId="0FA9DFA8"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Veoma često</w:t>
            </w:r>
          </w:p>
        </w:tc>
        <w:tc>
          <w:tcPr>
            <w:tcW w:w="2181" w:type="pct"/>
          </w:tcPr>
          <w:p w14:paraId="02F5DEF1" w14:textId="77777777" w:rsidR="00B40CCA" w:rsidRPr="00B35A22" w:rsidRDefault="00B40CCA" w:rsidP="00B35A22">
            <w:pPr>
              <w:widowControl w:val="0"/>
              <w:jc w:val="both"/>
              <w:rPr>
                <w:rFonts w:eastAsia="MS Mincho"/>
                <w:b/>
                <w:sz w:val="22"/>
                <w:lang w:val="sr-Latn-ME"/>
              </w:rPr>
            </w:pPr>
          </w:p>
        </w:tc>
        <w:tc>
          <w:tcPr>
            <w:tcW w:w="1853" w:type="pct"/>
          </w:tcPr>
          <w:p w14:paraId="2D766BCA" w14:textId="6A7B72C9" w:rsidR="00B40CCA" w:rsidRPr="00B35A22" w:rsidRDefault="00B40CCA" w:rsidP="00B35A22">
            <w:pPr>
              <w:widowControl w:val="0"/>
              <w:rPr>
                <w:rFonts w:eastAsia="MS Mincho"/>
                <w:b/>
                <w:sz w:val="22"/>
                <w:vertAlign w:val="superscript"/>
                <w:lang w:val="sr-Latn-ME"/>
              </w:rPr>
            </w:pPr>
            <w:r w:rsidRPr="00B35A22">
              <w:rPr>
                <w:sz w:val="22"/>
                <w:lang w:val="sr-Latn-ME"/>
              </w:rPr>
              <w:t xml:space="preserve">anemija, </w:t>
            </w:r>
            <w:r w:rsidR="00BB2FA0" w:rsidRPr="00B35A22">
              <w:rPr>
                <w:sz w:val="22"/>
                <w:lang w:val="sr-Latn-ME"/>
              </w:rPr>
              <w:t>trombocitopenija</w:t>
            </w:r>
            <w:r w:rsidR="00BB2FA0" w:rsidRPr="00B35A22">
              <w:rPr>
                <w:sz w:val="22"/>
                <w:vertAlign w:val="superscript"/>
                <w:lang w:val="sr-Latn-ME"/>
              </w:rPr>
              <w:t>d</w:t>
            </w:r>
            <w:r w:rsidRPr="00B35A22">
              <w:rPr>
                <w:sz w:val="22"/>
                <w:lang w:val="sr-Latn-ME"/>
              </w:rPr>
              <w:t xml:space="preserve">, </w:t>
            </w:r>
            <w:r w:rsidR="00BB2FA0" w:rsidRPr="00B35A22">
              <w:rPr>
                <w:sz w:val="22"/>
                <w:lang w:val="sr-Latn-ME"/>
              </w:rPr>
              <w:t>neutropenija</w:t>
            </w:r>
            <w:r w:rsidR="00BB2FA0" w:rsidRPr="00B35A22">
              <w:rPr>
                <w:sz w:val="22"/>
                <w:vertAlign w:val="superscript"/>
                <w:lang w:val="sr-Latn-ME"/>
              </w:rPr>
              <w:t>e</w:t>
            </w:r>
            <w:r w:rsidR="00165BC0" w:rsidRPr="00B35A22">
              <w:rPr>
                <w:sz w:val="22"/>
                <w:lang w:val="sr-Latn-ME"/>
              </w:rPr>
              <w:t xml:space="preserve">, </w:t>
            </w:r>
            <w:r w:rsidR="00BB2FA0" w:rsidRPr="00B35A22">
              <w:rPr>
                <w:sz w:val="22"/>
                <w:lang w:val="sr-Latn-ME"/>
              </w:rPr>
              <w:t>leukopenija</w:t>
            </w:r>
            <w:r w:rsidR="00BB2FA0" w:rsidRPr="00B35A22">
              <w:rPr>
                <w:sz w:val="22"/>
                <w:vertAlign w:val="superscript"/>
                <w:lang w:val="sr-Latn-ME"/>
              </w:rPr>
              <w:t>f</w:t>
            </w:r>
          </w:p>
        </w:tc>
      </w:tr>
      <w:tr w:rsidR="00B40CCA" w:rsidRPr="00B35A22" w14:paraId="29CC44C5" w14:textId="77777777" w:rsidTr="0065270B">
        <w:trPr>
          <w:trHeight w:val="423"/>
        </w:trPr>
        <w:tc>
          <w:tcPr>
            <w:tcW w:w="966" w:type="pct"/>
          </w:tcPr>
          <w:p w14:paraId="51AF37C6" w14:textId="77777777" w:rsidR="00B40CCA" w:rsidRPr="00B35A22" w:rsidRDefault="00B40CCA" w:rsidP="00B35A22">
            <w:pPr>
              <w:widowControl w:val="0"/>
              <w:jc w:val="both"/>
              <w:rPr>
                <w:sz w:val="22"/>
                <w:lang w:val="sr-Latn-ME"/>
              </w:rPr>
            </w:pPr>
            <w:r w:rsidRPr="00B35A22">
              <w:rPr>
                <w:sz w:val="22"/>
                <w:lang w:val="sr-Latn-ME"/>
              </w:rPr>
              <w:t>Često</w:t>
            </w:r>
          </w:p>
        </w:tc>
        <w:tc>
          <w:tcPr>
            <w:tcW w:w="2181" w:type="pct"/>
          </w:tcPr>
          <w:p w14:paraId="49FB809E" w14:textId="31F3F5CB" w:rsidR="00B40CCA" w:rsidRPr="00B35A22" w:rsidRDefault="00BB2FA0" w:rsidP="00B35A22">
            <w:pPr>
              <w:widowControl w:val="0"/>
              <w:jc w:val="both"/>
              <w:rPr>
                <w:rFonts w:eastAsia="MS Mincho"/>
                <w:sz w:val="22"/>
                <w:lang w:val="sr-Latn-ME"/>
              </w:rPr>
            </w:pPr>
            <w:r w:rsidRPr="00B35A22">
              <w:rPr>
                <w:rFonts w:eastAsia="MS Mincho"/>
                <w:sz w:val="22"/>
                <w:lang w:val="sr-Latn-ME"/>
              </w:rPr>
              <w:t>trombocitopenija</w:t>
            </w:r>
            <w:r w:rsidRPr="00B35A22">
              <w:rPr>
                <w:sz w:val="22"/>
                <w:vertAlign w:val="superscript"/>
                <w:lang w:val="sr-Latn-ME"/>
              </w:rPr>
              <w:t>d</w:t>
            </w:r>
          </w:p>
        </w:tc>
        <w:tc>
          <w:tcPr>
            <w:tcW w:w="1853" w:type="pct"/>
          </w:tcPr>
          <w:p w14:paraId="5082177F" w14:textId="02DF58B0" w:rsidR="00B40CCA" w:rsidRPr="00B35A22" w:rsidRDefault="00BB2FA0" w:rsidP="00B35A22">
            <w:pPr>
              <w:widowControl w:val="0"/>
              <w:jc w:val="both"/>
              <w:rPr>
                <w:rFonts w:eastAsia="MS Mincho"/>
                <w:sz w:val="22"/>
                <w:lang w:val="sr-Latn-ME"/>
              </w:rPr>
            </w:pPr>
            <w:r w:rsidRPr="00B35A22">
              <w:rPr>
                <w:rFonts w:eastAsia="MS Mincho"/>
                <w:sz w:val="22"/>
                <w:lang w:val="sr-Latn-ME"/>
              </w:rPr>
              <w:t>limfopenija</w:t>
            </w:r>
            <w:r w:rsidRPr="00B35A22">
              <w:rPr>
                <w:rFonts w:eastAsia="MS Mincho"/>
                <w:sz w:val="22"/>
                <w:vertAlign w:val="superscript"/>
                <w:lang w:val="sr-Latn-ME"/>
              </w:rPr>
              <w:t>g</w:t>
            </w:r>
          </w:p>
        </w:tc>
      </w:tr>
      <w:tr w:rsidR="008F10E3" w:rsidRPr="00B35A22" w14:paraId="096C8D65" w14:textId="77777777" w:rsidTr="0065270B">
        <w:trPr>
          <w:trHeight w:val="423"/>
        </w:trPr>
        <w:tc>
          <w:tcPr>
            <w:tcW w:w="966" w:type="pct"/>
          </w:tcPr>
          <w:p w14:paraId="5A86682A" w14:textId="4E8E787E" w:rsidR="008F10E3" w:rsidRPr="00B35A22" w:rsidRDefault="008F10E3" w:rsidP="00B35A22">
            <w:pPr>
              <w:widowControl w:val="0"/>
              <w:jc w:val="both"/>
              <w:rPr>
                <w:sz w:val="22"/>
                <w:lang w:val="sr-Latn-ME"/>
              </w:rPr>
            </w:pPr>
            <w:r w:rsidRPr="00B35A22">
              <w:rPr>
                <w:sz w:val="22"/>
                <w:lang w:val="sr-Latn-ME"/>
              </w:rPr>
              <w:t>Rijetko</w:t>
            </w:r>
          </w:p>
        </w:tc>
        <w:tc>
          <w:tcPr>
            <w:tcW w:w="2181" w:type="pct"/>
          </w:tcPr>
          <w:p w14:paraId="71570AB1" w14:textId="4AB15064" w:rsidR="008F10E3" w:rsidRPr="00B35A22" w:rsidRDefault="008F10E3" w:rsidP="00B35A22">
            <w:pPr>
              <w:widowControl w:val="0"/>
              <w:jc w:val="both"/>
              <w:rPr>
                <w:rFonts w:eastAsia="MS Mincho"/>
                <w:sz w:val="22"/>
                <w:lang w:val="sr-Latn-ME"/>
              </w:rPr>
            </w:pPr>
            <w:r w:rsidRPr="00B35A22">
              <w:rPr>
                <w:sz w:val="22"/>
                <w:lang w:val="sr-Latn-ME"/>
              </w:rPr>
              <w:t>hemofagocitna limfohistiocitoza</w:t>
            </w:r>
          </w:p>
        </w:tc>
        <w:tc>
          <w:tcPr>
            <w:tcW w:w="1853" w:type="pct"/>
          </w:tcPr>
          <w:p w14:paraId="334216AC" w14:textId="0F65E545" w:rsidR="008F10E3" w:rsidRPr="00B35A22" w:rsidRDefault="008F10E3" w:rsidP="00B35A22">
            <w:pPr>
              <w:widowControl w:val="0"/>
              <w:jc w:val="both"/>
              <w:rPr>
                <w:rFonts w:eastAsia="MS Mincho"/>
                <w:sz w:val="22"/>
                <w:lang w:val="sr-Latn-ME"/>
              </w:rPr>
            </w:pPr>
            <w:r w:rsidRPr="00B35A22">
              <w:rPr>
                <w:sz w:val="22"/>
                <w:lang w:val="sr-Latn-ME"/>
              </w:rPr>
              <w:t>hemofagocitna limfohistiocitoza</w:t>
            </w:r>
          </w:p>
        </w:tc>
      </w:tr>
      <w:tr w:rsidR="00B40CCA" w:rsidRPr="00B35A22" w14:paraId="1D5603CB" w14:textId="77777777" w:rsidTr="0065270B">
        <w:tc>
          <w:tcPr>
            <w:tcW w:w="5000" w:type="pct"/>
            <w:gridSpan w:val="3"/>
          </w:tcPr>
          <w:p w14:paraId="1C77070B" w14:textId="18F1C8C4" w:rsidR="00B40CCA" w:rsidRPr="00B35A22" w:rsidRDefault="00B40CCA" w:rsidP="00B35A22">
            <w:pPr>
              <w:widowControl w:val="0"/>
              <w:jc w:val="both"/>
              <w:rPr>
                <w:sz w:val="22"/>
                <w:lang w:val="sr-Latn-ME"/>
              </w:rPr>
            </w:pPr>
            <w:r w:rsidRPr="00B35A22">
              <w:rPr>
                <w:rFonts w:eastAsia="MS Mincho"/>
                <w:b/>
                <w:sz w:val="22"/>
                <w:lang w:val="sr-Latn-ME"/>
              </w:rPr>
              <w:t>Poremećaji imunog sistema</w:t>
            </w:r>
          </w:p>
        </w:tc>
      </w:tr>
      <w:tr w:rsidR="00C96604" w:rsidRPr="00B35A22" w14:paraId="61AF2EB8" w14:textId="77777777" w:rsidTr="0065270B">
        <w:tc>
          <w:tcPr>
            <w:tcW w:w="966" w:type="pct"/>
          </w:tcPr>
          <w:p w14:paraId="07DC5193" w14:textId="77777777" w:rsidR="00C96604" w:rsidRPr="00B35A22" w:rsidRDefault="00C96604" w:rsidP="00B35A22">
            <w:pPr>
              <w:widowControl w:val="0"/>
              <w:jc w:val="both"/>
              <w:rPr>
                <w:rFonts w:eastAsia="MS Mincho"/>
                <w:sz w:val="22"/>
                <w:lang w:val="sr-Latn-ME"/>
              </w:rPr>
            </w:pPr>
            <w:r w:rsidRPr="00B35A22">
              <w:rPr>
                <w:sz w:val="22"/>
                <w:lang w:val="sr-Latn-ME"/>
              </w:rPr>
              <w:t>Često</w:t>
            </w:r>
          </w:p>
        </w:tc>
        <w:tc>
          <w:tcPr>
            <w:tcW w:w="2181" w:type="pct"/>
          </w:tcPr>
          <w:p w14:paraId="608ADFB6" w14:textId="77777777" w:rsidR="00C96604" w:rsidRPr="00B35A22" w:rsidRDefault="00C96604" w:rsidP="00B35A22">
            <w:pPr>
              <w:widowControl w:val="0"/>
              <w:jc w:val="both"/>
              <w:rPr>
                <w:rFonts w:eastAsia="MS Mincho"/>
                <w:sz w:val="22"/>
                <w:lang w:val="sr-Latn-ME"/>
              </w:rPr>
            </w:pPr>
            <w:r w:rsidRPr="00B35A22">
              <w:rPr>
                <w:rFonts w:eastAsia="MS Mincho"/>
                <w:sz w:val="22"/>
                <w:lang w:val="sr-Latn-ME"/>
              </w:rPr>
              <w:t>reakcije u vezi sa infuzijom</w:t>
            </w:r>
            <w:r w:rsidRPr="00B35A22">
              <w:rPr>
                <w:rFonts w:eastAsia="MS Mincho"/>
                <w:sz w:val="22"/>
                <w:vertAlign w:val="superscript"/>
                <w:lang w:val="sr-Latn-ME"/>
              </w:rPr>
              <w:t>h</w:t>
            </w:r>
          </w:p>
        </w:tc>
        <w:tc>
          <w:tcPr>
            <w:tcW w:w="1853" w:type="pct"/>
          </w:tcPr>
          <w:p w14:paraId="2A322B2D" w14:textId="27317D8A" w:rsidR="00C96604" w:rsidRPr="00B35A22" w:rsidRDefault="00C96604" w:rsidP="00B35A22">
            <w:pPr>
              <w:widowControl w:val="0"/>
              <w:jc w:val="both"/>
              <w:rPr>
                <w:rFonts w:eastAsia="MS Mincho"/>
                <w:sz w:val="22"/>
                <w:lang w:val="sr-Latn-ME"/>
              </w:rPr>
            </w:pPr>
            <w:r w:rsidRPr="00B35A22">
              <w:rPr>
                <w:rFonts w:eastAsia="MS Mincho"/>
                <w:sz w:val="22"/>
                <w:lang w:val="sr-Latn-ME"/>
              </w:rPr>
              <w:t>reakcije u vezi sa infuzijom</w:t>
            </w:r>
            <w:r w:rsidRPr="00B35A22">
              <w:rPr>
                <w:rFonts w:eastAsia="MS Mincho"/>
                <w:sz w:val="22"/>
                <w:vertAlign w:val="superscript"/>
                <w:lang w:val="sr-Latn-ME"/>
              </w:rPr>
              <w:t>h</w:t>
            </w:r>
          </w:p>
        </w:tc>
      </w:tr>
      <w:tr w:rsidR="00B40CCA" w:rsidRPr="00B35A22" w14:paraId="53E093EA" w14:textId="77777777" w:rsidTr="0065270B">
        <w:tc>
          <w:tcPr>
            <w:tcW w:w="5000" w:type="pct"/>
            <w:gridSpan w:val="3"/>
            <w:tcBorders>
              <w:bottom w:val="single" w:sz="4" w:space="0" w:color="auto"/>
            </w:tcBorders>
          </w:tcPr>
          <w:p w14:paraId="18A02CBA" w14:textId="77777777" w:rsidR="00B40CCA" w:rsidRPr="00B35A22" w:rsidRDefault="00B40CCA" w:rsidP="00B35A22">
            <w:pPr>
              <w:widowControl w:val="0"/>
              <w:jc w:val="both"/>
              <w:rPr>
                <w:sz w:val="22"/>
                <w:lang w:val="sr-Latn-ME"/>
              </w:rPr>
            </w:pPr>
            <w:r w:rsidRPr="00B35A22">
              <w:rPr>
                <w:rFonts w:eastAsia="MS Mincho"/>
                <w:b/>
                <w:sz w:val="22"/>
                <w:lang w:val="sr-Latn-ME"/>
              </w:rPr>
              <w:t>Endokrini poremećaji</w:t>
            </w:r>
          </w:p>
        </w:tc>
      </w:tr>
      <w:tr w:rsidR="00B40CCA" w:rsidRPr="00B35A22" w14:paraId="2A8D9A8E" w14:textId="77777777" w:rsidTr="0065270B">
        <w:tc>
          <w:tcPr>
            <w:tcW w:w="966" w:type="pct"/>
            <w:tcBorders>
              <w:bottom w:val="single" w:sz="4" w:space="0" w:color="auto"/>
            </w:tcBorders>
          </w:tcPr>
          <w:p w14:paraId="6997689F"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Veoma često</w:t>
            </w:r>
          </w:p>
        </w:tc>
        <w:tc>
          <w:tcPr>
            <w:tcW w:w="2181" w:type="pct"/>
            <w:tcBorders>
              <w:bottom w:val="single" w:sz="4" w:space="0" w:color="auto"/>
            </w:tcBorders>
          </w:tcPr>
          <w:p w14:paraId="70959C30" w14:textId="77777777" w:rsidR="00B40CCA" w:rsidRPr="00B35A22" w:rsidRDefault="00B40CCA" w:rsidP="00B35A22">
            <w:pPr>
              <w:widowControl w:val="0"/>
              <w:jc w:val="both"/>
              <w:rPr>
                <w:rFonts w:eastAsia="MS Mincho"/>
                <w:sz w:val="22"/>
                <w:lang w:val="sr-Latn-ME"/>
              </w:rPr>
            </w:pPr>
          </w:p>
        </w:tc>
        <w:tc>
          <w:tcPr>
            <w:tcW w:w="1853" w:type="pct"/>
            <w:tcBorders>
              <w:bottom w:val="single" w:sz="4" w:space="0" w:color="auto"/>
            </w:tcBorders>
          </w:tcPr>
          <w:p w14:paraId="3695C404" w14:textId="3B88B0C2" w:rsidR="00B40CCA" w:rsidRPr="00B35A22" w:rsidRDefault="00BB2FA0" w:rsidP="00B35A22">
            <w:pPr>
              <w:widowControl w:val="0"/>
              <w:jc w:val="both"/>
              <w:rPr>
                <w:rFonts w:eastAsia="MS Mincho"/>
                <w:sz w:val="22"/>
                <w:lang w:val="sr-Latn-ME"/>
              </w:rPr>
            </w:pPr>
            <w:r w:rsidRPr="00B35A22">
              <w:rPr>
                <w:sz w:val="22"/>
                <w:lang w:val="sr-Latn-ME"/>
              </w:rPr>
              <w:t>hipotiroidizam</w:t>
            </w:r>
            <w:r w:rsidRPr="00B35A22">
              <w:rPr>
                <w:sz w:val="22"/>
                <w:vertAlign w:val="superscript"/>
                <w:lang w:val="sr-Latn-ME"/>
              </w:rPr>
              <w:t>i</w:t>
            </w:r>
          </w:p>
        </w:tc>
      </w:tr>
      <w:tr w:rsidR="00B40CCA" w:rsidRPr="00B35A22" w14:paraId="0C5A0B34" w14:textId="77777777" w:rsidTr="0065270B">
        <w:trPr>
          <w:trHeight w:val="112"/>
        </w:trPr>
        <w:tc>
          <w:tcPr>
            <w:tcW w:w="966" w:type="pct"/>
            <w:tcBorders>
              <w:top w:val="single" w:sz="4" w:space="0" w:color="auto"/>
            </w:tcBorders>
          </w:tcPr>
          <w:p w14:paraId="156F0FE8" w14:textId="77777777" w:rsidR="00B40CCA" w:rsidRPr="00B35A22" w:rsidRDefault="00B40CCA" w:rsidP="00B35A22">
            <w:pPr>
              <w:widowControl w:val="0"/>
              <w:ind w:rightChars="148" w:right="355"/>
              <w:jc w:val="both"/>
              <w:rPr>
                <w:rFonts w:eastAsia="MS Mincho"/>
                <w:sz w:val="22"/>
                <w:lang w:val="sr-Latn-ME"/>
              </w:rPr>
            </w:pPr>
            <w:r w:rsidRPr="00B35A22">
              <w:rPr>
                <w:sz w:val="22"/>
                <w:lang w:val="sr-Latn-ME"/>
              </w:rPr>
              <w:t>Često</w:t>
            </w:r>
          </w:p>
        </w:tc>
        <w:tc>
          <w:tcPr>
            <w:tcW w:w="2181" w:type="pct"/>
            <w:tcBorders>
              <w:top w:val="single" w:sz="4" w:space="0" w:color="auto"/>
            </w:tcBorders>
          </w:tcPr>
          <w:p w14:paraId="60C1F459" w14:textId="1766C59F" w:rsidR="00B40CCA" w:rsidRPr="00B35A22" w:rsidRDefault="00BB2FA0" w:rsidP="00B35A22">
            <w:pPr>
              <w:widowControl w:val="0"/>
              <w:jc w:val="both"/>
              <w:rPr>
                <w:sz w:val="22"/>
                <w:lang w:val="sr-Latn-ME"/>
              </w:rPr>
            </w:pPr>
            <w:r w:rsidRPr="00B35A22">
              <w:rPr>
                <w:rFonts w:eastAsia="MS Mincho"/>
                <w:sz w:val="22"/>
                <w:lang w:val="sr-Latn-ME"/>
              </w:rPr>
              <w:t>hipotiroidizam</w:t>
            </w:r>
            <w:r w:rsidRPr="00B35A22">
              <w:rPr>
                <w:rFonts w:eastAsia="MS Mincho"/>
                <w:sz w:val="22"/>
                <w:vertAlign w:val="superscript"/>
                <w:lang w:val="sr-Latn-ME"/>
              </w:rPr>
              <w:t>i</w:t>
            </w:r>
            <w:r w:rsidR="00080978" w:rsidRPr="00B35A22">
              <w:rPr>
                <w:rFonts w:eastAsia="MS Mincho"/>
                <w:sz w:val="22"/>
                <w:lang w:val="sr-Latn-ME"/>
              </w:rPr>
              <w:t>, hipertiroidizam</w:t>
            </w:r>
            <w:r w:rsidR="00080978" w:rsidRPr="00B35A22">
              <w:rPr>
                <w:rFonts w:eastAsia="MS Mincho"/>
                <w:sz w:val="22"/>
                <w:vertAlign w:val="superscript"/>
                <w:lang w:val="sr-Latn-ME"/>
              </w:rPr>
              <w:t>j</w:t>
            </w:r>
          </w:p>
        </w:tc>
        <w:tc>
          <w:tcPr>
            <w:tcW w:w="1853" w:type="pct"/>
            <w:tcBorders>
              <w:top w:val="single" w:sz="4" w:space="0" w:color="auto"/>
            </w:tcBorders>
          </w:tcPr>
          <w:p w14:paraId="0BC7D599" w14:textId="290AA0B9" w:rsidR="00B40CCA" w:rsidRPr="00B35A22" w:rsidRDefault="007102CC" w:rsidP="00B35A22">
            <w:pPr>
              <w:widowControl w:val="0"/>
              <w:jc w:val="both"/>
              <w:rPr>
                <w:sz w:val="22"/>
                <w:lang w:val="sr-Latn-ME"/>
              </w:rPr>
            </w:pPr>
            <w:r w:rsidRPr="00B35A22">
              <w:rPr>
                <w:rFonts w:eastAsia="MS Mincho"/>
                <w:sz w:val="22"/>
                <w:lang w:val="sr-Latn-ME"/>
              </w:rPr>
              <w:t>hipertiroidizam</w:t>
            </w:r>
            <w:r w:rsidRPr="00B35A22">
              <w:rPr>
                <w:rFonts w:eastAsia="MS Mincho"/>
                <w:sz w:val="22"/>
                <w:vertAlign w:val="superscript"/>
                <w:lang w:val="sr-Latn-ME"/>
              </w:rPr>
              <w:t>j</w:t>
            </w:r>
          </w:p>
        </w:tc>
      </w:tr>
      <w:tr w:rsidR="00B40CCA" w:rsidRPr="00B35A22" w14:paraId="46AD88D5" w14:textId="77777777" w:rsidTr="0065270B">
        <w:trPr>
          <w:trHeight w:val="279"/>
        </w:trPr>
        <w:tc>
          <w:tcPr>
            <w:tcW w:w="966" w:type="pct"/>
          </w:tcPr>
          <w:p w14:paraId="756C7B57"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Povremeno</w:t>
            </w:r>
          </w:p>
        </w:tc>
        <w:tc>
          <w:tcPr>
            <w:tcW w:w="2181" w:type="pct"/>
          </w:tcPr>
          <w:p w14:paraId="5DC4B450" w14:textId="3897A6F8" w:rsidR="00B40CCA" w:rsidRPr="00B35A22" w:rsidRDefault="00B40CCA" w:rsidP="00B35A22">
            <w:pPr>
              <w:widowControl w:val="0"/>
              <w:rPr>
                <w:rFonts w:eastAsia="MS Mincho"/>
                <w:sz w:val="22"/>
                <w:lang w:val="sr-Latn-ME"/>
              </w:rPr>
            </w:pPr>
            <w:r w:rsidRPr="00B35A22">
              <w:rPr>
                <w:rFonts w:eastAsia="MS Mincho"/>
                <w:sz w:val="22"/>
                <w:szCs w:val="22"/>
                <w:lang w:val="sr-Latn-ME"/>
              </w:rPr>
              <w:br/>
            </w:r>
            <w:r w:rsidRPr="00B35A22">
              <w:rPr>
                <w:rFonts w:eastAsia="MS Mincho"/>
                <w:sz w:val="22"/>
                <w:lang w:val="sr-Latn-ME"/>
              </w:rPr>
              <w:t xml:space="preserve">dijabetes </w:t>
            </w:r>
            <w:r w:rsidR="00182C07" w:rsidRPr="00B35A22">
              <w:rPr>
                <w:rFonts w:eastAsia="MS Mincho"/>
                <w:sz w:val="22"/>
                <w:lang w:val="sr-Latn-ME"/>
              </w:rPr>
              <w:t>melitus</w:t>
            </w:r>
            <w:r w:rsidR="00182C07" w:rsidRPr="00B35A22">
              <w:rPr>
                <w:rFonts w:eastAsia="MS Mincho"/>
                <w:sz w:val="22"/>
                <w:vertAlign w:val="superscript"/>
                <w:lang w:val="sr-Latn-ME"/>
              </w:rPr>
              <w:t>k</w:t>
            </w:r>
            <w:r w:rsidRPr="00B35A22">
              <w:rPr>
                <w:rFonts w:eastAsia="MS Mincho"/>
                <w:sz w:val="22"/>
                <w:lang w:val="sr-Latn-ME"/>
              </w:rPr>
              <w:t>,</w:t>
            </w:r>
            <w:r w:rsidRPr="00B35A22">
              <w:rPr>
                <w:rFonts w:eastAsia="MS Mincho"/>
                <w:sz w:val="22"/>
                <w:lang w:val="sr-Latn-ME"/>
              </w:rPr>
              <w:br/>
              <w:t xml:space="preserve">adrenalna </w:t>
            </w:r>
            <w:r w:rsidR="00182C07" w:rsidRPr="00B35A22">
              <w:rPr>
                <w:rFonts w:eastAsia="MS Mincho"/>
                <w:sz w:val="22"/>
                <w:lang w:val="sr-Latn-ME"/>
              </w:rPr>
              <w:t>insuficijencija</w:t>
            </w:r>
            <w:r w:rsidR="00182C07" w:rsidRPr="00B35A22">
              <w:rPr>
                <w:rFonts w:eastAsia="MS Mincho"/>
                <w:sz w:val="22"/>
                <w:vertAlign w:val="superscript"/>
                <w:lang w:val="sr-Latn-ME"/>
              </w:rPr>
              <w:t>l</w:t>
            </w:r>
            <w:r w:rsidR="00243F20" w:rsidRPr="00B35A22">
              <w:rPr>
                <w:rFonts w:eastAsia="MS Mincho"/>
                <w:sz w:val="22"/>
                <w:lang w:val="sr-Latn-ME"/>
              </w:rPr>
              <w:t>, hipofizitis</w:t>
            </w:r>
            <w:r w:rsidR="00243F20" w:rsidRPr="00B35A22">
              <w:rPr>
                <w:rFonts w:eastAsia="MS Mincho"/>
                <w:sz w:val="22"/>
                <w:vertAlign w:val="superscript"/>
                <w:lang w:val="sr-Latn-ME"/>
              </w:rPr>
              <w:t>m</w:t>
            </w:r>
          </w:p>
        </w:tc>
        <w:tc>
          <w:tcPr>
            <w:tcW w:w="1853" w:type="pct"/>
          </w:tcPr>
          <w:p w14:paraId="5E4636B4" w14:textId="4BDB80A4" w:rsidR="00B40CCA" w:rsidRPr="00B35A22" w:rsidRDefault="00243F20" w:rsidP="00B35A22">
            <w:pPr>
              <w:widowControl w:val="0"/>
              <w:jc w:val="both"/>
              <w:rPr>
                <w:rFonts w:eastAsia="MS Mincho"/>
                <w:b/>
                <w:sz w:val="22"/>
                <w:vertAlign w:val="superscript"/>
                <w:lang w:val="sr-Latn-ME"/>
              </w:rPr>
            </w:pPr>
            <w:r w:rsidRPr="00B35A22">
              <w:rPr>
                <w:rFonts w:eastAsia="MS Mincho"/>
                <w:sz w:val="22"/>
                <w:lang w:val="sr-Latn-ME"/>
              </w:rPr>
              <w:t>hipofizitis</w:t>
            </w:r>
            <w:r w:rsidRPr="00B35A22">
              <w:rPr>
                <w:rFonts w:eastAsia="MS Mincho"/>
                <w:sz w:val="22"/>
                <w:vertAlign w:val="superscript"/>
                <w:lang w:val="sr-Latn-ME"/>
              </w:rPr>
              <w:t>m</w:t>
            </w:r>
          </w:p>
        </w:tc>
      </w:tr>
      <w:tr w:rsidR="00B40CCA" w:rsidRPr="00B35A22" w14:paraId="48F277A9" w14:textId="77777777" w:rsidTr="0065270B">
        <w:tc>
          <w:tcPr>
            <w:tcW w:w="5000" w:type="pct"/>
            <w:gridSpan w:val="3"/>
          </w:tcPr>
          <w:p w14:paraId="32037028" w14:textId="77777777" w:rsidR="00B40CCA" w:rsidRPr="00B35A22" w:rsidRDefault="00B40CCA" w:rsidP="00B35A22">
            <w:pPr>
              <w:widowControl w:val="0"/>
              <w:jc w:val="both"/>
              <w:rPr>
                <w:sz w:val="22"/>
                <w:lang w:val="sr-Latn-ME"/>
              </w:rPr>
            </w:pPr>
            <w:r w:rsidRPr="00B35A22">
              <w:rPr>
                <w:rFonts w:eastAsia="MS Mincho"/>
                <w:b/>
                <w:sz w:val="22"/>
                <w:lang w:val="sr-Latn-ME"/>
              </w:rPr>
              <w:t>Poremećaji metabolizma i ishrane</w:t>
            </w:r>
          </w:p>
        </w:tc>
      </w:tr>
      <w:tr w:rsidR="00B40CCA" w:rsidRPr="00B35A22" w14:paraId="207841F9" w14:textId="77777777" w:rsidTr="0065270B">
        <w:tc>
          <w:tcPr>
            <w:tcW w:w="966" w:type="pct"/>
          </w:tcPr>
          <w:p w14:paraId="18E57307" w14:textId="77777777" w:rsidR="00B40CCA" w:rsidRPr="00B35A22" w:rsidRDefault="00B40CCA" w:rsidP="00B35A22">
            <w:pPr>
              <w:widowControl w:val="0"/>
              <w:jc w:val="both"/>
              <w:rPr>
                <w:rFonts w:eastAsia="MS Mincho"/>
                <w:sz w:val="22"/>
                <w:lang w:val="sr-Latn-ME"/>
              </w:rPr>
            </w:pPr>
            <w:r w:rsidRPr="00B35A22">
              <w:rPr>
                <w:sz w:val="22"/>
                <w:lang w:val="sr-Latn-ME"/>
              </w:rPr>
              <w:t>Veoma često</w:t>
            </w:r>
          </w:p>
        </w:tc>
        <w:tc>
          <w:tcPr>
            <w:tcW w:w="2181" w:type="pct"/>
          </w:tcPr>
          <w:p w14:paraId="357A84D9"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smanjen apetit</w:t>
            </w:r>
          </w:p>
        </w:tc>
        <w:tc>
          <w:tcPr>
            <w:tcW w:w="1853" w:type="pct"/>
          </w:tcPr>
          <w:p w14:paraId="3847403D" w14:textId="4DAFBF7E" w:rsidR="00B40CCA" w:rsidRPr="00B35A22" w:rsidRDefault="00B40CCA" w:rsidP="00B35A22">
            <w:pPr>
              <w:widowControl w:val="0"/>
              <w:jc w:val="both"/>
              <w:rPr>
                <w:rFonts w:eastAsia="MS Mincho"/>
                <w:sz w:val="22"/>
                <w:lang w:val="sr-Latn-ME"/>
              </w:rPr>
            </w:pPr>
            <w:r w:rsidRPr="00B35A22">
              <w:rPr>
                <w:rFonts w:eastAsia="MS Mincho"/>
                <w:sz w:val="22"/>
                <w:lang w:val="sr-Latn-ME"/>
              </w:rPr>
              <w:t>smanjen apetit</w:t>
            </w:r>
          </w:p>
        </w:tc>
      </w:tr>
      <w:tr w:rsidR="00B40CCA" w:rsidRPr="00B35A22" w14:paraId="22BD8342" w14:textId="77777777" w:rsidTr="0065270B">
        <w:tc>
          <w:tcPr>
            <w:tcW w:w="966" w:type="pct"/>
          </w:tcPr>
          <w:p w14:paraId="4087B0D1" w14:textId="77777777" w:rsidR="00B40CCA" w:rsidRPr="00B35A22" w:rsidRDefault="00B40CCA" w:rsidP="00B35A22">
            <w:pPr>
              <w:widowControl w:val="0"/>
              <w:jc w:val="both"/>
              <w:rPr>
                <w:rFonts w:eastAsia="MS Mincho"/>
                <w:sz w:val="22"/>
                <w:lang w:val="sr-Latn-ME"/>
              </w:rPr>
            </w:pPr>
            <w:r w:rsidRPr="00B35A22">
              <w:rPr>
                <w:sz w:val="22"/>
                <w:lang w:val="sr-Latn-ME"/>
              </w:rPr>
              <w:t>Često</w:t>
            </w:r>
          </w:p>
        </w:tc>
        <w:tc>
          <w:tcPr>
            <w:tcW w:w="2181" w:type="pct"/>
          </w:tcPr>
          <w:p w14:paraId="30972715" w14:textId="406D17B1" w:rsidR="00B40CCA" w:rsidRPr="00B35A22" w:rsidRDefault="00B40CCA" w:rsidP="00B35A22">
            <w:pPr>
              <w:widowControl w:val="0"/>
              <w:rPr>
                <w:sz w:val="22"/>
                <w:lang w:val="sr-Latn-ME"/>
              </w:rPr>
            </w:pPr>
            <w:r w:rsidRPr="00B35A22">
              <w:rPr>
                <w:rFonts w:eastAsia="MS Mincho"/>
                <w:sz w:val="22"/>
                <w:lang w:val="sr-Latn-ME"/>
              </w:rPr>
              <w:t>hipokalemija</w:t>
            </w:r>
            <w:r w:rsidR="00182C07" w:rsidRPr="00B35A22">
              <w:rPr>
                <w:rFonts w:eastAsia="MS Mincho"/>
                <w:sz w:val="22"/>
                <w:vertAlign w:val="superscript"/>
                <w:lang w:val="sr-Latn-ME"/>
              </w:rPr>
              <w:t>ae</w:t>
            </w:r>
            <w:r w:rsidRPr="00B35A22">
              <w:rPr>
                <w:sz w:val="22"/>
                <w:lang w:val="sr-Latn-ME"/>
              </w:rPr>
              <w:t>,</w:t>
            </w:r>
            <w:r w:rsidRPr="00B35A22">
              <w:rPr>
                <w:rFonts w:eastAsia="MS Mincho"/>
                <w:sz w:val="22"/>
                <w:lang w:val="sr-Latn-ME"/>
              </w:rPr>
              <w:t xml:space="preserve"> hiponatremija</w:t>
            </w:r>
            <w:r w:rsidR="00182C07" w:rsidRPr="00B35A22">
              <w:rPr>
                <w:rFonts w:eastAsia="MS Mincho"/>
                <w:sz w:val="22"/>
                <w:vertAlign w:val="superscript"/>
                <w:lang w:val="sr-Latn-ME"/>
              </w:rPr>
              <w:t>af</w:t>
            </w:r>
            <w:r w:rsidR="00D5693E" w:rsidRPr="00B35A22">
              <w:rPr>
                <w:rFonts w:eastAsia="MS Mincho"/>
                <w:sz w:val="22"/>
                <w:lang w:val="sr-Latn-ME"/>
              </w:rPr>
              <w:t>, hiperglikemija</w:t>
            </w:r>
          </w:p>
        </w:tc>
        <w:tc>
          <w:tcPr>
            <w:tcW w:w="1853" w:type="pct"/>
          </w:tcPr>
          <w:p w14:paraId="31C30C59" w14:textId="34270E4A" w:rsidR="00B40CCA" w:rsidRPr="00B35A22" w:rsidRDefault="00B40CCA" w:rsidP="00B35A22">
            <w:pPr>
              <w:widowControl w:val="0"/>
              <w:rPr>
                <w:sz w:val="22"/>
                <w:lang w:val="sr-Latn-ME"/>
              </w:rPr>
            </w:pPr>
            <w:r w:rsidRPr="00B35A22">
              <w:rPr>
                <w:rFonts w:eastAsia="MS Mincho"/>
                <w:sz w:val="22"/>
                <w:lang w:val="sr-Latn-ME"/>
              </w:rPr>
              <w:t>hipokalemija</w:t>
            </w:r>
            <w:r w:rsidR="00182C07" w:rsidRPr="00B35A22">
              <w:rPr>
                <w:rFonts w:eastAsia="MS Mincho"/>
                <w:sz w:val="22"/>
                <w:vertAlign w:val="superscript"/>
                <w:lang w:val="sr-Latn-ME"/>
              </w:rPr>
              <w:t>ae</w:t>
            </w:r>
            <w:r w:rsidRPr="00B35A22">
              <w:rPr>
                <w:sz w:val="22"/>
                <w:lang w:val="sr-Latn-ME"/>
              </w:rPr>
              <w:t>,</w:t>
            </w:r>
            <w:r w:rsidRPr="00B35A22">
              <w:rPr>
                <w:rFonts w:eastAsia="MS Mincho"/>
                <w:sz w:val="22"/>
                <w:lang w:val="sr-Latn-ME"/>
              </w:rPr>
              <w:t xml:space="preserve"> hiponatremija</w:t>
            </w:r>
            <w:r w:rsidR="00182C07" w:rsidRPr="00B35A22">
              <w:rPr>
                <w:rFonts w:eastAsia="MS Mincho"/>
                <w:sz w:val="22"/>
                <w:vertAlign w:val="superscript"/>
                <w:lang w:val="sr-Latn-ME"/>
              </w:rPr>
              <w:t>af</w:t>
            </w:r>
            <w:r w:rsidR="00C96604" w:rsidRPr="00B35A22">
              <w:rPr>
                <w:rFonts w:eastAsia="MS Mincho"/>
                <w:sz w:val="22"/>
                <w:lang w:val="sr-Latn-ME"/>
              </w:rPr>
              <w:t>, hipomagnezijemija</w:t>
            </w:r>
            <w:r w:rsidR="00C96604" w:rsidRPr="00B35A22">
              <w:rPr>
                <w:rFonts w:eastAsia="MS Mincho"/>
                <w:sz w:val="22"/>
                <w:vertAlign w:val="superscript"/>
                <w:lang w:val="sr-Latn-ME"/>
              </w:rPr>
              <w:t>n</w:t>
            </w:r>
          </w:p>
        </w:tc>
      </w:tr>
      <w:tr w:rsidR="00DA1A94" w:rsidRPr="00B35A22" w14:paraId="553DF0D9" w14:textId="77777777" w:rsidTr="0065270B">
        <w:trPr>
          <w:cantSplit/>
        </w:trPr>
        <w:tc>
          <w:tcPr>
            <w:tcW w:w="5000" w:type="pct"/>
            <w:gridSpan w:val="3"/>
            <w:tcBorders>
              <w:top w:val="single" w:sz="4" w:space="0" w:color="auto"/>
              <w:left w:val="single" w:sz="4" w:space="0" w:color="auto"/>
              <w:bottom w:val="single" w:sz="4" w:space="0" w:color="auto"/>
              <w:right w:val="single" w:sz="4" w:space="0" w:color="auto"/>
            </w:tcBorders>
          </w:tcPr>
          <w:p w14:paraId="4C5ADF86" w14:textId="578262DE" w:rsidR="00B40CCA" w:rsidRPr="00B35A22" w:rsidRDefault="00B40CCA" w:rsidP="00B35A22">
            <w:pPr>
              <w:widowControl w:val="0"/>
              <w:jc w:val="both"/>
              <w:rPr>
                <w:b/>
                <w:sz w:val="22"/>
                <w:lang w:val="sr-Latn-ME"/>
              </w:rPr>
            </w:pPr>
            <w:r w:rsidRPr="00B35A22">
              <w:rPr>
                <w:b/>
                <w:sz w:val="22"/>
                <w:lang w:val="sr-Latn-ME"/>
              </w:rPr>
              <w:lastRenderedPageBreak/>
              <w:t>Poremećaji nervnog sistema</w:t>
            </w:r>
          </w:p>
        </w:tc>
      </w:tr>
      <w:tr w:rsidR="00B40CCA" w:rsidRPr="00B35A22" w14:paraId="480F9B5C" w14:textId="77777777" w:rsidTr="0065270B">
        <w:tc>
          <w:tcPr>
            <w:tcW w:w="966" w:type="pct"/>
            <w:tcBorders>
              <w:bottom w:val="single" w:sz="4" w:space="0" w:color="auto"/>
            </w:tcBorders>
          </w:tcPr>
          <w:p w14:paraId="444D8528"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Veoma često</w:t>
            </w:r>
          </w:p>
        </w:tc>
        <w:tc>
          <w:tcPr>
            <w:tcW w:w="2181" w:type="pct"/>
            <w:tcBorders>
              <w:bottom w:val="single" w:sz="4" w:space="0" w:color="auto"/>
            </w:tcBorders>
          </w:tcPr>
          <w:p w14:paraId="6CFA1E94" w14:textId="16B1E075" w:rsidR="00B40CCA" w:rsidRPr="00B35A22" w:rsidRDefault="00A46209" w:rsidP="00B35A22">
            <w:pPr>
              <w:widowControl w:val="0"/>
              <w:jc w:val="both"/>
              <w:rPr>
                <w:rFonts w:eastAsia="MS Mincho"/>
                <w:sz w:val="22"/>
                <w:lang w:val="sr-Latn-ME"/>
              </w:rPr>
            </w:pPr>
            <w:r w:rsidRPr="00B35A22">
              <w:rPr>
                <w:rFonts w:eastAsia="MS Mincho"/>
                <w:sz w:val="22"/>
                <w:lang w:val="sr-Latn-ME"/>
              </w:rPr>
              <w:t>glavobolja</w:t>
            </w:r>
          </w:p>
        </w:tc>
        <w:tc>
          <w:tcPr>
            <w:tcW w:w="1853" w:type="pct"/>
            <w:tcBorders>
              <w:bottom w:val="single" w:sz="4" w:space="0" w:color="auto"/>
            </w:tcBorders>
          </w:tcPr>
          <w:p w14:paraId="527405CE" w14:textId="6A521BB0" w:rsidR="00B40CCA" w:rsidRPr="00B35A22" w:rsidRDefault="00B40CCA" w:rsidP="00B35A22">
            <w:pPr>
              <w:widowControl w:val="0"/>
              <w:jc w:val="both"/>
              <w:rPr>
                <w:rFonts w:eastAsia="MS Mincho"/>
                <w:sz w:val="22"/>
                <w:lang w:val="sr-Latn-ME"/>
              </w:rPr>
            </w:pPr>
            <w:r w:rsidRPr="00B35A22">
              <w:rPr>
                <w:rFonts w:eastAsia="MS Mincho"/>
                <w:sz w:val="22"/>
                <w:lang w:val="sr-Latn-ME"/>
              </w:rPr>
              <w:t xml:space="preserve">periferna </w:t>
            </w:r>
            <w:r w:rsidR="00182C07" w:rsidRPr="00B35A22">
              <w:rPr>
                <w:rFonts w:eastAsia="MS Mincho"/>
                <w:sz w:val="22"/>
                <w:lang w:val="sr-Latn-ME"/>
              </w:rPr>
              <w:t>neuropatija</w:t>
            </w:r>
            <w:r w:rsidR="00182C07" w:rsidRPr="00B35A22">
              <w:rPr>
                <w:rFonts w:eastAsia="MS Mincho"/>
                <w:sz w:val="22"/>
                <w:vertAlign w:val="superscript"/>
                <w:lang w:val="sr-Latn-ME"/>
              </w:rPr>
              <w:t>o</w:t>
            </w:r>
            <w:r w:rsidR="00165BC0" w:rsidRPr="00B35A22">
              <w:rPr>
                <w:rFonts w:eastAsia="MS Mincho"/>
                <w:sz w:val="22"/>
                <w:lang w:val="sr-Latn-ME"/>
              </w:rPr>
              <w:t>, glavobolja</w:t>
            </w:r>
          </w:p>
        </w:tc>
      </w:tr>
      <w:tr w:rsidR="00165BC0" w:rsidRPr="00B35A22" w14:paraId="515675E1" w14:textId="77777777" w:rsidTr="0065270B">
        <w:tc>
          <w:tcPr>
            <w:tcW w:w="966" w:type="pct"/>
            <w:tcBorders>
              <w:bottom w:val="single" w:sz="4" w:space="0" w:color="auto"/>
            </w:tcBorders>
          </w:tcPr>
          <w:p w14:paraId="2C39FC63" w14:textId="6E410542" w:rsidR="00165BC0" w:rsidRPr="00B35A22" w:rsidRDefault="00165BC0" w:rsidP="00B35A22">
            <w:pPr>
              <w:widowControl w:val="0"/>
              <w:jc w:val="both"/>
              <w:rPr>
                <w:rFonts w:eastAsia="MS Mincho"/>
                <w:sz w:val="22"/>
                <w:lang w:val="sr-Latn-ME"/>
              </w:rPr>
            </w:pPr>
            <w:r w:rsidRPr="00B35A22">
              <w:rPr>
                <w:rFonts w:eastAsia="MS Mincho"/>
                <w:sz w:val="22"/>
                <w:lang w:val="sr-Latn-ME"/>
              </w:rPr>
              <w:t>Često</w:t>
            </w:r>
          </w:p>
        </w:tc>
        <w:tc>
          <w:tcPr>
            <w:tcW w:w="2181" w:type="pct"/>
            <w:tcBorders>
              <w:bottom w:val="single" w:sz="4" w:space="0" w:color="auto"/>
            </w:tcBorders>
          </w:tcPr>
          <w:p w14:paraId="479438E2" w14:textId="77777777" w:rsidR="00165BC0" w:rsidRPr="00B35A22" w:rsidRDefault="00165BC0" w:rsidP="00B35A22">
            <w:pPr>
              <w:widowControl w:val="0"/>
              <w:jc w:val="both"/>
              <w:rPr>
                <w:rFonts w:eastAsia="MS Mincho"/>
                <w:b/>
                <w:sz w:val="22"/>
                <w:lang w:val="sr-Latn-ME"/>
              </w:rPr>
            </w:pPr>
          </w:p>
        </w:tc>
        <w:tc>
          <w:tcPr>
            <w:tcW w:w="1853" w:type="pct"/>
            <w:tcBorders>
              <w:bottom w:val="single" w:sz="4" w:space="0" w:color="auto"/>
            </w:tcBorders>
          </w:tcPr>
          <w:p w14:paraId="1C57048E" w14:textId="0C515D69" w:rsidR="00165BC0" w:rsidRPr="00B35A22" w:rsidRDefault="00C96604" w:rsidP="00B35A22">
            <w:pPr>
              <w:widowControl w:val="0"/>
              <w:jc w:val="both"/>
              <w:rPr>
                <w:rFonts w:eastAsia="MS Mincho"/>
                <w:sz w:val="22"/>
                <w:lang w:val="sr-Latn-ME"/>
              </w:rPr>
            </w:pPr>
            <w:r w:rsidRPr="00B35A22">
              <w:rPr>
                <w:rFonts w:eastAsia="MS Mincho"/>
                <w:sz w:val="22"/>
                <w:lang w:val="sr-Latn-ME"/>
              </w:rPr>
              <w:t>sinkopa, vrtoglavica</w:t>
            </w:r>
          </w:p>
        </w:tc>
      </w:tr>
      <w:tr w:rsidR="00B40CCA" w:rsidRPr="00B35A22" w14:paraId="15CEDB06" w14:textId="77777777" w:rsidTr="0065270B">
        <w:tc>
          <w:tcPr>
            <w:tcW w:w="966" w:type="pct"/>
            <w:tcBorders>
              <w:top w:val="single" w:sz="4" w:space="0" w:color="auto"/>
            </w:tcBorders>
          </w:tcPr>
          <w:p w14:paraId="19C7E500" w14:textId="77777777" w:rsidR="00B40CCA" w:rsidRPr="00B35A22" w:rsidRDefault="00B40CCA" w:rsidP="00B35A22">
            <w:pPr>
              <w:widowControl w:val="0"/>
              <w:jc w:val="both"/>
              <w:rPr>
                <w:sz w:val="22"/>
                <w:lang w:val="sr-Latn-ME"/>
              </w:rPr>
            </w:pPr>
            <w:r w:rsidRPr="00B35A22">
              <w:rPr>
                <w:sz w:val="22"/>
                <w:lang w:val="sr-Latn-ME"/>
              </w:rPr>
              <w:t>Povremeno</w:t>
            </w:r>
          </w:p>
        </w:tc>
        <w:tc>
          <w:tcPr>
            <w:tcW w:w="2181" w:type="pct"/>
            <w:tcBorders>
              <w:top w:val="single" w:sz="4" w:space="0" w:color="auto"/>
            </w:tcBorders>
          </w:tcPr>
          <w:p w14:paraId="24A8FCE8" w14:textId="37FD8362" w:rsidR="00B40CCA" w:rsidRPr="00B35A22" w:rsidRDefault="00B40CCA" w:rsidP="00B35A22">
            <w:pPr>
              <w:widowControl w:val="0"/>
              <w:rPr>
                <w:rFonts w:eastAsia="MS Mincho"/>
                <w:sz w:val="22"/>
                <w:vertAlign w:val="superscript"/>
                <w:lang w:val="sr-Latn-ME"/>
              </w:rPr>
            </w:pPr>
            <w:r w:rsidRPr="00B35A22">
              <w:rPr>
                <w:rFonts w:eastAsia="MS Mincho"/>
                <w:i/>
                <w:sz w:val="22"/>
                <w:lang w:val="sr-Latn-ME"/>
              </w:rPr>
              <w:t>Guillain Barré-</w:t>
            </w:r>
            <w:r w:rsidRPr="00B35A22">
              <w:rPr>
                <w:rFonts w:eastAsia="MS Mincho"/>
                <w:sz w:val="22"/>
                <w:lang w:val="sr-Latn-ME"/>
              </w:rPr>
              <w:t xml:space="preserve">ov </w:t>
            </w:r>
            <w:r w:rsidR="00182C07" w:rsidRPr="00B35A22">
              <w:rPr>
                <w:rFonts w:eastAsia="MS Mincho"/>
                <w:sz w:val="22"/>
                <w:lang w:val="sr-Latn-ME"/>
              </w:rPr>
              <w:t>sindrom</w:t>
            </w:r>
            <w:r w:rsidR="00182C07" w:rsidRPr="00B35A22">
              <w:rPr>
                <w:rFonts w:eastAsia="MS Mincho"/>
                <w:sz w:val="22"/>
                <w:vertAlign w:val="superscript"/>
                <w:lang w:val="sr-Latn-ME"/>
              </w:rPr>
              <w:t>p</w:t>
            </w:r>
            <w:r w:rsidRPr="00B35A22">
              <w:rPr>
                <w:rFonts w:eastAsia="MS Mincho"/>
                <w:sz w:val="22"/>
                <w:lang w:val="sr-Latn-ME"/>
              </w:rPr>
              <w:t xml:space="preserve">, </w:t>
            </w:r>
            <w:r w:rsidR="00182C07" w:rsidRPr="00B35A22">
              <w:rPr>
                <w:rFonts w:eastAsia="MS Mincho"/>
                <w:sz w:val="22"/>
                <w:lang w:val="sr-Latn-ME"/>
              </w:rPr>
              <w:t>meningoencefalitis</w:t>
            </w:r>
            <w:r w:rsidR="00182C07" w:rsidRPr="00B35A22">
              <w:rPr>
                <w:rFonts w:eastAsia="MS Mincho"/>
                <w:sz w:val="22"/>
                <w:vertAlign w:val="superscript"/>
                <w:lang w:val="sr-Latn-ME"/>
              </w:rPr>
              <w:t>q</w:t>
            </w:r>
          </w:p>
        </w:tc>
        <w:tc>
          <w:tcPr>
            <w:tcW w:w="1853" w:type="pct"/>
            <w:tcBorders>
              <w:top w:val="single" w:sz="4" w:space="0" w:color="auto"/>
            </w:tcBorders>
          </w:tcPr>
          <w:p w14:paraId="01FB03D6" w14:textId="77777777" w:rsidR="00B40CCA" w:rsidRPr="00B35A22" w:rsidRDefault="00B40CCA" w:rsidP="00B35A22">
            <w:pPr>
              <w:widowControl w:val="0"/>
              <w:jc w:val="both"/>
              <w:rPr>
                <w:rFonts w:eastAsia="MS Mincho"/>
                <w:sz w:val="22"/>
                <w:vertAlign w:val="superscript"/>
                <w:lang w:val="sr-Latn-ME"/>
              </w:rPr>
            </w:pPr>
          </w:p>
        </w:tc>
      </w:tr>
      <w:tr w:rsidR="00B40CCA" w:rsidRPr="00B35A22" w14:paraId="603426F2" w14:textId="77777777" w:rsidTr="0065270B">
        <w:trPr>
          <w:trHeight w:val="795"/>
        </w:trPr>
        <w:tc>
          <w:tcPr>
            <w:tcW w:w="966" w:type="pct"/>
          </w:tcPr>
          <w:p w14:paraId="3BB52416" w14:textId="35980917" w:rsidR="00B40CCA" w:rsidRPr="00B35A22" w:rsidDel="00085F22" w:rsidRDefault="00B40CCA" w:rsidP="00B35A22">
            <w:pPr>
              <w:widowControl w:val="0"/>
              <w:jc w:val="both"/>
              <w:rPr>
                <w:sz w:val="22"/>
                <w:lang w:val="sr-Latn-ME"/>
              </w:rPr>
            </w:pPr>
            <w:r w:rsidRPr="00B35A22">
              <w:rPr>
                <w:sz w:val="22"/>
                <w:lang w:val="sr-Latn-ME"/>
              </w:rPr>
              <w:t>R</w:t>
            </w:r>
            <w:r w:rsidR="00042108" w:rsidRPr="00B35A22">
              <w:rPr>
                <w:sz w:val="22"/>
                <w:lang w:val="sr-Latn-ME"/>
              </w:rPr>
              <w:t>ij</w:t>
            </w:r>
            <w:r w:rsidRPr="00B35A22">
              <w:rPr>
                <w:sz w:val="22"/>
                <w:lang w:val="sr-Latn-ME"/>
              </w:rPr>
              <w:t>etko</w:t>
            </w:r>
          </w:p>
        </w:tc>
        <w:tc>
          <w:tcPr>
            <w:tcW w:w="2181" w:type="pct"/>
          </w:tcPr>
          <w:p w14:paraId="2F364599" w14:textId="6C799994" w:rsidR="00B40CCA" w:rsidRPr="00B35A22" w:rsidRDefault="00B40CCA" w:rsidP="00B35A22">
            <w:pPr>
              <w:widowControl w:val="0"/>
              <w:jc w:val="both"/>
              <w:rPr>
                <w:sz w:val="22"/>
                <w:lang w:val="sr-Latn-ME"/>
              </w:rPr>
            </w:pPr>
            <w:r w:rsidRPr="00B35A22">
              <w:rPr>
                <w:rFonts w:eastAsia="MS Mincho"/>
                <w:sz w:val="22"/>
                <w:lang w:val="sr-Latn-ME"/>
              </w:rPr>
              <w:t xml:space="preserve">miastenični </w:t>
            </w:r>
            <w:r w:rsidR="00182C07" w:rsidRPr="00B35A22">
              <w:rPr>
                <w:rFonts w:eastAsia="MS Mincho"/>
                <w:sz w:val="22"/>
                <w:lang w:val="sr-Latn-ME"/>
              </w:rPr>
              <w:t>sindrom</w:t>
            </w:r>
            <w:r w:rsidR="00182C07" w:rsidRPr="00B35A22">
              <w:rPr>
                <w:rFonts w:eastAsia="MS Mincho"/>
                <w:sz w:val="22"/>
                <w:vertAlign w:val="superscript"/>
                <w:lang w:val="sr-Latn-ME"/>
              </w:rPr>
              <w:t>r</w:t>
            </w:r>
            <w:r w:rsidR="00FD1DA9" w:rsidRPr="00B35A22">
              <w:rPr>
                <w:rFonts w:eastAsia="MS Mincho"/>
                <w:sz w:val="22"/>
                <w:lang w:val="sr-Latn-ME"/>
              </w:rPr>
              <w:t>, pareza lica, mijelitis</w:t>
            </w:r>
          </w:p>
        </w:tc>
        <w:tc>
          <w:tcPr>
            <w:tcW w:w="1853" w:type="pct"/>
          </w:tcPr>
          <w:p w14:paraId="5018BDBF" w14:textId="6D57404A" w:rsidR="00B40CCA" w:rsidRPr="00B35A22" w:rsidRDefault="00FD1DA9" w:rsidP="00B35A22">
            <w:pPr>
              <w:widowControl w:val="0"/>
              <w:jc w:val="both"/>
              <w:rPr>
                <w:sz w:val="22"/>
                <w:lang w:val="sr-Latn-ME"/>
              </w:rPr>
            </w:pPr>
            <w:r w:rsidRPr="00B35A22">
              <w:rPr>
                <w:sz w:val="22"/>
                <w:lang w:val="sr-Latn-ME"/>
              </w:rPr>
              <w:t>pareza lica</w:t>
            </w:r>
          </w:p>
        </w:tc>
      </w:tr>
      <w:tr w:rsidR="0054637E" w:rsidRPr="00B35A22" w14:paraId="53A71C97" w14:textId="77777777" w:rsidTr="0065270B">
        <w:trPr>
          <w:trHeight w:val="400"/>
        </w:trPr>
        <w:tc>
          <w:tcPr>
            <w:tcW w:w="5000" w:type="pct"/>
            <w:gridSpan w:val="3"/>
          </w:tcPr>
          <w:p w14:paraId="138AECB2" w14:textId="529D10EE" w:rsidR="0054637E" w:rsidRPr="00B35A22" w:rsidRDefault="0054637E" w:rsidP="00B35A22">
            <w:pPr>
              <w:widowControl w:val="0"/>
              <w:jc w:val="both"/>
              <w:rPr>
                <w:b/>
                <w:sz w:val="22"/>
                <w:lang w:val="sr-Latn-ME"/>
              </w:rPr>
            </w:pPr>
            <w:r w:rsidRPr="00B35A22">
              <w:rPr>
                <w:b/>
                <w:sz w:val="22"/>
                <w:lang w:val="sr-Latn-ME"/>
              </w:rPr>
              <w:t>Poremećaji oka</w:t>
            </w:r>
          </w:p>
        </w:tc>
      </w:tr>
      <w:tr w:rsidR="0054637E" w:rsidRPr="00B35A22" w14:paraId="401F46CE" w14:textId="77777777" w:rsidTr="0065270B">
        <w:trPr>
          <w:trHeight w:val="400"/>
        </w:trPr>
        <w:tc>
          <w:tcPr>
            <w:tcW w:w="966" w:type="pct"/>
          </w:tcPr>
          <w:p w14:paraId="44AE471F" w14:textId="10DF8B06" w:rsidR="0054637E" w:rsidRPr="00B35A22" w:rsidRDefault="0054637E" w:rsidP="00B35A22">
            <w:pPr>
              <w:widowControl w:val="0"/>
              <w:jc w:val="both"/>
              <w:rPr>
                <w:sz w:val="22"/>
                <w:lang w:val="sr-Latn-ME"/>
              </w:rPr>
            </w:pPr>
            <w:r w:rsidRPr="00B35A22">
              <w:rPr>
                <w:sz w:val="22"/>
                <w:lang w:val="sr-Latn-ME"/>
              </w:rPr>
              <w:t>Rijetko</w:t>
            </w:r>
          </w:p>
        </w:tc>
        <w:tc>
          <w:tcPr>
            <w:tcW w:w="2181" w:type="pct"/>
          </w:tcPr>
          <w:p w14:paraId="6CEB3FD5" w14:textId="3D0E6821" w:rsidR="0054637E" w:rsidRPr="00B35A22" w:rsidRDefault="0054637E" w:rsidP="00B35A22">
            <w:pPr>
              <w:widowControl w:val="0"/>
              <w:jc w:val="both"/>
              <w:rPr>
                <w:sz w:val="22"/>
                <w:lang w:val="sr-Latn-ME"/>
              </w:rPr>
            </w:pPr>
            <w:r w:rsidRPr="00B35A22">
              <w:rPr>
                <w:sz w:val="22"/>
                <w:lang w:val="sr-Latn-ME"/>
              </w:rPr>
              <w:t>uveitis</w:t>
            </w:r>
          </w:p>
        </w:tc>
        <w:tc>
          <w:tcPr>
            <w:tcW w:w="1853" w:type="pct"/>
          </w:tcPr>
          <w:p w14:paraId="19B7ED82" w14:textId="3E8663C5" w:rsidR="0054637E" w:rsidRPr="00B35A22" w:rsidRDefault="0054637E" w:rsidP="00B35A22">
            <w:pPr>
              <w:widowControl w:val="0"/>
              <w:jc w:val="both"/>
              <w:rPr>
                <w:sz w:val="22"/>
                <w:lang w:val="sr-Latn-ME"/>
              </w:rPr>
            </w:pPr>
          </w:p>
        </w:tc>
      </w:tr>
      <w:tr w:rsidR="00B40CCA" w:rsidRPr="00B35A22" w14:paraId="2F84F382" w14:textId="77777777" w:rsidTr="0065270B">
        <w:trPr>
          <w:trHeight w:val="651"/>
        </w:trPr>
        <w:tc>
          <w:tcPr>
            <w:tcW w:w="5000" w:type="pct"/>
            <w:gridSpan w:val="3"/>
          </w:tcPr>
          <w:p w14:paraId="2AA24D87" w14:textId="272688B4" w:rsidR="00B40CCA" w:rsidRPr="00B35A22" w:rsidRDefault="00B40CCA" w:rsidP="00B35A22">
            <w:pPr>
              <w:widowControl w:val="0"/>
              <w:jc w:val="both"/>
              <w:rPr>
                <w:rFonts w:eastAsia="MS Mincho"/>
                <w:b/>
                <w:sz w:val="22"/>
                <w:lang w:val="sr-Latn-ME"/>
              </w:rPr>
            </w:pPr>
            <w:r w:rsidRPr="00B35A22">
              <w:rPr>
                <w:rFonts w:eastAsia="MS Mincho"/>
                <w:b/>
                <w:sz w:val="22"/>
                <w:lang w:val="sr-Latn-ME"/>
              </w:rPr>
              <w:t>Kardiološki poremećaji</w:t>
            </w:r>
          </w:p>
        </w:tc>
      </w:tr>
      <w:tr w:rsidR="00B51DBB" w:rsidRPr="00B35A22" w14:paraId="022BF4F6" w14:textId="77777777" w:rsidTr="0065270B">
        <w:tc>
          <w:tcPr>
            <w:tcW w:w="966" w:type="pct"/>
          </w:tcPr>
          <w:p w14:paraId="5679D1D2" w14:textId="75EBBA58" w:rsidR="00B51DBB" w:rsidRPr="00B35A22" w:rsidRDefault="00B51DBB" w:rsidP="00B35A22">
            <w:pPr>
              <w:widowControl w:val="0"/>
              <w:tabs>
                <w:tab w:val="left" w:pos="989"/>
              </w:tabs>
              <w:jc w:val="both"/>
              <w:rPr>
                <w:sz w:val="22"/>
                <w:lang w:val="sr-Latn-ME"/>
              </w:rPr>
            </w:pPr>
            <w:r w:rsidRPr="00B35A22">
              <w:rPr>
                <w:sz w:val="22"/>
                <w:lang w:val="sr-Latn-ME"/>
              </w:rPr>
              <w:t>Često</w:t>
            </w:r>
          </w:p>
        </w:tc>
        <w:tc>
          <w:tcPr>
            <w:tcW w:w="2181" w:type="pct"/>
          </w:tcPr>
          <w:p w14:paraId="1A7341C1" w14:textId="6F58BDF9" w:rsidR="00B51DBB" w:rsidRPr="00B35A22" w:rsidRDefault="00B51DBB" w:rsidP="00B35A22">
            <w:pPr>
              <w:widowControl w:val="0"/>
              <w:jc w:val="both"/>
              <w:rPr>
                <w:rFonts w:eastAsia="MS Mincho"/>
                <w:sz w:val="22"/>
                <w:lang w:val="sr-Latn-ME"/>
              </w:rPr>
            </w:pPr>
            <w:r w:rsidRPr="00B35A22">
              <w:rPr>
                <w:sz w:val="22"/>
                <w:lang w:val="sr-Latn-ME"/>
              </w:rPr>
              <w:t>poremećaji perikarda</w:t>
            </w:r>
            <w:r w:rsidRPr="00B35A22">
              <w:rPr>
                <w:sz w:val="22"/>
                <w:vertAlign w:val="superscript"/>
                <w:lang w:val="sr-Latn-ME"/>
              </w:rPr>
              <w:t>ao</w:t>
            </w:r>
          </w:p>
        </w:tc>
        <w:tc>
          <w:tcPr>
            <w:tcW w:w="1853" w:type="pct"/>
          </w:tcPr>
          <w:p w14:paraId="52AE4222" w14:textId="77777777" w:rsidR="00B51DBB" w:rsidRPr="00B35A22" w:rsidRDefault="00B51DBB" w:rsidP="00B35A22">
            <w:pPr>
              <w:widowControl w:val="0"/>
              <w:jc w:val="both"/>
              <w:rPr>
                <w:rFonts w:eastAsia="MS Mincho"/>
                <w:sz w:val="22"/>
                <w:lang w:val="sr-Latn-ME"/>
              </w:rPr>
            </w:pPr>
          </w:p>
        </w:tc>
      </w:tr>
      <w:tr w:rsidR="00B51DBB" w:rsidRPr="00B35A22" w14:paraId="12D369AD" w14:textId="77777777" w:rsidTr="0065270B">
        <w:trPr>
          <w:trHeight w:val="70"/>
        </w:trPr>
        <w:tc>
          <w:tcPr>
            <w:tcW w:w="966" w:type="pct"/>
          </w:tcPr>
          <w:p w14:paraId="05D57780" w14:textId="1EAC783F" w:rsidR="00B51DBB" w:rsidRPr="00B35A22" w:rsidRDefault="00B51DBB" w:rsidP="00B35A22">
            <w:pPr>
              <w:widowControl w:val="0"/>
              <w:tabs>
                <w:tab w:val="left" w:pos="989"/>
              </w:tabs>
              <w:jc w:val="both"/>
              <w:rPr>
                <w:sz w:val="22"/>
                <w:lang w:val="sr-Latn-ME"/>
              </w:rPr>
            </w:pPr>
            <w:r w:rsidRPr="00B35A22">
              <w:rPr>
                <w:sz w:val="22"/>
                <w:lang w:val="sr-Latn-ME"/>
              </w:rPr>
              <w:t>Povremeno</w:t>
            </w:r>
          </w:p>
        </w:tc>
        <w:tc>
          <w:tcPr>
            <w:tcW w:w="2181" w:type="pct"/>
          </w:tcPr>
          <w:p w14:paraId="695611A9" w14:textId="77777777" w:rsidR="00B51DBB" w:rsidRPr="00B35A22" w:rsidRDefault="00B51DBB" w:rsidP="00B35A22">
            <w:pPr>
              <w:widowControl w:val="0"/>
              <w:jc w:val="both"/>
              <w:rPr>
                <w:rFonts w:eastAsia="MS Mincho"/>
                <w:sz w:val="22"/>
                <w:lang w:val="sr-Latn-ME"/>
              </w:rPr>
            </w:pPr>
          </w:p>
        </w:tc>
        <w:tc>
          <w:tcPr>
            <w:tcW w:w="1853" w:type="pct"/>
          </w:tcPr>
          <w:p w14:paraId="25F06806" w14:textId="654F337D" w:rsidR="00B51DBB" w:rsidRPr="00B35A22" w:rsidRDefault="00B51DBB" w:rsidP="00B35A22">
            <w:pPr>
              <w:widowControl w:val="0"/>
              <w:jc w:val="both"/>
              <w:rPr>
                <w:rFonts w:eastAsia="MS Mincho"/>
                <w:sz w:val="22"/>
                <w:lang w:val="sr-Latn-ME"/>
              </w:rPr>
            </w:pPr>
            <w:r w:rsidRPr="00B35A22">
              <w:rPr>
                <w:sz w:val="22"/>
                <w:lang w:val="sr-Latn-ME"/>
              </w:rPr>
              <w:t>poremećaji perikarda</w:t>
            </w:r>
            <w:r w:rsidRPr="00B35A22">
              <w:rPr>
                <w:sz w:val="22"/>
                <w:vertAlign w:val="superscript"/>
                <w:lang w:val="sr-Latn-ME"/>
              </w:rPr>
              <w:t>ao</w:t>
            </w:r>
          </w:p>
        </w:tc>
      </w:tr>
      <w:tr w:rsidR="007F5599" w:rsidRPr="00B35A22" w14:paraId="1578F5FE" w14:textId="77777777" w:rsidTr="0065270B">
        <w:trPr>
          <w:trHeight w:val="70"/>
        </w:trPr>
        <w:tc>
          <w:tcPr>
            <w:tcW w:w="966" w:type="pct"/>
          </w:tcPr>
          <w:p w14:paraId="51BEB9F7" w14:textId="394BEA64" w:rsidR="007F5599" w:rsidRPr="00B35A22" w:rsidRDefault="007F5599" w:rsidP="00B35A22">
            <w:pPr>
              <w:widowControl w:val="0"/>
              <w:tabs>
                <w:tab w:val="left" w:pos="989"/>
              </w:tabs>
              <w:jc w:val="both"/>
              <w:rPr>
                <w:sz w:val="22"/>
                <w:lang w:val="sr-Latn-ME"/>
              </w:rPr>
            </w:pPr>
            <w:r w:rsidRPr="00B35A22">
              <w:rPr>
                <w:sz w:val="22"/>
                <w:lang w:val="sr-Latn-ME"/>
              </w:rPr>
              <w:t>Rijetko</w:t>
            </w:r>
            <w:r w:rsidRPr="00B35A22">
              <w:rPr>
                <w:sz w:val="22"/>
                <w:lang w:val="sr-Latn-ME"/>
              </w:rPr>
              <w:tab/>
            </w:r>
          </w:p>
        </w:tc>
        <w:tc>
          <w:tcPr>
            <w:tcW w:w="2181" w:type="pct"/>
          </w:tcPr>
          <w:p w14:paraId="1CF10F80" w14:textId="306BD612" w:rsidR="007F5599" w:rsidRPr="00B35A22" w:rsidRDefault="007F5599" w:rsidP="00B35A22">
            <w:pPr>
              <w:widowControl w:val="0"/>
              <w:jc w:val="both"/>
              <w:rPr>
                <w:rFonts w:eastAsia="MS Mincho"/>
                <w:sz w:val="22"/>
                <w:lang w:val="sr-Latn-ME"/>
              </w:rPr>
            </w:pPr>
            <w:r w:rsidRPr="00B35A22">
              <w:rPr>
                <w:rFonts w:eastAsia="MS Mincho"/>
                <w:sz w:val="22"/>
                <w:lang w:val="sr-Latn-ME"/>
              </w:rPr>
              <w:t>miokarditis</w:t>
            </w:r>
            <w:r w:rsidRPr="00B35A22">
              <w:rPr>
                <w:rFonts w:eastAsia="MS Mincho"/>
                <w:sz w:val="22"/>
                <w:vertAlign w:val="superscript"/>
                <w:lang w:val="sr-Latn-ME"/>
              </w:rPr>
              <w:t>s</w:t>
            </w:r>
          </w:p>
        </w:tc>
        <w:tc>
          <w:tcPr>
            <w:tcW w:w="1853" w:type="pct"/>
          </w:tcPr>
          <w:p w14:paraId="66EC6203" w14:textId="77777777" w:rsidR="007F5599" w:rsidRPr="00B35A22" w:rsidRDefault="007F5599" w:rsidP="00B35A22">
            <w:pPr>
              <w:widowControl w:val="0"/>
              <w:jc w:val="both"/>
              <w:rPr>
                <w:sz w:val="22"/>
                <w:lang w:val="sr-Latn-ME"/>
              </w:rPr>
            </w:pPr>
          </w:p>
        </w:tc>
      </w:tr>
      <w:tr w:rsidR="00B40CCA" w:rsidRPr="00B35A22" w14:paraId="7CFACCF2" w14:textId="77777777" w:rsidTr="0065270B">
        <w:tc>
          <w:tcPr>
            <w:tcW w:w="5000" w:type="pct"/>
            <w:gridSpan w:val="3"/>
          </w:tcPr>
          <w:p w14:paraId="56BBC82A" w14:textId="240CE050" w:rsidR="00B40CCA" w:rsidRPr="00B35A22" w:rsidRDefault="00B1251B" w:rsidP="00B35A22">
            <w:pPr>
              <w:widowControl w:val="0"/>
              <w:jc w:val="both"/>
              <w:rPr>
                <w:rFonts w:eastAsia="MS Mincho"/>
                <w:b/>
                <w:sz w:val="22"/>
                <w:lang w:val="sr-Latn-ME"/>
              </w:rPr>
            </w:pPr>
            <w:r w:rsidRPr="00B35A22">
              <w:rPr>
                <w:rFonts w:eastAsia="MS Mincho"/>
                <w:b/>
                <w:sz w:val="22"/>
                <w:lang w:val="sr-Latn-ME"/>
              </w:rPr>
              <w:t>Kardiovaskularni poremećaji</w:t>
            </w:r>
          </w:p>
        </w:tc>
      </w:tr>
      <w:tr w:rsidR="007102CC" w:rsidRPr="00B35A22" w14:paraId="3F82CF94" w14:textId="77777777" w:rsidTr="0065270B">
        <w:tc>
          <w:tcPr>
            <w:tcW w:w="966" w:type="pct"/>
          </w:tcPr>
          <w:p w14:paraId="78DCF8A1" w14:textId="77777777" w:rsidR="007102CC" w:rsidRPr="00B35A22" w:rsidRDefault="007102CC" w:rsidP="00B35A22">
            <w:pPr>
              <w:widowControl w:val="0"/>
              <w:jc w:val="both"/>
              <w:rPr>
                <w:rFonts w:eastAsia="MS Mincho"/>
                <w:sz w:val="22"/>
                <w:lang w:val="sr-Latn-ME"/>
              </w:rPr>
            </w:pPr>
            <w:r w:rsidRPr="00B35A22">
              <w:rPr>
                <w:rFonts w:eastAsia="MS Mincho"/>
                <w:sz w:val="22"/>
                <w:lang w:val="sr-Latn-ME"/>
              </w:rPr>
              <w:t>Veoma često</w:t>
            </w:r>
          </w:p>
        </w:tc>
        <w:tc>
          <w:tcPr>
            <w:tcW w:w="2181" w:type="pct"/>
          </w:tcPr>
          <w:p w14:paraId="503B26DB" w14:textId="77777777" w:rsidR="007102CC" w:rsidRPr="00B35A22" w:rsidRDefault="007102CC" w:rsidP="00B35A22">
            <w:pPr>
              <w:widowControl w:val="0"/>
              <w:jc w:val="both"/>
              <w:rPr>
                <w:rFonts w:eastAsia="MS Mincho"/>
                <w:b/>
                <w:sz w:val="22"/>
                <w:lang w:val="sr-Latn-ME"/>
              </w:rPr>
            </w:pPr>
          </w:p>
        </w:tc>
        <w:tc>
          <w:tcPr>
            <w:tcW w:w="1853" w:type="pct"/>
          </w:tcPr>
          <w:p w14:paraId="301F656D" w14:textId="0319893E" w:rsidR="007102CC" w:rsidRPr="00B35A22" w:rsidRDefault="007102CC" w:rsidP="00B35A22">
            <w:pPr>
              <w:widowControl w:val="0"/>
              <w:jc w:val="both"/>
              <w:rPr>
                <w:rFonts w:eastAsia="MS Mincho"/>
                <w:sz w:val="22"/>
                <w:lang w:val="sr-Latn-ME"/>
              </w:rPr>
            </w:pPr>
            <w:r w:rsidRPr="00B35A22">
              <w:rPr>
                <w:rFonts w:eastAsia="MS Mincho"/>
                <w:sz w:val="22"/>
                <w:lang w:val="sr-Latn-ME"/>
              </w:rPr>
              <w:t>hipertenzija</w:t>
            </w:r>
            <w:r w:rsidRPr="00B35A22">
              <w:rPr>
                <w:rFonts w:eastAsia="MS Mincho"/>
                <w:sz w:val="22"/>
                <w:vertAlign w:val="superscript"/>
                <w:lang w:val="sr-Latn-ME"/>
              </w:rPr>
              <w:t>ai</w:t>
            </w:r>
          </w:p>
        </w:tc>
      </w:tr>
      <w:tr w:rsidR="00B40CCA" w:rsidRPr="00B35A22" w14:paraId="0BF92060" w14:textId="77777777" w:rsidTr="0065270B">
        <w:tc>
          <w:tcPr>
            <w:tcW w:w="966" w:type="pct"/>
          </w:tcPr>
          <w:p w14:paraId="3C954A03" w14:textId="44591846" w:rsidR="00B40CCA" w:rsidRPr="00B35A22" w:rsidRDefault="00B40CCA" w:rsidP="00B35A22">
            <w:pPr>
              <w:widowControl w:val="0"/>
              <w:jc w:val="both"/>
              <w:rPr>
                <w:rFonts w:eastAsia="MS Mincho"/>
                <w:sz w:val="22"/>
                <w:lang w:val="sr-Latn-ME"/>
              </w:rPr>
            </w:pPr>
            <w:r w:rsidRPr="00B35A22">
              <w:rPr>
                <w:sz w:val="22"/>
                <w:lang w:val="sr-Latn-ME"/>
              </w:rPr>
              <w:t>Čest</w:t>
            </w:r>
            <w:r w:rsidR="007102CC" w:rsidRPr="00B35A22">
              <w:rPr>
                <w:sz w:val="22"/>
                <w:lang w:val="sr-Latn-ME"/>
              </w:rPr>
              <w:t>o</w:t>
            </w:r>
          </w:p>
        </w:tc>
        <w:tc>
          <w:tcPr>
            <w:tcW w:w="2181" w:type="pct"/>
          </w:tcPr>
          <w:p w14:paraId="464536B9" w14:textId="77777777" w:rsidR="00B40CCA" w:rsidRPr="00B35A22" w:rsidRDefault="00B40CCA" w:rsidP="00B35A22">
            <w:pPr>
              <w:widowControl w:val="0"/>
              <w:jc w:val="both"/>
              <w:rPr>
                <w:rFonts w:eastAsia="MS Mincho"/>
                <w:sz w:val="22"/>
                <w:lang w:val="sr-Latn-ME"/>
              </w:rPr>
            </w:pPr>
            <w:r w:rsidRPr="00B35A22">
              <w:rPr>
                <w:rFonts w:eastAsia="MS Mincho"/>
                <w:sz w:val="22"/>
                <w:lang w:val="sr-Latn-ME"/>
              </w:rPr>
              <w:t>hipotenzija</w:t>
            </w:r>
          </w:p>
        </w:tc>
        <w:tc>
          <w:tcPr>
            <w:tcW w:w="1853" w:type="pct"/>
          </w:tcPr>
          <w:p w14:paraId="685124AE" w14:textId="77777777" w:rsidR="00B40CCA" w:rsidRPr="00B35A22" w:rsidRDefault="00B40CCA" w:rsidP="00B35A22">
            <w:pPr>
              <w:widowControl w:val="0"/>
              <w:jc w:val="both"/>
              <w:rPr>
                <w:rFonts w:eastAsia="MS Mincho"/>
                <w:sz w:val="22"/>
                <w:lang w:val="sr-Latn-ME"/>
              </w:rPr>
            </w:pPr>
          </w:p>
        </w:tc>
      </w:tr>
      <w:tr w:rsidR="00B40CCA" w:rsidRPr="00B35A22" w14:paraId="772E5DAF" w14:textId="77777777" w:rsidTr="0065270B">
        <w:tc>
          <w:tcPr>
            <w:tcW w:w="3147" w:type="pct"/>
            <w:gridSpan w:val="2"/>
            <w:shd w:val="clear" w:color="auto" w:fill="auto"/>
          </w:tcPr>
          <w:p w14:paraId="6F5BAB55" w14:textId="77777777" w:rsidR="00B40CCA" w:rsidRPr="00B35A22" w:rsidRDefault="00B40CCA" w:rsidP="00B35A22">
            <w:pPr>
              <w:widowControl w:val="0"/>
              <w:jc w:val="center"/>
              <w:rPr>
                <w:rFonts w:eastAsia="MS Mincho"/>
                <w:b/>
                <w:sz w:val="22"/>
                <w:lang w:val="sr-Latn-ME"/>
              </w:rPr>
            </w:pPr>
            <w:r w:rsidRPr="00B35A22">
              <w:rPr>
                <w:b/>
                <w:sz w:val="22"/>
                <w:lang w:val="sr-Latn-ME"/>
              </w:rPr>
              <w:t>Atezolizumab u monoterapiji</w:t>
            </w:r>
          </w:p>
        </w:tc>
        <w:tc>
          <w:tcPr>
            <w:tcW w:w="1853" w:type="pct"/>
            <w:shd w:val="clear" w:color="auto" w:fill="auto"/>
          </w:tcPr>
          <w:p w14:paraId="2AC8DF61" w14:textId="77777777" w:rsidR="00B40CCA" w:rsidRPr="00B35A22" w:rsidRDefault="00B40CCA" w:rsidP="00B35A22">
            <w:pPr>
              <w:widowControl w:val="0"/>
              <w:jc w:val="center"/>
              <w:rPr>
                <w:rFonts w:eastAsia="MS Mincho"/>
                <w:b/>
                <w:sz w:val="22"/>
                <w:lang w:val="sr-Latn-ME"/>
              </w:rPr>
            </w:pPr>
            <w:r w:rsidRPr="00B35A22">
              <w:rPr>
                <w:b/>
                <w:sz w:val="22"/>
                <w:lang w:val="sr-Latn-ME"/>
              </w:rPr>
              <w:t>Atezolizumab u kombinovanoj terapiji</w:t>
            </w:r>
          </w:p>
        </w:tc>
      </w:tr>
      <w:tr w:rsidR="00B40CCA" w:rsidRPr="00B35A22" w14:paraId="78BD22F8" w14:textId="77777777" w:rsidTr="0065270B">
        <w:tc>
          <w:tcPr>
            <w:tcW w:w="5000" w:type="pct"/>
            <w:gridSpan w:val="3"/>
          </w:tcPr>
          <w:p w14:paraId="48CCED6C" w14:textId="77777777" w:rsidR="00B40CCA" w:rsidRPr="00B35A22" w:rsidRDefault="00B40CCA" w:rsidP="00B35A22">
            <w:pPr>
              <w:widowControl w:val="0"/>
              <w:jc w:val="both"/>
              <w:rPr>
                <w:sz w:val="22"/>
                <w:lang w:val="sr-Latn-ME"/>
              </w:rPr>
            </w:pPr>
            <w:r w:rsidRPr="00B35A22">
              <w:rPr>
                <w:rFonts w:eastAsia="MS Mincho"/>
                <w:b/>
                <w:sz w:val="22"/>
                <w:lang w:val="sr-Latn-ME"/>
              </w:rPr>
              <w:t>Respiratorni, torakalni i medijastinalni poremećaji</w:t>
            </w:r>
          </w:p>
        </w:tc>
      </w:tr>
      <w:tr w:rsidR="00B40CCA" w:rsidRPr="00B35A22" w14:paraId="0B69B16C" w14:textId="77777777" w:rsidTr="0065270B">
        <w:trPr>
          <w:trHeight w:val="247"/>
        </w:trPr>
        <w:tc>
          <w:tcPr>
            <w:tcW w:w="966" w:type="pct"/>
          </w:tcPr>
          <w:p w14:paraId="0AF38307" w14:textId="77777777" w:rsidR="00B40CCA" w:rsidRPr="00B35A22" w:rsidRDefault="00B40CCA" w:rsidP="00B35A22">
            <w:pPr>
              <w:widowControl w:val="0"/>
              <w:jc w:val="both"/>
              <w:rPr>
                <w:rFonts w:eastAsia="MS Mincho"/>
                <w:sz w:val="22"/>
                <w:lang w:val="sr-Latn-ME"/>
              </w:rPr>
            </w:pPr>
            <w:r w:rsidRPr="00B35A22">
              <w:rPr>
                <w:sz w:val="22"/>
                <w:lang w:val="sr-Latn-ME"/>
              </w:rPr>
              <w:t>Veoma često</w:t>
            </w:r>
          </w:p>
        </w:tc>
        <w:tc>
          <w:tcPr>
            <w:tcW w:w="2181" w:type="pct"/>
          </w:tcPr>
          <w:p w14:paraId="3AF64BA1" w14:textId="2C79CEC8" w:rsidR="00B40CCA" w:rsidRPr="00B35A22" w:rsidRDefault="00441159" w:rsidP="00B35A22">
            <w:pPr>
              <w:widowControl w:val="0"/>
              <w:jc w:val="both"/>
              <w:rPr>
                <w:rFonts w:eastAsia="MS Mincho"/>
                <w:sz w:val="22"/>
                <w:lang w:val="sr-Latn-ME"/>
              </w:rPr>
            </w:pPr>
            <w:r w:rsidRPr="00B35A22">
              <w:rPr>
                <w:rFonts w:eastAsia="MS Mincho"/>
                <w:sz w:val="22"/>
                <w:lang w:val="sr-Latn-ME"/>
              </w:rPr>
              <w:t>dispnea, kašalj</w:t>
            </w:r>
          </w:p>
        </w:tc>
        <w:tc>
          <w:tcPr>
            <w:tcW w:w="1853" w:type="pct"/>
          </w:tcPr>
          <w:p w14:paraId="15C04026" w14:textId="20408CD4" w:rsidR="00B40CCA" w:rsidRPr="00B35A22" w:rsidRDefault="00AF7584" w:rsidP="00B35A22">
            <w:pPr>
              <w:widowControl w:val="0"/>
              <w:jc w:val="both"/>
              <w:rPr>
                <w:rFonts w:eastAsia="MS Mincho"/>
                <w:sz w:val="22"/>
                <w:lang w:val="sr-Latn-ME"/>
              </w:rPr>
            </w:pPr>
            <w:r w:rsidRPr="00B35A22">
              <w:rPr>
                <w:rFonts w:eastAsia="MS Mincho"/>
                <w:sz w:val="22"/>
                <w:lang w:val="sr-Latn-ME"/>
              </w:rPr>
              <w:t>dispnea, kašalj</w:t>
            </w:r>
            <w:r w:rsidR="00574B7C" w:rsidRPr="00B35A22">
              <w:rPr>
                <w:rFonts w:eastAsia="MS Mincho"/>
                <w:sz w:val="22"/>
                <w:lang w:val="sr-Latn-ME"/>
              </w:rPr>
              <w:t>, nazofaringitis</w:t>
            </w:r>
            <w:r w:rsidR="00574B7C" w:rsidRPr="00B35A22">
              <w:rPr>
                <w:rFonts w:eastAsia="MS Mincho"/>
                <w:sz w:val="22"/>
                <w:vertAlign w:val="superscript"/>
                <w:lang w:val="sr-Latn-ME"/>
              </w:rPr>
              <w:t>am</w:t>
            </w:r>
          </w:p>
        </w:tc>
      </w:tr>
      <w:tr w:rsidR="00B40CCA" w:rsidRPr="00B35A22" w14:paraId="31DF6021" w14:textId="77777777" w:rsidTr="0065270B">
        <w:trPr>
          <w:trHeight w:val="169"/>
        </w:trPr>
        <w:tc>
          <w:tcPr>
            <w:tcW w:w="966" w:type="pct"/>
          </w:tcPr>
          <w:p w14:paraId="70C837E0" w14:textId="77777777" w:rsidR="00B40CCA" w:rsidRPr="00B35A22" w:rsidRDefault="00B40CCA" w:rsidP="00B35A22">
            <w:pPr>
              <w:widowControl w:val="0"/>
              <w:jc w:val="both"/>
              <w:rPr>
                <w:rFonts w:eastAsia="MS Mincho"/>
                <w:sz w:val="22"/>
                <w:lang w:val="sr-Latn-ME"/>
              </w:rPr>
            </w:pPr>
            <w:r w:rsidRPr="00B35A22">
              <w:rPr>
                <w:sz w:val="22"/>
                <w:lang w:val="sr-Latn-ME"/>
              </w:rPr>
              <w:t>Često</w:t>
            </w:r>
          </w:p>
        </w:tc>
        <w:tc>
          <w:tcPr>
            <w:tcW w:w="2181" w:type="pct"/>
          </w:tcPr>
          <w:p w14:paraId="4C147CB1" w14:textId="1BE84866" w:rsidR="00B40CCA" w:rsidRPr="00B35A22" w:rsidRDefault="00182C07" w:rsidP="00B35A22">
            <w:pPr>
              <w:widowControl w:val="0"/>
              <w:jc w:val="both"/>
              <w:rPr>
                <w:sz w:val="22"/>
                <w:lang w:val="sr-Latn-ME"/>
              </w:rPr>
            </w:pPr>
            <w:r w:rsidRPr="00B35A22">
              <w:rPr>
                <w:rFonts w:eastAsia="MS Mincho"/>
                <w:sz w:val="22"/>
                <w:lang w:val="sr-Latn-ME"/>
              </w:rPr>
              <w:t>pneumonitis</w:t>
            </w:r>
            <w:r w:rsidRPr="00B35A22">
              <w:rPr>
                <w:sz w:val="22"/>
                <w:vertAlign w:val="superscript"/>
                <w:lang w:val="sr-Latn-ME"/>
              </w:rPr>
              <w:t>t</w:t>
            </w:r>
            <w:r w:rsidR="00B40CCA" w:rsidRPr="00B35A22">
              <w:rPr>
                <w:sz w:val="22"/>
                <w:lang w:val="sr-Latn-ME"/>
              </w:rPr>
              <w:t xml:space="preserve">, </w:t>
            </w:r>
            <w:r w:rsidR="00B40CCA" w:rsidRPr="00B35A22">
              <w:rPr>
                <w:rFonts w:eastAsia="MS Mincho"/>
                <w:sz w:val="22"/>
                <w:lang w:val="sr-Latn-ME"/>
              </w:rPr>
              <w:t>hipoksija</w:t>
            </w:r>
            <w:r w:rsidRPr="00B35A22">
              <w:rPr>
                <w:rFonts w:eastAsia="MS Mincho"/>
                <w:sz w:val="22"/>
                <w:vertAlign w:val="superscript"/>
                <w:lang w:val="sr-Latn-ME"/>
              </w:rPr>
              <w:t>ag</w:t>
            </w:r>
            <w:r w:rsidR="00B40CCA" w:rsidRPr="00B35A22">
              <w:rPr>
                <w:rFonts w:eastAsia="MS Mincho"/>
                <w:sz w:val="22"/>
                <w:lang w:val="sr-Latn-ME"/>
              </w:rPr>
              <w:t xml:space="preserve">, </w:t>
            </w:r>
            <w:r w:rsidR="00D5693E" w:rsidRPr="00B35A22">
              <w:rPr>
                <w:rFonts w:eastAsia="MS Mincho"/>
                <w:sz w:val="22"/>
                <w:lang w:val="sr-Latn-ME"/>
              </w:rPr>
              <w:t>nazofaringitis</w:t>
            </w:r>
            <w:r w:rsidR="00574B7C" w:rsidRPr="00B35A22">
              <w:rPr>
                <w:rFonts w:eastAsia="MS Mincho"/>
                <w:sz w:val="22"/>
                <w:vertAlign w:val="superscript"/>
                <w:lang w:val="sr-Latn-ME"/>
              </w:rPr>
              <w:t>am</w:t>
            </w:r>
          </w:p>
        </w:tc>
        <w:tc>
          <w:tcPr>
            <w:tcW w:w="1853" w:type="pct"/>
          </w:tcPr>
          <w:p w14:paraId="490076EE" w14:textId="351005D3" w:rsidR="00B40CCA" w:rsidRPr="00B35A22" w:rsidRDefault="00D5693E" w:rsidP="00B35A22">
            <w:pPr>
              <w:widowControl w:val="0"/>
              <w:jc w:val="both"/>
              <w:rPr>
                <w:sz w:val="22"/>
                <w:lang w:val="sr-Latn-ME"/>
              </w:rPr>
            </w:pPr>
            <w:r w:rsidRPr="00B35A22">
              <w:rPr>
                <w:sz w:val="22"/>
                <w:lang w:val="sr-Latn-ME"/>
              </w:rPr>
              <w:t>disfonija</w:t>
            </w:r>
          </w:p>
        </w:tc>
      </w:tr>
      <w:tr w:rsidR="00B40CCA" w:rsidRPr="00B35A22" w14:paraId="44449580" w14:textId="77777777" w:rsidTr="0065270B">
        <w:tc>
          <w:tcPr>
            <w:tcW w:w="5000" w:type="pct"/>
            <w:gridSpan w:val="3"/>
          </w:tcPr>
          <w:p w14:paraId="61779965" w14:textId="182339F5" w:rsidR="00B40CCA" w:rsidRPr="00B35A22" w:rsidRDefault="00DA1A94" w:rsidP="00B35A22">
            <w:pPr>
              <w:widowControl w:val="0"/>
              <w:jc w:val="both"/>
              <w:rPr>
                <w:sz w:val="22"/>
                <w:lang w:val="sr-Latn-ME"/>
              </w:rPr>
            </w:pPr>
            <w:r w:rsidRPr="00B35A22">
              <w:rPr>
                <w:rFonts w:eastAsia="MS Mincho"/>
                <w:b/>
                <w:sz w:val="22"/>
                <w:lang w:val="sr-Latn-ME"/>
              </w:rPr>
              <w:t>Poremećaji sistema za varenje</w:t>
            </w:r>
          </w:p>
        </w:tc>
      </w:tr>
      <w:tr w:rsidR="00B40CCA" w:rsidRPr="00B35A22" w14:paraId="07296D4A" w14:textId="77777777" w:rsidTr="0065270B">
        <w:trPr>
          <w:trHeight w:val="507"/>
        </w:trPr>
        <w:tc>
          <w:tcPr>
            <w:tcW w:w="966" w:type="pct"/>
          </w:tcPr>
          <w:p w14:paraId="1628393A" w14:textId="77777777" w:rsidR="00B40CCA" w:rsidRPr="00B35A22" w:rsidRDefault="00B40CCA" w:rsidP="00B35A22">
            <w:pPr>
              <w:widowControl w:val="0"/>
              <w:jc w:val="both"/>
              <w:rPr>
                <w:sz w:val="22"/>
                <w:lang w:val="sr-Latn-ME"/>
              </w:rPr>
            </w:pPr>
            <w:r w:rsidRPr="00B35A22">
              <w:rPr>
                <w:sz w:val="22"/>
                <w:lang w:val="sr-Latn-ME"/>
              </w:rPr>
              <w:t>Veoma često</w:t>
            </w:r>
          </w:p>
        </w:tc>
        <w:tc>
          <w:tcPr>
            <w:tcW w:w="2181" w:type="pct"/>
          </w:tcPr>
          <w:p w14:paraId="202824DD" w14:textId="6EB1EABC" w:rsidR="00B40CCA" w:rsidRPr="00B35A22" w:rsidRDefault="00B40CCA" w:rsidP="00B35A22">
            <w:pPr>
              <w:widowControl w:val="0"/>
              <w:jc w:val="both"/>
              <w:rPr>
                <w:sz w:val="22"/>
                <w:vertAlign w:val="superscript"/>
                <w:lang w:val="sr-Latn-ME"/>
              </w:rPr>
            </w:pPr>
            <w:r w:rsidRPr="00B35A22">
              <w:rPr>
                <w:rFonts w:eastAsia="MS Mincho"/>
                <w:sz w:val="22"/>
                <w:lang w:val="sr-Latn-ME"/>
              </w:rPr>
              <w:t xml:space="preserve">mučnina, povraćanje, </w:t>
            </w:r>
            <w:r w:rsidR="00182C07" w:rsidRPr="00B35A22">
              <w:rPr>
                <w:rFonts w:eastAsia="MS Mincho"/>
                <w:sz w:val="22"/>
                <w:lang w:val="sr-Latn-ME"/>
              </w:rPr>
              <w:t>dijareja</w:t>
            </w:r>
            <w:r w:rsidR="00182C07" w:rsidRPr="00B35A22">
              <w:rPr>
                <w:rFonts w:eastAsia="MS Mincho"/>
                <w:sz w:val="22"/>
                <w:vertAlign w:val="superscript"/>
                <w:lang w:val="sr-Latn-ME"/>
              </w:rPr>
              <w:t>u</w:t>
            </w:r>
          </w:p>
        </w:tc>
        <w:tc>
          <w:tcPr>
            <w:tcW w:w="1853" w:type="pct"/>
          </w:tcPr>
          <w:p w14:paraId="3F1AEE01" w14:textId="0D207E5E" w:rsidR="00B40CCA" w:rsidRPr="00B35A22" w:rsidRDefault="00441159" w:rsidP="00B35A22">
            <w:pPr>
              <w:widowControl w:val="0"/>
              <w:jc w:val="both"/>
              <w:rPr>
                <w:sz w:val="22"/>
                <w:lang w:val="sr-Latn-ME"/>
              </w:rPr>
            </w:pPr>
            <w:r w:rsidRPr="00B35A22">
              <w:rPr>
                <w:sz w:val="22"/>
                <w:lang w:val="sr-Latn-ME"/>
              </w:rPr>
              <w:t>mučnina, povraćanje, dijareja</w:t>
            </w:r>
            <w:r w:rsidRPr="00B35A22">
              <w:rPr>
                <w:sz w:val="22"/>
                <w:vertAlign w:val="superscript"/>
                <w:lang w:val="sr-Latn-ME"/>
              </w:rPr>
              <w:t xml:space="preserve">u </w:t>
            </w:r>
            <w:r w:rsidRPr="00B35A22">
              <w:rPr>
                <w:sz w:val="22"/>
                <w:lang w:val="sr-Latn-ME"/>
              </w:rPr>
              <w:t>, konstipacija</w:t>
            </w:r>
          </w:p>
        </w:tc>
      </w:tr>
      <w:tr w:rsidR="00B40CCA" w:rsidRPr="00B35A22" w14:paraId="53789E3D" w14:textId="77777777" w:rsidTr="0065270B">
        <w:tc>
          <w:tcPr>
            <w:tcW w:w="966" w:type="pct"/>
          </w:tcPr>
          <w:p w14:paraId="5B5269F3" w14:textId="77777777" w:rsidR="00B40CCA" w:rsidRPr="00B35A22" w:rsidRDefault="00B40CCA" w:rsidP="00B35A22">
            <w:pPr>
              <w:widowControl w:val="0"/>
              <w:jc w:val="both"/>
              <w:rPr>
                <w:sz w:val="22"/>
                <w:lang w:val="sr-Latn-ME"/>
              </w:rPr>
            </w:pPr>
            <w:r w:rsidRPr="00B35A22">
              <w:rPr>
                <w:sz w:val="22"/>
                <w:lang w:val="sr-Latn-ME"/>
              </w:rPr>
              <w:t>Često</w:t>
            </w:r>
          </w:p>
        </w:tc>
        <w:tc>
          <w:tcPr>
            <w:tcW w:w="2181" w:type="pct"/>
          </w:tcPr>
          <w:p w14:paraId="03B786B8" w14:textId="77742A3A" w:rsidR="00B40CCA" w:rsidRPr="00B35A22" w:rsidRDefault="00441159" w:rsidP="00B35A22">
            <w:pPr>
              <w:widowControl w:val="0"/>
              <w:jc w:val="both"/>
              <w:rPr>
                <w:sz w:val="22"/>
                <w:lang w:val="sr-Latn-ME"/>
              </w:rPr>
            </w:pPr>
            <w:r w:rsidRPr="00B35A22">
              <w:rPr>
                <w:rFonts w:eastAsia="MS Mincho"/>
                <w:sz w:val="22"/>
                <w:lang w:val="sr-Latn-ME"/>
              </w:rPr>
              <w:t>kolitis</w:t>
            </w:r>
            <w:r w:rsidRPr="00B35A22">
              <w:rPr>
                <w:sz w:val="22"/>
                <w:vertAlign w:val="superscript"/>
                <w:lang w:val="sr-Latn-ME"/>
              </w:rPr>
              <w:t>v</w:t>
            </w:r>
            <w:r w:rsidRPr="00B35A22">
              <w:rPr>
                <w:rFonts w:eastAsia="MS Mincho"/>
                <w:sz w:val="22"/>
                <w:lang w:val="sr-Latn-ME"/>
              </w:rPr>
              <w:t>, bol u stomaku</w:t>
            </w:r>
            <w:r w:rsidRPr="00B35A22">
              <w:rPr>
                <w:sz w:val="22"/>
                <w:lang w:val="sr-Latn-ME"/>
              </w:rPr>
              <w:t xml:space="preserve">, </w:t>
            </w:r>
            <w:r w:rsidRPr="00B35A22">
              <w:rPr>
                <w:rFonts w:eastAsia="MS Mincho"/>
                <w:sz w:val="22"/>
                <w:lang w:val="sr-Latn-ME"/>
              </w:rPr>
              <w:t>disfagija, bol u usnoj duplji i ždrijelu</w:t>
            </w:r>
            <w:r w:rsidRPr="00B35A22">
              <w:rPr>
                <w:rFonts w:eastAsia="MS Mincho"/>
                <w:sz w:val="22"/>
                <w:vertAlign w:val="superscript"/>
                <w:lang w:val="sr-Latn-ME"/>
              </w:rPr>
              <w:t>w</w:t>
            </w:r>
            <w:r w:rsidR="00FD1DA9" w:rsidRPr="00B35A22">
              <w:rPr>
                <w:rFonts w:eastAsia="MS Mincho"/>
                <w:sz w:val="22"/>
                <w:lang w:val="sr-Latn-ME"/>
              </w:rPr>
              <w:t>, suva usta</w:t>
            </w:r>
          </w:p>
        </w:tc>
        <w:tc>
          <w:tcPr>
            <w:tcW w:w="1853" w:type="pct"/>
          </w:tcPr>
          <w:p w14:paraId="32B7E27D" w14:textId="64CCEDFE" w:rsidR="00B40CCA" w:rsidRPr="00B35A22" w:rsidRDefault="00165BC0" w:rsidP="00B35A22">
            <w:pPr>
              <w:widowControl w:val="0"/>
              <w:jc w:val="both"/>
              <w:rPr>
                <w:sz w:val="22"/>
                <w:lang w:val="sr-Latn-ME"/>
              </w:rPr>
            </w:pPr>
            <w:r w:rsidRPr="00B35A22">
              <w:rPr>
                <w:sz w:val="22"/>
                <w:lang w:val="sr-Latn-ME"/>
              </w:rPr>
              <w:t>stomatitis, disgezija</w:t>
            </w:r>
          </w:p>
        </w:tc>
      </w:tr>
      <w:tr w:rsidR="00B40CCA" w:rsidRPr="00B35A22" w14:paraId="7BBF292F" w14:textId="77777777" w:rsidTr="0065270B">
        <w:tc>
          <w:tcPr>
            <w:tcW w:w="966" w:type="pct"/>
          </w:tcPr>
          <w:p w14:paraId="555B7947" w14:textId="77777777" w:rsidR="00B40CCA" w:rsidRPr="00B35A22" w:rsidRDefault="00B40CCA" w:rsidP="00B35A22">
            <w:pPr>
              <w:widowControl w:val="0"/>
              <w:jc w:val="both"/>
              <w:rPr>
                <w:sz w:val="22"/>
                <w:lang w:val="sr-Latn-ME"/>
              </w:rPr>
            </w:pPr>
            <w:r w:rsidRPr="00B35A22">
              <w:rPr>
                <w:sz w:val="22"/>
                <w:lang w:val="sr-Latn-ME"/>
              </w:rPr>
              <w:t>Povremeno</w:t>
            </w:r>
          </w:p>
        </w:tc>
        <w:tc>
          <w:tcPr>
            <w:tcW w:w="2181" w:type="pct"/>
          </w:tcPr>
          <w:p w14:paraId="314880F2" w14:textId="79AE8259" w:rsidR="00B40CCA" w:rsidRPr="00B35A22" w:rsidRDefault="00182C07" w:rsidP="00B35A22">
            <w:pPr>
              <w:widowControl w:val="0"/>
              <w:jc w:val="both"/>
              <w:rPr>
                <w:sz w:val="22"/>
                <w:lang w:val="sr-Latn-ME"/>
              </w:rPr>
            </w:pPr>
            <w:r w:rsidRPr="00B35A22">
              <w:rPr>
                <w:sz w:val="22"/>
                <w:lang w:val="sr-Latn-ME"/>
              </w:rPr>
              <w:t>pankreatitis</w:t>
            </w:r>
            <w:r w:rsidRPr="00B35A22">
              <w:rPr>
                <w:sz w:val="22"/>
                <w:vertAlign w:val="superscript"/>
                <w:lang w:val="sr-Latn-ME"/>
              </w:rPr>
              <w:t>x</w:t>
            </w:r>
          </w:p>
        </w:tc>
        <w:tc>
          <w:tcPr>
            <w:tcW w:w="1853" w:type="pct"/>
          </w:tcPr>
          <w:p w14:paraId="458789D2" w14:textId="77777777" w:rsidR="00B40CCA" w:rsidRPr="00B35A22" w:rsidRDefault="00B40CCA" w:rsidP="00B35A22">
            <w:pPr>
              <w:widowControl w:val="0"/>
              <w:jc w:val="both"/>
              <w:rPr>
                <w:sz w:val="22"/>
                <w:lang w:val="sr-Latn-ME"/>
              </w:rPr>
            </w:pPr>
          </w:p>
        </w:tc>
      </w:tr>
      <w:tr w:rsidR="00127349" w:rsidRPr="00B35A22" w14:paraId="5191370C" w14:textId="77777777" w:rsidTr="0065270B">
        <w:tc>
          <w:tcPr>
            <w:tcW w:w="966" w:type="pct"/>
          </w:tcPr>
          <w:p w14:paraId="451DD21E" w14:textId="765648B6" w:rsidR="00127349" w:rsidRPr="00B35A22" w:rsidRDefault="00127349" w:rsidP="00B35A22">
            <w:pPr>
              <w:widowControl w:val="0"/>
              <w:jc w:val="both"/>
              <w:rPr>
                <w:sz w:val="22"/>
                <w:lang w:val="sr-Latn-ME"/>
              </w:rPr>
            </w:pPr>
            <w:r w:rsidRPr="00B35A22">
              <w:rPr>
                <w:sz w:val="22"/>
                <w:lang w:val="sr-Latn-ME"/>
              </w:rPr>
              <w:t>Rijetko</w:t>
            </w:r>
          </w:p>
        </w:tc>
        <w:tc>
          <w:tcPr>
            <w:tcW w:w="2181" w:type="pct"/>
          </w:tcPr>
          <w:p w14:paraId="24129E18" w14:textId="635738BC" w:rsidR="00127349" w:rsidRPr="00B35A22" w:rsidRDefault="00127349" w:rsidP="00B35A22">
            <w:pPr>
              <w:widowControl w:val="0"/>
              <w:jc w:val="both"/>
              <w:rPr>
                <w:sz w:val="22"/>
                <w:lang w:val="sr-Latn-ME"/>
              </w:rPr>
            </w:pPr>
            <w:r w:rsidRPr="00B35A22">
              <w:rPr>
                <w:sz w:val="22"/>
                <w:lang w:val="sr-Latn-ME"/>
              </w:rPr>
              <w:t>celijakija</w:t>
            </w:r>
          </w:p>
        </w:tc>
        <w:tc>
          <w:tcPr>
            <w:tcW w:w="1853" w:type="pct"/>
          </w:tcPr>
          <w:p w14:paraId="7947C659" w14:textId="65B70BCD" w:rsidR="00127349" w:rsidRPr="00B35A22" w:rsidRDefault="00127349" w:rsidP="00B35A22">
            <w:pPr>
              <w:widowControl w:val="0"/>
              <w:jc w:val="both"/>
              <w:rPr>
                <w:sz w:val="22"/>
                <w:lang w:val="sr-Latn-ME"/>
              </w:rPr>
            </w:pPr>
            <w:r w:rsidRPr="00B35A22">
              <w:rPr>
                <w:sz w:val="22"/>
                <w:lang w:val="sr-Latn-ME"/>
              </w:rPr>
              <w:t>celijakija</w:t>
            </w:r>
          </w:p>
        </w:tc>
      </w:tr>
      <w:tr w:rsidR="00B40CCA" w:rsidRPr="00B35A22" w14:paraId="4B0926DB" w14:textId="77777777" w:rsidTr="0065270B">
        <w:tc>
          <w:tcPr>
            <w:tcW w:w="5000" w:type="pct"/>
            <w:gridSpan w:val="3"/>
          </w:tcPr>
          <w:p w14:paraId="3CE22744" w14:textId="44C2EF5B" w:rsidR="00B40CCA" w:rsidRPr="00B35A22" w:rsidRDefault="00DA1A94" w:rsidP="00B35A22">
            <w:pPr>
              <w:widowControl w:val="0"/>
              <w:jc w:val="both"/>
              <w:rPr>
                <w:sz w:val="22"/>
                <w:lang w:val="sr-Latn-ME"/>
              </w:rPr>
            </w:pPr>
            <w:r w:rsidRPr="00B35A22">
              <w:rPr>
                <w:rFonts w:eastAsia="MS Mincho"/>
                <w:b/>
                <w:sz w:val="22"/>
                <w:lang w:val="sr-Latn-ME"/>
              </w:rPr>
              <w:t>Poremećaji jetre i žuči</w:t>
            </w:r>
          </w:p>
        </w:tc>
      </w:tr>
      <w:tr w:rsidR="00B40CCA" w:rsidRPr="00B35A22" w14:paraId="031F0DDC" w14:textId="77777777" w:rsidTr="0065270B">
        <w:tc>
          <w:tcPr>
            <w:tcW w:w="966" w:type="pct"/>
          </w:tcPr>
          <w:p w14:paraId="39248084" w14:textId="77777777" w:rsidR="00B40CCA" w:rsidRPr="00B35A22" w:rsidRDefault="00B40CCA" w:rsidP="00B35A22">
            <w:pPr>
              <w:widowControl w:val="0"/>
              <w:jc w:val="both"/>
              <w:rPr>
                <w:rFonts w:eastAsia="MS Mincho"/>
                <w:sz w:val="22"/>
                <w:lang w:val="sr-Latn-ME"/>
              </w:rPr>
            </w:pPr>
            <w:r w:rsidRPr="00B35A22">
              <w:rPr>
                <w:sz w:val="22"/>
                <w:lang w:val="sr-Latn-ME"/>
              </w:rPr>
              <w:t>Često</w:t>
            </w:r>
          </w:p>
        </w:tc>
        <w:tc>
          <w:tcPr>
            <w:tcW w:w="2181" w:type="pct"/>
          </w:tcPr>
          <w:p w14:paraId="48632371" w14:textId="3C351558" w:rsidR="00B40CCA" w:rsidRPr="00B35A22" w:rsidRDefault="00B40CCA" w:rsidP="00B35A22">
            <w:pPr>
              <w:widowControl w:val="0"/>
              <w:jc w:val="both"/>
              <w:rPr>
                <w:sz w:val="22"/>
                <w:lang w:val="sr-Latn-ME"/>
              </w:rPr>
            </w:pPr>
            <w:r w:rsidRPr="00B35A22">
              <w:rPr>
                <w:rFonts w:eastAsia="MS Mincho"/>
                <w:sz w:val="22"/>
                <w:lang w:val="sr-Latn-ME"/>
              </w:rPr>
              <w:t>povišene vr</w:t>
            </w:r>
            <w:r w:rsidR="00F15199" w:rsidRPr="00B35A22">
              <w:rPr>
                <w:rFonts w:eastAsia="MS Mincho"/>
                <w:sz w:val="22"/>
                <w:lang w:val="sr-Latn-ME"/>
              </w:rPr>
              <w:t>ij</w:t>
            </w:r>
            <w:r w:rsidRPr="00B35A22">
              <w:rPr>
                <w:rFonts w:eastAsia="MS Mincho"/>
                <w:sz w:val="22"/>
                <w:lang w:val="sr-Latn-ME"/>
              </w:rPr>
              <w:t>ednosti AST</w:t>
            </w:r>
            <w:r w:rsidRPr="00B35A22">
              <w:rPr>
                <w:sz w:val="22"/>
                <w:lang w:val="sr-Latn-ME"/>
              </w:rPr>
              <w:t>, povišene vr</w:t>
            </w:r>
            <w:r w:rsidR="00F15199" w:rsidRPr="00B35A22">
              <w:rPr>
                <w:sz w:val="22"/>
                <w:lang w:val="sr-Latn-ME"/>
              </w:rPr>
              <w:t>ij</w:t>
            </w:r>
            <w:r w:rsidRPr="00B35A22">
              <w:rPr>
                <w:sz w:val="22"/>
                <w:lang w:val="sr-Latn-ME"/>
              </w:rPr>
              <w:t xml:space="preserve">ednosti </w:t>
            </w:r>
            <w:r w:rsidRPr="00B35A22">
              <w:rPr>
                <w:rFonts w:eastAsia="MS Mincho"/>
                <w:sz w:val="22"/>
                <w:lang w:val="sr-Latn-ME"/>
              </w:rPr>
              <w:t xml:space="preserve">ALT, </w:t>
            </w:r>
            <w:r w:rsidR="00182C07" w:rsidRPr="00B35A22">
              <w:rPr>
                <w:rFonts w:eastAsia="MS Mincho"/>
                <w:sz w:val="22"/>
                <w:lang w:val="sr-Latn-ME"/>
              </w:rPr>
              <w:t>hepatitis</w:t>
            </w:r>
            <w:r w:rsidR="00182C07" w:rsidRPr="00B35A22">
              <w:rPr>
                <w:rFonts w:eastAsia="MS Mincho"/>
                <w:sz w:val="22"/>
                <w:vertAlign w:val="superscript"/>
                <w:lang w:val="sr-Latn-ME"/>
              </w:rPr>
              <w:t>y</w:t>
            </w:r>
          </w:p>
        </w:tc>
        <w:tc>
          <w:tcPr>
            <w:tcW w:w="1853" w:type="pct"/>
          </w:tcPr>
          <w:p w14:paraId="1E537793" w14:textId="75F1D46C" w:rsidR="00B40CCA" w:rsidRPr="00B35A22" w:rsidRDefault="00A40ABB" w:rsidP="00B35A22">
            <w:pPr>
              <w:widowControl w:val="0"/>
              <w:jc w:val="both"/>
              <w:rPr>
                <w:sz w:val="22"/>
                <w:lang w:val="sr-Latn-ME"/>
              </w:rPr>
            </w:pPr>
            <w:r w:rsidRPr="00B35A22">
              <w:rPr>
                <w:rFonts w:eastAsia="MS Mincho"/>
                <w:sz w:val="22"/>
                <w:lang w:val="sr-Latn-ME"/>
              </w:rPr>
              <w:t>povišene vr</w:t>
            </w:r>
            <w:r w:rsidR="00F15199" w:rsidRPr="00B35A22">
              <w:rPr>
                <w:rFonts w:eastAsia="MS Mincho"/>
                <w:sz w:val="22"/>
                <w:lang w:val="sr-Latn-ME"/>
              </w:rPr>
              <w:t>ij</w:t>
            </w:r>
            <w:r w:rsidRPr="00B35A22">
              <w:rPr>
                <w:rFonts w:eastAsia="MS Mincho"/>
                <w:sz w:val="22"/>
                <w:lang w:val="sr-Latn-ME"/>
              </w:rPr>
              <w:t>ednosti AST</w:t>
            </w:r>
            <w:r w:rsidRPr="00B35A22">
              <w:rPr>
                <w:sz w:val="22"/>
                <w:lang w:val="sr-Latn-ME"/>
              </w:rPr>
              <w:t>, povišene vr</w:t>
            </w:r>
            <w:r w:rsidR="00F15199" w:rsidRPr="00B35A22">
              <w:rPr>
                <w:sz w:val="22"/>
                <w:lang w:val="sr-Latn-ME"/>
              </w:rPr>
              <w:t>ij</w:t>
            </w:r>
            <w:r w:rsidRPr="00B35A22">
              <w:rPr>
                <w:sz w:val="22"/>
                <w:lang w:val="sr-Latn-ME"/>
              </w:rPr>
              <w:t xml:space="preserve">ednosti </w:t>
            </w:r>
            <w:r w:rsidRPr="00B35A22">
              <w:rPr>
                <w:rFonts w:eastAsia="MS Mincho"/>
                <w:sz w:val="22"/>
                <w:lang w:val="sr-Latn-ME"/>
              </w:rPr>
              <w:t>ALT</w:t>
            </w:r>
          </w:p>
        </w:tc>
      </w:tr>
      <w:tr w:rsidR="00B40CCA" w:rsidRPr="00B35A22" w14:paraId="548E148C" w14:textId="77777777" w:rsidTr="0065270B">
        <w:tc>
          <w:tcPr>
            <w:tcW w:w="5000" w:type="pct"/>
            <w:gridSpan w:val="3"/>
          </w:tcPr>
          <w:p w14:paraId="59636106" w14:textId="77777777" w:rsidR="00B40CCA" w:rsidRPr="00B35A22" w:rsidRDefault="00B40CCA" w:rsidP="00B35A22">
            <w:pPr>
              <w:widowControl w:val="0"/>
              <w:jc w:val="both"/>
              <w:rPr>
                <w:sz w:val="22"/>
                <w:lang w:val="sr-Latn-ME"/>
              </w:rPr>
            </w:pPr>
            <w:r w:rsidRPr="00B35A22">
              <w:rPr>
                <w:rFonts w:eastAsia="MS Mincho"/>
                <w:b/>
                <w:sz w:val="22"/>
                <w:lang w:val="sr-Latn-ME"/>
              </w:rPr>
              <w:t>Poremećaji kože i potkožnog tkiva</w:t>
            </w:r>
          </w:p>
        </w:tc>
      </w:tr>
      <w:tr w:rsidR="00B40CCA" w:rsidRPr="00B35A22" w14:paraId="79F93AE4" w14:textId="77777777" w:rsidTr="0065270B">
        <w:tc>
          <w:tcPr>
            <w:tcW w:w="966" w:type="pct"/>
          </w:tcPr>
          <w:p w14:paraId="69B728E1" w14:textId="77777777" w:rsidR="00B40CCA" w:rsidRPr="00B35A22" w:rsidRDefault="00B40CCA" w:rsidP="00B35A22">
            <w:pPr>
              <w:widowControl w:val="0"/>
              <w:jc w:val="both"/>
              <w:rPr>
                <w:rFonts w:eastAsia="MS Mincho"/>
                <w:sz w:val="22"/>
                <w:lang w:val="sr-Latn-ME"/>
              </w:rPr>
            </w:pPr>
            <w:r w:rsidRPr="00B35A22">
              <w:rPr>
                <w:sz w:val="22"/>
                <w:lang w:val="sr-Latn-ME"/>
              </w:rPr>
              <w:t>Veoma često</w:t>
            </w:r>
          </w:p>
        </w:tc>
        <w:tc>
          <w:tcPr>
            <w:tcW w:w="2181" w:type="pct"/>
          </w:tcPr>
          <w:p w14:paraId="32A840C4" w14:textId="4104FC9C" w:rsidR="00B40CCA" w:rsidRPr="00B35A22" w:rsidRDefault="00182C07" w:rsidP="00B35A22">
            <w:pPr>
              <w:widowControl w:val="0"/>
              <w:jc w:val="both"/>
              <w:rPr>
                <w:sz w:val="22"/>
                <w:lang w:val="sr-Latn-ME"/>
              </w:rPr>
            </w:pPr>
            <w:r w:rsidRPr="00B35A22">
              <w:rPr>
                <w:rFonts w:eastAsia="MS Mincho"/>
                <w:sz w:val="22"/>
                <w:lang w:val="sr-Latn-ME"/>
              </w:rPr>
              <w:t>osip</w:t>
            </w:r>
            <w:r w:rsidRPr="00B35A22">
              <w:rPr>
                <w:rFonts w:eastAsia="MS Mincho"/>
                <w:sz w:val="22"/>
                <w:vertAlign w:val="superscript"/>
                <w:lang w:val="sr-Latn-ME"/>
              </w:rPr>
              <w:t>z</w:t>
            </w:r>
            <w:r w:rsidR="00B40CCA" w:rsidRPr="00B35A22">
              <w:rPr>
                <w:sz w:val="22"/>
                <w:lang w:val="sr-Latn-ME"/>
              </w:rPr>
              <w:t xml:space="preserve">, </w:t>
            </w:r>
            <w:r w:rsidR="00B40CCA" w:rsidRPr="00B35A22">
              <w:rPr>
                <w:rFonts w:eastAsia="MS Mincho"/>
                <w:sz w:val="22"/>
                <w:lang w:val="sr-Latn-ME"/>
              </w:rPr>
              <w:t>pruritus</w:t>
            </w:r>
          </w:p>
        </w:tc>
        <w:tc>
          <w:tcPr>
            <w:tcW w:w="1853" w:type="pct"/>
          </w:tcPr>
          <w:p w14:paraId="7BC970CC" w14:textId="6097CF7A" w:rsidR="00B40CCA" w:rsidRPr="00B35A22" w:rsidRDefault="00182C07" w:rsidP="00B35A22">
            <w:pPr>
              <w:widowControl w:val="0"/>
              <w:jc w:val="both"/>
              <w:rPr>
                <w:sz w:val="22"/>
                <w:lang w:val="sr-Latn-ME"/>
              </w:rPr>
            </w:pPr>
            <w:r w:rsidRPr="00B35A22">
              <w:rPr>
                <w:rFonts w:eastAsia="MS Mincho"/>
                <w:sz w:val="22"/>
                <w:lang w:val="sr-Latn-ME"/>
              </w:rPr>
              <w:t>osip</w:t>
            </w:r>
            <w:r w:rsidRPr="00B35A22">
              <w:rPr>
                <w:rFonts w:eastAsia="MS Mincho"/>
                <w:sz w:val="22"/>
                <w:vertAlign w:val="superscript"/>
                <w:lang w:val="sr-Latn-ME"/>
              </w:rPr>
              <w:t>z</w:t>
            </w:r>
            <w:r w:rsidR="00B40CCA" w:rsidRPr="00B35A22">
              <w:rPr>
                <w:sz w:val="22"/>
                <w:lang w:val="sr-Latn-ME"/>
              </w:rPr>
              <w:t xml:space="preserve">, </w:t>
            </w:r>
            <w:r w:rsidR="00B40CCA" w:rsidRPr="00B35A22">
              <w:rPr>
                <w:rFonts w:eastAsia="MS Mincho"/>
                <w:sz w:val="22"/>
                <w:lang w:val="sr-Latn-ME"/>
              </w:rPr>
              <w:t>pruritus</w:t>
            </w:r>
            <w:r w:rsidRPr="00B35A22">
              <w:rPr>
                <w:rFonts w:eastAsia="MS Mincho"/>
                <w:sz w:val="22"/>
                <w:lang w:val="sr-Latn-ME"/>
              </w:rPr>
              <w:t>, alopecija</w:t>
            </w:r>
            <w:r w:rsidRPr="00B35A22">
              <w:rPr>
                <w:rFonts w:eastAsia="MS Mincho"/>
                <w:sz w:val="22"/>
                <w:vertAlign w:val="superscript"/>
                <w:lang w:val="sr-Latn-ME"/>
              </w:rPr>
              <w:t>ah</w:t>
            </w:r>
          </w:p>
        </w:tc>
      </w:tr>
      <w:tr w:rsidR="00A46209" w:rsidRPr="00B35A22" w14:paraId="0217053B" w14:textId="77777777" w:rsidTr="0065270B">
        <w:tc>
          <w:tcPr>
            <w:tcW w:w="966" w:type="pct"/>
          </w:tcPr>
          <w:p w14:paraId="46EC0ABF" w14:textId="6647D0EC" w:rsidR="00A46209" w:rsidRPr="00B35A22" w:rsidRDefault="00A46209" w:rsidP="00B35A22">
            <w:pPr>
              <w:widowControl w:val="0"/>
              <w:jc w:val="both"/>
              <w:rPr>
                <w:sz w:val="22"/>
                <w:lang w:val="sr-Latn-ME"/>
              </w:rPr>
            </w:pPr>
            <w:r w:rsidRPr="00B35A22">
              <w:rPr>
                <w:sz w:val="22"/>
                <w:lang w:val="sr-Latn-ME"/>
              </w:rPr>
              <w:t>Često</w:t>
            </w:r>
          </w:p>
        </w:tc>
        <w:tc>
          <w:tcPr>
            <w:tcW w:w="2181" w:type="pct"/>
          </w:tcPr>
          <w:p w14:paraId="68651CB9" w14:textId="46D30E09" w:rsidR="00A46209" w:rsidRPr="00B35A22" w:rsidRDefault="00A46209" w:rsidP="00B35A22">
            <w:pPr>
              <w:widowControl w:val="0"/>
              <w:jc w:val="both"/>
              <w:rPr>
                <w:rFonts w:eastAsia="MS Mincho"/>
                <w:sz w:val="22"/>
                <w:lang w:val="sr-Latn-ME"/>
              </w:rPr>
            </w:pPr>
            <w:r w:rsidRPr="00B35A22">
              <w:rPr>
                <w:rFonts w:eastAsia="MS Mincho"/>
                <w:sz w:val="22"/>
                <w:lang w:val="sr-Latn-ME"/>
              </w:rPr>
              <w:t>suva koža</w:t>
            </w:r>
            <w:r w:rsidR="003D374D" w:rsidRPr="00B35A22">
              <w:rPr>
                <w:rFonts w:eastAsia="MS Mincho"/>
                <w:sz w:val="22"/>
                <w:vertAlign w:val="superscript"/>
                <w:lang w:val="sr-Latn-ME"/>
              </w:rPr>
              <w:t>ap</w:t>
            </w:r>
          </w:p>
        </w:tc>
        <w:tc>
          <w:tcPr>
            <w:tcW w:w="1853" w:type="pct"/>
          </w:tcPr>
          <w:p w14:paraId="0A0BCF29" w14:textId="77777777" w:rsidR="00A46209" w:rsidRPr="00B35A22" w:rsidRDefault="00A46209" w:rsidP="00B35A22">
            <w:pPr>
              <w:widowControl w:val="0"/>
              <w:jc w:val="both"/>
              <w:rPr>
                <w:rFonts w:eastAsia="MS Mincho"/>
                <w:sz w:val="22"/>
                <w:lang w:val="sr-Latn-ME"/>
              </w:rPr>
            </w:pPr>
          </w:p>
        </w:tc>
      </w:tr>
      <w:tr w:rsidR="0054637E" w:rsidRPr="00B35A22" w14:paraId="4DEA3FC3" w14:textId="77777777" w:rsidTr="0065270B">
        <w:tc>
          <w:tcPr>
            <w:tcW w:w="966" w:type="pct"/>
          </w:tcPr>
          <w:p w14:paraId="2CD3EB27" w14:textId="08943F53" w:rsidR="0054637E" w:rsidRPr="00B35A22" w:rsidRDefault="0054637E" w:rsidP="00B35A22">
            <w:pPr>
              <w:widowControl w:val="0"/>
              <w:jc w:val="both"/>
              <w:rPr>
                <w:sz w:val="22"/>
                <w:lang w:val="sr-Latn-ME"/>
              </w:rPr>
            </w:pPr>
            <w:r w:rsidRPr="00B35A22">
              <w:rPr>
                <w:sz w:val="22"/>
                <w:lang w:val="sr-Latn-ME"/>
              </w:rPr>
              <w:t>Povremeno</w:t>
            </w:r>
          </w:p>
        </w:tc>
        <w:tc>
          <w:tcPr>
            <w:tcW w:w="2181" w:type="pct"/>
          </w:tcPr>
          <w:p w14:paraId="58F0FD99" w14:textId="25CE54C0" w:rsidR="0054637E" w:rsidRPr="00B35A22" w:rsidRDefault="00441159" w:rsidP="00B35A22">
            <w:pPr>
              <w:widowControl w:val="0"/>
              <w:rPr>
                <w:rFonts w:eastAsia="MS Mincho"/>
                <w:sz w:val="22"/>
                <w:lang w:val="sr-Latn-ME"/>
              </w:rPr>
            </w:pPr>
            <w:r w:rsidRPr="00B35A22">
              <w:rPr>
                <w:rFonts w:eastAsia="MS Mincho"/>
                <w:sz w:val="22"/>
                <w:lang w:val="sr-Latn-ME"/>
              </w:rPr>
              <w:t>teške kožne neželjene reakcije</w:t>
            </w:r>
            <w:r w:rsidRPr="00B35A22">
              <w:rPr>
                <w:rFonts w:eastAsia="MS Mincho"/>
                <w:sz w:val="22"/>
                <w:vertAlign w:val="superscript"/>
                <w:lang w:val="sr-Latn-ME"/>
              </w:rPr>
              <w:t>ak</w:t>
            </w:r>
            <w:r w:rsidRPr="00B35A22">
              <w:rPr>
                <w:rFonts w:eastAsia="MS Mincho"/>
                <w:sz w:val="22"/>
                <w:lang w:val="sr-Latn-ME"/>
              </w:rPr>
              <w:t>, psorijaza</w:t>
            </w:r>
            <w:r w:rsidRPr="00B35A22">
              <w:rPr>
                <w:rFonts w:eastAsia="MS Mincho"/>
                <w:sz w:val="22"/>
                <w:vertAlign w:val="superscript"/>
                <w:lang w:val="sr-Latn-ME"/>
              </w:rPr>
              <w:t>an</w:t>
            </w:r>
          </w:p>
        </w:tc>
        <w:tc>
          <w:tcPr>
            <w:tcW w:w="1853" w:type="pct"/>
          </w:tcPr>
          <w:p w14:paraId="303DCCE5" w14:textId="5298C5E4" w:rsidR="0054637E" w:rsidRPr="00B35A22" w:rsidRDefault="00441159" w:rsidP="00B35A22">
            <w:pPr>
              <w:widowControl w:val="0"/>
              <w:rPr>
                <w:rFonts w:eastAsia="MS Mincho"/>
                <w:sz w:val="22"/>
                <w:lang w:val="sr-Latn-ME"/>
              </w:rPr>
            </w:pPr>
            <w:r w:rsidRPr="00B35A22">
              <w:rPr>
                <w:rFonts w:eastAsia="MS Mincho"/>
                <w:sz w:val="22"/>
                <w:lang w:val="sr-Latn-ME"/>
              </w:rPr>
              <w:t>teške kožne neželjene reakcije</w:t>
            </w:r>
            <w:r w:rsidRPr="00B35A22">
              <w:rPr>
                <w:rFonts w:eastAsia="MS Mincho"/>
                <w:sz w:val="22"/>
                <w:vertAlign w:val="superscript"/>
                <w:lang w:val="sr-Latn-ME"/>
              </w:rPr>
              <w:t>ak</w:t>
            </w:r>
            <w:r w:rsidRPr="00B35A22">
              <w:rPr>
                <w:rFonts w:eastAsia="MS Mincho"/>
                <w:sz w:val="22"/>
                <w:lang w:val="sr-Latn-ME"/>
              </w:rPr>
              <w:t>, psorijaza</w:t>
            </w:r>
            <w:r w:rsidRPr="00B35A22">
              <w:rPr>
                <w:rFonts w:eastAsia="MS Mincho"/>
                <w:sz w:val="22"/>
                <w:vertAlign w:val="superscript"/>
                <w:lang w:val="sr-Latn-ME"/>
              </w:rPr>
              <w:t>an</w:t>
            </w:r>
          </w:p>
        </w:tc>
      </w:tr>
      <w:tr w:rsidR="00751EC2" w:rsidRPr="00B35A22" w14:paraId="35D00F08" w14:textId="77777777" w:rsidTr="0065270B">
        <w:tc>
          <w:tcPr>
            <w:tcW w:w="966" w:type="pct"/>
          </w:tcPr>
          <w:p w14:paraId="2A445A25" w14:textId="65F8AB86" w:rsidR="00751EC2" w:rsidRPr="00B35A22" w:rsidRDefault="00751EC2" w:rsidP="00B35A22">
            <w:pPr>
              <w:widowControl w:val="0"/>
              <w:jc w:val="both"/>
              <w:rPr>
                <w:sz w:val="22"/>
                <w:lang w:val="sr-Latn-ME"/>
              </w:rPr>
            </w:pPr>
            <w:r w:rsidRPr="00B35A22">
              <w:rPr>
                <w:sz w:val="22"/>
                <w:lang w:val="sr-Latn-ME"/>
              </w:rPr>
              <w:t>Rijetko</w:t>
            </w:r>
          </w:p>
        </w:tc>
        <w:tc>
          <w:tcPr>
            <w:tcW w:w="2181" w:type="pct"/>
          </w:tcPr>
          <w:p w14:paraId="1B43157C" w14:textId="67D36666" w:rsidR="00751EC2" w:rsidRPr="00B35A22" w:rsidRDefault="00751EC2" w:rsidP="00B35A22">
            <w:pPr>
              <w:widowControl w:val="0"/>
              <w:jc w:val="both"/>
              <w:rPr>
                <w:rFonts w:eastAsia="MS Mincho"/>
                <w:sz w:val="22"/>
                <w:lang w:val="sr-Latn-ME"/>
              </w:rPr>
            </w:pPr>
            <w:r w:rsidRPr="00B35A22">
              <w:rPr>
                <w:rFonts w:eastAsia="MS Mincho"/>
                <w:sz w:val="22"/>
                <w:lang w:val="sr-Latn-ME"/>
              </w:rPr>
              <w:t>pemfigoid</w:t>
            </w:r>
          </w:p>
        </w:tc>
        <w:tc>
          <w:tcPr>
            <w:tcW w:w="1853" w:type="pct"/>
          </w:tcPr>
          <w:p w14:paraId="779BF9EE" w14:textId="401FA40B" w:rsidR="00751EC2" w:rsidRPr="00B35A22" w:rsidRDefault="00751EC2" w:rsidP="00B35A22">
            <w:pPr>
              <w:widowControl w:val="0"/>
              <w:jc w:val="both"/>
              <w:rPr>
                <w:rFonts w:eastAsia="MS Mincho"/>
                <w:sz w:val="22"/>
                <w:lang w:val="sr-Latn-ME"/>
              </w:rPr>
            </w:pPr>
            <w:r w:rsidRPr="00B35A22">
              <w:rPr>
                <w:rFonts w:eastAsia="MS Mincho"/>
                <w:sz w:val="22"/>
                <w:lang w:val="sr-Latn-ME"/>
              </w:rPr>
              <w:t>pemfigoid</w:t>
            </w:r>
          </w:p>
        </w:tc>
      </w:tr>
      <w:tr w:rsidR="00B40CCA" w:rsidRPr="00B35A22" w14:paraId="04F3BA97" w14:textId="77777777" w:rsidTr="0065270B">
        <w:tc>
          <w:tcPr>
            <w:tcW w:w="5000" w:type="pct"/>
            <w:gridSpan w:val="3"/>
          </w:tcPr>
          <w:p w14:paraId="69553589" w14:textId="77777777" w:rsidR="00B40CCA" w:rsidRPr="00B35A22" w:rsidRDefault="00B40CCA" w:rsidP="00B35A22">
            <w:pPr>
              <w:widowControl w:val="0"/>
              <w:jc w:val="both"/>
              <w:rPr>
                <w:sz w:val="22"/>
                <w:lang w:val="sr-Latn-ME"/>
              </w:rPr>
            </w:pPr>
            <w:r w:rsidRPr="00B35A22">
              <w:rPr>
                <w:rFonts w:eastAsia="MS Mincho"/>
                <w:b/>
                <w:sz w:val="22"/>
                <w:lang w:val="sr-Latn-ME"/>
              </w:rPr>
              <w:t>Poremećaji mišićno-koštanog sistema i vezivnog tkiva</w:t>
            </w:r>
          </w:p>
        </w:tc>
      </w:tr>
      <w:tr w:rsidR="00B40CCA" w:rsidRPr="00B35A22" w14:paraId="3C360A23" w14:textId="77777777" w:rsidTr="0065270B">
        <w:tc>
          <w:tcPr>
            <w:tcW w:w="966" w:type="pct"/>
          </w:tcPr>
          <w:p w14:paraId="1549E2F6" w14:textId="77777777" w:rsidR="00B40CCA" w:rsidRPr="00B35A22" w:rsidRDefault="00B40CCA" w:rsidP="00B35A22">
            <w:pPr>
              <w:widowControl w:val="0"/>
              <w:jc w:val="both"/>
              <w:rPr>
                <w:rFonts w:eastAsia="MS Mincho"/>
                <w:sz w:val="22"/>
                <w:lang w:val="sr-Latn-ME"/>
              </w:rPr>
            </w:pPr>
            <w:r w:rsidRPr="00B35A22">
              <w:rPr>
                <w:sz w:val="22"/>
                <w:lang w:val="sr-Latn-ME"/>
              </w:rPr>
              <w:t>Veoma često</w:t>
            </w:r>
          </w:p>
        </w:tc>
        <w:tc>
          <w:tcPr>
            <w:tcW w:w="2181" w:type="pct"/>
          </w:tcPr>
          <w:p w14:paraId="4E94C25F" w14:textId="7976E135" w:rsidR="00B40CCA" w:rsidRPr="00B35A22" w:rsidRDefault="00441159" w:rsidP="00B35A22">
            <w:pPr>
              <w:widowControl w:val="0"/>
              <w:jc w:val="both"/>
              <w:rPr>
                <w:rFonts w:eastAsia="MS Mincho"/>
                <w:sz w:val="22"/>
                <w:lang w:val="sr-Latn-ME"/>
              </w:rPr>
            </w:pPr>
            <w:r w:rsidRPr="00B35A22">
              <w:rPr>
                <w:rFonts w:eastAsia="MS Mincho"/>
                <w:sz w:val="22"/>
                <w:lang w:val="sr-Latn-ME"/>
              </w:rPr>
              <w:t>artralgija, bolovi u leđima</w:t>
            </w:r>
          </w:p>
        </w:tc>
        <w:tc>
          <w:tcPr>
            <w:tcW w:w="1853" w:type="pct"/>
          </w:tcPr>
          <w:p w14:paraId="3BF18988" w14:textId="245A4695" w:rsidR="00B40CCA" w:rsidRPr="00B35A22" w:rsidRDefault="00AF7584" w:rsidP="00B35A22">
            <w:pPr>
              <w:widowControl w:val="0"/>
              <w:jc w:val="both"/>
              <w:rPr>
                <w:rFonts w:eastAsia="MS Mincho"/>
                <w:sz w:val="22"/>
                <w:lang w:val="sr-Latn-ME"/>
              </w:rPr>
            </w:pPr>
            <w:r w:rsidRPr="00B35A22">
              <w:rPr>
                <w:rFonts w:eastAsia="MS Mincho"/>
                <w:sz w:val="22"/>
                <w:lang w:val="sr-Latn-ME"/>
              </w:rPr>
              <w:t>a</w:t>
            </w:r>
            <w:r w:rsidR="00B40CCA" w:rsidRPr="00B35A22">
              <w:rPr>
                <w:rFonts w:eastAsia="MS Mincho"/>
                <w:sz w:val="22"/>
                <w:lang w:val="sr-Latn-ME"/>
              </w:rPr>
              <w:t>rtralgija</w:t>
            </w:r>
            <w:r w:rsidRPr="00B35A22">
              <w:rPr>
                <w:rFonts w:eastAsia="MS Mincho"/>
                <w:sz w:val="22"/>
                <w:lang w:val="sr-Latn-ME"/>
              </w:rPr>
              <w:t xml:space="preserve">, mišićno-koštani </w:t>
            </w:r>
            <w:r w:rsidR="00182C07" w:rsidRPr="00B35A22">
              <w:rPr>
                <w:rFonts w:eastAsia="MS Mincho"/>
                <w:sz w:val="22"/>
                <w:lang w:val="sr-Latn-ME"/>
              </w:rPr>
              <w:t>bol</w:t>
            </w:r>
            <w:r w:rsidR="00182C07" w:rsidRPr="00B35A22">
              <w:rPr>
                <w:rFonts w:eastAsia="MS Mincho"/>
                <w:sz w:val="22"/>
                <w:vertAlign w:val="superscript"/>
                <w:lang w:val="sr-Latn-ME"/>
              </w:rPr>
              <w:t>aa</w:t>
            </w:r>
            <w:r w:rsidR="00165BC0" w:rsidRPr="00B35A22">
              <w:rPr>
                <w:rFonts w:eastAsia="MS Mincho"/>
                <w:sz w:val="22"/>
                <w:lang w:val="sr-Latn-ME"/>
              </w:rPr>
              <w:t>, bolovi u leđima</w:t>
            </w:r>
          </w:p>
        </w:tc>
      </w:tr>
      <w:tr w:rsidR="00441159" w:rsidRPr="00B35A22" w14:paraId="5CC520BA" w14:textId="77777777" w:rsidTr="0065270B">
        <w:tc>
          <w:tcPr>
            <w:tcW w:w="966" w:type="pct"/>
          </w:tcPr>
          <w:p w14:paraId="6AE89370" w14:textId="61757C84" w:rsidR="00522F9E" w:rsidRPr="00B35A22" w:rsidRDefault="00441159" w:rsidP="00B35A22">
            <w:pPr>
              <w:widowControl w:val="0"/>
              <w:jc w:val="both"/>
              <w:rPr>
                <w:sz w:val="22"/>
                <w:szCs w:val="22"/>
                <w:lang w:val="sr-Latn-ME" w:eastAsia="sr-Latn-ME"/>
              </w:rPr>
            </w:pPr>
            <w:r w:rsidRPr="00B35A22">
              <w:rPr>
                <w:sz w:val="22"/>
                <w:szCs w:val="22"/>
                <w:lang w:val="sr-Latn-ME" w:eastAsia="sr-Latn-ME"/>
              </w:rPr>
              <w:t>Često</w:t>
            </w:r>
          </w:p>
        </w:tc>
        <w:tc>
          <w:tcPr>
            <w:tcW w:w="2181" w:type="pct"/>
          </w:tcPr>
          <w:p w14:paraId="776D18A9" w14:textId="3BD6A281" w:rsidR="00441159" w:rsidRPr="00B35A22" w:rsidRDefault="00441159" w:rsidP="00B35A22">
            <w:pPr>
              <w:widowControl w:val="0"/>
              <w:jc w:val="both"/>
              <w:rPr>
                <w:rFonts w:eastAsia="MS Mincho"/>
                <w:sz w:val="22"/>
                <w:lang w:val="sr-Latn-ME"/>
              </w:rPr>
            </w:pPr>
            <w:r w:rsidRPr="00B35A22">
              <w:rPr>
                <w:rFonts w:eastAsia="MS Mincho"/>
                <w:sz w:val="22"/>
                <w:lang w:val="sr-Latn-ME"/>
              </w:rPr>
              <w:t>mišićno-koštani bol</w:t>
            </w:r>
            <w:r w:rsidRPr="00B35A22">
              <w:rPr>
                <w:rFonts w:eastAsia="MS Mincho"/>
                <w:sz w:val="22"/>
                <w:vertAlign w:val="superscript"/>
                <w:lang w:val="sr-Latn-ME"/>
              </w:rPr>
              <w:t>aa</w:t>
            </w:r>
          </w:p>
        </w:tc>
        <w:tc>
          <w:tcPr>
            <w:tcW w:w="1853" w:type="pct"/>
          </w:tcPr>
          <w:p w14:paraId="2F57F7AB" w14:textId="77777777" w:rsidR="00441159" w:rsidRPr="00B35A22" w:rsidRDefault="00441159" w:rsidP="00B35A22">
            <w:pPr>
              <w:widowControl w:val="0"/>
              <w:jc w:val="both"/>
              <w:rPr>
                <w:rFonts w:eastAsia="MS Mincho"/>
                <w:sz w:val="22"/>
                <w:lang w:val="sr-Latn-ME"/>
              </w:rPr>
            </w:pPr>
          </w:p>
        </w:tc>
      </w:tr>
      <w:tr w:rsidR="00DD1645" w:rsidRPr="00B35A22" w14:paraId="679E0D1A" w14:textId="77777777" w:rsidTr="0065270B">
        <w:tc>
          <w:tcPr>
            <w:tcW w:w="966" w:type="pct"/>
          </w:tcPr>
          <w:p w14:paraId="30AAFACD" w14:textId="4CF082FB" w:rsidR="00DD1645" w:rsidRPr="00B35A22" w:rsidRDefault="00DD1645" w:rsidP="00B35A22">
            <w:pPr>
              <w:widowControl w:val="0"/>
              <w:jc w:val="both"/>
              <w:rPr>
                <w:sz w:val="22"/>
                <w:lang w:val="sr-Latn-ME"/>
              </w:rPr>
            </w:pPr>
            <w:r w:rsidRPr="00B35A22">
              <w:rPr>
                <w:sz w:val="22"/>
                <w:lang w:val="sr-Latn-ME"/>
              </w:rPr>
              <w:t>Povremeno</w:t>
            </w:r>
          </w:p>
        </w:tc>
        <w:tc>
          <w:tcPr>
            <w:tcW w:w="2181" w:type="pct"/>
          </w:tcPr>
          <w:p w14:paraId="2A6459C0" w14:textId="19D76F09" w:rsidR="00DD1645" w:rsidRPr="00B35A22" w:rsidRDefault="00182C07" w:rsidP="00B35A22">
            <w:pPr>
              <w:widowControl w:val="0"/>
              <w:jc w:val="both"/>
              <w:rPr>
                <w:rFonts w:eastAsia="MS Mincho"/>
                <w:sz w:val="22"/>
                <w:lang w:val="sr-Latn-ME"/>
              </w:rPr>
            </w:pPr>
            <w:r w:rsidRPr="00B35A22">
              <w:rPr>
                <w:rFonts w:eastAsia="MS Mincho"/>
                <w:sz w:val="22"/>
                <w:lang w:val="sr-Latn-ME"/>
              </w:rPr>
              <w:t>miozitis</w:t>
            </w:r>
            <w:r w:rsidRPr="00B35A22">
              <w:rPr>
                <w:rFonts w:eastAsia="MS Mincho"/>
                <w:sz w:val="22"/>
                <w:vertAlign w:val="superscript"/>
                <w:lang w:val="sr-Latn-ME"/>
              </w:rPr>
              <w:t>ab</w:t>
            </w:r>
          </w:p>
        </w:tc>
        <w:tc>
          <w:tcPr>
            <w:tcW w:w="1853" w:type="pct"/>
          </w:tcPr>
          <w:p w14:paraId="66D3D4F8" w14:textId="77777777" w:rsidR="00DD1645" w:rsidRPr="00B35A22" w:rsidRDefault="00DD1645" w:rsidP="00B35A22">
            <w:pPr>
              <w:widowControl w:val="0"/>
              <w:jc w:val="both"/>
              <w:rPr>
                <w:rFonts w:eastAsia="MS Mincho"/>
                <w:sz w:val="22"/>
                <w:lang w:val="sr-Latn-ME"/>
              </w:rPr>
            </w:pPr>
          </w:p>
        </w:tc>
      </w:tr>
      <w:tr w:rsidR="00B40CCA" w:rsidRPr="00B35A22" w14:paraId="6D89BDF1" w14:textId="77777777" w:rsidTr="0065270B">
        <w:tc>
          <w:tcPr>
            <w:tcW w:w="5000" w:type="pct"/>
            <w:gridSpan w:val="3"/>
          </w:tcPr>
          <w:p w14:paraId="443CDA26" w14:textId="77777777" w:rsidR="00B40CCA" w:rsidRPr="00B35A22" w:rsidRDefault="00B40CCA" w:rsidP="00B35A22">
            <w:pPr>
              <w:widowControl w:val="0"/>
              <w:jc w:val="both"/>
              <w:rPr>
                <w:b/>
                <w:sz w:val="22"/>
                <w:lang w:val="sr-Latn-ME"/>
              </w:rPr>
            </w:pPr>
            <w:r w:rsidRPr="00B35A22">
              <w:rPr>
                <w:b/>
                <w:sz w:val="22"/>
                <w:lang w:val="sr-Latn-ME"/>
              </w:rPr>
              <w:t>Poremećaji bubrega i urinarnog sistema</w:t>
            </w:r>
          </w:p>
        </w:tc>
      </w:tr>
      <w:tr w:rsidR="00BB0D26" w:rsidRPr="00B35A22" w14:paraId="0BF572D1" w14:textId="619D9851" w:rsidTr="0065270B">
        <w:tc>
          <w:tcPr>
            <w:tcW w:w="966" w:type="pct"/>
          </w:tcPr>
          <w:p w14:paraId="60D2A449" w14:textId="6F83E24F" w:rsidR="00BB0D26" w:rsidRPr="00B35A22" w:rsidRDefault="00A40ABB" w:rsidP="00B35A22">
            <w:pPr>
              <w:widowControl w:val="0"/>
              <w:jc w:val="both"/>
              <w:rPr>
                <w:b/>
                <w:sz w:val="22"/>
                <w:lang w:val="sr-Latn-ME"/>
              </w:rPr>
            </w:pPr>
            <w:r w:rsidRPr="00B35A22">
              <w:rPr>
                <w:sz w:val="22"/>
                <w:lang w:val="sr-Latn-ME"/>
              </w:rPr>
              <w:t>Često</w:t>
            </w:r>
          </w:p>
        </w:tc>
        <w:tc>
          <w:tcPr>
            <w:tcW w:w="2181" w:type="pct"/>
          </w:tcPr>
          <w:p w14:paraId="75E94B71" w14:textId="4B0BE57C" w:rsidR="00BB0D26" w:rsidRPr="00B35A22" w:rsidRDefault="00A46209" w:rsidP="00B35A22">
            <w:pPr>
              <w:widowControl w:val="0"/>
              <w:jc w:val="both"/>
              <w:rPr>
                <w:b/>
                <w:sz w:val="22"/>
                <w:lang w:val="sr-Latn-ME"/>
              </w:rPr>
            </w:pPr>
            <w:r w:rsidRPr="00B35A22">
              <w:rPr>
                <w:sz w:val="22"/>
                <w:lang w:val="sr-Latn-ME"/>
              </w:rPr>
              <w:t>povišene vrijednosti kreatinina u krvi</w:t>
            </w:r>
            <w:r w:rsidRPr="00B35A22">
              <w:rPr>
                <w:sz w:val="22"/>
                <w:vertAlign w:val="superscript"/>
                <w:lang w:val="sr-Latn-ME"/>
              </w:rPr>
              <w:t>c</w:t>
            </w:r>
          </w:p>
        </w:tc>
        <w:tc>
          <w:tcPr>
            <w:tcW w:w="1853" w:type="pct"/>
          </w:tcPr>
          <w:p w14:paraId="12001D19" w14:textId="47CE1E2A" w:rsidR="00BB0D26" w:rsidRPr="00B35A22" w:rsidRDefault="00182C07" w:rsidP="00B35A22">
            <w:pPr>
              <w:widowControl w:val="0"/>
              <w:jc w:val="both"/>
              <w:rPr>
                <w:b/>
                <w:sz w:val="22"/>
                <w:lang w:val="sr-Latn-ME"/>
              </w:rPr>
            </w:pPr>
            <w:r w:rsidRPr="00B35A22">
              <w:rPr>
                <w:sz w:val="22"/>
                <w:lang w:val="sr-Latn-ME"/>
              </w:rPr>
              <w:t>proteinurija</w:t>
            </w:r>
            <w:r w:rsidRPr="00B35A22">
              <w:rPr>
                <w:rFonts w:eastAsia="MS Mincho"/>
                <w:sz w:val="22"/>
                <w:vertAlign w:val="superscript"/>
                <w:lang w:val="sr-Latn-ME"/>
              </w:rPr>
              <w:t>ac</w:t>
            </w:r>
            <w:r w:rsidR="00A46209" w:rsidRPr="00B35A22">
              <w:rPr>
                <w:rFonts w:eastAsia="MS Mincho"/>
                <w:sz w:val="22"/>
                <w:lang w:val="sr-Latn-ME"/>
              </w:rPr>
              <w:t xml:space="preserve">, </w:t>
            </w:r>
            <w:r w:rsidR="00A46209" w:rsidRPr="00B35A22">
              <w:rPr>
                <w:sz w:val="22"/>
                <w:lang w:val="sr-Latn-ME"/>
              </w:rPr>
              <w:t>povišene vrijednosti kreatinina u krvi</w:t>
            </w:r>
            <w:r w:rsidR="00A46209" w:rsidRPr="00B35A22">
              <w:rPr>
                <w:sz w:val="22"/>
                <w:vertAlign w:val="superscript"/>
                <w:lang w:val="sr-Latn-ME"/>
              </w:rPr>
              <w:t>c</w:t>
            </w:r>
          </w:p>
        </w:tc>
      </w:tr>
      <w:tr w:rsidR="00B40CCA" w:rsidRPr="00B35A22" w14:paraId="6F45B6CF" w14:textId="77777777" w:rsidTr="0065270B">
        <w:tc>
          <w:tcPr>
            <w:tcW w:w="966" w:type="pct"/>
          </w:tcPr>
          <w:p w14:paraId="5848B418" w14:textId="54EE114E" w:rsidR="00B40CCA" w:rsidRPr="00B35A22" w:rsidRDefault="00080978" w:rsidP="00B35A22">
            <w:pPr>
              <w:widowControl w:val="0"/>
              <w:jc w:val="both"/>
              <w:rPr>
                <w:sz w:val="22"/>
                <w:lang w:val="sr-Latn-ME"/>
              </w:rPr>
            </w:pPr>
            <w:r w:rsidRPr="00B35A22">
              <w:rPr>
                <w:sz w:val="22"/>
                <w:lang w:val="sr-Latn-ME"/>
              </w:rPr>
              <w:t>Povremeno</w:t>
            </w:r>
          </w:p>
        </w:tc>
        <w:tc>
          <w:tcPr>
            <w:tcW w:w="2181" w:type="pct"/>
          </w:tcPr>
          <w:p w14:paraId="7831EC22" w14:textId="77C4B98E" w:rsidR="00B40CCA" w:rsidRPr="00B35A22" w:rsidRDefault="00182C07" w:rsidP="00B35A22">
            <w:pPr>
              <w:widowControl w:val="0"/>
              <w:jc w:val="both"/>
              <w:rPr>
                <w:rFonts w:eastAsia="MS Mincho"/>
                <w:sz w:val="22"/>
                <w:lang w:val="sr-Latn-ME"/>
              </w:rPr>
            </w:pPr>
            <w:r w:rsidRPr="00B35A22">
              <w:rPr>
                <w:rFonts w:eastAsia="MS Mincho"/>
                <w:sz w:val="22"/>
                <w:lang w:val="sr-Latn-ME"/>
              </w:rPr>
              <w:t>nefritis</w:t>
            </w:r>
            <w:r w:rsidRPr="00B35A22">
              <w:rPr>
                <w:rFonts w:eastAsia="MS Mincho"/>
                <w:sz w:val="22"/>
                <w:vertAlign w:val="superscript"/>
                <w:lang w:val="sr-Latn-ME"/>
              </w:rPr>
              <w:t>ad</w:t>
            </w:r>
          </w:p>
        </w:tc>
        <w:tc>
          <w:tcPr>
            <w:tcW w:w="1853" w:type="pct"/>
          </w:tcPr>
          <w:p w14:paraId="2E3CD860" w14:textId="77777777" w:rsidR="00B40CCA" w:rsidRPr="00B35A22" w:rsidRDefault="00B40CCA" w:rsidP="00B35A22">
            <w:pPr>
              <w:widowControl w:val="0"/>
              <w:jc w:val="both"/>
              <w:rPr>
                <w:rFonts w:eastAsia="MS Mincho"/>
                <w:sz w:val="22"/>
                <w:lang w:val="sr-Latn-ME"/>
              </w:rPr>
            </w:pPr>
          </w:p>
        </w:tc>
      </w:tr>
      <w:tr w:rsidR="00674F13" w:rsidRPr="00B35A22" w14:paraId="4F236F70" w14:textId="77777777" w:rsidTr="0065270B">
        <w:tc>
          <w:tcPr>
            <w:tcW w:w="966" w:type="pct"/>
          </w:tcPr>
          <w:p w14:paraId="25F996D6" w14:textId="7396C0C1" w:rsidR="00674F13" w:rsidRPr="00B35A22" w:rsidRDefault="00674F13" w:rsidP="00B35A22">
            <w:pPr>
              <w:widowControl w:val="0"/>
              <w:jc w:val="both"/>
              <w:rPr>
                <w:sz w:val="22"/>
                <w:lang w:val="sr-Latn-ME"/>
              </w:rPr>
            </w:pPr>
            <w:r w:rsidRPr="00B35A22">
              <w:rPr>
                <w:sz w:val="22"/>
                <w:lang w:val="sr-Latn-ME"/>
              </w:rPr>
              <w:t>Nepoznato</w:t>
            </w:r>
          </w:p>
        </w:tc>
        <w:tc>
          <w:tcPr>
            <w:tcW w:w="2181" w:type="pct"/>
          </w:tcPr>
          <w:p w14:paraId="731C514D" w14:textId="09A88A58" w:rsidR="00674F13" w:rsidRPr="00B35A22" w:rsidRDefault="00674F13" w:rsidP="00B35A22">
            <w:pPr>
              <w:widowControl w:val="0"/>
              <w:jc w:val="both"/>
              <w:rPr>
                <w:rFonts w:eastAsia="MS Mincho"/>
                <w:sz w:val="22"/>
                <w:lang w:val="sr-Latn-ME"/>
              </w:rPr>
            </w:pPr>
            <w:r w:rsidRPr="00B35A22">
              <w:rPr>
                <w:rFonts w:eastAsia="MS Mincho"/>
                <w:sz w:val="22"/>
                <w:lang w:val="sr-Latn-ME"/>
              </w:rPr>
              <w:t>neinfektivni cistitis</w:t>
            </w:r>
            <w:r w:rsidRPr="00B35A22">
              <w:rPr>
                <w:sz w:val="22"/>
                <w:vertAlign w:val="superscript"/>
                <w:lang w:val="sr-Latn-ME"/>
              </w:rPr>
              <w:t>al</w:t>
            </w:r>
          </w:p>
        </w:tc>
        <w:tc>
          <w:tcPr>
            <w:tcW w:w="1853" w:type="pct"/>
          </w:tcPr>
          <w:p w14:paraId="2067F4B4" w14:textId="77777777" w:rsidR="00674F13" w:rsidRPr="00B35A22" w:rsidRDefault="00674F13" w:rsidP="00B35A22">
            <w:pPr>
              <w:widowControl w:val="0"/>
              <w:jc w:val="both"/>
              <w:rPr>
                <w:rFonts w:eastAsia="MS Mincho"/>
                <w:sz w:val="22"/>
                <w:lang w:val="sr-Latn-ME"/>
              </w:rPr>
            </w:pPr>
          </w:p>
        </w:tc>
      </w:tr>
      <w:tr w:rsidR="00504DC7" w:rsidRPr="00B35A22" w14:paraId="602647C9" w14:textId="77777777" w:rsidTr="0065270B">
        <w:trPr>
          <w:cantSplit/>
        </w:trPr>
        <w:tc>
          <w:tcPr>
            <w:tcW w:w="5000" w:type="pct"/>
            <w:gridSpan w:val="3"/>
          </w:tcPr>
          <w:p w14:paraId="2F796BB8" w14:textId="24486B31" w:rsidR="00504DC7" w:rsidRPr="00B35A22" w:rsidRDefault="00504DC7" w:rsidP="00B35A22">
            <w:pPr>
              <w:widowControl w:val="0"/>
              <w:jc w:val="both"/>
              <w:rPr>
                <w:rFonts w:eastAsia="MS Mincho"/>
                <w:sz w:val="22"/>
                <w:lang w:val="sr-Latn-ME"/>
              </w:rPr>
            </w:pPr>
            <w:r w:rsidRPr="00B35A22">
              <w:rPr>
                <w:b/>
                <w:sz w:val="22"/>
                <w:lang w:val="sr-Latn-ME"/>
              </w:rPr>
              <w:t>Opšti poremećaji i reakcije na mjestu primjene</w:t>
            </w:r>
          </w:p>
        </w:tc>
      </w:tr>
      <w:tr w:rsidR="00504DC7" w:rsidRPr="00B35A22" w14:paraId="64BFC261" w14:textId="77777777" w:rsidTr="0065270B">
        <w:trPr>
          <w:cantSplit/>
        </w:trPr>
        <w:tc>
          <w:tcPr>
            <w:tcW w:w="966" w:type="pct"/>
          </w:tcPr>
          <w:p w14:paraId="379CD0F9" w14:textId="77777777" w:rsidR="00504DC7" w:rsidRPr="00B35A22" w:rsidRDefault="00504DC7" w:rsidP="00B35A22">
            <w:pPr>
              <w:widowControl w:val="0"/>
              <w:jc w:val="both"/>
              <w:rPr>
                <w:rFonts w:eastAsia="MS Mincho"/>
                <w:sz w:val="22"/>
                <w:lang w:val="sr-Latn-ME"/>
              </w:rPr>
            </w:pPr>
            <w:r w:rsidRPr="00B35A22">
              <w:rPr>
                <w:sz w:val="22"/>
                <w:lang w:val="sr-Latn-ME"/>
              </w:rPr>
              <w:t>Veoma često</w:t>
            </w:r>
          </w:p>
        </w:tc>
        <w:tc>
          <w:tcPr>
            <w:tcW w:w="2181" w:type="pct"/>
          </w:tcPr>
          <w:p w14:paraId="1609A9F7" w14:textId="77777777" w:rsidR="00504DC7" w:rsidRPr="00B35A22" w:rsidRDefault="00504DC7" w:rsidP="00B35A22">
            <w:pPr>
              <w:widowControl w:val="0"/>
              <w:jc w:val="both"/>
              <w:rPr>
                <w:sz w:val="22"/>
                <w:lang w:val="sr-Latn-ME"/>
              </w:rPr>
            </w:pPr>
            <w:r w:rsidRPr="00B35A22">
              <w:rPr>
                <w:sz w:val="22"/>
                <w:lang w:val="sr-Latn-ME"/>
              </w:rPr>
              <w:t>pireksija, umor, astenija</w:t>
            </w:r>
          </w:p>
        </w:tc>
        <w:tc>
          <w:tcPr>
            <w:tcW w:w="1853" w:type="pct"/>
          </w:tcPr>
          <w:p w14:paraId="0BCA237A" w14:textId="3A65CB98" w:rsidR="00504DC7" w:rsidRPr="00B35A22" w:rsidRDefault="00A40ABB" w:rsidP="00B35A22">
            <w:pPr>
              <w:widowControl w:val="0"/>
              <w:jc w:val="both"/>
              <w:rPr>
                <w:sz w:val="22"/>
                <w:lang w:val="sr-Latn-ME"/>
              </w:rPr>
            </w:pPr>
            <w:r w:rsidRPr="00B35A22">
              <w:rPr>
                <w:sz w:val="22"/>
                <w:lang w:val="sr-Latn-ME"/>
              </w:rPr>
              <w:t>pireksija</w:t>
            </w:r>
            <w:r w:rsidR="00504DC7" w:rsidRPr="00B35A22">
              <w:rPr>
                <w:sz w:val="22"/>
                <w:lang w:val="sr-Latn-ME"/>
              </w:rPr>
              <w:t>, umor</w:t>
            </w:r>
            <w:r w:rsidR="00BB0D26" w:rsidRPr="00B35A22">
              <w:rPr>
                <w:sz w:val="22"/>
                <w:lang w:val="sr-Latn-ME"/>
              </w:rPr>
              <w:t xml:space="preserve">, </w:t>
            </w:r>
            <w:r w:rsidRPr="00B35A22">
              <w:rPr>
                <w:sz w:val="22"/>
                <w:lang w:val="sr-Latn-ME"/>
              </w:rPr>
              <w:t>astenija</w:t>
            </w:r>
            <w:r w:rsidR="00C96604" w:rsidRPr="00B35A22">
              <w:rPr>
                <w:sz w:val="22"/>
                <w:lang w:val="sr-Latn-ME"/>
              </w:rPr>
              <w:t>, periferni edem</w:t>
            </w:r>
          </w:p>
        </w:tc>
      </w:tr>
      <w:tr w:rsidR="00504DC7" w:rsidRPr="00B35A22" w14:paraId="43F457FF" w14:textId="77777777" w:rsidTr="0065270B">
        <w:trPr>
          <w:cantSplit/>
        </w:trPr>
        <w:tc>
          <w:tcPr>
            <w:tcW w:w="966" w:type="pct"/>
          </w:tcPr>
          <w:p w14:paraId="2B90F2E2" w14:textId="77777777" w:rsidR="00504DC7" w:rsidRPr="00B35A22" w:rsidRDefault="00504DC7" w:rsidP="00B35A22">
            <w:pPr>
              <w:widowControl w:val="0"/>
              <w:jc w:val="both"/>
              <w:rPr>
                <w:rFonts w:eastAsia="MS Mincho"/>
                <w:sz w:val="22"/>
                <w:lang w:val="sr-Latn-ME"/>
              </w:rPr>
            </w:pPr>
            <w:r w:rsidRPr="00B35A22">
              <w:rPr>
                <w:sz w:val="22"/>
                <w:lang w:val="sr-Latn-ME"/>
              </w:rPr>
              <w:t>Često</w:t>
            </w:r>
          </w:p>
        </w:tc>
        <w:tc>
          <w:tcPr>
            <w:tcW w:w="2181" w:type="pct"/>
          </w:tcPr>
          <w:p w14:paraId="72C2944D" w14:textId="1F78EC19" w:rsidR="00504DC7" w:rsidRPr="00B35A22" w:rsidRDefault="00504DC7" w:rsidP="00B35A22">
            <w:pPr>
              <w:widowControl w:val="0"/>
              <w:jc w:val="both"/>
              <w:rPr>
                <w:sz w:val="22"/>
                <w:lang w:val="sr-Latn-ME"/>
              </w:rPr>
            </w:pPr>
            <w:r w:rsidRPr="00B35A22">
              <w:rPr>
                <w:rFonts w:eastAsia="MS Mincho"/>
                <w:sz w:val="22"/>
                <w:lang w:val="sr-Latn-ME"/>
              </w:rPr>
              <w:t>bolest slična gripu, drhtavica</w:t>
            </w:r>
          </w:p>
        </w:tc>
        <w:tc>
          <w:tcPr>
            <w:tcW w:w="1853" w:type="pct"/>
          </w:tcPr>
          <w:p w14:paraId="2DC043C3" w14:textId="77777777" w:rsidR="00504DC7" w:rsidRPr="00B35A22" w:rsidRDefault="00504DC7" w:rsidP="00B35A22">
            <w:pPr>
              <w:widowControl w:val="0"/>
              <w:jc w:val="both"/>
              <w:rPr>
                <w:sz w:val="22"/>
                <w:lang w:val="sr-Latn-ME"/>
              </w:rPr>
            </w:pPr>
          </w:p>
        </w:tc>
      </w:tr>
      <w:tr w:rsidR="00A46209" w:rsidRPr="00B35A22" w14:paraId="0D4A8A3E" w14:textId="77777777" w:rsidTr="0065270B">
        <w:trPr>
          <w:cantSplit/>
        </w:trPr>
        <w:tc>
          <w:tcPr>
            <w:tcW w:w="5000" w:type="pct"/>
            <w:gridSpan w:val="3"/>
          </w:tcPr>
          <w:p w14:paraId="6E59FCF7" w14:textId="0BDC2408" w:rsidR="00A46209" w:rsidRPr="00B35A22" w:rsidRDefault="00A46209" w:rsidP="00B35A22">
            <w:pPr>
              <w:widowControl w:val="0"/>
              <w:jc w:val="both"/>
              <w:rPr>
                <w:b/>
                <w:sz w:val="22"/>
                <w:lang w:val="sr-Latn-ME"/>
              </w:rPr>
            </w:pPr>
            <w:r w:rsidRPr="00B35A22">
              <w:rPr>
                <w:b/>
                <w:sz w:val="22"/>
                <w:lang w:val="sr-Latn-ME"/>
              </w:rPr>
              <w:t>Ispitivanja</w:t>
            </w:r>
          </w:p>
        </w:tc>
      </w:tr>
      <w:tr w:rsidR="00A46209" w:rsidRPr="00B35A22" w14:paraId="0BF383F3" w14:textId="77777777" w:rsidTr="0065270B">
        <w:trPr>
          <w:cantSplit/>
        </w:trPr>
        <w:tc>
          <w:tcPr>
            <w:tcW w:w="966" w:type="pct"/>
          </w:tcPr>
          <w:p w14:paraId="50DDB2B5" w14:textId="174110C0" w:rsidR="00A46209" w:rsidRPr="00B35A22" w:rsidRDefault="00A46209" w:rsidP="00B35A22">
            <w:pPr>
              <w:widowControl w:val="0"/>
              <w:jc w:val="both"/>
              <w:rPr>
                <w:sz w:val="22"/>
                <w:lang w:val="sr-Latn-ME"/>
              </w:rPr>
            </w:pPr>
            <w:r w:rsidRPr="00B35A22">
              <w:rPr>
                <w:sz w:val="22"/>
                <w:lang w:val="sr-Latn-ME"/>
              </w:rPr>
              <w:lastRenderedPageBreak/>
              <w:t>Često</w:t>
            </w:r>
          </w:p>
        </w:tc>
        <w:tc>
          <w:tcPr>
            <w:tcW w:w="2181" w:type="pct"/>
          </w:tcPr>
          <w:p w14:paraId="641DB905" w14:textId="77777777" w:rsidR="00A46209" w:rsidRPr="00B35A22" w:rsidRDefault="00A46209" w:rsidP="00B35A22">
            <w:pPr>
              <w:widowControl w:val="0"/>
              <w:jc w:val="both"/>
              <w:rPr>
                <w:rFonts w:eastAsia="MS Mincho"/>
                <w:sz w:val="22"/>
                <w:lang w:val="sr-Latn-ME"/>
              </w:rPr>
            </w:pPr>
          </w:p>
        </w:tc>
        <w:tc>
          <w:tcPr>
            <w:tcW w:w="1853" w:type="pct"/>
          </w:tcPr>
          <w:p w14:paraId="634FEAE7" w14:textId="13C573F8" w:rsidR="00A46209" w:rsidRPr="00B35A22" w:rsidRDefault="00A46209" w:rsidP="00B35A22">
            <w:pPr>
              <w:widowControl w:val="0"/>
              <w:jc w:val="both"/>
              <w:rPr>
                <w:sz w:val="22"/>
                <w:lang w:val="sr-Latn-ME"/>
              </w:rPr>
            </w:pPr>
            <w:r w:rsidRPr="00B35A22">
              <w:rPr>
                <w:sz w:val="22"/>
                <w:lang w:val="sr-Latn-ME"/>
              </w:rPr>
              <w:t>povišene vrijednosti alkalne fosfataze u krvi</w:t>
            </w:r>
          </w:p>
        </w:tc>
      </w:tr>
      <w:tr w:rsidR="003D374D" w:rsidRPr="00B35A22" w14:paraId="699B7977" w14:textId="77777777" w:rsidTr="00241056">
        <w:trPr>
          <w:cantSplit/>
        </w:trPr>
        <w:tc>
          <w:tcPr>
            <w:tcW w:w="966" w:type="pct"/>
          </w:tcPr>
          <w:p w14:paraId="5CEAE355" w14:textId="3AD4E1F9" w:rsidR="003D374D" w:rsidRPr="00B35A22" w:rsidRDefault="003D374D" w:rsidP="00B35A22">
            <w:pPr>
              <w:widowControl w:val="0"/>
              <w:jc w:val="both"/>
              <w:rPr>
                <w:sz w:val="22"/>
                <w:lang w:val="sr-Latn-ME"/>
              </w:rPr>
            </w:pPr>
            <w:r w:rsidRPr="00B35A22">
              <w:rPr>
                <w:sz w:val="22"/>
                <w:lang w:val="sr-Latn-ME"/>
              </w:rPr>
              <w:t>Povremeno</w:t>
            </w:r>
          </w:p>
        </w:tc>
        <w:tc>
          <w:tcPr>
            <w:tcW w:w="2181" w:type="pct"/>
          </w:tcPr>
          <w:p w14:paraId="3A200E51" w14:textId="1F55CC93" w:rsidR="003D374D" w:rsidRPr="00B35A22" w:rsidRDefault="003D374D" w:rsidP="00B35A22">
            <w:pPr>
              <w:widowControl w:val="0"/>
              <w:jc w:val="both"/>
              <w:rPr>
                <w:rFonts w:eastAsia="MS Mincho"/>
                <w:sz w:val="22"/>
                <w:lang w:val="sr-Latn-ME"/>
              </w:rPr>
            </w:pPr>
            <w:r w:rsidRPr="00B35A22">
              <w:rPr>
                <w:sz w:val="22"/>
                <w:szCs w:val="22"/>
                <w:lang w:val="sr-Latn-ME"/>
              </w:rPr>
              <w:t>povišene vrijednosti kreatin fosfokinaze u krvi</w:t>
            </w:r>
          </w:p>
        </w:tc>
        <w:tc>
          <w:tcPr>
            <w:tcW w:w="1853" w:type="pct"/>
          </w:tcPr>
          <w:p w14:paraId="7AD21C7A" w14:textId="77777777" w:rsidR="003D374D" w:rsidRPr="00B35A22" w:rsidRDefault="003D374D" w:rsidP="00B35A22">
            <w:pPr>
              <w:widowControl w:val="0"/>
              <w:jc w:val="both"/>
              <w:rPr>
                <w:sz w:val="22"/>
                <w:lang w:val="sr-Latn-ME"/>
              </w:rPr>
            </w:pPr>
          </w:p>
        </w:tc>
      </w:tr>
    </w:tbl>
    <w:p w14:paraId="06160C80" w14:textId="38A44301" w:rsidR="0011019B" w:rsidRPr="00B35A22" w:rsidRDefault="0011019B" w:rsidP="00B35A22">
      <w:pPr>
        <w:widowControl w:val="0"/>
        <w:autoSpaceDE w:val="0"/>
        <w:autoSpaceDN w:val="0"/>
        <w:adjustRightInd w:val="0"/>
        <w:jc w:val="both"/>
        <w:rPr>
          <w:sz w:val="20"/>
          <w:lang w:val="sr-Latn-ME"/>
        </w:rPr>
      </w:pPr>
      <w:r w:rsidRPr="00B35A22">
        <w:rPr>
          <w:sz w:val="20"/>
          <w:vertAlign w:val="superscript"/>
          <w:lang w:val="sr-Latn-ME"/>
        </w:rPr>
        <w:t>a</w:t>
      </w:r>
      <w:r w:rsidRPr="00B35A22">
        <w:rPr>
          <w:sz w:val="20"/>
          <w:lang w:val="sr-Latn-ME"/>
        </w:rPr>
        <w:t>Uključuje prijavljene slučajeve infekcije urinarnog sistema, cistitis</w:t>
      </w:r>
      <w:r w:rsidR="00080978" w:rsidRPr="00B35A22">
        <w:rPr>
          <w:sz w:val="20"/>
          <w:lang w:val="sr-Latn-ME"/>
        </w:rPr>
        <w:t>a</w:t>
      </w:r>
      <w:r w:rsidRPr="00B35A22">
        <w:rPr>
          <w:sz w:val="20"/>
          <w:lang w:val="sr-Latn-ME"/>
        </w:rPr>
        <w:t>, pijelonefritis</w:t>
      </w:r>
      <w:r w:rsidR="00080978" w:rsidRPr="00B35A22">
        <w:rPr>
          <w:sz w:val="20"/>
          <w:lang w:val="sr-Latn-ME"/>
        </w:rPr>
        <w:t>a</w:t>
      </w:r>
      <w:r w:rsidRPr="00B35A22">
        <w:rPr>
          <w:sz w:val="20"/>
          <w:lang w:val="sr-Latn-ME"/>
        </w:rPr>
        <w:t xml:space="preserve">, infekcije urinarnog sistema uzrokovane bakterijom </w:t>
      </w:r>
      <w:r w:rsidRPr="00B35A22">
        <w:rPr>
          <w:i/>
          <w:sz w:val="20"/>
          <w:lang w:val="sr-Latn-ME"/>
        </w:rPr>
        <w:t>Escherichia coli</w:t>
      </w:r>
      <w:r w:rsidRPr="00B35A22">
        <w:rPr>
          <w:sz w:val="20"/>
          <w:lang w:val="sr-Latn-ME"/>
        </w:rPr>
        <w:t xml:space="preserve">, bakterijske infekcije urinarnog sistema, infekcije bubrega, </w:t>
      </w:r>
      <w:r w:rsidR="00080978" w:rsidRPr="00B35A22">
        <w:rPr>
          <w:sz w:val="20"/>
          <w:lang w:val="sr-Latn-ME"/>
        </w:rPr>
        <w:t xml:space="preserve">akutnog </w:t>
      </w:r>
      <w:r w:rsidRPr="00B35A22">
        <w:rPr>
          <w:sz w:val="20"/>
          <w:lang w:val="sr-Latn-ME"/>
        </w:rPr>
        <w:t>pijelonefritis</w:t>
      </w:r>
      <w:r w:rsidR="00080978" w:rsidRPr="00B35A22">
        <w:rPr>
          <w:sz w:val="20"/>
          <w:lang w:val="sr-Latn-ME"/>
        </w:rPr>
        <w:t>a</w:t>
      </w:r>
      <w:r w:rsidRPr="00B35A22">
        <w:rPr>
          <w:sz w:val="20"/>
          <w:lang w:val="sr-Latn-ME"/>
        </w:rPr>
        <w:t xml:space="preserve">, </w:t>
      </w:r>
      <w:r w:rsidR="00080978" w:rsidRPr="00B35A22">
        <w:rPr>
          <w:sz w:val="20"/>
          <w:lang w:val="sr-Latn-ME"/>
        </w:rPr>
        <w:t>hroničnog pijelonefritisa, pijelitisa, bubrežnog apscesa, streptokokn</w:t>
      </w:r>
      <w:r w:rsidR="00A130B2" w:rsidRPr="00B35A22">
        <w:rPr>
          <w:sz w:val="20"/>
          <w:lang w:val="sr-Latn-ME"/>
        </w:rPr>
        <w:t>e</w:t>
      </w:r>
      <w:r w:rsidR="00080978" w:rsidRPr="00B35A22">
        <w:rPr>
          <w:sz w:val="20"/>
          <w:lang w:val="sr-Latn-ME"/>
        </w:rPr>
        <w:t xml:space="preserve"> infekcij</w:t>
      </w:r>
      <w:r w:rsidR="00A130B2" w:rsidRPr="00B35A22">
        <w:rPr>
          <w:sz w:val="20"/>
          <w:lang w:val="sr-Latn-ME"/>
        </w:rPr>
        <w:t>e</w:t>
      </w:r>
      <w:r w:rsidR="00080978" w:rsidRPr="00B35A22">
        <w:rPr>
          <w:sz w:val="20"/>
          <w:lang w:val="sr-Latn-ME"/>
        </w:rPr>
        <w:t xml:space="preserve"> urinarnog sistema, uretritisa,</w:t>
      </w:r>
      <w:r w:rsidR="00A130B2" w:rsidRPr="00B35A22">
        <w:rPr>
          <w:sz w:val="20"/>
          <w:lang w:val="sr-Latn-ME"/>
        </w:rPr>
        <w:t xml:space="preserve"> </w:t>
      </w:r>
      <w:r w:rsidRPr="00B35A22">
        <w:rPr>
          <w:sz w:val="20"/>
          <w:lang w:val="sr-Latn-ME"/>
        </w:rPr>
        <w:t>gljivične infekcije urinarnog sistema, pseudomonasne infekcije urinarnog sistema.</w:t>
      </w:r>
    </w:p>
    <w:p w14:paraId="47D81E55" w14:textId="6CFBF7B0" w:rsidR="00165BC0" w:rsidRPr="00B35A22" w:rsidRDefault="0011019B" w:rsidP="00B35A22">
      <w:pPr>
        <w:widowControl w:val="0"/>
        <w:autoSpaceDE w:val="0"/>
        <w:autoSpaceDN w:val="0"/>
        <w:adjustRightInd w:val="0"/>
        <w:jc w:val="both"/>
        <w:rPr>
          <w:sz w:val="20"/>
          <w:lang w:val="sr-Latn-ME"/>
        </w:rPr>
      </w:pPr>
      <w:r w:rsidRPr="00B35A22">
        <w:rPr>
          <w:sz w:val="20"/>
          <w:vertAlign w:val="superscript"/>
          <w:lang w:val="sr-Latn-ME"/>
        </w:rPr>
        <w:t>b</w:t>
      </w:r>
      <w:r w:rsidRPr="00B35A22">
        <w:rPr>
          <w:sz w:val="20"/>
          <w:lang w:val="sr-Latn-ME"/>
        </w:rPr>
        <w:t>Uključuje prijavljene slučajeve</w:t>
      </w:r>
      <w:r w:rsidR="00165BC0" w:rsidRPr="00B35A22">
        <w:rPr>
          <w:sz w:val="20"/>
          <w:lang w:val="sr-Latn-ME"/>
        </w:rPr>
        <w:t xml:space="preserve"> pneumonije, bronhitisa, infekcije</w:t>
      </w:r>
      <w:r w:rsidR="00522F9E" w:rsidRPr="00B35A22">
        <w:rPr>
          <w:sz w:val="20"/>
          <w:lang w:val="sr-Latn-ME"/>
        </w:rPr>
        <w:t xml:space="preserve"> donjih disajnih puteva</w:t>
      </w:r>
      <w:r w:rsidR="00165BC0" w:rsidRPr="00B35A22">
        <w:rPr>
          <w:sz w:val="20"/>
          <w:lang w:val="sr-Latn-ME"/>
        </w:rPr>
        <w:t>, pleuralnog izliva uzrokovanog infekcijom, traheobronhitisa, atipične pneumonije, plućnog apscesa</w:t>
      </w:r>
      <w:r w:rsidR="00182C07" w:rsidRPr="00B35A22">
        <w:rPr>
          <w:sz w:val="20"/>
          <w:lang w:val="sr-Latn-ME"/>
        </w:rPr>
        <w:t>,</w:t>
      </w:r>
      <w:r w:rsidR="00165BC0" w:rsidRPr="00B35A22">
        <w:rPr>
          <w:sz w:val="20"/>
          <w:lang w:val="sr-Latn-ME"/>
        </w:rPr>
        <w:t xml:space="preserve"> </w:t>
      </w:r>
      <w:r w:rsidR="00522F9E" w:rsidRPr="00B35A22">
        <w:rPr>
          <w:sz w:val="20"/>
          <w:lang w:val="sr-Latn-ME"/>
        </w:rPr>
        <w:t xml:space="preserve">egzacerbacije hronične opstruktivne bolesti pluća uzrokovane infekcijom, </w:t>
      </w:r>
      <w:r w:rsidR="007102CC" w:rsidRPr="00B35A22">
        <w:rPr>
          <w:sz w:val="20"/>
          <w:lang w:val="sr-Latn-ME"/>
        </w:rPr>
        <w:t xml:space="preserve">parakancerozne pneumonije, </w:t>
      </w:r>
      <w:r w:rsidR="00165BC0" w:rsidRPr="00B35A22">
        <w:rPr>
          <w:sz w:val="20"/>
          <w:lang w:val="sr-Latn-ME"/>
        </w:rPr>
        <w:t>piopneumotoraksa</w:t>
      </w:r>
      <w:r w:rsidR="007102CC" w:rsidRPr="00B35A22">
        <w:rPr>
          <w:sz w:val="20"/>
          <w:lang w:val="sr-Latn-ME"/>
        </w:rPr>
        <w:t>, pleuralne infekcije</w:t>
      </w:r>
      <w:r w:rsidR="00522F9E" w:rsidRPr="00B35A22">
        <w:rPr>
          <w:sz w:val="20"/>
          <w:lang w:val="sr-Latn-ME"/>
        </w:rPr>
        <w:t>, postoperativne pneumonije</w:t>
      </w:r>
      <w:r w:rsidR="00165BC0" w:rsidRPr="00B35A22">
        <w:rPr>
          <w:sz w:val="20"/>
          <w:lang w:val="sr-Latn-ME"/>
        </w:rPr>
        <w:t xml:space="preserve">. </w:t>
      </w:r>
    </w:p>
    <w:p w14:paraId="0EC16EF7" w14:textId="685B8B2D" w:rsidR="00182C07" w:rsidRPr="00B35A22" w:rsidRDefault="00165BC0" w:rsidP="00B35A22">
      <w:pPr>
        <w:widowControl w:val="0"/>
        <w:autoSpaceDE w:val="0"/>
        <w:autoSpaceDN w:val="0"/>
        <w:adjustRightInd w:val="0"/>
        <w:jc w:val="both"/>
        <w:rPr>
          <w:sz w:val="20"/>
          <w:lang w:val="sr-Latn-ME"/>
        </w:rPr>
      </w:pPr>
      <w:r w:rsidRPr="00B35A22">
        <w:rPr>
          <w:sz w:val="20"/>
          <w:vertAlign w:val="superscript"/>
          <w:lang w:val="sr-Latn-ME"/>
        </w:rPr>
        <w:t xml:space="preserve">c </w:t>
      </w:r>
      <w:r w:rsidRPr="00B35A22">
        <w:rPr>
          <w:sz w:val="20"/>
          <w:lang w:val="sr-Latn-ME"/>
        </w:rPr>
        <w:t>Uključuje prijavljene slučajeve</w:t>
      </w:r>
      <w:r w:rsidR="0011019B" w:rsidRPr="00B35A22">
        <w:rPr>
          <w:sz w:val="20"/>
          <w:lang w:val="sr-Latn-ME"/>
        </w:rPr>
        <w:t xml:space="preserve"> </w:t>
      </w:r>
      <w:r w:rsidR="00182C07" w:rsidRPr="00B35A22">
        <w:rPr>
          <w:sz w:val="20"/>
          <w:lang w:val="sr-Latn-ME"/>
        </w:rPr>
        <w:t>povišenih vrijednosti kreatinina u krvi, hiperkreatininemije.</w:t>
      </w:r>
    </w:p>
    <w:p w14:paraId="16EA4014" w14:textId="571F8690" w:rsidR="0011019B"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d </w:t>
      </w:r>
      <w:r w:rsidRPr="00B35A22">
        <w:rPr>
          <w:sz w:val="20"/>
          <w:lang w:val="sr-Latn-ME"/>
        </w:rPr>
        <w:t xml:space="preserve">Uključuje prijavljene slučajeve </w:t>
      </w:r>
      <w:r w:rsidR="0011019B" w:rsidRPr="00B35A22">
        <w:rPr>
          <w:sz w:val="20"/>
          <w:lang w:val="sr-Latn-ME"/>
        </w:rPr>
        <w:t>trombocitopenije</w:t>
      </w:r>
      <w:r w:rsidRPr="00B35A22">
        <w:rPr>
          <w:sz w:val="20"/>
          <w:lang w:val="sr-Latn-ME"/>
        </w:rPr>
        <w:t>,</w:t>
      </w:r>
      <w:r w:rsidR="0011019B" w:rsidRPr="00B35A22">
        <w:rPr>
          <w:sz w:val="20"/>
          <w:lang w:val="sr-Latn-ME"/>
        </w:rPr>
        <w:t xml:space="preserve"> smanjenja broja trombocita. </w:t>
      </w:r>
    </w:p>
    <w:p w14:paraId="33A8EDDF" w14:textId="3E0F0DE1" w:rsidR="0011019B"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e</w:t>
      </w:r>
      <w:r w:rsidRPr="00B35A22">
        <w:rPr>
          <w:sz w:val="20"/>
          <w:lang w:val="sr-Latn-ME"/>
        </w:rPr>
        <w:t xml:space="preserve"> </w:t>
      </w:r>
      <w:r w:rsidR="0011019B" w:rsidRPr="00B35A22">
        <w:rPr>
          <w:sz w:val="20"/>
          <w:lang w:val="sr-Latn-ME"/>
        </w:rPr>
        <w:t>Uključuje prijavljene slučajeve neutropenij</w:t>
      </w:r>
      <w:r w:rsidR="00011068" w:rsidRPr="00B35A22">
        <w:rPr>
          <w:sz w:val="20"/>
          <w:lang w:val="sr-Latn-ME"/>
        </w:rPr>
        <w:t>e</w:t>
      </w:r>
      <w:r w:rsidR="0011019B" w:rsidRPr="00B35A22">
        <w:rPr>
          <w:sz w:val="20"/>
          <w:lang w:val="sr-Latn-ME"/>
        </w:rPr>
        <w:t>, smanjenja broja neutrofila, febrilne neutropenije, neutropenijske sepse</w:t>
      </w:r>
      <w:r w:rsidR="004930F4" w:rsidRPr="00B35A22">
        <w:rPr>
          <w:sz w:val="20"/>
          <w:lang w:val="sr-Latn-ME"/>
        </w:rPr>
        <w:t>, granulocitopenije</w:t>
      </w:r>
      <w:r w:rsidR="0011019B" w:rsidRPr="00B35A22">
        <w:rPr>
          <w:sz w:val="20"/>
          <w:lang w:val="sr-Latn-ME"/>
        </w:rPr>
        <w:t>.</w:t>
      </w:r>
    </w:p>
    <w:p w14:paraId="2F47419A" w14:textId="6CD2EEE3" w:rsidR="00E66793"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f </w:t>
      </w:r>
      <w:r w:rsidR="00E66793" w:rsidRPr="00B35A22">
        <w:rPr>
          <w:sz w:val="20"/>
          <w:lang w:val="sr-Latn-ME"/>
        </w:rPr>
        <w:t>Uključuje prijavljene slučajeve smanjenja broja bijelih krvnih zrnaca</w:t>
      </w:r>
      <w:r w:rsidRPr="00B35A22">
        <w:rPr>
          <w:sz w:val="20"/>
          <w:lang w:val="sr-Latn-ME"/>
        </w:rPr>
        <w:t>,</w:t>
      </w:r>
      <w:r w:rsidR="00E66793" w:rsidRPr="00B35A22">
        <w:rPr>
          <w:sz w:val="20"/>
          <w:lang w:val="sr-Latn-ME"/>
        </w:rPr>
        <w:t xml:space="preserve"> leukopenije.</w:t>
      </w:r>
    </w:p>
    <w:p w14:paraId="534DF15E" w14:textId="12C331A7" w:rsidR="00182C07"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g </w:t>
      </w:r>
      <w:r w:rsidRPr="00B35A22">
        <w:rPr>
          <w:sz w:val="20"/>
          <w:lang w:val="sr-Latn-ME"/>
        </w:rPr>
        <w:t>Uključuje prijavljene slučajeve limfopenije, smanjenog broja limfocita.</w:t>
      </w:r>
    </w:p>
    <w:p w14:paraId="663F23C3" w14:textId="77C20326" w:rsidR="00AF7584"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h </w:t>
      </w:r>
      <w:r w:rsidR="00E66793" w:rsidRPr="00B35A22">
        <w:rPr>
          <w:sz w:val="20"/>
          <w:lang w:val="sr-Latn-ME"/>
        </w:rPr>
        <w:t xml:space="preserve">Uključuje </w:t>
      </w:r>
      <w:r w:rsidR="00AF7584" w:rsidRPr="00B35A22">
        <w:rPr>
          <w:sz w:val="20"/>
          <w:lang w:val="sr-Latn-ME"/>
        </w:rPr>
        <w:t xml:space="preserve">prijavljene slučajeve </w:t>
      </w:r>
      <w:r w:rsidR="00E03ED9" w:rsidRPr="00B35A22">
        <w:rPr>
          <w:sz w:val="20"/>
          <w:lang w:val="sr-Latn-ME"/>
        </w:rPr>
        <w:t>reakcija u vezi sa infuzijom</w:t>
      </w:r>
      <w:r w:rsidR="00CF6784" w:rsidRPr="00B35A22">
        <w:rPr>
          <w:sz w:val="20"/>
          <w:lang w:val="sr-Latn-ME"/>
        </w:rPr>
        <w:t>, sindroma oslobađanja citokina, preosjetljivosti, anafilakse</w:t>
      </w:r>
      <w:r w:rsidR="00AF7584" w:rsidRPr="00B35A22">
        <w:rPr>
          <w:sz w:val="20"/>
          <w:lang w:val="sr-Latn-ME"/>
        </w:rPr>
        <w:t>.</w:t>
      </w:r>
    </w:p>
    <w:p w14:paraId="34A67970" w14:textId="06E7646A" w:rsidR="000A26D9" w:rsidRPr="00B35A22" w:rsidRDefault="00182C07" w:rsidP="00B35A22">
      <w:pPr>
        <w:widowControl w:val="0"/>
        <w:jc w:val="both"/>
        <w:rPr>
          <w:sz w:val="20"/>
          <w:lang w:val="sr-Latn-ME"/>
        </w:rPr>
      </w:pPr>
      <w:r w:rsidRPr="00B35A22">
        <w:rPr>
          <w:sz w:val="20"/>
          <w:vertAlign w:val="superscript"/>
          <w:lang w:val="sr-Latn-ME"/>
        </w:rPr>
        <w:t xml:space="preserve">i </w:t>
      </w:r>
      <w:r w:rsidR="00E66793" w:rsidRPr="00B35A22">
        <w:rPr>
          <w:sz w:val="20"/>
          <w:lang w:val="sr-Latn-ME"/>
        </w:rPr>
        <w:t xml:space="preserve">Uključuje </w:t>
      </w:r>
      <w:r w:rsidR="000A26D9" w:rsidRPr="00B35A22">
        <w:rPr>
          <w:sz w:val="20"/>
          <w:lang w:val="sr-Latn-ME"/>
        </w:rPr>
        <w:t xml:space="preserve">prijavljene slučajeve </w:t>
      </w:r>
      <w:r w:rsidR="00522F9E" w:rsidRPr="00B35A22">
        <w:rPr>
          <w:sz w:val="20"/>
          <w:lang w:val="sr-Latn-ME"/>
        </w:rPr>
        <w:t xml:space="preserve">pozitivnih nalaza na antitijela štitne žlijezde, </w:t>
      </w:r>
      <w:r w:rsidR="001E62B0" w:rsidRPr="00B35A22">
        <w:rPr>
          <w:sz w:val="20"/>
          <w:lang w:val="sr-Latn-ME"/>
        </w:rPr>
        <w:t>autoimunskog hipotiroidizma, autoimunskog tir</w:t>
      </w:r>
      <w:r w:rsidR="002D2E8F" w:rsidRPr="00B35A22">
        <w:rPr>
          <w:sz w:val="20"/>
          <w:lang w:val="sr-Latn-ME"/>
        </w:rPr>
        <w:t>e</w:t>
      </w:r>
      <w:r w:rsidR="001E62B0" w:rsidRPr="00B35A22">
        <w:rPr>
          <w:sz w:val="20"/>
          <w:lang w:val="sr-Latn-ME"/>
        </w:rPr>
        <w:t xml:space="preserve">oiditisa, </w:t>
      </w:r>
      <w:r w:rsidR="008E4FAD" w:rsidRPr="00B35A22">
        <w:rPr>
          <w:sz w:val="20"/>
          <w:lang w:val="sr-Latn-ME"/>
        </w:rPr>
        <w:t>sniženih vrijednosti</w:t>
      </w:r>
      <w:r w:rsidR="001E62B0" w:rsidRPr="00B35A22">
        <w:rPr>
          <w:sz w:val="20"/>
          <w:lang w:val="sr-Latn-ME"/>
        </w:rPr>
        <w:t xml:space="preserve"> hormona koji stimuliše tiroidnu funkciju u krvi, povišen</w:t>
      </w:r>
      <w:r w:rsidR="008E4FAD" w:rsidRPr="00B35A22">
        <w:rPr>
          <w:sz w:val="20"/>
          <w:lang w:val="sr-Latn-ME"/>
        </w:rPr>
        <w:t>ih</w:t>
      </w:r>
      <w:r w:rsidR="001E62B0" w:rsidRPr="00B35A22">
        <w:rPr>
          <w:sz w:val="20"/>
          <w:lang w:val="sr-Latn-ME"/>
        </w:rPr>
        <w:t xml:space="preserve"> </w:t>
      </w:r>
      <w:r w:rsidR="008E4FAD" w:rsidRPr="00B35A22">
        <w:rPr>
          <w:sz w:val="20"/>
          <w:lang w:val="sr-Latn-ME"/>
        </w:rPr>
        <w:t>vrijednosti</w:t>
      </w:r>
      <w:r w:rsidR="001E62B0" w:rsidRPr="00B35A22">
        <w:rPr>
          <w:sz w:val="20"/>
          <w:lang w:val="sr-Latn-ME"/>
        </w:rPr>
        <w:t xml:space="preserve"> hormona koji stimuliše tiroidnu funkciju u krvi, netiroidne bolesti (eutiroidnog sindroma), gušavosti, hipotiroidizma, </w:t>
      </w:r>
      <w:r w:rsidR="00080978" w:rsidRPr="00B35A22">
        <w:rPr>
          <w:sz w:val="20"/>
          <w:lang w:val="sr-Latn-ME"/>
        </w:rPr>
        <w:t xml:space="preserve">imunski uzrokovanog hipotiroidizma, </w:t>
      </w:r>
      <w:r w:rsidR="00B51D1D" w:rsidRPr="00B35A22">
        <w:rPr>
          <w:sz w:val="20"/>
          <w:lang w:val="sr-Latn-ME"/>
        </w:rPr>
        <w:t>i</w:t>
      </w:r>
      <w:r w:rsidR="00877094" w:rsidRPr="00B35A22">
        <w:rPr>
          <w:sz w:val="20"/>
          <w:lang w:val="sr-Latn-ME"/>
        </w:rPr>
        <w:t xml:space="preserve">munski uzrokovanog tiroidizma, </w:t>
      </w:r>
      <w:r w:rsidR="00080978" w:rsidRPr="00B35A22">
        <w:rPr>
          <w:sz w:val="20"/>
          <w:lang w:val="sr-Latn-ME"/>
        </w:rPr>
        <w:t xml:space="preserve">miksedema, </w:t>
      </w:r>
      <w:r w:rsidRPr="00B35A22">
        <w:rPr>
          <w:sz w:val="20"/>
          <w:lang w:val="sr-Latn-ME"/>
        </w:rPr>
        <w:t xml:space="preserve">, </w:t>
      </w:r>
      <w:r w:rsidR="00522F9E" w:rsidRPr="00B35A22">
        <w:rPr>
          <w:sz w:val="20"/>
          <w:lang w:val="sr-Latn-ME"/>
        </w:rPr>
        <w:t xml:space="preserve">primarnog hipotiroidizma, </w:t>
      </w:r>
      <w:r w:rsidR="001E62B0" w:rsidRPr="00B35A22">
        <w:rPr>
          <w:sz w:val="20"/>
          <w:lang w:val="sr-Latn-ME"/>
        </w:rPr>
        <w:t>poremećaja funkcije štitne žl</w:t>
      </w:r>
      <w:r w:rsidR="008E4FAD" w:rsidRPr="00B35A22">
        <w:rPr>
          <w:sz w:val="20"/>
          <w:lang w:val="sr-Latn-ME"/>
        </w:rPr>
        <w:t>ij</w:t>
      </w:r>
      <w:r w:rsidR="001E62B0" w:rsidRPr="00B35A22">
        <w:rPr>
          <w:sz w:val="20"/>
          <w:lang w:val="sr-Latn-ME"/>
        </w:rPr>
        <w:t>ezde,</w:t>
      </w:r>
      <w:r w:rsidR="00522F9E" w:rsidRPr="00B35A22">
        <w:rPr>
          <w:sz w:val="20"/>
          <w:lang w:val="sr-Latn-ME"/>
        </w:rPr>
        <w:t xml:space="preserve"> sniženih vrijednosti hormona štitne žlijezde,</w:t>
      </w:r>
      <w:r w:rsidR="001E62B0" w:rsidRPr="00B35A22">
        <w:rPr>
          <w:sz w:val="20"/>
          <w:lang w:val="sr-Latn-ME"/>
        </w:rPr>
        <w:t xml:space="preserve"> </w:t>
      </w:r>
      <w:r w:rsidR="00915AAB" w:rsidRPr="00B35A22">
        <w:rPr>
          <w:sz w:val="20"/>
          <w:lang w:val="sr-Latn-ME"/>
        </w:rPr>
        <w:t>odstupanja u nalazima testova funkcije štitne žlijezde</w:t>
      </w:r>
      <w:r w:rsidR="001E62B0" w:rsidRPr="00B35A22">
        <w:rPr>
          <w:sz w:val="20"/>
          <w:lang w:val="sr-Latn-ME"/>
        </w:rPr>
        <w:t>, tir</w:t>
      </w:r>
      <w:r w:rsidR="008E4FAD" w:rsidRPr="00B35A22">
        <w:rPr>
          <w:sz w:val="20"/>
          <w:lang w:val="sr-Latn-ME"/>
        </w:rPr>
        <w:t>e</w:t>
      </w:r>
      <w:r w:rsidR="001E62B0" w:rsidRPr="00B35A22">
        <w:rPr>
          <w:sz w:val="20"/>
          <w:lang w:val="sr-Latn-ME"/>
        </w:rPr>
        <w:t xml:space="preserve">oiditisa, </w:t>
      </w:r>
      <w:r w:rsidR="00080978" w:rsidRPr="00B35A22">
        <w:rPr>
          <w:sz w:val="20"/>
          <w:lang w:val="sr-Latn-ME"/>
        </w:rPr>
        <w:t xml:space="preserve">akutnog tireoiditisa, </w:t>
      </w:r>
      <w:r w:rsidR="008E4FAD" w:rsidRPr="00B35A22">
        <w:rPr>
          <w:sz w:val="20"/>
          <w:lang w:val="sr-Latn-ME"/>
        </w:rPr>
        <w:t>sniženih vrijednosti</w:t>
      </w:r>
      <w:r w:rsidR="001E62B0" w:rsidRPr="00B35A22">
        <w:rPr>
          <w:sz w:val="20"/>
          <w:lang w:val="sr-Latn-ME"/>
        </w:rPr>
        <w:t xml:space="preserve"> tiroksina, </w:t>
      </w:r>
      <w:r w:rsidR="008E4FAD" w:rsidRPr="00B35A22">
        <w:rPr>
          <w:sz w:val="20"/>
          <w:lang w:val="sr-Latn-ME"/>
        </w:rPr>
        <w:t>sniženih vrijednosti</w:t>
      </w:r>
      <w:r w:rsidR="001E62B0" w:rsidRPr="00B35A22">
        <w:rPr>
          <w:sz w:val="20"/>
          <w:lang w:val="sr-Latn-ME"/>
        </w:rPr>
        <w:t xml:space="preserve"> slobodnog tiroksina, </w:t>
      </w:r>
      <w:r w:rsidR="008E4FAD" w:rsidRPr="00B35A22">
        <w:rPr>
          <w:sz w:val="20"/>
          <w:lang w:val="sr-Latn-ME"/>
        </w:rPr>
        <w:t>povišenih vrijednosti</w:t>
      </w:r>
      <w:r w:rsidR="001E62B0" w:rsidRPr="00B35A22">
        <w:rPr>
          <w:sz w:val="20"/>
          <w:lang w:val="sr-Latn-ME"/>
        </w:rPr>
        <w:t xml:space="preserve"> slobodnog tiroksina, </w:t>
      </w:r>
      <w:r w:rsidR="008E4FAD" w:rsidRPr="00B35A22">
        <w:rPr>
          <w:sz w:val="20"/>
          <w:lang w:val="sr-Latn-ME"/>
        </w:rPr>
        <w:t>povišenih vrijednosti</w:t>
      </w:r>
      <w:r w:rsidR="001E62B0" w:rsidRPr="00B35A22">
        <w:rPr>
          <w:sz w:val="20"/>
          <w:lang w:val="sr-Latn-ME"/>
        </w:rPr>
        <w:t xml:space="preserve"> tiroksina, </w:t>
      </w:r>
      <w:r w:rsidR="008E4FAD" w:rsidRPr="00B35A22">
        <w:rPr>
          <w:sz w:val="20"/>
          <w:lang w:val="sr-Latn-ME"/>
        </w:rPr>
        <w:t>sniženih vrijednosti</w:t>
      </w:r>
      <w:r w:rsidR="001E62B0" w:rsidRPr="00B35A22">
        <w:rPr>
          <w:sz w:val="20"/>
          <w:lang w:val="sr-Latn-ME"/>
        </w:rPr>
        <w:t xml:space="preserve"> trijodtironina, </w:t>
      </w:r>
      <w:r w:rsidR="00B04DB5" w:rsidRPr="00B35A22">
        <w:rPr>
          <w:sz w:val="20"/>
          <w:szCs w:val="20"/>
          <w:lang w:val="sr-Latn-ME" w:eastAsia="ja-JP"/>
        </w:rPr>
        <w:t xml:space="preserve">povećanih vrijednosti trijodotironina, </w:t>
      </w:r>
      <w:r w:rsidR="001E62B0" w:rsidRPr="00B35A22">
        <w:rPr>
          <w:sz w:val="20"/>
          <w:lang w:val="sr-Latn-ME"/>
        </w:rPr>
        <w:t>poremećen</w:t>
      </w:r>
      <w:r w:rsidR="00027E4F" w:rsidRPr="00B35A22">
        <w:rPr>
          <w:sz w:val="20"/>
          <w:lang w:val="sr-Latn-ME"/>
        </w:rPr>
        <w:t>ih</w:t>
      </w:r>
      <w:r w:rsidR="001E62B0" w:rsidRPr="00B35A22">
        <w:rPr>
          <w:sz w:val="20"/>
          <w:lang w:val="sr-Latn-ME"/>
        </w:rPr>
        <w:t xml:space="preserve"> vr</w:t>
      </w:r>
      <w:r w:rsidR="00027E4F" w:rsidRPr="00B35A22">
        <w:rPr>
          <w:sz w:val="20"/>
          <w:lang w:val="sr-Latn-ME"/>
        </w:rPr>
        <w:t>ij</w:t>
      </w:r>
      <w:r w:rsidR="001E62B0" w:rsidRPr="00B35A22">
        <w:rPr>
          <w:sz w:val="20"/>
          <w:lang w:val="sr-Latn-ME"/>
        </w:rPr>
        <w:t xml:space="preserve">ednosti slobodnog trijodtironina, </w:t>
      </w:r>
      <w:r w:rsidR="008E4FAD" w:rsidRPr="00B35A22">
        <w:rPr>
          <w:sz w:val="20"/>
          <w:lang w:val="sr-Latn-ME"/>
        </w:rPr>
        <w:t>sniženih vrijednosti</w:t>
      </w:r>
      <w:r w:rsidR="001E62B0" w:rsidRPr="00B35A22">
        <w:rPr>
          <w:sz w:val="20"/>
          <w:lang w:val="sr-Latn-ME"/>
        </w:rPr>
        <w:t xml:space="preserve"> slobodnog trijodtironina, </w:t>
      </w:r>
      <w:r w:rsidR="008E4FAD" w:rsidRPr="00B35A22">
        <w:rPr>
          <w:sz w:val="20"/>
          <w:lang w:val="sr-Latn-ME"/>
        </w:rPr>
        <w:t>povišenih vrijednosti</w:t>
      </w:r>
      <w:r w:rsidR="001E62B0" w:rsidRPr="00B35A22">
        <w:rPr>
          <w:sz w:val="20"/>
          <w:lang w:val="sr-Latn-ME"/>
        </w:rPr>
        <w:t xml:space="preserve"> slobodnog trijodtironina</w:t>
      </w:r>
      <w:r w:rsidR="007102CC" w:rsidRPr="00B35A22">
        <w:rPr>
          <w:sz w:val="20"/>
          <w:lang w:val="sr-Latn-ME"/>
        </w:rPr>
        <w:t>, tihog tireoiditisa</w:t>
      </w:r>
      <w:r w:rsidR="00877094" w:rsidRPr="00B35A22">
        <w:rPr>
          <w:sz w:val="20"/>
          <w:szCs w:val="20"/>
          <w:lang w:val="sr-Latn-ME" w:eastAsia="ja-JP"/>
        </w:rPr>
        <w:t>.</w:t>
      </w:r>
    </w:p>
    <w:p w14:paraId="718D8E3C" w14:textId="10921F19" w:rsidR="000A26D9" w:rsidRPr="00B35A22" w:rsidRDefault="00182C07" w:rsidP="00B35A22">
      <w:pPr>
        <w:widowControl w:val="0"/>
        <w:jc w:val="both"/>
        <w:rPr>
          <w:sz w:val="20"/>
          <w:lang w:val="sr-Latn-ME"/>
        </w:rPr>
      </w:pPr>
      <w:r w:rsidRPr="00B35A22">
        <w:rPr>
          <w:sz w:val="20"/>
          <w:vertAlign w:val="superscript"/>
          <w:lang w:val="sr-Latn-ME"/>
        </w:rPr>
        <w:t xml:space="preserve">j </w:t>
      </w:r>
      <w:r w:rsidR="008E4FAD" w:rsidRPr="00B35A22">
        <w:rPr>
          <w:sz w:val="20"/>
          <w:lang w:val="sr-Latn-ME"/>
        </w:rPr>
        <w:t xml:space="preserve">Uključuje </w:t>
      </w:r>
      <w:r w:rsidR="000A26D9" w:rsidRPr="00B35A22">
        <w:rPr>
          <w:sz w:val="20"/>
          <w:lang w:val="sr-Latn-ME"/>
        </w:rPr>
        <w:t xml:space="preserve">prijavljene slučajeve hipertireoze, </w:t>
      </w:r>
      <w:r w:rsidR="008E4FAD" w:rsidRPr="00B35A22">
        <w:rPr>
          <w:sz w:val="20"/>
          <w:lang w:val="sr-Latn-ME"/>
        </w:rPr>
        <w:t xml:space="preserve">Bazedovljeve bolesti, </w:t>
      </w:r>
      <w:r w:rsidR="000A26D9" w:rsidRPr="00B35A22">
        <w:rPr>
          <w:sz w:val="20"/>
          <w:lang w:val="sr-Latn-ME"/>
        </w:rPr>
        <w:t>endokrine oftalmopatije</w:t>
      </w:r>
      <w:r w:rsidR="004930F4" w:rsidRPr="00B35A22">
        <w:rPr>
          <w:sz w:val="20"/>
          <w:lang w:val="sr-Latn-ME"/>
        </w:rPr>
        <w:t>,</w:t>
      </w:r>
      <w:r w:rsidR="000A26D9" w:rsidRPr="00B35A22">
        <w:rPr>
          <w:sz w:val="20"/>
          <w:lang w:val="sr-Latn-ME"/>
        </w:rPr>
        <w:t xml:space="preserve"> egzoftalmusa.</w:t>
      </w:r>
    </w:p>
    <w:p w14:paraId="5E9677C0" w14:textId="50BFCB83" w:rsidR="000A26D9" w:rsidRPr="00B35A22" w:rsidRDefault="00182C07" w:rsidP="00B35A22">
      <w:pPr>
        <w:widowControl w:val="0"/>
        <w:jc w:val="both"/>
        <w:rPr>
          <w:sz w:val="20"/>
          <w:lang w:val="sr-Latn-ME"/>
        </w:rPr>
      </w:pPr>
      <w:r w:rsidRPr="00B35A22">
        <w:rPr>
          <w:sz w:val="20"/>
          <w:vertAlign w:val="superscript"/>
          <w:lang w:val="sr-Latn-ME"/>
        </w:rPr>
        <w:t xml:space="preserve">k </w:t>
      </w:r>
      <w:r w:rsidR="00516E10" w:rsidRPr="00B35A22">
        <w:rPr>
          <w:sz w:val="20"/>
          <w:lang w:val="sr-Latn-ME"/>
        </w:rPr>
        <w:t xml:space="preserve">Uključuje </w:t>
      </w:r>
      <w:r w:rsidR="000A26D9" w:rsidRPr="00B35A22">
        <w:rPr>
          <w:sz w:val="20"/>
          <w:lang w:val="sr-Latn-ME"/>
        </w:rPr>
        <w:t>prijavljene slučajeve dijabetesa, dijabetesa tipa 1</w:t>
      </w:r>
      <w:r w:rsidR="00527887" w:rsidRPr="00B35A22">
        <w:rPr>
          <w:sz w:val="20"/>
          <w:lang w:val="sr-Latn-ME"/>
        </w:rPr>
        <w:t>,</w:t>
      </w:r>
      <w:r w:rsidR="000A26D9" w:rsidRPr="00B35A22">
        <w:rPr>
          <w:sz w:val="20"/>
          <w:lang w:val="sr-Latn-ME"/>
        </w:rPr>
        <w:t xml:space="preserve"> dijabetičke ketoacidoze</w:t>
      </w:r>
      <w:r w:rsidR="004930F4" w:rsidRPr="00B35A22">
        <w:rPr>
          <w:sz w:val="20"/>
          <w:lang w:val="sr-Latn-ME"/>
        </w:rPr>
        <w:t>,</w:t>
      </w:r>
      <w:r w:rsidR="00527887" w:rsidRPr="00B35A22">
        <w:rPr>
          <w:sz w:val="20"/>
          <w:lang w:val="sr-Latn-ME"/>
        </w:rPr>
        <w:t xml:space="preserve"> ketoacidoze</w:t>
      </w:r>
      <w:r w:rsidR="000A26D9" w:rsidRPr="00B35A22">
        <w:rPr>
          <w:sz w:val="20"/>
          <w:lang w:val="sr-Latn-ME"/>
        </w:rPr>
        <w:t>.</w:t>
      </w:r>
    </w:p>
    <w:p w14:paraId="4D7CE694" w14:textId="1D75DD63" w:rsidR="000A26D9" w:rsidRPr="00B35A22" w:rsidRDefault="00182C07" w:rsidP="00B35A22">
      <w:pPr>
        <w:widowControl w:val="0"/>
        <w:jc w:val="both"/>
        <w:rPr>
          <w:sz w:val="20"/>
          <w:lang w:val="sr-Latn-ME"/>
        </w:rPr>
      </w:pPr>
      <w:r w:rsidRPr="00B35A22">
        <w:rPr>
          <w:sz w:val="20"/>
          <w:vertAlign w:val="superscript"/>
          <w:lang w:val="sr-Latn-ME"/>
        </w:rPr>
        <w:t xml:space="preserve">l </w:t>
      </w:r>
      <w:r w:rsidR="00516E10" w:rsidRPr="00B35A22">
        <w:rPr>
          <w:sz w:val="20"/>
          <w:lang w:val="sr-Latn-ME"/>
        </w:rPr>
        <w:t xml:space="preserve">Uključuje </w:t>
      </w:r>
      <w:r w:rsidR="000A26D9" w:rsidRPr="00B35A22">
        <w:rPr>
          <w:sz w:val="20"/>
          <w:lang w:val="sr-Latn-ME"/>
        </w:rPr>
        <w:t>prijavljene slučajeve insuficijencije nadbubrežne žlijezde</w:t>
      </w:r>
      <w:r w:rsidRPr="00B35A22">
        <w:rPr>
          <w:sz w:val="20"/>
          <w:lang w:val="sr-Latn-ME"/>
        </w:rPr>
        <w:t>,</w:t>
      </w:r>
      <w:r w:rsidR="000A26D9" w:rsidRPr="00B35A22">
        <w:rPr>
          <w:sz w:val="20"/>
          <w:lang w:val="sr-Latn-ME"/>
        </w:rPr>
        <w:t xml:space="preserve"> </w:t>
      </w:r>
      <w:r w:rsidR="00522F9E" w:rsidRPr="00B35A22">
        <w:rPr>
          <w:sz w:val="20"/>
          <w:lang w:val="sr-Latn-ME"/>
        </w:rPr>
        <w:t xml:space="preserve">sniženih vrijednosti kortikotropina u krvi, </w:t>
      </w:r>
      <w:r w:rsidR="00080978" w:rsidRPr="00B35A22">
        <w:rPr>
          <w:sz w:val="20"/>
          <w:lang w:val="sr-Latn-ME"/>
        </w:rPr>
        <w:t xml:space="preserve">manjka glukokortikoida, </w:t>
      </w:r>
      <w:r w:rsidR="000A26D9" w:rsidRPr="00B35A22">
        <w:rPr>
          <w:sz w:val="20"/>
          <w:lang w:val="sr-Latn-ME"/>
        </w:rPr>
        <w:t>primarne insuficijencije nadbubrežne žlijezde</w:t>
      </w:r>
      <w:r w:rsidR="00522F9E" w:rsidRPr="00B35A22">
        <w:rPr>
          <w:sz w:val="20"/>
          <w:lang w:val="sr-Latn-ME"/>
        </w:rPr>
        <w:t>, sekundarne adrenalne insuficijencije</w:t>
      </w:r>
      <w:r w:rsidR="000A26D9" w:rsidRPr="00B35A22">
        <w:rPr>
          <w:sz w:val="20"/>
          <w:lang w:val="sr-Latn-ME"/>
        </w:rPr>
        <w:t xml:space="preserve">. </w:t>
      </w:r>
    </w:p>
    <w:p w14:paraId="14C73435" w14:textId="37C6BFB2" w:rsidR="00516E10" w:rsidRPr="00B35A22" w:rsidRDefault="00182C07" w:rsidP="00B35A22">
      <w:pPr>
        <w:widowControl w:val="0"/>
        <w:jc w:val="both"/>
        <w:rPr>
          <w:sz w:val="20"/>
          <w:lang w:val="sr-Latn-ME"/>
        </w:rPr>
      </w:pPr>
      <w:r w:rsidRPr="00B35A22">
        <w:rPr>
          <w:sz w:val="20"/>
          <w:vertAlign w:val="superscript"/>
          <w:lang w:val="sr-Latn-ME"/>
        </w:rPr>
        <w:t xml:space="preserve">m </w:t>
      </w:r>
      <w:r w:rsidR="00516E10" w:rsidRPr="00B35A22">
        <w:rPr>
          <w:sz w:val="20"/>
          <w:lang w:val="sr-Latn-ME"/>
        </w:rPr>
        <w:t>Uključuje prijavljene slučajeve hipofizitisa</w:t>
      </w:r>
      <w:r w:rsidR="00243F20" w:rsidRPr="00B35A22">
        <w:rPr>
          <w:sz w:val="20"/>
          <w:lang w:val="sr-Latn-ME"/>
        </w:rPr>
        <w:t>, hipopituitarizam, sekundarna in</w:t>
      </w:r>
      <w:r w:rsidR="00B81C06" w:rsidRPr="00B35A22">
        <w:rPr>
          <w:sz w:val="20"/>
          <w:lang w:val="sr-Latn-ME"/>
        </w:rPr>
        <w:t>suficijencija</w:t>
      </w:r>
      <w:r w:rsidR="00243F20" w:rsidRPr="00B35A22">
        <w:rPr>
          <w:sz w:val="20"/>
          <w:lang w:val="sr-Latn-ME"/>
        </w:rPr>
        <w:t xml:space="preserve"> kore nadbubrežne žlijezde</w:t>
      </w:r>
      <w:r w:rsidR="00516E10" w:rsidRPr="00B35A22">
        <w:rPr>
          <w:sz w:val="20"/>
          <w:lang w:val="sr-Latn-ME"/>
        </w:rPr>
        <w:t xml:space="preserve"> i poremećaja regulacije temperature.</w:t>
      </w:r>
    </w:p>
    <w:p w14:paraId="62E8FA07" w14:textId="265A9090" w:rsidR="00182C07" w:rsidRPr="00B35A22" w:rsidRDefault="00182C07" w:rsidP="00B35A22">
      <w:pPr>
        <w:widowControl w:val="0"/>
        <w:jc w:val="both"/>
        <w:rPr>
          <w:sz w:val="20"/>
          <w:lang w:val="sr-Latn-ME"/>
        </w:rPr>
      </w:pPr>
      <w:r w:rsidRPr="00B35A22">
        <w:rPr>
          <w:sz w:val="20"/>
          <w:vertAlign w:val="superscript"/>
          <w:lang w:val="sr-Latn-ME"/>
        </w:rPr>
        <w:t xml:space="preserve">n </w:t>
      </w:r>
      <w:r w:rsidRPr="00B35A22">
        <w:rPr>
          <w:sz w:val="20"/>
          <w:lang w:val="sr-Latn-ME"/>
        </w:rPr>
        <w:t>Uključuje prijavljene slučajeve hipomagnezemije, sniženih vrijednosti magnezijuma u krvi.</w:t>
      </w:r>
    </w:p>
    <w:p w14:paraId="70854D01" w14:textId="3089ED4F" w:rsidR="00C530A8" w:rsidRPr="00B35A22" w:rsidRDefault="00182C07" w:rsidP="00B35A22">
      <w:pPr>
        <w:widowControl w:val="0"/>
        <w:jc w:val="both"/>
        <w:rPr>
          <w:sz w:val="20"/>
          <w:lang w:val="sr-Latn-ME"/>
        </w:rPr>
      </w:pPr>
      <w:r w:rsidRPr="00B35A22">
        <w:rPr>
          <w:sz w:val="20"/>
          <w:vertAlign w:val="superscript"/>
          <w:lang w:val="sr-Latn-ME"/>
        </w:rPr>
        <w:t>o</w:t>
      </w:r>
      <w:r w:rsidRPr="00B35A22">
        <w:rPr>
          <w:sz w:val="20"/>
          <w:lang w:val="sr-Latn-ME"/>
        </w:rPr>
        <w:t xml:space="preserve"> </w:t>
      </w:r>
      <w:r w:rsidR="00516E10" w:rsidRPr="00B35A22">
        <w:rPr>
          <w:sz w:val="20"/>
          <w:lang w:val="sr-Latn-ME"/>
        </w:rPr>
        <w:t xml:space="preserve">Uključuje </w:t>
      </w:r>
      <w:r w:rsidR="00C530A8" w:rsidRPr="00B35A22">
        <w:rPr>
          <w:sz w:val="20"/>
          <w:lang w:val="sr-Latn-ME"/>
        </w:rPr>
        <w:t>prijavljene slučajeve</w:t>
      </w:r>
      <w:r w:rsidR="002E5BAC" w:rsidRPr="00B35A22">
        <w:rPr>
          <w:sz w:val="20"/>
          <w:lang w:val="sr-Latn-ME"/>
        </w:rPr>
        <w:t xml:space="preserve"> periferne neuropatije, </w:t>
      </w:r>
      <w:r w:rsidR="004F6E8D" w:rsidRPr="00B35A22">
        <w:rPr>
          <w:sz w:val="20"/>
          <w:lang w:val="sr-Latn-ME"/>
        </w:rPr>
        <w:t xml:space="preserve">autoimunske neuropatije, </w:t>
      </w:r>
      <w:r w:rsidR="002E5BAC" w:rsidRPr="00B35A22">
        <w:rPr>
          <w:sz w:val="20"/>
          <w:lang w:val="sr-Latn-ME"/>
        </w:rPr>
        <w:t>periferne senzorne neuropatije, polineuropatije, herpesa zoster, periferne motorne neuropatije, neuralgične amiotrofije, periferne senzomotorne neuropatije, toksične neuropatije</w:t>
      </w:r>
      <w:r w:rsidR="004F6E8D" w:rsidRPr="00B35A22">
        <w:rPr>
          <w:sz w:val="20"/>
          <w:lang w:val="sr-Latn-ME"/>
        </w:rPr>
        <w:t>, aksonske neuropatije, poremećaja lumbosakralnog pleksusa, neuropatske artropatije</w:t>
      </w:r>
      <w:r w:rsidR="00516E10" w:rsidRPr="00B35A22">
        <w:rPr>
          <w:sz w:val="20"/>
          <w:lang w:val="sr-Latn-ME"/>
        </w:rPr>
        <w:t>, infekcija perifernih nerava</w:t>
      </w:r>
      <w:r w:rsidR="00522F9E" w:rsidRPr="00B35A22">
        <w:rPr>
          <w:sz w:val="20"/>
          <w:lang w:val="sr-Latn-ME"/>
        </w:rPr>
        <w:t>, neuritisa, imunski uzrokovane neuropatije</w:t>
      </w:r>
      <w:r w:rsidR="002E5BAC" w:rsidRPr="00B35A22">
        <w:rPr>
          <w:sz w:val="20"/>
          <w:lang w:val="sr-Latn-ME"/>
        </w:rPr>
        <w:t>.</w:t>
      </w:r>
    </w:p>
    <w:p w14:paraId="4BA68FD6" w14:textId="620B371C" w:rsidR="000A26D9" w:rsidRPr="00B35A22" w:rsidRDefault="00182C07" w:rsidP="00B35A22">
      <w:pPr>
        <w:widowControl w:val="0"/>
        <w:jc w:val="both"/>
        <w:rPr>
          <w:sz w:val="20"/>
          <w:lang w:val="sr-Latn-ME"/>
        </w:rPr>
      </w:pPr>
      <w:r w:rsidRPr="00B35A22">
        <w:rPr>
          <w:sz w:val="20"/>
          <w:vertAlign w:val="superscript"/>
          <w:lang w:val="sr-Latn-ME"/>
        </w:rPr>
        <w:t xml:space="preserve">p </w:t>
      </w:r>
      <w:r w:rsidR="004F6E8D" w:rsidRPr="00B35A22">
        <w:rPr>
          <w:sz w:val="20"/>
          <w:lang w:val="sr-Latn-ME"/>
        </w:rPr>
        <w:t xml:space="preserve">Uključuje </w:t>
      </w:r>
      <w:r w:rsidR="000A26D9" w:rsidRPr="00B35A22">
        <w:rPr>
          <w:sz w:val="20"/>
          <w:lang w:val="sr-Latn-ME"/>
        </w:rPr>
        <w:t xml:space="preserve">prijavljene slučajeve </w:t>
      </w:r>
      <w:r w:rsidR="000A26D9" w:rsidRPr="00B35A22">
        <w:rPr>
          <w:i/>
          <w:sz w:val="20"/>
          <w:lang w:val="sr-Latn-ME"/>
        </w:rPr>
        <w:t>Guillain Barré</w:t>
      </w:r>
      <w:r w:rsidR="007A4C3C" w:rsidRPr="00B35A22">
        <w:rPr>
          <w:sz w:val="20"/>
          <w:lang w:val="sr-Latn-ME"/>
        </w:rPr>
        <w:t>-</w:t>
      </w:r>
      <w:r w:rsidR="000A26D9" w:rsidRPr="00B35A22">
        <w:rPr>
          <w:sz w:val="20"/>
          <w:lang w:val="sr-Latn-ME"/>
        </w:rPr>
        <w:t>ova sindroma</w:t>
      </w:r>
      <w:r w:rsidR="00E30B86" w:rsidRPr="00B35A22">
        <w:rPr>
          <w:sz w:val="20"/>
          <w:lang w:val="sr-Latn-ME"/>
        </w:rPr>
        <w:t>,</w:t>
      </w:r>
      <w:r w:rsidR="00B04DB5" w:rsidRPr="00B35A22">
        <w:rPr>
          <w:lang w:val="sr-Latn-ME"/>
        </w:rPr>
        <w:t xml:space="preserve"> </w:t>
      </w:r>
      <w:r w:rsidR="00B04DB5" w:rsidRPr="00B35A22">
        <w:rPr>
          <w:sz w:val="20"/>
          <w:szCs w:val="20"/>
          <w:lang w:val="sr-Latn-ME" w:eastAsia="ja-JP"/>
        </w:rPr>
        <w:t>uzlazne mlohave paralize,</w:t>
      </w:r>
      <w:r w:rsidR="00B04DB5" w:rsidRPr="00B35A22">
        <w:rPr>
          <w:sz w:val="20"/>
          <w:lang w:val="sr-Latn-ME"/>
        </w:rPr>
        <w:t xml:space="preserve"> </w:t>
      </w:r>
      <w:r w:rsidR="000A26D9" w:rsidRPr="00B35A22">
        <w:rPr>
          <w:sz w:val="20"/>
          <w:lang w:val="sr-Latn-ME"/>
        </w:rPr>
        <w:t>demijelinizirajuće polineuropatije.</w:t>
      </w:r>
    </w:p>
    <w:p w14:paraId="328A98FE" w14:textId="6DED6964" w:rsidR="000A26D9" w:rsidRPr="00B35A22" w:rsidRDefault="00182C07" w:rsidP="00B35A22">
      <w:pPr>
        <w:widowControl w:val="0"/>
        <w:jc w:val="both"/>
        <w:rPr>
          <w:sz w:val="20"/>
          <w:lang w:val="sr-Latn-ME"/>
        </w:rPr>
      </w:pPr>
      <w:r w:rsidRPr="00B35A22">
        <w:rPr>
          <w:sz w:val="20"/>
          <w:vertAlign w:val="superscript"/>
          <w:lang w:val="sr-Latn-ME"/>
        </w:rPr>
        <w:t>q</w:t>
      </w:r>
      <w:r w:rsidRPr="00B35A22">
        <w:rPr>
          <w:sz w:val="20"/>
          <w:lang w:val="sr-Latn-ME"/>
        </w:rPr>
        <w:t xml:space="preserve"> </w:t>
      </w:r>
      <w:r w:rsidR="000A26D9" w:rsidRPr="00B35A22">
        <w:rPr>
          <w:sz w:val="20"/>
          <w:lang w:val="sr-Latn-ME"/>
        </w:rPr>
        <w:t>Uključuje prijavljene slučajeve encefalitisa</w:t>
      </w:r>
      <w:r w:rsidR="002E5BAC" w:rsidRPr="00B35A22">
        <w:rPr>
          <w:sz w:val="20"/>
          <w:lang w:val="sr-Latn-ME"/>
        </w:rPr>
        <w:t>,</w:t>
      </w:r>
      <w:r w:rsidR="00522F9E" w:rsidRPr="00B35A22">
        <w:rPr>
          <w:sz w:val="20"/>
          <w:lang w:val="sr-Latn-ME"/>
        </w:rPr>
        <w:t xml:space="preserve"> autoimunskog encefalitisa,</w:t>
      </w:r>
      <w:r w:rsidR="002E5BAC" w:rsidRPr="00B35A22">
        <w:rPr>
          <w:sz w:val="20"/>
          <w:lang w:val="sr-Latn-ME"/>
        </w:rPr>
        <w:t xml:space="preserve"> meningitisa, </w:t>
      </w:r>
      <w:r w:rsidR="00B04DB5" w:rsidRPr="00B35A22">
        <w:rPr>
          <w:sz w:val="20"/>
          <w:szCs w:val="20"/>
          <w:lang w:val="sr-Latn-ME" w:eastAsia="ja-JP"/>
        </w:rPr>
        <w:t xml:space="preserve">aseptičnog meningitisa, </w:t>
      </w:r>
      <w:r w:rsidR="002E5BAC" w:rsidRPr="00B35A22">
        <w:rPr>
          <w:sz w:val="20"/>
          <w:lang w:val="sr-Latn-ME"/>
        </w:rPr>
        <w:t>fotofobije</w:t>
      </w:r>
      <w:r w:rsidR="000A26D9" w:rsidRPr="00B35A22">
        <w:rPr>
          <w:sz w:val="20"/>
          <w:lang w:val="sr-Latn-ME"/>
        </w:rPr>
        <w:t>.</w:t>
      </w:r>
    </w:p>
    <w:p w14:paraId="20E2253A" w14:textId="49DC5DF0" w:rsidR="00516E10" w:rsidRPr="00B35A22" w:rsidRDefault="00182C07" w:rsidP="00B35A22">
      <w:pPr>
        <w:widowControl w:val="0"/>
        <w:jc w:val="both"/>
        <w:rPr>
          <w:sz w:val="20"/>
          <w:lang w:val="sr-Latn-ME"/>
        </w:rPr>
      </w:pPr>
      <w:r w:rsidRPr="00B35A22">
        <w:rPr>
          <w:sz w:val="20"/>
          <w:vertAlign w:val="superscript"/>
          <w:lang w:val="sr-Latn-ME"/>
        </w:rPr>
        <w:t xml:space="preserve">r </w:t>
      </w:r>
      <w:r w:rsidR="00516E10" w:rsidRPr="00B35A22">
        <w:rPr>
          <w:sz w:val="20"/>
          <w:lang w:val="sr-Latn-ME"/>
        </w:rPr>
        <w:t>Uključuje prijavljene slučajeve mijastenije gravis.</w:t>
      </w:r>
    </w:p>
    <w:p w14:paraId="0A1C2005" w14:textId="111E91BE" w:rsidR="000A26D9" w:rsidRPr="00B35A22" w:rsidRDefault="00182C07" w:rsidP="00B35A22">
      <w:pPr>
        <w:widowControl w:val="0"/>
        <w:jc w:val="both"/>
        <w:rPr>
          <w:sz w:val="20"/>
          <w:lang w:val="sr-Latn-ME"/>
        </w:rPr>
      </w:pPr>
      <w:r w:rsidRPr="00B35A22">
        <w:rPr>
          <w:sz w:val="20"/>
          <w:vertAlign w:val="superscript"/>
          <w:lang w:val="sr-Latn-ME"/>
        </w:rPr>
        <w:t xml:space="preserve">s </w:t>
      </w:r>
      <w:r w:rsidR="00080978" w:rsidRPr="00B35A22">
        <w:rPr>
          <w:sz w:val="20"/>
          <w:lang w:val="sr-Latn-ME"/>
        </w:rPr>
        <w:t xml:space="preserve">Uključuje prijavljenje slučajeve </w:t>
      </w:r>
      <w:r w:rsidR="00522F9E" w:rsidRPr="00B35A22">
        <w:rPr>
          <w:sz w:val="20"/>
          <w:lang w:val="sr-Latn-ME"/>
        </w:rPr>
        <w:t xml:space="preserve">miokarditisa, </w:t>
      </w:r>
      <w:r w:rsidR="00080978" w:rsidRPr="00B35A22">
        <w:rPr>
          <w:sz w:val="20"/>
          <w:lang w:val="sr-Latn-ME"/>
        </w:rPr>
        <w:t>autoimunskog miokarditisa</w:t>
      </w:r>
      <w:r w:rsidR="00522F9E" w:rsidRPr="00B35A22">
        <w:rPr>
          <w:sz w:val="20"/>
          <w:lang w:val="sr-Latn-ME"/>
        </w:rPr>
        <w:t>, imunski uzrokovanog miokarditisa</w:t>
      </w:r>
      <w:r w:rsidR="00080978" w:rsidRPr="00B35A22">
        <w:rPr>
          <w:sz w:val="20"/>
          <w:lang w:val="sr-Latn-ME"/>
        </w:rPr>
        <w:t>.</w:t>
      </w:r>
    </w:p>
    <w:p w14:paraId="740507D3" w14:textId="2DFC775A" w:rsidR="000A26D9" w:rsidRPr="00B35A22" w:rsidRDefault="00182C07" w:rsidP="00B35A22">
      <w:pPr>
        <w:widowControl w:val="0"/>
        <w:jc w:val="both"/>
        <w:rPr>
          <w:sz w:val="20"/>
          <w:lang w:val="sr-Latn-ME"/>
        </w:rPr>
      </w:pPr>
      <w:r w:rsidRPr="00B35A22">
        <w:rPr>
          <w:sz w:val="20"/>
          <w:vertAlign w:val="superscript"/>
          <w:lang w:val="sr-Latn-ME"/>
        </w:rPr>
        <w:t xml:space="preserve">t </w:t>
      </w:r>
      <w:r w:rsidR="004F6E8D" w:rsidRPr="00B35A22">
        <w:rPr>
          <w:sz w:val="20"/>
          <w:lang w:val="sr-Latn-ME"/>
        </w:rPr>
        <w:t xml:space="preserve">Uključuje </w:t>
      </w:r>
      <w:r w:rsidR="000A26D9" w:rsidRPr="00B35A22">
        <w:rPr>
          <w:sz w:val="20"/>
          <w:lang w:val="sr-Latn-ME"/>
        </w:rPr>
        <w:t xml:space="preserve">prijavljene slučajeve pneumonitisa, plućnih infiltrata, </w:t>
      </w:r>
      <w:r w:rsidR="00B04DB5" w:rsidRPr="00B35A22">
        <w:rPr>
          <w:sz w:val="20"/>
          <w:szCs w:val="20"/>
          <w:lang w:val="sr-Latn-ME" w:eastAsia="ja-JP"/>
        </w:rPr>
        <w:t>imunski uzrokovane bolest</w:t>
      </w:r>
      <w:r w:rsidR="00ED0A36" w:rsidRPr="00B35A22">
        <w:rPr>
          <w:sz w:val="20"/>
          <w:szCs w:val="20"/>
          <w:lang w:val="sr-Latn-ME" w:eastAsia="ja-JP"/>
        </w:rPr>
        <w:t>i</w:t>
      </w:r>
      <w:r w:rsidR="00B04DB5" w:rsidRPr="00B35A22">
        <w:rPr>
          <w:sz w:val="20"/>
          <w:szCs w:val="20"/>
          <w:lang w:val="sr-Latn-ME" w:eastAsia="ja-JP"/>
        </w:rPr>
        <w:t xml:space="preserve"> pluća, </w:t>
      </w:r>
      <w:r w:rsidR="000A26D9" w:rsidRPr="00B35A22">
        <w:rPr>
          <w:sz w:val="20"/>
          <w:lang w:val="sr-Latn-ME"/>
        </w:rPr>
        <w:t xml:space="preserve">bronhiolitisa, </w:t>
      </w:r>
      <w:r w:rsidR="00080978" w:rsidRPr="00B35A22">
        <w:rPr>
          <w:sz w:val="20"/>
          <w:lang w:val="sr-Latn-ME"/>
        </w:rPr>
        <w:t xml:space="preserve">imunski uzrokovanog pneumonitisa, </w:t>
      </w:r>
      <w:r w:rsidR="000A26D9" w:rsidRPr="00B35A22">
        <w:rPr>
          <w:sz w:val="20"/>
          <w:lang w:val="sr-Latn-ME"/>
        </w:rPr>
        <w:t xml:space="preserve">intersticijske bolesti pluća, </w:t>
      </w:r>
      <w:r w:rsidR="00522F9E" w:rsidRPr="00B35A22">
        <w:rPr>
          <w:sz w:val="20"/>
          <w:lang w:val="sr-Latn-ME"/>
        </w:rPr>
        <w:t xml:space="preserve">alveolitisa, </w:t>
      </w:r>
      <w:r w:rsidR="00080978" w:rsidRPr="00B35A22">
        <w:rPr>
          <w:sz w:val="20"/>
          <w:lang w:val="sr-Latn-ME"/>
        </w:rPr>
        <w:t>zas</w:t>
      </w:r>
      <w:r w:rsidR="00AF4205" w:rsidRPr="00B35A22">
        <w:rPr>
          <w:sz w:val="20"/>
          <w:lang w:val="sr-Latn-ME"/>
        </w:rPr>
        <w:t>j</w:t>
      </w:r>
      <w:r w:rsidR="00080978" w:rsidRPr="00B35A22">
        <w:rPr>
          <w:sz w:val="20"/>
          <w:lang w:val="sr-Latn-ME"/>
        </w:rPr>
        <w:t xml:space="preserve">enčenja plućnog parenhima (plućni opacitet), </w:t>
      </w:r>
      <w:r w:rsidR="00B04DB5" w:rsidRPr="00B35A22">
        <w:rPr>
          <w:sz w:val="20"/>
          <w:lang w:val="sr-Latn-ME"/>
        </w:rPr>
        <w:t xml:space="preserve">plućne fibroze, </w:t>
      </w:r>
      <w:r w:rsidR="00080978" w:rsidRPr="00B35A22">
        <w:rPr>
          <w:sz w:val="20"/>
          <w:lang w:val="sr-Latn-ME"/>
        </w:rPr>
        <w:t xml:space="preserve">plućne toksičnosti, </w:t>
      </w:r>
      <w:r w:rsidR="000A26D9" w:rsidRPr="00B35A22">
        <w:rPr>
          <w:sz w:val="20"/>
          <w:lang w:val="sr-Latn-ME"/>
        </w:rPr>
        <w:t xml:space="preserve">radijacijskog pneumonitisa. </w:t>
      </w:r>
    </w:p>
    <w:p w14:paraId="2B9A3E21" w14:textId="7E158CD0" w:rsidR="00EB14C6" w:rsidRPr="00B35A22" w:rsidRDefault="00182C07" w:rsidP="00B35A22">
      <w:pPr>
        <w:widowControl w:val="0"/>
        <w:jc w:val="both"/>
        <w:rPr>
          <w:sz w:val="20"/>
          <w:lang w:val="sr-Latn-ME"/>
        </w:rPr>
      </w:pPr>
      <w:r w:rsidRPr="00B35A22">
        <w:rPr>
          <w:sz w:val="20"/>
          <w:vertAlign w:val="superscript"/>
          <w:lang w:val="sr-Latn-ME"/>
        </w:rPr>
        <w:t xml:space="preserve">u </w:t>
      </w:r>
      <w:r w:rsidR="00516E10" w:rsidRPr="00B35A22">
        <w:rPr>
          <w:sz w:val="20"/>
          <w:lang w:val="sr-Latn-ME"/>
        </w:rPr>
        <w:t xml:space="preserve">Uključuje </w:t>
      </w:r>
      <w:r w:rsidR="00EB14C6" w:rsidRPr="00B35A22">
        <w:rPr>
          <w:sz w:val="20"/>
          <w:lang w:val="sr-Latn-ME"/>
        </w:rPr>
        <w:t xml:space="preserve">prijavljene slučajeve dijareje, </w:t>
      </w:r>
      <w:r w:rsidR="004F6E8D" w:rsidRPr="00B35A22">
        <w:rPr>
          <w:sz w:val="20"/>
          <w:lang w:val="sr-Latn-ME"/>
        </w:rPr>
        <w:t xml:space="preserve">hitne potrebe za pražnjenjem crijeva, </w:t>
      </w:r>
      <w:r w:rsidR="00EB14C6" w:rsidRPr="00B35A22">
        <w:rPr>
          <w:sz w:val="20"/>
          <w:lang w:val="sr-Latn-ME"/>
        </w:rPr>
        <w:t>učestalog pražnjenja cr</w:t>
      </w:r>
      <w:r w:rsidR="00042108" w:rsidRPr="00B35A22">
        <w:rPr>
          <w:sz w:val="20"/>
          <w:lang w:val="sr-Latn-ME"/>
        </w:rPr>
        <w:t>ij</w:t>
      </w:r>
      <w:r w:rsidR="00EB14C6" w:rsidRPr="00B35A22">
        <w:rPr>
          <w:sz w:val="20"/>
          <w:lang w:val="sr-Latn-ME"/>
        </w:rPr>
        <w:t>eva</w:t>
      </w:r>
      <w:r w:rsidR="007102CC" w:rsidRPr="00B35A22">
        <w:rPr>
          <w:sz w:val="20"/>
          <w:lang w:val="sr-Latn-ME"/>
        </w:rPr>
        <w:t xml:space="preserve">, </w:t>
      </w:r>
      <w:r w:rsidR="00080978" w:rsidRPr="00B35A22">
        <w:rPr>
          <w:sz w:val="20"/>
          <w:lang w:val="sr-Latn-ME"/>
        </w:rPr>
        <w:t>prekomernog gastrointestinalnog motiliteta</w:t>
      </w:r>
      <w:r w:rsidR="00EB14C6" w:rsidRPr="00B35A22">
        <w:rPr>
          <w:sz w:val="20"/>
          <w:lang w:val="sr-Latn-ME"/>
        </w:rPr>
        <w:t>.</w:t>
      </w:r>
    </w:p>
    <w:p w14:paraId="157CBE19" w14:textId="63D8F4D0" w:rsidR="00BB0D26" w:rsidRPr="00B35A22" w:rsidRDefault="00182C07" w:rsidP="00B35A22">
      <w:pPr>
        <w:widowControl w:val="0"/>
        <w:autoSpaceDE w:val="0"/>
        <w:autoSpaceDN w:val="0"/>
        <w:adjustRightInd w:val="0"/>
        <w:jc w:val="both"/>
        <w:rPr>
          <w:sz w:val="20"/>
          <w:vertAlign w:val="superscript"/>
          <w:lang w:val="sr-Latn-ME"/>
        </w:rPr>
      </w:pPr>
      <w:r w:rsidRPr="00B35A22">
        <w:rPr>
          <w:sz w:val="20"/>
          <w:vertAlign w:val="superscript"/>
          <w:lang w:val="sr-Latn-ME"/>
        </w:rPr>
        <w:t xml:space="preserve">v </w:t>
      </w:r>
      <w:r w:rsidR="00516E10" w:rsidRPr="00B35A22">
        <w:rPr>
          <w:sz w:val="20"/>
          <w:lang w:val="sr-Latn-ME"/>
        </w:rPr>
        <w:t xml:space="preserve">Uključuje </w:t>
      </w:r>
      <w:r w:rsidR="000A26D9" w:rsidRPr="00B35A22">
        <w:rPr>
          <w:sz w:val="20"/>
          <w:lang w:val="sr-Latn-ME"/>
        </w:rPr>
        <w:t>prijavljene slučajeve kolitisa, autoimunog kolitisa, ishemijskog kolitisa, mikroskopskog kolitisa, ulceroznog kolitisa</w:t>
      </w:r>
      <w:r w:rsidR="00080978" w:rsidRPr="00B35A22">
        <w:rPr>
          <w:sz w:val="20"/>
          <w:lang w:val="sr-Latn-ME"/>
        </w:rPr>
        <w:t xml:space="preserve">, </w:t>
      </w:r>
      <w:r w:rsidR="00522F9E" w:rsidRPr="00B35A22">
        <w:rPr>
          <w:sz w:val="20"/>
          <w:lang w:val="sr-Latn-ME"/>
        </w:rPr>
        <w:t xml:space="preserve">diverzijskog kolitisa, </w:t>
      </w:r>
      <w:r w:rsidR="00B04DB5" w:rsidRPr="00B35A22">
        <w:rPr>
          <w:sz w:val="20"/>
          <w:lang w:val="sr-Latn-ME"/>
        </w:rPr>
        <w:t xml:space="preserve">eozinofilnog kolitisa, </w:t>
      </w:r>
      <w:r w:rsidR="00080978" w:rsidRPr="00B35A22">
        <w:rPr>
          <w:sz w:val="20"/>
          <w:lang w:val="sr-Latn-ME"/>
        </w:rPr>
        <w:t>imunski uzrokovanog enterokolitisa</w:t>
      </w:r>
      <w:r w:rsidR="000A26D9" w:rsidRPr="00B35A22">
        <w:rPr>
          <w:sz w:val="20"/>
          <w:lang w:val="sr-Latn-ME"/>
        </w:rPr>
        <w:t>.</w:t>
      </w:r>
      <w:r w:rsidR="00BB0D26" w:rsidRPr="00B35A22">
        <w:rPr>
          <w:sz w:val="20"/>
          <w:vertAlign w:val="superscript"/>
          <w:lang w:val="sr-Latn-ME"/>
        </w:rPr>
        <w:t xml:space="preserve"> </w:t>
      </w:r>
    </w:p>
    <w:p w14:paraId="000A29B6" w14:textId="36088242" w:rsidR="000A26D9"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w  </w:t>
      </w:r>
      <w:r w:rsidR="00BB0D26" w:rsidRPr="00B35A22">
        <w:rPr>
          <w:sz w:val="20"/>
          <w:lang w:val="sr-Latn-ME"/>
        </w:rPr>
        <w:t>Uključuje prijavljene slučajeve bola u usnoj duplji i ždr</w:t>
      </w:r>
      <w:r w:rsidR="00D67FAA" w:rsidRPr="00B35A22">
        <w:rPr>
          <w:sz w:val="20"/>
          <w:lang w:val="sr-Latn-ME"/>
        </w:rPr>
        <w:t>ij</w:t>
      </w:r>
      <w:r w:rsidR="00BB0D26" w:rsidRPr="00B35A22">
        <w:rPr>
          <w:sz w:val="20"/>
          <w:lang w:val="sr-Latn-ME"/>
        </w:rPr>
        <w:t>elu, nelagodnosti u usnoj duplji i ždr</w:t>
      </w:r>
      <w:r w:rsidR="00D67FAA" w:rsidRPr="00B35A22">
        <w:rPr>
          <w:sz w:val="20"/>
          <w:lang w:val="sr-Latn-ME"/>
        </w:rPr>
        <w:t>ij</w:t>
      </w:r>
      <w:r w:rsidR="00BB0D26" w:rsidRPr="00B35A22">
        <w:rPr>
          <w:sz w:val="20"/>
          <w:lang w:val="sr-Latn-ME"/>
        </w:rPr>
        <w:t>elu i iritacije grla.</w:t>
      </w:r>
    </w:p>
    <w:p w14:paraId="20EEC891" w14:textId="7F79FCE8" w:rsidR="000A26D9" w:rsidRPr="00B35A22" w:rsidRDefault="00182C07" w:rsidP="00B35A22">
      <w:pPr>
        <w:widowControl w:val="0"/>
        <w:jc w:val="both"/>
        <w:rPr>
          <w:sz w:val="20"/>
          <w:lang w:val="sr-Latn-ME"/>
        </w:rPr>
      </w:pPr>
      <w:r w:rsidRPr="00B35A22">
        <w:rPr>
          <w:sz w:val="20"/>
          <w:vertAlign w:val="superscript"/>
          <w:lang w:val="sr-Latn-ME"/>
        </w:rPr>
        <w:t xml:space="preserve">x </w:t>
      </w:r>
      <w:r w:rsidR="00516E10" w:rsidRPr="00B35A22">
        <w:rPr>
          <w:sz w:val="20"/>
          <w:lang w:val="sr-Latn-ME"/>
        </w:rPr>
        <w:t xml:space="preserve">Uključuje </w:t>
      </w:r>
      <w:r w:rsidR="000A26D9" w:rsidRPr="00B35A22">
        <w:rPr>
          <w:sz w:val="20"/>
          <w:lang w:val="sr-Latn-ME"/>
        </w:rPr>
        <w:t xml:space="preserve">prijavljene slučajeve </w:t>
      </w:r>
      <w:r w:rsidR="00516E10" w:rsidRPr="00B35A22">
        <w:rPr>
          <w:sz w:val="20"/>
          <w:lang w:val="sr-Latn-ME"/>
        </w:rPr>
        <w:t xml:space="preserve">autoimunskog </w:t>
      </w:r>
      <w:r w:rsidR="000A26D9" w:rsidRPr="00B35A22">
        <w:rPr>
          <w:sz w:val="20"/>
          <w:lang w:val="sr-Latn-ME"/>
        </w:rPr>
        <w:t>pankreatitisa</w:t>
      </w:r>
      <w:r w:rsidR="00011068" w:rsidRPr="00B35A22">
        <w:rPr>
          <w:sz w:val="20"/>
          <w:lang w:val="sr-Latn-ME"/>
        </w:rPr>
        <w:t xml:space="preserve">, </w:t>
      </w:r>
      <w:r w:rsidR="00516E10" w:rsidRPr="00B35A22">
        <w:rPr>
          <w:sz w:val="20"/>
          <w:lang w:val="sr-Latn-ME"/>
        </w:rPr>
        <w:t xml:space="preserve">pankreatitisa, </w:t>
      </w:r>
      <w:r w:rsidR="000A26D9" w:rsidRPr="00B35A22">
        <w:rPr>
          <w:sz w:val="20"/>
          <w:lang w:val="sr-Latn-ME"/>
        </w:rPr>
        <w:t>akutnog pankreatitisa</w:t>
      </w:r>
      <w:r w:rsidR="00011068" w:rsidRPr="00B35A22">
        <w:rPr>
          <w:sz w:val="20"/>
          <w:lang w:val="sr-Latn-ME"/>
        </w:rPr>
        <w:t>, povišene vr</w:t>
      </w:r>
      <w:r w:rsidR="00042108" w:rsidRPr="00B35A22">
        <w:rPr>
          <w:sz w:val="20"/>
          <w:lang w:val="sr-Latn-ME"/>
        </w:rPr>
        <w:t>ij</w:t>
      </w:r>
      <w:r w:rsidR="00011068" w:rsidRPr="00B35A22">
        <w:rPr>
          <w:sz w:val="20"/>
          <w:lang w:val="sr-Latn-ME"/>
        </w:rPr>
        <w:t>ednosti lipaza</w:t>
      </w:r>
      <w:r w:rsidR="00FF4C06" w:rsidRPr="00B35A22">
        <w:rPr>
          <w:sz w:val="20"/>
          <w:lang w:val="sr-Latn-ME"/>
        </w:rPr>
        <w:t>,</w:t>
      </w:r>
      <w:r w:rsidR="00011068" w:rsidRPr="00B35A22">
        <w:rPr>
          <w:sz w:val="20"/>
          <w:lang w:val="sr-Latn-ME"/>
        </w:rPr>
        <w:t xml:space="preserve"> povišene vr</w:t>
      </w:r>
      <w:r w:rsidR="00042108" w:rsidRPr="00B35A22">
        <w:rPr>
          <w:sz w:val="20"/>
          <w:lang w:val="sr-Latn-ME"/>
        </w:rPr>
        <w:t>ij</w:t>
      </w:r>
      <w:r w:rsidR="00011068" w:rsidRPr="00B35A22">
        <w:rPr>
          <w:sz w:val="20"/>
          <w:lang w:val="sr-Latn-ME"/>
        </w:rPr>
        <w:t>ednosti amilaza.</w:t>
      </w:r>
    </w:p>
    <w:p w14:paraId="7241FBFF" w14:textId="4DF70BFE" w:rsidR="000A26D9" w:rsidRPr="00B35A22" w:rsidRDefault="00182C07" w:rsidP="00B35A22">
      <w:pPr>
        <w:widowControl w:val="0"/>
        <w:jc w:val="both"/>
        <w:rPr>
          <w:sz w:val="20"/>
          <w:lang w:val="sr-Latn-ME"/>
        </w:rPr>
      </w:pPr>
      <w:r w:rsidRPr="00B35A22">
        <w:rPr>
          <w:sz w:val="20"/>
          <w:vertAlign w:val="superscript"/>
          <w:lang w:val="sr-Latn-ME"/>
        </w:rPr>
        <w:t xml:space="preserve">y </w:t>
      </w:r>
      <w:r w:rsidR="00516E10" w:rsidRPr="00B35A22">
        <w:rPr>
          <w:sz w:val="20"/>
          <w:lang w:val="sr-Latn-ME"/>
        </w:rPr>
        <w:t xml:space="preserve">Uključuje </w:t>
      </w:r>
      <w:r w:rsidR="000A26D9" w:rsidRPr="00B35A22">
        <w:rPr>
          <w:sz w:val="20"/>
          <w:lang w:val="sr-Latn-ME"/>
        </w:rPr>
        <w:t xml:space="preserve">prijavljene slučajeve ascitesa, autoimunog hepatitisa, </w:t>
      </w:r>
      <w:r w:rsidR="00B04DB5" w:rsidRPr="00B35A22">
        <w:rPr>
          <w:sz w:val="20"/>
          <w:szCs w:val="20"/>
          <w:lang w:val="sr-Latn-ME" w:eastAsia="ja-JP"/>
        </w:rPr>
        <w:t>he</w:t>
      </w:r>
      <w:r w:rsidR="002C1858" w:rsidRPr="00B35A22">
        <w:rPr>
          <w:sz w:val="20"/>
          <w:szCs w:val="20"/>
          <w:lang w:val="sr-Latn-ME" w:eastAsia="ja-JP"/>
        </w:rPr>
        <w:t>p</w:t>
      </w:r>
      <w:r w:rsidR="00B04DB5" w:rsidRPr="00B35A22">
        <w:rPr>
          <w:sz w:val="20"/>
          <w:szCs w:val="20"/>
          <w:lang w:val="sr-Latn-ME" w:eastAsia="ja-JP"/>
        </w:rPr>
        <w:t xml:space="preserve">atičke citolize, </w:t>
      </w:r>
      <w:r w:rsidR="000A26D9" w:rsidRPr="00B35A22">
        <w:rPr>
          <w:sz w:val="20"/>
          <w:lang w:val="sr-Latn-ME"/>
        </w:rPr>
        <w:t xml:space="preserve">hepatocelularnog oštećenja, hepatitisa, akutnog hepatitisa, </w:t>
      </w:r>
      <w:r w:rsidR="00522F9E" w:rsidRPr="00B35A22">
        <w:rPr>
          <w:sz w:val="20"/>
          <w:lang w:val="sr-Latn-ME"/>
        </w:rPr>
        <w:t xml:space="preserve">toksičnog hepatitisa, </w:t>
      </w:r>
      <w:r w:rsidR="000A26D9" w:rsidRPr="00B35A22">
        <w:rPr>
          <w:sz w:val="20"/>
          <w:lang w:val="sr-Latn-ME"/>
        </w:rPr>
        <w:t xml:space="preserve">hepatotoksičnosti, </w:t>
      </w:r>
      <w:r w:rsidR="00ED0A36" w:rsidRPr="00B35A22">
        <w:rPr>
          <w:sz w:val="20"/>
          <w:lang w:val="sr-Latn-ME"/>
        </w:rPr>
        <w:t xml:space="preserve">imunski </w:t>
      </w:r>
      <w:r w:rsidR="00B04DB5" w:rsidRPr="00B35A22">
        <w:rPr>
          <w:sz w:val="20"/>
          <w:lang w:val="sr-Latn-ME"/>
        </w:rPr>
        <w:t xml:space="preserve">uzrokovanog hepatitisa, </w:t>
      </w:r>
      <w:r w:rsidR="000A26D9" w:rsidRPr="00B35A22">
        <w:rPr>
          <w:sz w:val="20"/>
          <w:lang w:val="sr-Latn-ME"/>
        </w:rPr>
        <w:t>poremećaja jetre, oštećenja jetre uzrokovanog lijekom, insuficijencije jetre, steatoze</w:t>
      </w:r>
      <w:r w:rsidR="00C96604" w:rsidRPr="00B35A22">
        <w:rPr>
          <w:sz w:val="20"/>
          <w:lang w:val="sr-Latn-ME"/>
        </w:rPr>
        <w:t xml:space="preserve"> jetre</w:t>
      </w:r>
      <w:r w:rsidR="000A26D9" w:rsidRPr="00B35A22">
        <w:rPr>
          <w:sz w:val="20"/>
          <w:lang w:val="sr-Latn-ME"/>
        </w:rPr>
        <w:t xml:space="preserve">, lezije jetre, </w:t>
      </w:r>
      <w:r w:rsidR="00B04DB5" w:rsidRPr="00B35A22">
        <w:rPr>
          <w:sz w:val="20"/>
          <w:szCs w:val="20"/>
          <w:lang w:val="sr-Latn-ME"/>
        </w:rPr>
        <w:t xml:space="preserve">oštećenja jetre, </w:t>
      </w:r>
      <w:r w:rsidR="000A26D9" w:rsidRPr="00B35A22">
        <w:rPr>
          <w:sz w:val="20"/>
          <w:lang w:val="sr-Latn-ME"/>
        </w:rPr>
        <w:t>krvarenja iz varikoziteta jednjaka,</w:t>
      </w:r>
      <w:r w:rsidR="00011068" w:rsidRPr="00B35A22">
        <w:rPr>
          <w:sz w:val="20"/>
          <w:lang w:val="sr-Latn-ME"/>
        </w:rPr>
        <w:t xml:space="preserve"> varikozitet jednjaka</w:t>
      </w:r>
      <w:r w:rsidR="00B04DB5" w:rsidRPr="00B35A22">
        <w:rPr>
          <w:sz w:val="20"/>
          <w:szCs w:val="20"/>
          <w:lang w:val="sr-Latn-ME"/>
        </w:rPr>
        <w:t>,</w:t>
      </w:r>
      <w:r w:rsidR="00B04DB5" w:rsidRPr="00B35A22">
        <w:rPr>
          <w:lang w:val="sr-Latn-ME"/>
        </w:rPr>
        <w:t xml:space="preserve"> </w:t>
      </w:r>
      <w:r w:rsidR="00B04DB5" w:rsidRPr="00B35A22">
        <w:rPr>
          <w:sz w:val="20"/>
          <w:szCs w:val="20"/>
          <w:lang w:val="sr-Latn-ME"/>
        </w:rPr>
        <w:t>spontanog bakterijskog peritonitisa</w:t>
      </w:r>
      <w:r w:rsidR="000A26D9" w:rsidRPr="00B35A22">
        <w:rPr>
          <w:sz w:val="20"/>
          <w:lang w:val="sr-Latn-ME"/>
        </w:rPr>
        <w:t>.</w:t>
      </w:r>
    </w:p>
    <w:p w14:paraId="2A480B28" w14:textId="0E87786A" w:rsidR="00BB0D26" w:rsidRPr="00B35A22" w:rsidRDefault="00182C07" w:rsidP="00B35A22">
      <w:pPr>
        <w:widowControl w:val="0"/>
        <w:autoSpaceDE w:val="0"/>
        <w:autoSpaceDN w:val="0"/>
        <w:adjustRightInd w:val="0"/>
        <w:jc w:val="both"/>
        <w:rPr>
          <w:sz w:val="20"/>
          <w:vertAlign w:val="superscript"/>
          <w:lang w:val="sr-Latn-ME"/>
        </w:rPr>
      </w:pPr>
      <w:r w:rsidRPr="00B35A22">
        <w:rPr>
          <w:sz w:val="20"/>
          <w:vertAlign w:val="superscript"/>
          <w:lang w:val="sr-Latn-ME"/>
        </w:rPr>
        <w:t xml:space="preserve">z </w:t>
      </w:r>
      <w:r w:rsidR="00516E10" w:rsidRPr="00B35A22">
        <w:rPr>
          <w:sz w:val="20"/>
          <w:lang w:val="sr-Latn-ME"/>
        </w:rPr>
        <w:t xml:space="preserve">Uključuje </w:t>
      </w:r>
      <w:r w:rsidR="000A26D9" w:rsidRPr="00B35A22">
        <w:rPr>
          <w:sz w:val="20"/>
          <w:lang w:val="sr-Latn-ME"/>
        </w:rPr>
        <w:t xml:space="preserve">prijavljene slučajeve akni, </w:t>
      </w:r>
      <w:r w:rsidR="007D1F43" w:rsidRPr="00B35A22">
        <w:rPr>
          <w:sz w:val="20"/>
          <w:lang w:val="sr-Latn-ME"/>
        </w:rPr>
        <w:t xml:space="preserve">, </w:t>
      </w:r>
      <w:r w:rsidR="00F10BA7" w:rsidRPr="00B35A22">
        <w:rPr>
          <w:sz w:val="20"/>
          <w:lang w:val="sr-Latn-ME"/>
        </w:rPr>
        <w:t xml:space="preserve">mjehurića, </w:t>
      </w:r>
      <w:r w:rsidR="000A26D9" w:rsidRPr="00B35A22">
        <w:rPr>
          <w:sz w:val="20"/>
          <w:lang w:val="sr-Latn-ME"/>
        </w:rPr>
        <w:t xml:space="preserve">dermatitisa, akneiformnog dermatitisa, alergijskog dermatitisa, kožne erupcije uzrokovane lijekom, </w:t>
      </w:r>
      <w:r w:rsidR="00516E10" w:rsidRPr="00B35A22">
        <w:rPr>
          <w:sz w:val="20"/>
          <w:lang w:val="sr-Latn-ME"/>
        </w:rPr>
        <w:t xml:space="preserve">ekcema, inficiranog ekcema, eritema, eritema očnog kapka, </w:t>
      </w:r>
      <w:r w:rsidR="00080978" w:rsidRPr="00B35A22">
        <w:rPr>
          <w:sz w:val="20"/>
          <w:lang w:val="sr-Latn-ME"/>
        </w:rPr>
        <w:t xml:space="preserve">osipa očnog kapka, fiksne erupcije, </w:t>
      </w:r>
      <w:r w:rsidR="00516E10" w:rsidRPr="00B35A22">
        <w:rPr>
          <w:sz w:val="20"/>
          <w:lang w:val="sr-Latn-ME"/>
        </w:rPr>
        <w:t xml:space="preserve">folikulitisa, furunkula, </w:t>
      </w:r>
      <w:r w:rsidR="00F10BA7" w:rsidRPr="00B35A22">
        <w:rPr>
          <w:sz w:val="20"/>
          <w:lang w:val="sr-Latn-ME"/>
        </w:rPr>
        <w:t xml:space="preserve">dermatitisa šake, </w:t>
      </w:r>
      <w:r w:rsidR="00B04DB5" w:rsidRPr="00B35A22">
        <w:rPr>
          <w:sz w:val="20"/>
          <w:szCs w:val="20"/>
          <w:lang w:val="sr-Latn-ME" w:eastAsia="ja-JP"/>
        </w:rPr>
        <w:t xml:space="preserve">imunski prouzrokovanog dermatitisa, </w:t>
      </w:r>
      <w:r w:rsidR="00F10BA7" w:rsidRPr="00B35A22">
        <w:rPr>
          <w:sz w:val="20"/>
          <w:lang w:val="sr-Latn-ME"/>
        </w:rPr>
        <w:t xml:space="preserve">mjehurića </w:t>
      </w:r>
      <w:r w:rsidR="00F10BA7" w:rsidRPr="00B35A22">
        <w:rPr>
          <w:sz w:val="20"/>
          <w:lang w:val="sr-Latn-ME"/>
        </w:rPr>
        <w:lastRenderedPageBreak/>
        <w:t xml:space="preserve">na usnama, krvavih mjehurića u ustima, </w:t>
      </w:r>
      <w:r w:rsidR="000A26D9" w:rsidRPr="00B35A22">
        <w:rPr>
          <w:sz w:val="20"/>
          <w:lang w:val="sr-Latn-ME"/>
        </w:rPr>
        <w:t xml:space="preserve">sindroma palmarno plantarne eritrodizestezije, </w:t>
      </w:r>
      <w:r w:rsidR="00522F9E" w:rsidRPr="00B35A22">
        <w:rPr>
          <w:sz w:val="20"/>
          <w:lang w:val="sr-Latn-ME"/>
        </w:rPr>
        <w:t xml:space="preserve">pemfigoida, </w:t>
      </w:r>
      <w:r w:rsidR="000A26D9" w:rsidRPr="00B35A22">
        <w:rPr>
          <w:sz w:val="20"/>
          <w:lang w:val="sr-Latn-ME"/>
        </w:rPr>
        <w:t>osipa, eritemskog osipa,</w:t>
      </w:r>
      <w:r w:rsidRPr="00B35A22">
        <w:rPr>
          <w:sz w:val="20"/>
          <w:lang w:val="sr-Latn-ME"/>
        </w:rPr>
        <w:t xml:space="preserve"> </w:t>
      </w:r>
      <w:r w:rsidR="000A26D9" w:rsidRPr="00B35A22">
        <w:rPr>
          <w:sz w:val="20"/>
          <w:lang w:val="sr-Latn-ME"/>
        </w:rPr>
        <w:t>makularnog osipa, makulo papularnog</w:t>
      </w:r>
      <w:r w:rsidR="000A26D9" w:rsidRPr="00B35A22">
        <w:rPr>
          <w:sz w:val="20"/>
          <w:szCs w:val="20"/>
          <w:lang w:val="sr-Latn-ME" w:eastAsia="ja-JP"/>
        </w:rPr>
        <w:t xml:space="preserve"> osipa, </w:t>
      </w:r>
      <w:r w:rsidR="00B04DB5" w:rsidRPr="00B35A22">
        <w:rPr>
          <w:sz w:val="20"/>
          <w:lang w:val="sr-Latn-ME"/>
        </w:rPr>
        <w:t xml:space="preserve">morbiliformnog osipa, </w:t>
      </w:r>
      <w:r w:rsidR="000A26D9" w:rsidRPr="00B35A22">
        <w:rPr>
          <w:sz w:val="20"/>
          <w:lang w:val="sr-Latn-ME"/>
        </w:rPr>
        <w:t>papularnog osipa,</w:t>
      </w:r>
      <w:r w:rsidR="00E03ED9" w:rsidRPr="00B35A22">
        <w:rPr>
          <w:sz w:val="20"/>
          <w:lang w:val="sr-Latn-ME"/>
        </w:rPr>
        <w:t xml:space="preserve"> </w:t>
      </w:r>
      <w:r w:rsidR="00F10BA7" w:rsidRPr="00B35A22">
        <w:rPr>
          <w:sz w:val="20"/>
          <w:lang w:val="sr-Latn-ME"/>
        </w:rPr>
        <w:t xml:space="preserve">papuloskvamoznog osipa, </w:t>
      </w:r>
      <w:r w:rsidR="000A26D9" w:rsidRPr="00B35A22">
        <w:rPr>
          <w:sz w:val="20"/>
          <w:lang w:val="sr-Latn-ME"/>
        </w:rPr>
        <w:t>pruritičkog osipa, gnojnog osipa,</w:t>
      </w:r>
      <w:r w:rsidR="00C11039" w:rsidRPr="00B35A22">
        <w:rPr>
          <w:sz w:val="20"/>
          <w:lang w:val="sr-Latn-ME"/>
        </w:rPr>
        <w:t xml:space="preserve"> </w:t>
      </w:r>
      <w:r w:rsidR="00F10BA7" w:rsidRPr="00B35A22">
        <w:rPr>
          <w:sz w:val="20"/>
          <w:lang w:val="sr-Latn-ME"/>
        </w:rPr>
        <w:t xml:space="preserve">vezikularnog </w:t>
      </w:r>
      <w:r w:rsidR="00C11039" w:rsidRPr="00B35A22">
        <w:rPr>
          <w:sz w:val="20"/>
          <w:lang w:val="sr-Latn-ME"/>
        </w:rPr>
        <w:t>osip</w:t>
      </w:r>
      <w:r w:rsidR="00F10BA7" w:rsidRPr="00B35A22">
        <w:rPr>
          <w:sz w:val="20"/>
          <w:lang w:val="sr-Latn-ME"/>
        </w:rPr>
        <w:t>a</w:t>
      </w:r>
      <w:r w:rsidR="00C11039" w:rsidRPr="00B35A22">
        <w:rPr>
          <w:sz w:val="20"/>
          <w:lang w:val="sr-Latn-ME"/>
        </w:rPr>
        <w:t>,</w:t>
      </w:r>
      <w:r w:rsidR="000A26D9" w:rsidRPr="00B35A22">
        <w:rPr>
          <w:sz w:val="20"/>
          <w:lang w:val="sr-Latn-ME"/>
        </w:rPr>
        <w:t xml:space="preserve"> </w:t>
      </w:r>
      <w:r w:rsidR="00F10BA7" w:rsidRPr="00B35A22">
        <w:rPr>
          <w:sz w:val="20"/>
          <w:lang w:val="sr-Latn-ME"/>
        </w:rPr>
        <w:t xml:space="preserve">dermatitisa skrotuma, </w:t>
      </w:r>
      <w:r w:rsidR="000A26D9" w:rsidRPr="00B35A22">
        <w:rPr>
          <w:sz w:val="20"/>
          <w:lang w:val="sr-Latn-ME"/>
        </w:rPr>
        <w:t>seboroičnog dermatitisa, ljuštenja kože, kožne toksičnosti, kožnih ulceracija</w:t>
      </w:r>
      <w:r w:rsidR="00B04DB5" w:rsidRPr="00B35A22">
        <w:rPr>
          <w:sz w:val="20"/>
          <w:szCs w:val="20"/>
          <w:lang w:val="sr-Latn-ME" w:eastAsia="ja-JP"/>
        </w:rPr>
        <w:t xml:space="preserve">, </w:t>
      </w:r>
      <w:r w:rsidR="00B04DB5" w:rsidRPr="00B35A22">
        <w:rPr>
          <w:sz w:val="20"/>
          <w:lang w:val="sr-Latn-ME"/>
        </w:rPr>
        <w:t>osipa na mjestu vaskularnog pristupa</w:t>
      </w:r>
      <w:r w:rsidR="00F10BA7" w:rsidRPr="00B35A22">
        <w:rPr>
          <w:sz w:val="20"/>
          <w:lang w:val="sr-Latn-ME"/>
        </w:rPr>
        <w:t>.</w:t>
      </w:r>
    </w:p>
    <w:p w14:paraId="1422905C" w14:textId="000D17E8" w:rsidR="00E46E38"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aa </w:t>
      </w:r>
      <w:r w:rsidR="00E46E38" w:rsidRPr="00B35A22">
        <w:rPr>
          <w:sz w:val="20"/>
          <w:lang w:val="sr-Latn-ME"/>
        </w:rPr>
        <w:t>Uključu</w:t>
      </w:r>
      <w:r w:rsidRPr="00B35A22">
        <w:rPr>
          <w:sz w:val="20"/>
          <w:lang w:val="sr-Latn-ME"/>
        </w:rPr>
        <w:t>je</w:t>
      </w:r>
      <w:r w:rsidR="00E46E38" w:rsidRPr="00B35A22">
        <w:rPr>
          <w:sz w:val="20"/>
          <w:lang w:val="sr-Latn-ME"/>
        </w:rPr>
        <w:t xml:space="preserve"> </w:t>
      </w:r>
      <w:r w:rsidRPr="00B35A22">
        <w:rPr>
          <w:sz w:val="20"/>
          <w:lang w:val="sr-Latn-ME"/>
        </w:rPr>
        <w:t>prijavljene slučajeve</w:t>
      </w:r>
      <w:r w:rsidR="00E46E38" w:rsidRPr="00B35A22">
        <w:rPr>
          <w:sz w:val="20"/>
          <w:lang w:val="sr-Latn-ME"/>
        </w:rPr>
        <w:t xml:space="preserve"> mišićno-</w:t>
      </w:r>
      <w:r w:rsidRPr="00B35A22">
        <w:rPr>
          <w:sz w:val="20"/>
          <w:lang w:val="sr-Latn-ME"/>
        </w:rPr>
        <w:t>koštanog bola,</w:t>
      </w:r>
      <w:r w:rsidR="00E46E38" w:rsidRPr="00B35A22">
        <w:rPr>
          <w:sz w:val="20"/>
          <w:lang w:val="sr-Latn-ME"/>
        </w:rPr>
        <w:t xml:space="preserve"> mialgij</w:t>
      </w:r>
      <w:r w:rsidRPr="00B35A22">
        <w:rPr>
          <w:sz w:val="20"/>
          <w:lang w:val="sr-Latn-ME"/>
        </w:rPr>
        <w:t>e i bola u kostima</w:t>
      </w:r>
      <w:r w:rsidR="00E46E38" w:rsidRPr="00B35A22">
        <w:rPr>
          <w:sz w:val="20"/>
          <w:lang w:val="sr-Latn-ME"/>
        </w:rPr>
        <w:t>.</w:t>
      </w:r>
    </w:p>
    <w:p w14:paraId="00C7C961" w14:textId="741E1518" w:rsidR="00A67E3B"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ab </w:t>
      </w:r>
      <w:r w:rsidR="00A67E3B" w:rsidRPr="00B35A22">
        <w:rPr>
          <w:sz w:val="20"/>
          <w:lang w:val="sr-Latn-ME"/>
        </w:rPr>
        <w:t>Uključuj</w:t>
      </w:r>
      <w:r w:rsidRPr="00B35A22">
        <w:rPr>
          <w:sz w:val="20"/>
          <w:lang w:val="sr-Latn-ME"/>
        </w:rPr>
        <w:t>e</w:t>
      </w:r>
      <w:r w:rsidR="00A67E3B" w:rsidRPr="00B35A22">
        <w:rPr>
          <w:sz w:val="20"/>
          <w:lang w:val="sr-Latn-ME"/>
        </w:rPr>
        <w:t xml:space="preserve"> </w:t>
      </w:r>
      <w:r w:rsidRPr="00B35A22">
        <w:rPr>
          <w:sz w:val="20"/>
          <w:lang w:val="sr-Latn-ME"/>
        </w:rPr>
        <w:t>prijavljene slučajeve</w:t>
      </w:r>
      <w:r w:rsidR="00A67E3B" w:rsidRPr="00B35A22">
        <w:rPr>
          <w:sz w:val="20"/>
          <w:lang w:val="sr-Latn-ME"/>
        </w:rPr>
        <w:t xml:space="preserve"> miozitis</w:t>
      </w:r>
      <w:r w:rsidRPr="00B35A22">
        <w:rPr>
          <w:sz w:val="20"/>
          <w:lang w:val="sr-Latn-ME"/>
        </w:rPr>
        <w:t>a</w:t>
      </w:r>
      <w:r w:rsidR="00A67E3B" w:rsidRPr="00B35A22">
        <w:rPr>
          <w:sz w:val="20"/>
          <w:lang w:val="sr-Latn-ME"/>
        </w:rPr>
        <w:t>, rabdomioliz</w:t>
      </w:r>
      <w:r w:rsidRPr="00B35A22">
        <w:rPr>
          <w:sz w:val="20"/>
          <w:lang w:val="sr-Latn-ME"/>
        </w:rPr>
        <w:t>e</w:t>
      </w:r>
      <w:r w:rsidR="00A67E3B" w:rsidRPr="00B35A22">
        <w:rPr>
          <w:sz w:val="20"/>
          <w:lang w:val="sr-Latn-ME"/>
        </w:rPr>
        <w:t>, reumatsk</w:t>
      </w:r>
      <w:r w:rsidRPr="00B35A22">
        <w:rPr>
          <w:sz w:val="20"/>
          <w:lang w:val="sr-Latn-ME"/>
        </w:rPr>
        <w:t>e</w:t>
      </w:r>
      <w:r w:rsidR="00A67E3B" w:rsidRPr="00B35A22">
        <w:rPr>
          <w:sz w:val="20"/>
          <w:lang w:val="sr-Latn-ME"/>
        </w:rPr>
        <w:t xml:space="preserve"> polimialgij</w:t>
      </w:r>
      <w:r w:rsidRPr="00B35A22">
        <w:rPr>
          <w:sz w:val="20"/>
          <w:lang w:val="sr-Latn-ME"/>
        </w:rPr>
        <w:t>e</w:t>
      </w:r>
      <w:r w:rsidR="00A67E3B" w:rsidRPr="00B35A22">
        <w:rPr>
          <w:sz w:val="20"/>
          <w:lang w:val="sr-Latn-ME"/>
        </w:rPr>
        <w:t xml:space="preserve">, </w:t>
      </w:r>
      <w:r w:rsidRPr="00B35A22">
        <w:rPr>
          <w:sz w:val="20"/>
          <w:lang w:val="sr-Latn-ME"/>
        </w:rPr>
        <w:t>dermatomiozitisa</w:t>
      </w:r>
      <w:r w:rsidR="00E46E38" w:rsidRPr="00B35A22">
        <w:rPr>
          <w:sz w:val="20"/>
          <w:lang w:val="sr-Latn-ME"/>
        </w:rPr>
        <w:t xml:space="preserve">, </w:t>
      </w:r>
      <w:r w:rsidRPr="00B35A22">
        <w:rPr>
          <w:sz w:val="20"/>
          <w:lang w:val="sr-Latn-ME"/>
        </w:rPr>
        <w:t>mišićnog apscesa</w:t>
      </w:r>
      <w:r w:rsidR="00E46E38" w:rsidRPr="00B35A22">
        <w:rPr>
          <w:sz w:val="20"/>
          <w:lang w:val="sr-Latn-ME"/>
        </w:rPr>
        <w:t>,</w:t>
      </w:r>
      <w:r w:rsidR="00A67E3B" w:rsidRPr="00B35A22">
        <w:rPr>
          <w:sz w:val="20"/>
          <w:lang w:val="sr-Latn-ME"/>
        </w:rPr>
        <w:t xml:space="preserve">  prisutnosti mioglobina u urinu</w:t>
      </w:r>
      <w:r w:rsidR="00B04DB5" w:rsidRPr="00B35A22">
        <w:rPr>
          <w:sz w:val="20"/>
          <w:lang w:val="sr-Latn-ME"/>
        </w:rPr>
        <w:t>, miopatije, polimiozitisa</w:t>
      </w:r>
      <w:r w:rsidR="00E46E38" w:rsidRPr="00B35A22">
        <w:rPr>
          <w:sz w:val="20"/>
          <w:lang w:val="sr-Latn-ME"/>
        </w:rPr>
        <w:t>.</w:t>
      </w:r>
    </w:p>
    <w:p w14:paraId="686D616B" w14:textId="5A6AE1B9" w:rsidR="000A26D9" w:rsidRPr="00B35A22" w:rsidRDefault="00182C07" w:rsidP="00B35A22">
      <w:pPr>
        <w:widowControl w:val="0"/>
        <w:autoSpaceDE w:val="0"/>
        <w:autoSpaceDN w:val="0"/>
        <w:adjustRightInd w:val="0"/>
        <w:jc w:val="both"/>
        <w:rPr>
          <w:sz w:val="20"/>
          <w:lang w:val="sr-Latn-ME"/>
        </w:rPr>
      </w:pPr>
      <w:r w:rsidRPr="00B35A22">
        <w:rPr>
          <w:sz w:val="20"/>
          <w:vertAlign w:val="superscript"/>
          <w:lang w:val="sr-Latn-ME"/>
        </w:rPr>
        <w:t xml:space="preserve">ac </w:t>
      </w:r>
      <w:r w:rsidR="00BB0D26" w:rsidRPr="00B35A22">
        <w:rPr>
          <w:sz w:val="20"/>
          <w:lang w:val="sr-Latn-ME"/>
        </w:rPr>
        <w:t>Uključuj</w:t>
      </w:r>
      <w:r w:rsidRPr="00B35A22">
        <w:rPr>
          <w:sz w:val="20"/>
          <w:lang w:val="sr-Latn-ME"/>
        </w:rPr>
        <w:t>e</w:t>
      </w:r>
      <w:r w:rsidR="00BB0D26" w:rsidRPr="00B35A22">
        <w:rPr>
          <w:sz w:val="20"/>
          <w:lang w:val="sr-Latn-ME"/>
        </w:rPr>
        <w:t xml:space="preserve"> </w:t>
      </w:r>
      <w:r w:rsidRPr="00B35A22">
        <w:rPr>
          <w:sz w:val="20"/>
          <w:lang w:val="sr-Latn-ME"/>
        </w:rPr>
        <w:t>prijavljene slučajeve</w:t>
      </w:r>
      <w:r w:rsidR="00BB0D26" w:rsidRPr="00B35A22">
        <w:rPr>
          <w:sz w:val="20"/>
          <w:lang w:val="sr-Latn-ME"/>
        </w:rPr>
        <w:t xml:space="preserve"> proteinurij</w:t>
      </w:r>
      <w:r w:rsidRPr="00B35A22">
        <w:rPr>
          <w:sz w:val="20"/>
          <w:lang w:val="sr-Latn-ME"/>
        </w:rPr>
        <w:t>e</w:t>
      </w:r>
      <w:r w:rsidR="004F6E8D" w:rsidRPr="00B35A22">
        <w:rPr>
          <w:sz w:val="20"/>
          <w:lang w:val="sr-Latn-ME"/>
        </w:rPr>
        <w:t>,</w:t>
      </w:r>
      <w:r w:rsidR="00BB0D26" w:rsidRPr="00B35A22">
        <w:rPr>
          <w:sz w:val="20"/>
          <w:lang w:val="sr-Latn-ME"/>
        </w:rPr>
        <w:t xml:space="preserve"> prisutnosti proteina u urinu</w:t>
      </w:r>
      <w:r w:rsidR="004F6E8D" w:rsidRPr="00B35A22">
        <w:rPr>
          <w:sz w:val="20"/>
          <w:lang w:val="sr-Latn-ME"/>
        </w:rPr>
        <w:t xml:space="preserve">, </w:t>
      </w:r>
      <w:r w:rsidR="009B6F46" w:rsidRPr="00B35A22">
        <w:rPr>
          <w:sz w:val="20"/>
          <w:lang w:val="sr-Latn-ME"/>
        </w:rPr>
        <w:t>hemoglobinurije</w:t>
      </w:r>
      <w:r w:rsidR="004F6E8D" w:rsidRPr="00B35A22">
        <w:rPr>
          <w:sz w:val="20"/>
          <w:lang w:val="sr-Latn-ME"/>
        </w:rPr>
        <w:t>,</w:t>
      </w:r>
      <w:r w:rsidR="007102CC" w:rsidRPr="00B35A22">
        <w:rPr>
          <w:sz w:val="20"/>
          <w:lang w:val="sr-Latn-ME"/>
        </w:rPr>
        <w:t xml:space="preserve"> odstupanja u rezultatima analize urina,</w:t>
      </w:r>
      <w:r w:rsidR="004F6E8D" w:rsidRPr="00B35A22">
        <w:rPr>
          <w:sz w:val="20"/>
          <w:lang w:val="sr-Latn-ME"/>
        </w:rPr>
        <w:t xml:space="preserve"> </w:t>
      </w:r>
      <w:r w:rsidR="009B6F46" w:rsidRPr="00B35A22">
        <w:rPr>
          <w:sz w:val="20"/>
          <w:lang w:val="sr-Latn-ME"/>
        </w:rPr>
        <w:t>nefrotskog sindroma</w:t>
      </w:r>
      <w:r w:rsidR="00C96604" w:rsidRPr="00B35A22">
        <w:rPr>
          <w:sz w:val="20"/>
          <w:lang w:val="sr-Latn-ME"/>
        </w:rPr>
        <w:t>, albuminurije</w:t>
      </w:r>
      <w:r w:rsidR="00BB0D26" w:rsidRPr="00B35A22">
        <w:rPr>
          <w:sz w:val="20"/>
          <w:lang w:val="sr-Latn-ME"/>
        </w:rPr>
        <w:t>.</w:t>
      </w:r>
    </w:p>
    <w:p w14:paraId="473F2268" w14:textId="56939111" w:rsidR="00D70371" w:rsidRPr="00B35A22" w:rsidRDefault="00E46E38" w:rsidP="00B35A22">
      <w:pPr>
        <w:widowControl w:val="0"/>
        <w:autoSpaceDE w:val="0"/>
        <w:autoSpaceDN w:val="0"/>
        <w:adjustRightInd w:val="0"/>
        <w:jc w:val="both"/>
        <w:rPr>
          <w:sz w:val="20"/>
          <w:lang w:val="sr-Latn-ME"/>
        </w:rPr>
      </w:pPr>
      <w:r w:rsidRPr="00B35A22">
        <w:rPr>
          <w:sz w:val="20"/>
          <w:vertAlign w:val="superscript"/>
          <w:lang w:val="sr-Latn-ME"/>
        </w:rPr>
        <w:t>a</w:t>
      </w:r>
      <w:r w:rsidR="009B6F46" w:rsidRPr="00B35A22">
        <w:rPr>
          <w:sz w:val="20"/>
          <w:vertAlign w:val="superscript"/>
          <w:lang w:val="sr-Latn-ME"/>
        </w:rPr>
        <w:t>d</w:t>
      </w:r>
      <w:r w:rsidRPr="00B35A22">
        <w:rPr>
          <w:sz w:val="20"/>
          <w:lang w:val="sr-Latn-ME"/>
        </w:rPr>
        <w:t xml:space="preserve"> </w:t>
      </w:r>
      <w:r w:rsidR="00D70371" w:rsidRPr="00B35A22">
        <w:rPr>
          <w:sz w:val="20"/>
          <w:lang w:val="sr-Latn-ME"/>
        </w:rPr>
        <w:t>Uključu</w:t>
      </w:r>
      <w:r w:rsidR="009B6F46" w:rsidRPr="00B35A22">
        <w:rPr>
          <w:sz w:val="20"/>
          <w:lang w:val="sr-Latn-ME"/>
        </w:rPr>
        <w:t>je prijavljen</w:t>
      </w:r>
      <w:r w:rsidR="00080978" w:rsidRPr="00B35A22">
        <w:rPr>
          <w:sz w:val="20"/>
          <w:lang w:val="sr-Latn-ME"/>
        </w:rPr>
        <w:t>e</w:t>
      </w:r>
      <w:r w:rsidR="009B6F46" w:rsidRPr="00B35A22">
        <w:rPr>
          <w:sz w:val="20"/>
          <w:lang w:val="sr-Latn-ME"/>
        </w:rPr>
        <w:t xml:space="preserve"> slučaj</w:t>
      </w:r>
      <w:r w:rsidR="00080978" w:rsidRPr="00B35A22">
        <w:rPr>
          <w:sz w:val="20"/>
          <w:lang w:val="sr-Latn-ME"/>
        </w:rPr>
        <w:t>eve</w:t>
      </w:r>
      <w:r w:rsidR="00D70371" w:rsidRPr="00B35A22">
        <w:rPr>
          <w:sz w:val="20"/>
          <w:lang w:val="sr-Latn-ME"/>
        </w:rPr>
        <w:t xml:space="preserve"> </w:t>
      </w:r>
      <w:r w:rsidR="00522F9E" w:rsidRPr="00B35A22">
        <w:rPr>
          <w:sz w:val="20"/>
          <w:lang w:val="sr-Latn-ME"/>
        </w:rPr>
        <w:t xml:space="preserve">nefritisa, </w:t>
      </w:r>
      <w:r w:rsidR="00080978" w:rsidRPr="00B35A22">
        <w:rPr>
          <w:sz w:val="20"/>
          <w:lang w:val="sr-Latn-ME"/>
        </w:rPr>
        <w:t xml:space="preserve">autoimunskog </w:t>
      </w:r>
      <w:r w:rsidRPr="00B35A22">
        <w:rPr>
          <w:sz w:val="20"/>
          <w:lang w:val="sr-Latn-ME"/>
        </w:rPr>
        <w:t>nefritis</w:t>
      </w:r>
      <w:r w:rsidR="009B6F46" w:rsidRPr="00B35A22">
        <w:rPr>
          <w:sz w:val="20"/>
          <w:lang w:val="sr-Latn-ME"/>
        </w:rPr>
        <w:t>a</w:t>
      </w:r>
      <w:r w:rsidRPr="00B35A22">
        <w:rPr>
          <w:sz w:val="20"/>
          <w:lang w:val="sr-Latn-ME"/>
        </w:rPr>
        <w:t>,</w:t>
      </w:r>
      <w:r w:rsidR="00D70371" w:rsidRPr="00B35A22">
        <w:rPr>
          <w:sz w:val="20"/>
          <w:lang w:val="sr-Latn-ME"/>
        </w:rPr>
        <w:t xml:space="preserve"> Henoch-Schonlein Purpura nefritis</w:t>
      </w:r>
      <w:r w:rsidR="009B6F46" w:rsidRPr="00B35A22">
        <w:rPr>
          <w:sz w:val="20"/>
          <w:lang w:val="sr-Latn-ME"/>
        </w:rPr>
        <w:t>a</w:t>
      </w:r>
      <w:r w:rsidR="00080978" w:rsidRPr="00B35A22">
        <w:rPr>
          <w:sz w:val="20"/>
          <w:lang w:val="sr-Latn-ME"/>
        </w:rPr>
        <w:t xml:space="preserve">, </w:t>
      </w:r>
      <w:r w:rsidR="00080978" w:rsidRPr="00B35A22">
        <w:rPr>
          <w:rFonts w:ascii="ZWAdobeF" w:hAnsi="ZWAdobeF"/>
          <w:sz w:val="20"/>
          <w:lang w:val="sr-Latn-ME"/>
        </w:rPr>
        <w:t xml:space="preserve"> paraneoplastičnog glomerulonefritisa, tubulointersticijalnog nefritisa</w:t>
      </w:r>
      <w:r w:rsidRPr="00B35A22">
        <w:rPr>
          <w:sz w:val="20"/>
          <w:lang w:val="sr-Latn-ME"/>
        </w:rPr>
        <w:t>.</w:t>
      </w:r>
    </w:p>
    <w:p w14:paraId="5222C997" w14:textId="360602EB" w:rsidR="009B6F46" w:rsidRPr="00B35A22" w:rsidRDefault="009B6F46" w:rsidP="00B35A22">
      <w:pPr>
        <w:widowControl w:val="0"/>
        <w:autoSpaceDE w:val="0"/>
        <w:autoSpaceDN w:val="0"/>
        <w:adjustRightInd w:val="0"/>
        <w:jc w:val="both"/>
        <w:rPr>
          <w:sz w:val="20"/>
          <w:lang w:val="sr-Latn-ME"/>
        </w:rPr>
      </w:pPr>
      <w:r w:rsidRPr="00B35A22">
        <w:rPr>
          <w:sz w:val="20"/>
          <w:vertAlign w:val="superscript"/>
          <w:lang w:val="sr-Latn-ME"/>
        </w:rPr>
        <w:t xml:space="preserve">ae </w:t>
      </w:r>
      <w:r w:rsidRPr="00B35A22">
        <w:rPr>
          <w:sz w:val="20"/>
          <w:lang w:val="sr-Latn-ME"/>
        </w:rPr>
        <w:t>Uključuje prijavljen</w:t>
      </w:r>
      <w:r w:rsidR="00080978" w:rsidRPr="00B35A22">
        <w:rPr>
          <w:sz w:val="20"/>
          <w:lang w:val="sr-Latn-ME"/>
        </w:rPr>
        <w:t>e</w:t>
      </w:r>
      <w:r w:rsidRPr="00B35A22">
        <w:rPr>
          <w:sz w:val="20"/>
          <w:lang w:val="sr-Latn-ME"/>
        </w:rPr>
        <w:t xml:space="preserve"> slučaj</w:t>
      </w:r>
      <w:r w:rsidR="00080978" w:rsidRPr="00B35A22">
        <w:rPr>
          <w:sz w:val="20"/>
          <w:lang w:val="sr-Latn-ME"/>
        </w:rPr>
        <w:t>eve</w:t>
      </w:r>
      <w:r w:rsidRPr="00B35A22">
        <w:rPr>
          <w:sz w:val="20"/>
          <w:lang w:val="sr-Latn-ME"/>
        </w:rPr>
        <w:t xml:space="preserve"> hipokalemije, sniženih vrijednosti kalijuma u krvi.</w:t>
      </w:r>
    </w:p>
    <w:p w14:paraId="1B9C774E" w14:textId="2D8DF21E" w:rsidR="009B6F46" w:rsidRPr="00B35A22" w:rsidRDefault="009B6F46" w:rsidP="00B35A22">
      <w:pPr>
        <w:widowControl w:val="0"/>
        <w:autoSpaceDE w:val="0"/>
        <w:autoSpaceDN w:val="0"/>
        <w:adjustRightInd w:val="0"/>
        <w:jc w:val="both"/>
        <w:rPr>
          <w:sz w:val="20"/>
          <w:lang w:val="sr-Latn-ME"/>
        </w:rPr>
      </w:pPr>
      <w:r w:rsidRPr="00B35A22">
        <w:rPr>
          <w:sz w:val="20"/>
          <w:vertAlign w:val="superscript"/>
          <w:lang w:val="sr-Latn-ME"/>
        </w:rPr>
        <w:t xml:space="preserve">af </w:t>
      </w:r>
      <w:r w:rsidRPr="00B35A22">
        <w:rPr>
          <w:sz w:val="20"/>
          <w:lang w:val="sr-Latn-ME"/>
        </w:rPr>
        <w:t>Uključuje prijavljen</w:t>
      </w:r>
      <w:r w:rsidR="00080978" w:rsidRPr="00B35A22">
        <w:rPr>
          <w:sz w:val="20"/>
          <w:lang w:val="sr-Latn-ME"/>
        </w:rPr>
        <w:t>e</w:t>
      </w:r>
      <w:r w:rsidRPr="00B35A22">
        <w:rPr>
          <w:sz w:val="20"/>
          <w:lang w:val="sr-Latn-ME"/>
        </w:rPr>
        <w:t xml:space="preserve"> slučaj</w:t>
      </w:r>
      <w:r w:rsidR="00080978" w:rsidRPr="00B35A22">
        <w:rPr>
          <w:sz w:val="20"/>
          <w:lang w:val="sr-Latn-ME"/>
        </w:rPr>
        <w:t>eve</w:t>
      </w:r>
      <w:r w:rsidRPr="00B35A22">
        <w:rPr>
          <w:sz w:val="20"/>
          <w:lang w:val="sr-Latn-ME"/>
        </w:rPr>
        <w:t xml:space="preserve"> hiponatremije, sniženih vrijednosti natrijuma u krvi.</w:t>
      </w:r>
    </w:p>
    <w:p w14:paraId="5C99AFD2" w14:textId="073A90A4" w:rsidR="009B6F46" w:rsidRPr="00B35A22" w:rsidRDefault="009B6F46" w:rsidP="00B35A22">
      <w:pPr>
        <w:widowControl w:val="0"/>
        <w:autoSpaceDE w:val="0"/>
        <w:autoSpaceDN w:val="0"/>
        <w:adjustRightInd w:val="0"/>
        <w:jc w:val="both"/>
        <w:rPr>
          <w:sz w:val="20"/>
          <w:lang w:val="sr-Latn-ME"/>
        </w:rPr>
      </w:pPr>
      <w:r w:rsidRPr="00B35A22">
        <w:rPr>
          <w:sz w:val="20"/>
          <w:vertAlign w:val="superscript"/>
          <w:lang w:val="sr-Latn-ME"/>
        </w:rPr>
        <w:t xml:space="preserve">ag </w:t>
      </w:r>
      <w:r w:rsidRPr="00B35A22">
        <w:rPr>
          <w:sz w:val="20"/>
          <w:lang w:val="sr-Latn-ME"/>
        </w:rPr>
        <w:t>Uključuje prijavljen</w:t>
      </w:r>
      <w:r w:rsidR="00080978" w:rsidRPr="00B35A22">
        <w:rPr>
          <w:sz w:val="20"/>
          <w:lang w:val="sr-Latn-ME"/>
        </w:rPr>
        <w:t>e</w:t>
      </w:r>
      <w:r w:rsidRPr="00B35A22">
        <w:rPr>
          <w:sz w:val="20"/>
          <w:lang w:val="sr-Latn-ME"/>
        </w:rPr>
        <w:t xml:space="preserve"> slučaj</w:t>
      </w:r>
      <w:r w:rsidR="00080978" w:rsidRPr="00B35A22">
        <w:rPr>
          <w:sz w:val="20"/>
          <w:lang w:val="sr-Latn-ME"/>
        </w:rPr>
        <w:t>eve</w:t>
      </w:r>
      <w:r w:rsidRPr="00B35A22">
        <w:rPr>
          <w:sz w:val="20"/>
          <w:lang w:val="sr-Latn-ME"/>
        </w:rPr>
        <w:t xml:space="preserve"> hipoksije, smanjene zasićenosti kiseonikom</w:t>
      </w:r>
      <w:r w:rsidR="00080978" w:rsidRPr="00B35A22">
        <w:rPr>
          <w:sz w:val="20"/>
          <w:lang w:val="sr-Latn-ME"/>
        </w:rPr>
        <w:t>, sniženog parcijalnog pritiska kiseonika</w:t>
      </w:r>
      <w:r w:rsidRPr="00B35A22">
        <w:rPr>
          <w:sz w:val="20"/>
          <w:lang w:val="sr-Latn-ME"/>
        </w:rPr>
        <w:t>.</w:t>
      </w:r>
    </w:p>
    <w:p w14:paraId="0EFAE5E1" w14:textId="51529AF6" w:rsidR="009B6F46" w:rsidRPr="00B35A22" w:rsidRDefault="009B6F46" w:rsidP="00B35A22">
      <w:pPr>
        <w:widowControl w:val="0"/>
        <w:autoSpaceDE w:val="0"/>
        <w:autoSpaceDN w:val="0"/>
        <w:adjustRightInd w:val="0"/>
        <w:jc w:val="both"/>
        <w:rPr>
          <w:sz w:val="20"/>
          <w:lang w:val="sr-Latn-ME"/>
        </w:rPr>
      </w:pPr>
      <w:r w:rsidRPr="00B35A22">
        <w:rPr>
          <w:sz w:val="20"/>
          <w:vertAlign w:val="superscript"/>
          <w:lang w:val="sr-Latn-ME"/>
        </w:rPr>
        <w:t xml:space="preserve">ah </w:t>
      </w:r>
      <w:r w:rsidRPr="00B35A22">
        <w:rPr>
          <w:sz w:val="20"/>
          <w:lang w:val="sr-Latn-ME"/>
        </w:rPr>
        <w:t>Uključuje prijavljen</w:t>
      </w:r>
      <w:r w:rsidR="00080978" w:rsidRPr="00B35A22">
        <w:rPr>
          <w:sz w:val="20"/>
          <w:lang w:val="sr-Latn-ME"/>
        </w:rPr>
        <w:t>e</w:t>
      </w:r>
      <w:r w:rsidRPr="00B35A22">
        <w:rPr>
          <w:sz w:val="20"/>
          <w:lang w:val="sr-Latn-ME"/>
        </w:rPr>
        <w:t xml:space="preserve"> slučaj</w:t>
      </w:r>
      <w:r w:rsidR="00080978" w:rsidRPr="00B35A22">
        <w:rPr>
          <w:sz w:val="20"/>
          <w:lang w:val="sr-Latn-ME"/>
        </w:rPr>
        <w:t>eve</w:t>
      </w:r>
      <w:r w:rsidRPr="00B35A22">
        <w:rPr>
          <w:sz w:val="20"/>
          <w:lang w:val="sr-Latn-ME"/>
        </w:rPr>
        <w:t xml:space="preserve"> alopecije, madaroze, žarišne alopecije (</w:t>
      </w:r>
      <w:r w:rsidRPr="00B35A22">
        <w:rPr>
          <w:i/>
          <w:sz w:val="20"/>
          <w:lang w:val="sr-Latn-ME"/>
        </w:rPr>
        <w:t>alopecia areata</w:t>
      </w:r>
      <w:r w:rsidRPr="00B35A22">
        <w:rPr>
          <w:sz w:val="20"/>
          <w:lang w:val="sr-Latn-ME"/>
        </w:rPr>
        <w:t>), difuzne alopecije (</w:t>
      </w:r>
      <w:r w:rsidRPr="00B35A22">
        <w:rPr>
          <w:i/>
          <w:sz w:val="20"/>
          <w:lang w:val="sr-Latn-ME"/>
        </w:rPr>
        <w:t>alopecia totalis</w:t>
      </w:r>
      <w:r w:rsidRPr="00B35A22">
        <w:rPr>
          <w:sz w:val="20"/>
          <w:lang w:val="sr-Latn-ME"/>
        </w:rPr>
        <w:t>), hipotrihoze.</w:t>
      </w:r>
    </w:p>
    <w:p w14:paraId="656449BD" w14:textId="3A700170" w:rsidR="00C96604" w:rsidRPr="00B35A22" w:rsidRDefault="007102CC" w:rsidP="00B35A22">
      <w:pPr>
        <w:widowControl w:val="0"/>
        <w:autoSpaceDE w:val="0"/>
        <w:autoSpaceDN w:val="0"/>
        <w:adjustRightInd w:val="0"/>
        <w:jc w:val="both"/>
        <w:rPr>
          <w:sz w:val="20"/>
          <w:lang w:val="sr-Latn-ME"/>
        </w:rPr>
      </w:pPr>
      <w:r w:rsidRPr="00B35A22">
        <w:rPr>
          <w:sz w:val="20"/>
          <w:vertAlign w:val="superscript"/>
          <w:lang w:val="sr-Latn-ME"/>
        </w:rPr>
        <w:t>ai</w:t>
      </w:r>
      <w:r w:rsidRPr="00B35A22">
        <w:rPr>
          <w:sz w:val="20"/>
          <w:lang w:val="sr-Latn-ME"/>
        </w:rPr>
        <w:t xml:space="preserve"> Uključuje prijavljene slučajeve hipertenzij</w:t>
      </w:r>
      <w:r w:rsidR="00241056" w:rsidRPr="00B35A22">
        <w:rPr>
          <w:sz w:val="20"/>
          <w:lang w:val="sr-Latn-ME"/>
        </w:rPr>
        <w:t>e</w:t>
      </w:r>
      <w:r w:rsidRPr="00B35A22">
        <w:rPr>
          <w:sz w:val="20"/>
          <w:lang w:val="sr-Latn-ME"/>
        </w:rPr>
        <w:t>, povišenog krvnog pritiska, hipertenzivne krize, povišenog sistolnog krvnog pritiska, dijastolne hipertenzije, nedovoljno dobro kontrolisanog krvnog pritiska, hipertenzivne retinopatije</w:t>
      </w:r>
      <w:r w:rsidR="00E03ED9" w:rsidRPr="00B35A22">
        <w:rPr>
          <w:sz w:val="20"/>
          <w:lang w:val="sr-Latn-ME"/>
        </w:rPr>
        <w:t xml:space="preserve">, </w:t>
      </w:r>
      <w:r w:rsidR="00C96604" w:rsidRPr="00B35A22">
        <w:rPr>
          <w:sz w:val="20"/>
          <w:lang w:val="sr-Latn-ME"/>
        </w:rPr>
        <w:t>hipertenzivne nefropatije, esencijalne hipertenzije</w:t>
      </w:r>
      <w:r w:rsidR="00574B7C" w:rsidRPr="00B35A22">
        <w:rPr>
          <w:sz w:val="20"/>
          <w:lang w:val="sr-Latn-ME"/>
        </w:rPr>
        <w:t>, ortostatske hipertenzije</w:t>
      </w:r>
      <w:r w:rsidR="00C96604" w:rsidRPr="00B35A22">
        <w:rPr>
          <w:sz w:val="20"/>
          <w:lang w:val="sr-Latn-ME"/>
        </w:rPr>
        <w:t>.</w:t>
      </w:r>
    </w:p>
    <w:p w14:paraId="1C1D8110" w14:textId="447DA26D" w:rsidR="007102CC" w:rsidRPr="00B35A22" w:rsidRDefault="00C96604" w:rsidP="00B35A22">
      <w:pPr>
        <w:widowControl w:val="0"/>
        <w:autoSpaceDE w:val="0"/>
        <w:autoSpaceDN w:val="0"/>
        <w:adjustRightInd w:val="0"/>
        <w:jc w:val="both"/>
        <w:rPr>
          <w:sz w:val="20"/>
          <w:lang w:val="sr-Latn-ME"/>
        </w:rPr>
      </w:pPr>
      <w:r w:rsidRPr="00B35A22">
        <w:rPr>
          <w:sz w:val="20"/>
          <w:vertAlign w:val="superscript"/>
          <w:lang w:val="sr-Latn-ME"/>
        </w:rPr>
        <w:t>aj</w:t>
      </w:r>
      <w:r w:rsidRPr="00B35A22">
        <w:rPr>
          <w:sz w:val="20"/>
          <w:lang w:val="sr-Latn-ME"/>
        </w:rPr>
        <w:t xml:space="preserve"> Uključuje prijavljene slučajeve sepse, septičkog šoka, urosepse, neutropenične sepse, plućne sepse, bakterijske sepse, sepse uzrokovane bakterijama roda </w:t>
      </w:r>
      <w:r w:rsidRPr="00B35A22">
        <w:rPr>
          <w:i/>
          <w:sz w:val="20"/>
          <w:lang w:val="sr-Latn-ME"/>
        </w:rPr>
        <w:t>Klebsiella</w:t>
      </w:r>
      <w:r w:rsidRPr="00B35A22">
        <w:rPr>
          <w:sz w:val="20"/>
          <w:lang w:val="sr-Latn-ME"/>
        </w:rPr>
        <w:t xml:space="preserve">, abdominalne sepse, sepse uzrokovane gljivama roda </w:t>
      </w:r>
      <w:r w:rsidRPr="00B35A22">
        <w:rPr>
          <w:i/>
          <w:sz w:val="20"/>
          <w:lang w:val="sr-Latn-ME"/>
        </w:rPr>
        <w:t>Candida</w:t>
      </w:r>
      <w:r w:rsidRPr="00B35A22">
        <w:rPr>
          <w:sz w:val="20"/>
          <w:lang w:val="sr-Latn-ME"/>
        </w:rPr>
        <w:t xml:space="preserve">, sepse uzrokovane bakterijama roda </w:t>
      </w:r>
      <w:r w:rsidRPr="00B35A22">
        <w:rPr>
          <w:i/>
          <w:sz w:val="20"/>
          <w:lang w:val="sr-Latn-ME"/>
        </w:rPr>
        <w:t>Escherichia</w:t>
      </w:r>
      <w:r w:rsidRPr="00B35A22">
        <w:rPr>
          <w:sz w:val="20"/>
          <w:lang w:val="sr-Latn-ME"/>
        </w:rPr>
        <w:t xml:space="preserve">, sepse uzrokovane bakterijama roda </w:t>
      </w:r>
      <w:r w:rsidRPr="00B35A22">
        <w:rPr>
          <w:i/>
          <w:sz w:val="20"/>
          <w:lang w:val="sr-Latn-ME"/>
        </w:rPr>
        <w:t>Pseudomonas</w:t>
      </w:r>
      <w:r w:rsidRPr="00B35A22">
        <w:rPr>
          <w:sz w:val="20"/>
          <w:lang w:val="sr-Latn-ME"/>
        </w:rPr>
        <w:t>, stafilokokne sepse</w:t>
      </w:r>
      <w:r w:rsidR="007102CC" w:rsidRPr="00B35A22">
        <w:rPr>
          <w:sz w:val="20"/>
          <w:lang w:val="sr-Latn-ME"/>
        </w:rPr>
        <w:t>.</w:t>
      </w:r>
    </w:p>
    <w:p w14:paraId="22CD0C23" w14:textId="550E27F5" w:rsidR="00F10BA7" w:rsidRPr="00B35A22" w:rsidRDefault="00F10BA7" w:rsidP="00B35A22">
      <w:pPr>
        <w:widowControl w:val="0"/>
        <w:jc w:val="both"/>
        <w:rPr>
          <w:sz w:val="20"/>
          <w:lang w:val="sr-Latn-ME"/>
        </w:rPr>
      </w:pPr>
      <w:r w:rsidRPr="00B35A22">
        <w:rPr>
          <w:sz w:val="20"/>
          <w:vertAlign w:val="superscript"/>
          <w:lang w:val="sr-Latn-ME"/>
        </w:rPr>
        <w:t>ak</w:t>
      </w:r>
      <w:r w:rsidRPr="00B35A22">
        <w:rPr>
          <w:sz w:val="20"/>
          <w:lang w:val="sr-Latn-ME"/>
        </w:rPr>
        <w:t xml:space="preserve"> Uključuje prijavljenje slučajeve buloznog dermatitisa, eksfolijativnog osipa, multiformnog eritema,</w:t>
      </w:r>
      <w:r w:rsidR="00B04DB5" w:rsidRPr="00B35A22">
        <w:rPr>
          <w:sz w:val="20"/>
          <w:lang w:val="sr-Latn-ME"/>
        </w:rPr>
        <w:t xml:space="preserve"> eksfolijativnog dermatitisa,</w:t>
      </w:r>
      <w:r w:rsidRPr="00B35A22">
        <w:rPr>
          <w:sz w:val="20"/>
          <w:lang w:val="sr-Latn-ME"/>
        </w:rPr>
        <w:t xml:space="preserve"> generalizovanog eksfolijativnog dermatitisa, toksične kožne erupcije, Stevens-Johnsonovog sindroma, reakcije na lijek praćene eozinofilijom i sistemskim simptomima, toksične epidermalne nekrolize, kožnog vaskulitisa.</w:t>
      </w:r>
    </w:p>
    <w:p w14:paraId="7D592775" w14:textId="2AEDAD7A" w:rsidR="00674F13" w:rsidRPr="00B35A22" w:rsidRDefault="00674F13" w:rsidP="00B35A22">
      <w:pPr>
        <w:widowControl w:val="0"/>
        <w:jc w:val="both"/>
        <w:rPr>
          <w:sz w:val="20"/>
          <w:lang w:val="sr-Latn-ME"/>
        </w:rPr>
      </w:pPr>
      <w:r w:rsidRPr="00B35A22">
        <w:rPr>
          <w:vertAlign w:val="superscript"/>
          <w:lang w:val="sr-Latn-ME"/>
        </w:rPr>
        <w:t xml:space="preserve">al </w:t>
      </w:r>
      <w:r w:rsidRPr="00B35A22">
        <w:rPr>
          <w:sz w:val="20"/>
          <w:lang w:val="sr-Latn-ME"/>
        </w:rPr>
        <w:t>Uključuje prijavljene slučajeve</w:t>
      </w:r>
      <w:r w:rsidRPr="00B35A22">
        <w:rPr>
          <w:lang w:val="sr-Latn-ME"/>
        </w:rPr>
        <w:t xml:space="preserve"> </w:t>
      </w:r>
      <w:r w:rsidRPr="00B35A22">
        <w:rPr>
          <w:sz w:val="20"/>
          <w:lang w:val="sr-Latn-ME"/>
        </w:rPr>
        <w:t>neinfektivnog cistitisa i imunološki posredovanog cistitisa.</w:t>
      </w:r>
    </w:p>
    <w:p w14:paraId="68980C29" w14:textId="404F6F83" w:rsidR="00574B7C" w:rsidRPr="00B35A22" w:rsidRDefault="00574B7C" w:rsidP="00B35A22">
      <w:pPr>
        <w:widowControl w:val="0"/>
        <w:autoSpaceDE w:val="0"/>
        <w:autoSpaceDN w:val="0"/>
        <w:adjustRightInd w:val="0"/>
        <w:jc w:val="both"/>
        <w:rPr>
          <w:sz w:val="20"/>
          <w:lang w:val="sr-Latn-ME"/>
        </w:rPr>
      </w:pPr>
      <w:r w:rsidRPr="00B35A22">
        <w:rPr>
          <w:sz w:val="20"/>
          <w:vertAlign w:val="superscript"/>
          <w:lang w:val="sr-Latn-ME"/>
        </w:rPr>
        <w:t>am</w:t>
      </w:r>
      <w:r w:rsidRPr="00B35A22">
        <w:rPr>
          <w:sz w:val="20"/>
          <w:lang w:val="sr-Latn-ME"/>
        </w:rPr>
        <w:t xml:space="preserve"> Uključuje prijavljene slučajeve nazofaringitisa, nazalne kongestije i rinoreje.</w:t>
      </w:r>
    </w:p>
    <w:p w14:paraId="2C176F91" w14:textId="7E233B2B" w:rsidR="00574B7C" w:rsidRPr="00B35A22" w:rsidRDefault="00574B7C" w:rsidP="00B35A22">
      <w:pPr>
        <w:widowControl w:val="0"/>
        <w:autoSpaceDE w:val="0"/>
        <w:autoSpaceDN w:val="0"/>
        <w:adjustRightInd w:val="0"/>
        <w:jc w:val="both"/>
        <w:rPr>
          <w:sz w:val="20"/>
          <w:lang w:val="sr-Latn-ME"/>
        </w:rPr>
      </w:pPr>
      <w:r w:rsidRPr="00B35A22">
        <w:rPr>
          <w:sz w:val="20"/>
          <w:vertAlign w:val="superscript"/>
          <w:lang w:val="sr-Latn-ME"/>
        </w:rPr>
        <w:t>an</w:t>
      </w:r>
      <w:r w:rsidRPr="00B35A22">
        <w:rPr>
          <w:sz w:val="20"/>
          <w:lang w:val="sr-Latn-ME"/>
        </w:rPr>
        <w:t xml:space="preserve"> Uključuje prijavljene slučajeve psorijaze, psorijaziformnog </w:t>
      </w:r>
      <w:r w:rsidR="00ED0A36" w:rsidRPr="00B35A22">
        <w:rPr>
          <w:sz w:val="20"/>
          <w:lang w:val="sr-Latn-ME"/>
        </w:rPr>
        <w:t>dermatitisa</w:t>
      </w:r>
    </w:p>
    <w:p w14:paraId="00B2905C" w14:textId="25F58329" w:rsidR="00B51DBB" w:rsidRPr="00B35A22" w:rsidRDefault="00B51DBB" w:rsidP="00B35A22">
      <w:pPr>
        <w:widowControl w:val="0"/>
        <w:autoSpaceDE w:val="0"/>
        <w:autoSpaceDN w:val="0"/>
        <w:adjustRightInd w:val="0"/>
        <w:rPr>
          <w:sz w:val="20"/>
          <w:lang w:val="sr-Latn-ME"/>
        </w:rPr>
      </w:pPr>
      <w:r w:rsidRPr="00B35A22">
        <w:rPr>
          <w:sz w:val="20"/>
          <w:vertAlign w:val="superscript"/>
          <w:lang w:val="sr-Latn-ME"/>
        </w:rPr>
        <w:t>ao</w:t>
      </w:r>
      <w:r w:rsidRPr="00B35A22">
        <w:rPr>
          <w:sz w:val="20"/>
          <w:lang w:val="sr-Latn-ME"/>
        </w:rPr>
        <w:t xml:space="preserve"> Uključuje prijavljene slučajeve perikarditisa, perikardnog izliva, srčane tamponade i konstriktivnog perikarditisa.</w:t>
      </w:r>
      <w:r w:rsidR="003D374D" w:rsidRPr="00B35A22">
        <w:rPr>
          <w:sz w:val="20"/>
          <w:lang w:val="sr-Latn-ME"/>
        </w:rPr>
        <w:br/>
      </w:r>
      <w:r w:rsidR="003D374D" w:rsidRPr="00B35A22">
        <w:rPr>
          <w:rFonts w:eastAsia="MS Mincho"/>
          <w:color w:val="000000" w:themeColor="text1"/>
          <w:sz w:val="20"/>
          <w:szCs w:val="20"/>
          <w:vertAlign w:val="superscript"/>
          <w:lang w:val="sr-Latn-ME"/>
        </w:rPr>
        <w:t>ap</w:t>
      </w:r>
      <w:r w:rsidR="003D374D" w:rsidRPr="00B35A22">
        <w:rPr>
          <w:rFonts w:eastAsia="MS Mincho"/>
          <w:color w:val="000000" w:themeColor="text1"/>
          <w:sz w:val="20"/>
          <w:szCs w:val="20"/>
          <w:lang w:val="sr-Latn-ME"/>
        </w:rPr>
        <w:t xml:space="preserve"> </w:t>
      </w:r>
      <w:r w:rsidR="003D374D" w:rsidRPr="00B35A22">
        <w:rPr>
          <w:rFonts w:eastAsia="MS Mincho"/>
          <w:color w:val="000000" w:themeColor="text1"/>
          <w:sz w:val="20"/>
          <w:lang w:val="sr-Latn-ME"/>
        </w:rPr>
        <w:t>Uključuje prijavljene slučajeve suve kože, kseroze</w:t>
      </w:r>
      <w:r w:rsidR="003D374D" w:rsidRPr="00B35A22">
        <w:rPr>
          <w:rFonts w:eastAsia="MS Mincho"/>
          <w:color w:val="000000" w:themeColor="text1"/>
          <w:sz w:val="20"/>
          <w:szCs w:val="20"/>
          <w:lang w:val="sr-Latn-ME"/>
        </w:rPr>
        <w:t>.</w:t>
      </w:r>
    </w:p>
    <w:p w14:paraId="431A21D1" w14:textId="77777777" w:rsidR="00F10BA7" w:rsidRPr="00B35A22" w:rsidRDefault="00F10BA7" w:rsidP="00B35A22">
      <w:pPr>
        <w:widowControl w:val="0"/>
        <w:jc w:val="both"/>
        <w:rPr>
          <w:sz w:val="20"/>
          <w:vertAlign w:val="superscript"/>
          <w:lang w:val="sr-Latn-ME"/>
        </w:rPr>
      </w:pPr>
    </w:p>
    <w:p w14:paraId="2CEC5175" w14:textId="77777777" w:rsidR="000A26D9" w:rsidRPr="00B35A22" w:rsidRDefault="000A26D9" w:rsidP="00B35A22">
      <w:pPr>
        <w:widowControl w:val="0"/>
        <w:jc w:val="both"/>
        <w:rPr>
          <w:sz w:val="22"/>
          <w:u w:val="single"/>
          <w:lang w:val="sr-Latn-ME"/>
        </w:rPr>
      </w:pPr>
      <w:r w:rsidRPr="00B35A22">
        <w:rPr>
          <w:sz w:val="22"/>
          <w:u w:val="single"/>
          <w:lang w:val="sr-Latn-ME"/>
        </w:rPr>
        <w:t>Opis odabranih neželjenih dejstava</w:t>
      </w:r>
    </w:p>
    <w:p w14:paraId="00FDB592" w14:textId="77777777" w:rsidR="000A26D9" w:rsidRPr="00B35A22" w:rsidRDefault="000A26D9" w:rsidP="00B35A22">
      <w:pPr>
        <w:widowControl w:val="0"/>
        <w:jc w:val="both"/>
        <w:rPr>
          <w:sz w:val="22"/>
          <w:lang w:val="sr-Latn-ME"/>
        </w:rPr>
      </w:pPr>
    </w:p>
    <w:p w14:paraId="202B6122" w14:textId="552975A0" w:rsidR="000A26D9" w:rsidRPr="00B35A22" w:rsidRDefault="000A26D9" w:rsidP="00B35A22">
      <w:pPr>
        <w:widowControl w:val="0"/>
        <w:jc w:val="both"/>
        <w:rPr>
          <w:sz w:val="22"/>
          <w:lang w:val="sr-Latn-ME"/>
        </w:rPr>
      </w:pPr>
      <w:r w:rsidRPr="00B35A22">
        <w:rPr>
          <w:sz w:val="22"/>
          <w:lang w:val="sr-Latn-ME"/>
        </w:rPr>
        <w:t xml:space="preserve">Podaci u nastavku odražavaju </w:t>
      </w:r>
      <w:r w:rsidR="003744CB" w:rsidRPr="00B35A22">
        <w:rPr>
          <w:sz w:val="22"/>
          <w:lang w:val="sr-Latn-ME"/>
        </w:rPr>
        <w:t xml:space="preserve">podatke o značajnim neželjenim dejstvima kod monoterapije atezolizumabom </w:t>
      </w:r>
      <w:r w:rsidRPr="00B35A22">
        <w:rPr>
          <w:sz w:val="22"/>
          <w:lang w:val="sr-Latn-ME"/>
        </w:rPr>
        <w:t xml:space="preserve"> u kliničkim ispitivanjima (vidjeti dio 5.1). </w:t>
      </w:r>
      <w:r w:rsidR="003744CB" w:rsidRPr="00B35A22">
        <w:rPr>
          <w:sz w:val="22"/>
          <w:lang w:val="sr-Latn-ME"/>
        </w:rPr>
        <w:t>Podaci o značajnim neželjenim reakcijama kod primjene atezolizumaba u kombinovanoj terapiji navedeni su ako su prim</w:t>
      </w:r>
      <w:r w:rsidR="00A1293A" w:rsidRPr="00B35A22">
        <w:rPr>
          <w:sz w:val="22"/>
          <w:lang w:val="sr-Latn-ME"/>
        </w:rPr>
        <w:t>ij</w:t>
      </w:r>
      <w:r w:rsidR="003744CB" w:rsidRPr="00B35A22">
        <w:rPr>
          <w:sz w:val="22"/>
          <w:lang w:val="sr-Latn-ME"/>
        </w:rPr>
        <w:t>ećene klinički značajne razlike u odnosu na monoterapiju l</w:t>
      </w:r>
      <w:r w:rsidR="00A1293A" w:rsidRPr="00B35A22">
        <w:rPr>
          <w:sz w:val="22"/>
          <w:lang w:val="sr-Latn-ME"/>
        </w:rPr>
        <w:t>ij</w:t>
      </w:r>
      <w:r w:rsidR="003744CB" w:rsidRPr="00B35A22">
        <w:rPr>
          <w:sz w:val="22"/>
          <w:lang w:val="sr-Latn-ME"/>
        </w:rPr>
        <w:t xml:space="preserve">ekom atezolizumab. </w:t>
      </w:r>
      <w:r w:rsidRPr="00B35A22">
        <w:rPr>
          <w:sz w:val="22"/>
          <w:lang w:val="sr-Latn-ME"/>
        </w:rPr>
        <w:t>Smjernice za zbrinjavanje tih neželjenih dejstava opisane su u djelovima 4.2 i 4.4.</w:t>
      </w:r>
    </w:p>
    <w:p w14:paraId="3B3A0695" w14:textId="77777777" w:rsidR="000A26D9" w:rsidRPr="00B35A22" w:rsidRDefault="000A26D9" w:rsidP="00B35A22">
      <w:pPr>
        <w:widowControl w:val="0"/>
        <w:jc w:val="both"/>
        <w:rPr>
          <w:sz w:val="22"/>
          <w:lang w:val="sr-Latn-ME"/>
        </w:rPr>
      </w:pPr>
    </w:p>
    <w:p w14:paraId="3C1B4E12"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pneumonitis</w:t>
      </w:r>
    </w:p>
    <w:p w14:paraId="7E8ED2B7" w14:textId="24714BB7" w:rsidR="000A26D9" w:rsidRPr="00B35A22" w:rsidRDefault="000A26D9" w:rsidP="00B35A22">
      <w:pPr>
        <w:widowControl w:val="0"/>
        <w:jc w:val="both"/>
        <w:rPr>
          <w:sz w:val="22"/>
          <w:lang w:val="sr-Latn-ME"/>
        </w:rPr>
      </w:pPr>
      <w:r w:rsidRPr="00B35A22">
        <w:rPr>
          <w:sz w:val="22"/>
          <w:lang w:val="sr-Latn-ME"/>
        </w:rPr>
        <w:t xml:space="preserve">Pneumonitis se javio kod </w:t>
      </w:r>
      <w:r w:rsidR="00B04DB5" w:rsidRPr="00B35A22">
        <w:rPr>
          <w:sz w:val="22"/>
          <w:szCs w:val="22"/>
          <w:lang w:val="sr-Latn-ME"/>
        </w:rPr>
        <w:t>3,0</w:t>
      </w:r>
      <w:r w:rsidRPr="00B35A22">
        <w:rPr>
          <w:sz w:val="22"/>
          <w:szCs w:val="22"/>
          <w:lang w:val="sr-Latn-ME"/>
        </w:rPr>
        <w:t>% (</w:t>
      </w:r>
      <w:r w:rsidR="00B04DB5" w:rsidRPr="00B35A22">
        <w:rPr>
          <w:sz w:val="22"/>
          <w:szCs w:val="22"/>
          <w:lang w:val="sr-Latn-ME"/>
        </w:rPr>
        <w:t>151</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3744CB" w:rsidRPr="00B35A22">
        <w:rPr>
          <w:sz w:val="22"/>
          <w:lang w:val="sr-Latn-ME"/>
        </w:rPr>
        <w:t xml:space="preserve"> kao monoterapiju</w:t>
      </w:r>
      <w:r w:rsidRPr="00B35A22">
        <w:rPr>
          <w:sz w:val="22"/>
          <w:lang w:val="sr-Latn-ME"/>
        </w:rPr>
        <w:t xml:space="preserve">. Kod </w:t>
      </w:r>
      <w:r w:rsidR="00FD06BA" w:rsidRPr="00B35A22">
        <w:rPr>
          <w:sz w:val="22"/>
          <w:szCs w:val="22"/>
          <w:lang w:val="sr-Latn-ME"/>
        </w:rPr>
        <w:t>troj</w:t>
      </w:r>
      <w:r w:rsidR="00B04DB5" w:rsidRPr="00B35A22">
        <w:rPr>
          <w:sz w:val="22"/>
          <w:szCs w:val="22"/>
          <w:lang w:val="sr-Latn-ME"/>
        </w:rPr>
        <w:t>e</w:t>
      </w:r>
      <w:r w:rsidR="00B04DB5" w:rsidRPr="00B35A22">
        <w:rPr>
          <w:sz w:val="22"/>
          <w:lang w:val="sr-Latn-ME"/>
        </w:rPr>
        <w:t xml:space="preserve"> </w:t>
      </w:r>
      <w:r w:rsidRPr="00B35A22">
        <w:rPr>
          <w:sz w:val="22"/>
          <w:lang w:val="sr-Latn-ME"/>
        </w:rPr>
        <w:t xml:space="preserve">od </w:t>
      </w:r>
      <w:r w:rsidR="00B04DB5" w:rsidRPr="00B35A22">
        <w:rPr>
          <w:sz w:val="22"/>
          <w:szCs w:val="22"/>
          <w:lang w:val="sr-Latn-ME"/>
        </w:rPr>
        <w:t>ovih</w:t>
      </w:r>
      <w:r w:rsidR="00FD1DA9" w:rsidRPr="00B35A22">
        <w:rPr>
          <w:sz w:val="22"/>
          <w:lang w:val="sr-Latn-ME"/>
        </w:rPr>
        <w:t xml:space="preserve"> </w:t>
      </w:r>
      <w:r w:rsidRPr="00B35A22">
        <w:rPr>
          <w:sz w:val="22"/>
          <w:lang w:val="sr-Latn-ME"/>
        </w:rPr>
        <w:t xml:space="preserve">pacijenata zabilježen je smrtni ishod. Medijana vremena do nastupa iznosila je </w:t>
      </w:r>
      <w:r w:rsidR="00B04DB5" w:rsidRPr="00B35A22">
        <w:rPr>
          <w:sz w:val="22"/>
          <w:szCs w:val="22"/>
          <w:lang w:val="sr-Latn-ME"/>
        </w:rPr>
        <w:t>3,7</w:t>
      </w:r>
      <w:r w:rsidRPr="00B35A22">
        <w:rPr>
          <w:sz w:val="22"/>
          <w:lang w:val="sr-Latn-ME"/>
        </w:rPr>
        <w:t xml:space="preserve"> </w:t>
      </w:r>
      <w:r w:rsidR="00A46209" w:rsidRPr="00B35A22">
        <w:rPr>
          <w:sz w:val="22"/>
          <w:lang w:val="sr-Latn-ME"/>
        </w:rPr>
        <w:t xml:space="preserve">mjeseca </w:t>
      </w:r>
      <w:r w:rsidRPr="00B35A22">
        <w:rPr>
          <w:sz w:val="22"/>
          <w:lang w:val="sr-Latn-ME"/>
        </w:rPr>
        <w:t xml:space="preserve">(raspon od 3 dana do </w:t>
      </w:r>
      <w:r w:rsidR="00080978" w:rsidRPr="00B35A22">
        <w:rPr>
          <w:sz w:val="22"/>
          <w:lang w:val="sr-Latn-ME"/>
        </w:rPr>
        <w:t>29</w:t>
      </w:r>
      <w:r w:rsidR="00BB0D26" w:rsidRPr="00B35A22">
        <w:rPr>
          <w:sz w:val="22"/>
          <w:lang w:val="sr-Latn-ME"/>
        </w:rPr>
        <w:t>,8</w:t>
      </w:r>
      <w:r w:rsidRPr="00B35A22">
        <w:rPr>
          <w:sz w:val="22"/>
          <w:lang w:val="sr-Latn-ME"/>
        </w:rPr>
        <w:t xml:space="preserve"> mjeseci). Medijana trajanja iznosila je 1,</w:t>
      </w:r>
      <w:r w:rsidR="00B04DB5" w:rsidRPr="00B35A22">
        <w:rPr>
          <w:sz w:val="22"/>
          <w:szCs w:val="22"/>
          <w:lang w:val="sr-Latn-ME"/>
        </w:rPr>
        <w:t>7</w:t>
      </w:r>
      <w:r w:rsidR="00B04DB5" w:rsidRPr="00B35A22">
        <w:rPr>
          <w:sz w:val="22"/>
          <w:lang w:val="sr-Latn-ME"/>
        </w:rPr>
        <w:t xml:space="preserve"> </w:t>
      </w:r>
      <w:r w:rsidRPr="00B35A22">
        <w:rPr>
          <w:sz w:val="22"/>
          <w:lang w:val="sr-Latn-ME"/>
        </w:rPr>
        <w:t xml:space="preserve">mjeseci (raspon od </w:t>
      </w:r>
      <w:r w:rsidR="00B04DB5" w:rsidRPr="00B35A22">
        <w:rPr>
          <w:sz w:val="22"/>
          <w:szCs w:val="22"/>
          <w:lang w:val="sr-Latn-ME"/>
        </w:rPr>
        <w:t>0</w:t>
      </w:r>
      <w:r w:rsidR="00B04DB5" w:rsidRPr="00B35A22">
        <w:rPr>
          <w:sz w:val="22"/>
          <w:lang w:val="sr-Latn-ME"/>
        </w:rPr>
        <w:t xml:space="preserve"> </w:t>
      </w:r>
      <w:r w:rsidRPr="00B35A22">
        <w:rPr>
          <w:sz w:val="22"/>
          <w:lang w:val="sr-Latn-ME"/>
        </w:rPr>
        <w:t xml:space="preserve">dana do </w:t>
      </w:r>
      <w:r w:rsidR="00A56863" w:rsidRPr="00B35A22">
        <w:rPr>
          <w:sz w:val="22"/>
          <w:lang w:val="sr-Latn-ME"/>
        </w:rPr>
        <w:t xml:space="preserve">27,8 </w:t>
      </w:r>
      <w:r w:rsidRPr="00B35A22">
        <w:rPr>
          <w:sz w:val="22"/>
          <w:lang w:val="sr-Latn-ME"/>
        </w:rPr>
        <w:t>+ mjeseca; ‘+’ označava cenzur</w:t>
      </w:r>
      <w:r w:rsidR="008D7D40" w:rsidRPr="00B35A22">
        <w:rPr>
          <w:sz w:val="22"/>
          <w:lang w:val="sr-Latn-ME"/>
        </w:rPr>
        <w:t>isanu</w:t>
      </w:r>
      <w:r w:rsidRPr="00B35A22">
        <w:rPr>
          <w:sz w:val="22"/>
          <w:lang w:val="sr-Latn-ME"/>
        </w:rPr>
        <w:t xml:space="preserve"> vrijednost). Pneumonitis je doveo do prekida liječenja atezolizumabom kod </w:t>
      </w:r>
      <w:r w:rsidR="00B04DB5" w:rsidRPr="00B35A22">
        <w:rPr>
          <w:sz w:val="22"/>
          <w:szCs w:val="22"/>
          <w:lang w:val="sr-Latn-ME"/>
        </w:rPr>
        <w:t>41</w:t>
      </w:r>
      <w:r w:rsidR="00B04DB5" w:rsidRPr="00B35A22">
        <w:rPr>
          <w:sz w:val="22"/>
          <w:lang w:val="sr-Latn-ME"/>
        </w:rPr>
        <w:t xml:space="preserve"> </w:t>
      </w:r>
      <w:r w:rsidRPr="00B35A22">
        <w:rPr>
          <w:sz w:val="22"/>
          <w:lang w:val="sr-Latn-ME"/>
        </w:rPr>
        <w:t>(0,</w:t>
      </w:r>
      <w:r w:rsidR="00B04DB5" w:rsidRPr="00B35A22">
        <w:rPr>
          <w:sz w:val="22"/>
          <w:szCs w:val="22"/>
          <w:lang w:val="sr-Latn-ME"/>
        </w:rPr>
        <w:t>8</w:t>
      </w:r>
      <w:r w:rsidRPr="00B35A22">
        <w:rPr>
          <w:sz w:val="22"/>
          <w:lang w:val="sr-Latn-ME"/>
        </w:rPr>
        <w:t>%) pacijenata. Pneumonitis koji je zahtijevao primjenu kortikosteroida zabilježen je kod 1,</w:t>
      </w:r>
      <w:r w:rsidR="00B04DB5" w:rsidRPr="00B35A22">
        <w:rPr>
          <w:sz w:val="22"/>
          <w:szCs w:val="22"/>
          <w:lang w:val="sr-Latn-ME"/>
        </w:rPr>
        <w:t>8</w:t>
      </w:r>
      <w:r w:rsidRPr="00B35A22">
        <w:rPr>
          <w:sz w:val="22"/>
          <w:szCs w:val="22"/>
          <w:lang w:val="sr-Latn-ME"/>
        </w:rPr>
        <w:t>% (</w:t>
      </w:r>
      <w:r w:rsidR="00B04DB5" w:rsidRPr="00B35A22">
        <w:rPr>
          <w:sz w:val="22"/>
          <w:szCs w:val="22"/>
          <w:lang w:val="sr-Latn-ME"/>
        </w:rPr>
        <w:t>92</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3744CB" w:rsidRPr="00B35A22">
        <w:rPr>
          <w:sz w:val="22"/>
          <w:lang w:val="sr-Latn-ME"/>
        </w:rPr>
        <w:t xml:space="preserve"> u monoterapiji</w:t>
      </w:r>
      <w:r w:rsidRPr="00B35A22">
        <w:rPr>
          <w:sz w:val="22"/>
          <w:lang w:val="sr-Latn-ME"/>
        </w:rPr>
        <w:t xml:space="preserve">. </w:t>
      </w:r>
    </w:p>
    <w:p w14:paraId="6CD6B68E" w14:textId="77777777" w:rsidR="001B6DA8" w:rsidRPr="00B35A22" w:rsidRDefault="001B6DA8" w:rsidP="00B35A22">
      <w:pPr>
        <w:widowControl w:val="0"/>
        <w:jc w:val="both"/>
        <w:rPr>
          <w:i/>
          <w:sz w:val="22"/>
          <w:u w:val="single"/>
          <w:lang w:val="sr-Latn-ME"/>
        </w:rPr>
      </w:pPr>
    </w:p>
    <w:p w14:paraId="750874F5" w14:textId="040FCA76" w:rsidR="000A26D9" w:rsidRPr="00B35A22" w:rsidRDefault="000A26D9" w:rsidP="00B35A22">
      <w:pPr>
        <w:widowControl w:val="0"/>
        <w:jc w:val="both"/>
        <w:rPr>
          <w:i/>
          <w:sz w:val="22"/>
          <w:u w:val="single"/>
          <w:lang w:val="sr-Latn-ME"/>
        </w:rPr>
      </w:pPr>
      <w:r w:rsidRPr="00B35A22">
        <w:rPr>
          <w:i/>
          <w:sz w:val="22"/>
          <w:u w:val="single"/>
          <w:lang w:val="sr-Latn-ME"/>
        </w:rPr>
        <w:t xml:space="preserve">Imunološki prouzrokovan hepatitis </w:t>
      </w:r>
    </w:p>
    <w:p w14:paraId="607BD4FC" w14:textId="3E2CD86D" w:rsidR="000A26D9" w:rsidRPr="00B35A22" w:rsidRDefault="000A26D9" w:rsidP="00B35A22">
      <w:pPr>
        <w:widowControl w:val="0"/>
        <w:jc w:val="both"/>
        <w:rPr>
          <w:sz w:val="22"/>
          <w:lang w:val="sr-Latn-ME"/>
        </w:rPr>
      </w:pPr>
      <w:r w:rsidRPr="00B35A22">
        <w:rPr>
          <w:sz w:val="22"/>
          <w:lang w:val="sr-Latn-ME"/>
        </w:rPr>
        <w:t xml:space="preserve">Hepatitis se javio kod </w:t>
      </w:r>
      <w:r w:rsidR="00A46209" w:rsidRPr="00B35A22">
        <w:rPr>
          <w:sz w:val="22"/>
          <w:lang w:val="sr-Latn-ME"/>
        </w:rPr>
        <w:t>1,</w:t>
      </w:r>
      <w:r w:rsidR="00A56863" w:rsidRPr="00B35A22">
        <w:rPr>
          <w:sz w:val="22"/>
          <w:lang w:val="sr-Latn-ME"/>
        </w:rPr>
        <w:t>7</w:t>
      </w:r>
      <w:r w:rsidRPr="00B35A22">
        <w:rPr>
          <w:sz w:val="22"/>
          <w:lang w:val="sr-Latn-ME"/>
        </w:rPr>
        <w:t>% (</w:t>
      </w:r>
      <w:r w:rsidR="00B04DB5" w:rsidRPr="00B35A22">
        <w:rPr>
          <w:sz w:val="22"/>
          <w:szCs w:val="22"/>
          <w:lang w:val="sr-Latn-ME"/>
        </w:rPr>
        <w:t>88</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164423" w:rsidRPr="00B35A22">
        <w:rPr>
          <w:sz w:val="22"/>
          <w:lang w:val="sr-Latn-ME"/>
        </w:rPr>
        <w:t xml:space="preserve"> kao monoterapiju</w:t>
      </w:r>
      <w:r w:rsidRPr="00B35A22">
        <w:rPr>
          <w:sz w:val="22"/>
          <w:lang w:val="sr-Latn-ME"/>
        </w:rPr>
        <w:t xml:space="preserve">. Kod </w:t>
      </w:r>
      <w:r w:rsidR="00ED0A36" w:rsidRPr="00B35A22">
        <w:rPr>
          <w:sz w:val="22"/>
          <w:szCs w:val="22"/>
          <w:lang w:val="sr-Latn-ME"/>
        </w:rPr>
        <w:t>troje</w:t>
      </w:r>
      <w:r w:rsidR="00B04DB5" w:rsidRPr="00B35A22">
        <w:rPr>
          <w:sz w:val="22"/>
          <w:lang w:val="sr-Latn-ME"/>
        </w:rPr>
        <w:t xml:space="preserve"> </w:t>
      </w:r>
      <w:r w:rsidRPr="00B35A22">
        <w:rPr>
          <w:sz w:val="22"/>
          <w:lang w:val="sr-Latn-ME"/>
        </w:rPr>
        <w:t xml:space="preserve">od </w:t>
      </w:r>
      <w:r w:rsidR="00B04DB5" w:rsidRPr="00B35A22">
        <w:rPr>
          <w:sz w:val="22"/>
          <w:szCs w:val="22"/>
          <w:lang w:val="sr-Latn-ME"/>
        </w:rPr>
        <w:t>88</w:t>
      </w:r>
      <w:r w:rsidR="00FD1DA9" w:rsidRPr="00B35A22">
        <w:rPr>
          <w:sz w:val="22"/>
          <w:lang w:val="sr-Latn-ME"/>
        </w:rPr>
        <w:t xml:space="preserve"> </w:t>
      </w:r>
      <w:r w:rsidRPr="00B35A22">
        <w:rPr>
          <w:sz w:val="22"/>
          <w:lang w:val="sr-Latn-ME"/>
        </w:rPr>
        <w:t>pacijenata zabilježen je smrtni ishod. Medijana vremena do nastupa iznosila je 1,</w:t>
      </w:r>
      <w:r w:rsidR="00B04DB5" w:rsidRPr="00B35A22">
        <w:rPr>
          <w:sz w:val="22"/>
          <w:szCs w:val="22"/>
          <w:lang w:val="sr-Latn-ME"/>
        </w:rPr>
        <w:t>4</w:t>
      </w:r>
      <w:r w:rsidR="00A01D19" w:rsidRPr="00B35A22">
        <w:rPr>
          <w:sz w:val="22"/>
          <w:szCs w:val="22"/>
          <w:lang w:val="sr-Latn-ME"/>
        </w:rPr>
        <w:t xml:space="preserve"> </w:t>
      </w:r>
      <w:r w:rsidRPr="00B35A22">
        <w:rPr>
          <w:sz w:val="22"/>
          <w:szCs w:val="22"/>
          <w:lang w:val="sr-Latn-ME"/>
        </w:rPr>
        <w:t>mjesec</w:t>
      </w:r>
      <w:r w:rsidR="00164423" w:rsidRPr="00B35A22">
        <w:rPr>
          <w:sz w:val="22"/>
          <w:szCs w:val="22"/>
          <w:lang w:val="sr-Latn-ME"/>
        </w:rPr>
        <w:t>i</w:t>
      </w:r>
      <w:r w:rsidRPr="00B35A22">
        <w:rPr>
          <w:sz w:val="22"/>
          <w:lang w:val="sr-Latn-ME"/>
        </w:rPr>
        <w:t xml:space="preserve"> (raspon od </w:t>
      </w:r>
      <w:r w:rsidR="00B04DB5" w:rsidRPr="00B35A22">
        <w:rPr>
          <w:sz w:val="22"/>
          <w:szCs w:val="22"/>
          <w:lang w:val="sr-Latn-ME"/>
        </w:rPr>
        <w:t>0</w:t>
      </w:r>
      <w:r w:rsidR="00B04DB5" w:rsidRPr="00B35A22">
        <w:rPr>
          <w:sz w:val="22"/>
          <w:lang w:val="sr-Latn-ME"/>
        </w:rPr>
        <w:t xml:space="preserve"> </w:t>
      </w:r>
      <w:r w:rsidRPr="00B35A22">
        <w:rPr>
          <w:sz w:val="22"/>
          <w:lang w:val="sr-Latn-ME"/>
        </w:rPr>
        <w:t xml:space="preserve">dana do </w:t>
      </w:r>
      <w:r w:rsidR="00B04DB5" w:rsidRPr="00B35A22">
        <w:rPr>
          <w:sz w:val="22"/>
          <w:szCs w:val="22"/>
          <w:lang w:val="sr-Latn-ME"/>
        </w:rPr>
        <w:t>26,3</w:t>
      </w:r>
      <w:r w:rsidRPr="00B35A22">
        <w:rPr>
          <w:sz w:val="22"/>
          <w:lang w:val="sr-Latn-ME"/>
        </w:rPr>
        <w:t xml:space="preserve"> mjeseci). Medijana trajanja iznosila</w:t>
      </w:r>
      <w:r w:rsidR="00A01D19" w:rsidRPr="00B35A22">
        <w:rPr>
          <w:sz w:val="22"/>
          <w:lang w:val="sr-Latn-ME"/>
        </w:rPr>
        <w:t xml:space="preserve"> je</w:t>
      </w:r>
      <w:r w:rsidRPr="00B35A22">
        <w:rPr>
          <w:sz w:val="22"/>
          <w:lang w:val="sr-Latn-ME"/>
        </w:rPr>
        <w:t xml:space="preserve"> </w:t>
      </w:r>
      <w:r w:rsidR="00FD1DA9" w:rsidRPr="00B35A22">
        <w:rPr>
          <w:sz w:val="22"/>
          <w:lang w:val="sr-Latn-ME"/>
        </w:rPr>
        <w:t>1,9</w:t>
      </w:r>
      <w:r w:rsidRPr="00B35A22">
        <w:rPr>
          <w:sz w:val="22"/>
          <w:lang w:val="sr-Latn-ME"/>
        </w:rPr>
        <w:t xml:space="preserve"> mjesec</w:t>
      </w:r>
      <w:r w:rsidR="00164423" w:rsidRPr="00B35A22">
        <w:rPr>
          <w:sz w:val="22"/>
          <w:lang w:val="sr-Latn-ME"/>
        </w:rPr>
        <w:t>i</w:t>
      </w:r>
      <w:r w:rsidRPr="00B35A22">
        <w:rPr>
          <w:sz w:val="22"/>
          <w:lang w:val="sr-Latn-ME"/>
        </w:rPr>
        <w:t xml:space="preserve"> (raspon od </w:t>
      </w:r>
      <w:r w:rsidR="00B04DB5" w:rsidRPr="00B35A22">
        <w:rPr>
          <w:sz w:val="22"/>
          <w:szCs w:val="22"/>
          <w:lang w:val="sr-Latn-ME"/>
        </w:rPr>
        <w:t>0</w:t>
      </w:r>
      <w:r w:rsidR="00B04DB5" w:rsidRPr="00B35A22">
        <w:rPr>
          <w:sz w:val="22"/>
          <w:lang w:val="sr-Latn-ME"/>
        </w:rPr>
        <w:t xml:space="preserve"> </w:t>
      </w:r>
      <w:r w:rsidRPr="00B35A22">
        <w:rPr>
          <w:sz w:val="22"/>
          <w:lang w:val="sr-Latn-ME"/>
        </w:rPr>
        <w:t xml:space="preserve">dana do </w:t>
      </w:r>
      <w:r w:rsidR="00164423" w:rsidRPr="00B35A22">
        <w:rPr>
          <w:sz w:val="22"/>
          <w:lang w:val="sr-Latn-ME"/>
        </w:rPr>
        <w:t xml:space="preserve"> </w:t>
      </w:r>
      <w:r w:rsidR="00B04DB5" w:rsidRPr="00B35A22">
        <w:rPr>
          <w:sz w:val="22"/>
          <w:szCs w:val="22"/>
          <w:lang w:val="sr-Latn-ME"/>
        </w:rPr>
        <w:t>52,1</w:t>
      </w:r>
      <w:r w:rsidRPr="00B35A22">
        <w:rPr>
          <w:sz w:val="22"/>
          <w:lang w:val="sr-Latn-ME"/>
        </w:rPr>
        <w:t>+ mjeseci; ‘+’ označava cenzuri</w:t>
      </w:r>
      <w:r w:rsidR="008D7D40" w:rsidRPr="00B35A22">
        <w:rPr>
          <w:sz w:val="22"/>
          <w:lang w:val="sr-Latn-ME"/>
        </w:rPr>
        <w:t>sanu</w:t>
      </w:r>
      <w:r w:rsidRPr="00B35A22">
        <w:rPr>
          <w:sz w:val="22"/>
          <w:lang w:val="sr-Latn-ME"/>
        </w:rPr>
        <w:t xml:space="preserve"> vrijednost). Hepatitis je doveo do prekida liječenja atezolizumabom kod  </w:t>
      </w:r>
      <w:r w:rsidR="00B04DB5" w:rsidRPr="00B35A22">
        <w:rPr>
          <w:sz w:val="22"/>
          <w:szCs w:val="22"/>
          <w:lang w:val="sr-Latn-ME"/>
        </w:rPr>
        <w:t>46</w:t>
      </w:r>
      <w:r w:rsidR="00B04DB5" w:rsidRPr="00B35A22">
        <w:rPr>
          <w:sz w:val="22"/>
          <w:lang w:val="sr-Latn-ME"/>
        </w:rPr>
        <w:t xml:space="preserve"> </w:t>
      </w:r>
      <w:r w:rsidRPr="00B35A22">
        <w:rPr>
          <w:sz w:val="22"/>
          <w:lang w:val="sr-Latn-ME"/>
        </w:rPr>
        <w:t>(0,</w:t>
      </w:r>
      <w:r w:rsidR="00B04DB5" w:rsidRPr="00B35A22">
        <w:rPr>
          <w:sz w:val="22"/>
          <w:szCs w:val="22"/>
          <w:lang w:val="sr-Latn-ME"/>
        </w:rPr>
        <w:t>9</w:t>
      </w:r>
      <w:r w:rsidRPr="00B35A22">
        <w:rPr>
          <w:sz w:val="22"/>
          <w:lang w:val="sr-Latn-ME"/>
        </w:rPr>
        <w:t xml:space="preserve">%) pacijenata. Hepatitis koji je zahtijevao primjenu kortikosteroida zabilježen je kod </w:t>
      </w:r>
      <w:r w:rsidR="00B04DB5" w:rsidRPr="00B35A22">
        <w:rPr>
          <w:sz w:val="22"/>
          <w:szCs w:val="22"/>
          <w:lang w:val="sr-Latn-ME"/>
        </w:rPr>
        <w:t>2</w:t>
      </w:r>
      <w:r w:rsidR="00B04DB5" w:rsidRPr="00B35A22">
        <w:rPr>
          <w:sz w:val="22"/>
          <w:lang w:val="sr-Latn-ME"/>
        </w:rPr>
        <w:t>,6</w:t>
      </w:r>
      <w:r w:rsidRPr="00B35A22">
        <w:rPr>
          <w:sz w:val="22"/>
          <w:lang w:val="sr-Latn-ME"/>
        </w:rPr>
        <w:t>% (</w:t>
      </w:r>
      <w:r w:rsidR="00B04DB5" w:rsidRPr="00B35A22">
        <w:rPr>
          <w:sz w:val="22"/>
          <w:szCs w:val="22"/>
          <w:lang w:val="sr-Latn-ME"/>
        </w:rPr>
        <w:t>130</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164423" w:rsidRPr="00B35A22">
        <w:rPr>
          <w:sz w:val="22"/>
          <w:lang w:val="sr-Latn-ME"/>
        </w:rPr>
        <w:t xml:space="preserve"> kao monoterapiju</w:t>
      </w:r>
      <w:r w:rsidRPr="00B35A22">
        <w:rPr>
          <w:sz w:val="22"/>
          <w:lang w:val="sr-Latn-ME"/>
        </w:rPr>
        <w:t xml:space="preserve">. </w:t>
      </w:r>
    </w:p>
    <w:p w14:paraId="09A6BCAA" w14:textId="77777777" w:rsidR="000A26D9" w:rsidRPr="00B35A22" w:rsidRDefault="000A26D9" w:rsidP="00B35A22">
      <w:pPr>
        <w:widowControl w:val="0"/>
        <w:jc w:val="both"/>
        <w:rPr>
          <w:sz w:val="22"/>
          <w:lang w:val="sr-Latn-ME"/>
        </w:rPr>
      </w:pPr>
    </w:p>
    <w:p w14:paraId="5CA07590"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kolitis</w:t>
      </w:r>
    </w:p>
    <w:p w14:paraId="0D9EC458" w14:textId="29727942" w:rsidR="000A26D9" w:rsidRPr="00B35A22" w:rsidRDefault="000A26D9" w:rsidP="00B35A22">
      <w:pPr>
        <w:widowControl w:val="0"/>
        <w:jc w:val="both"/>
        <w:rPr>
          <w:i/>
          <w:sz w:val="22"/>
          <w:lang w:val="sr-Latn-ME"/>
        </w:rPr>
      </w:pPr>
      <w:r w:rsidRPr="00B35A22">
        <w:rPr>
          <w:sz w:val="22"/>
          <w:lang w:val="sr-Latn-ME"/>
        </w:rPr>
        <w:t>Kolitis se javio kod 1,</w:t>
      </w:r>
      <w:r w:rsidR="00FD1DA9" w:rsidRPr="00B35A22">
        <w:rPr>
          <w:sz w:val="22"/>
          <w:lang w:val="sr-Latn-ME"/>
        </w:rPr>
        <w:t>2</w:t>
      </w:r>
      <w:r w:rsidRPr="00B35A22">
        <w:rPr>
          <w:sz w:val="22"/>
          <w:lang w:val="sr-Latn-ME"/>
        </w:rPr>
        <w:t>% (</w:t>
      </w:r>
      <w:r w:rsidR="00B04DB5" w:rsidRPr="00B35A22">
        <w:rPr>
          <w:sz w:val="22"/>
          <w:szCs w:val="22"/>
          <w:lang w:val="sr-Latn-ME"/>
        </w:rPr>
        <w:t>62</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164423" w:rsidRPr="00B35A22">
        <w:rPr>
          <w:sz w:val="22"/>
          <w:lang w:val="sr-Latn-ME"/>
        </w:rPr>
        <w:t xml:space="preserve"> kao monoterapiju</w:t>
      </w:r>
      <w:r w:rsidRPr="00B35A22">
        <w:rPr>
          <w:sz w:val="22"/>
          <w:lang w:val="sr-Latn-ME"/>
        </w:rPr>
        <w:t xml:space="preserve">. Medijana vremena do nastupa iznosila je </w:t>
      </w:r>
      <w:r w:rsidR="00FD1DA9" w:rsidRPr="00B35A22">
        <w:rPr>
          <w:sz w:val="22"/>
          <w:lang w:val="sr-Latn-ME"/>
        </w:rPr>
        <w:t>4,</w:t>
      </w:r>
      <w:r w:rsidR="00B04DB5" w:rsidRPr="00B35A22">
        <w:rPr>
          <w:sz w:val="22"/>
          <w:szCs w:val="22"/>
          <w:lang w:val="sr-Latn-ME"/>
        </w:rPr>
        <w:t>5</w:t>
      </w:r>
      <w:r w:rsidR="00B04DB5" w:rsidRPr="00B35A22">
        <w:rPr>
          <w:sz w:val="22"/>
          <w:lang w:val="sr-Latn-ME"/>
        </w:rPr>
        <w:t xml:space="preserve"> </w:t>
      </w:r>
      <w:r w:rsidRPr="00B35A22">
        <w:rPr>
          <w:sz w:val="22"/>
          <w:lang w:val="sr-Latn-ME"/>
        </w:rPr>
        <w:t>mjesec</w:t>
      </w:r>
      <w:r w:rsidR="00830CC2" w:rsidRPr="00B35A22">
        <w:rPr>
          <w:sz w:val="22"/>
          <w:lang w:val="sr-Latn-ME"/>
        </w:rPr>
        <w:t>i</w:t>
      </w:r>
      <w:r w:rsidRPr="00B35A22">
        <w:rPr>
          <w:sz w:val="22"/>
          <w:lang w:val="sr-Latn-ME"/>
        </w:rPr>
        <w:t xml:space="preserve"> (raspon od 15 dana do </w:t>
      </w:r>
      <w:r w:rsidR="00B04DB5" w:rsidRPr="00B35A22">
        <w:rPr>
          <w:sz w:val="22"/>
          <w:szCs w:val="22"/>
          <w:lang w:val="sr-Latn-ME"/>
        </w:rPr>
        <w:t>36,4</w:t>
      </w:r>
      <w:r w:rsidRPr="00B35A22">
        <w:rPr>
          <w:sz w:val="22"/>
          <w:lang w:val="sr-Latn-ME"/>
        </w:rPr>
        <w:t xml:space="preserve"> mjeseca). Medijana trajanja </w:t>
      </w:r>
      <w:r w:rsidRPr="00B35A22">
        <w:rPr>
          <w:sz w:val="22"/>
          <w:lang w:val="sr-Latn-ME"/>
        </w:rPr>
        <w:lastRenderedPageBreak/>
        <w:t>iznosila je 1,</w:t>
      </w:r>
      <w:r w:rsidR="00FD1DA9" w:rsidRPr="00B35A22">
        <w:rPr>
          <w:sz w:val="22"/>
          <w:lang w:val="sr-Latn-ME"/>
        </w:rPr>
        <w:t xml:space="preserve">4 </w:t>
      </w:r>
      <w:r w:rsidRPr="00B35A22">
        <w:rPr>
          <w:sz w:val="22"/>
          <w:lang w:val="sr-Latn-ME"/>
        </w:rPr>
        <w:t>mjesec</w:t>
      </w:r>
      <w:r w:rsidR="008D7D40" w:rsidRPr="00B35A22">
        <w:rPr>
          <w:sz w:val="22"/>
          <w:lang w:val="sr-Latn-ME"/>
        </w:rPr>
        <w:t>i</w:t>
      </w:r>
      <w:r w:rsidRPr="00B35A22">
        <w:rPr>
          <w:sz w:val="22"/>
          <w:lang w:val="sr-Latn-ME"/>
        </w:rPr>
        <w:t xml:space="preserve"> (raspon od  </w:t>
      </w:r>
      <w:r w:rsidR="00FD1DA9" w:rsidRPr="00B35A22">
        <w:rPr>
          <w:sz w:val="22"/>
          <w:lang w:val="sr-Latn-ME"/>
        </w:rPr>
        <w:t xml:space="preserve">3 </w:t>
      </w:r>
      <w:r w:rsidRPr="00B35A22">
        <w:rPr>
          <w:sz w:val="22"/>
          <w:lang w:val="sr-Latn-ME"/>
        </w:rPr>
        <w:t xml:space="preserve">dana do </w:t>
      </w:r>
      <w:r w:rsidR="00FD1DA9" w:rsidRPr="00B35A22">
        <w:rPr>
          <w:sz w:val="22"/>
          <w:lang w:val="sr-Latn-ME"/>
        </w:rPr>
        <w:t>50,2</w:t>
      </w:r>
      <w:r w:rsidRPr="00B35A22">
        <w:rPr>
          <w:sz w:val="22"/>
          <w:lang w:val="sr-Latn-ME"/>
        </w:rPr>
        <w:t>+ mjeseci; ‘+’ označava cenzuri</w:t>
      </w:r>
      <w:r w:rsidR="008D7D40" w:rsidRPr="00B35A22">
        <w:rPr>
          <w:sz w:val="22"/>
          <w:lang w:val="sr-Latn-ME"/>
        </w:rPr>
        <w:t>sanu</w:t>
      </w:r>
      <w:r w:rsidRPr="00B35A22">
        <w:rPr>
          <w:sz w:val="22"/>
          <w:lang w:val="sr-Latn-ME"/>
        </w:rPr>
        <w:t xml:space="preserve"> vrijednost). Kolitis je doveo do prekida liječenja atezolizumabom kod </w:t>
      </w:r>
      <w:r w:rsidR="00B04DB5" w:rsidRPr="00B35A22">
        <w:rPr>
          <w:sz w:val="22"/>
          <w:szCs w:val="22"/>
          <w:lang w:val="sr-Latn-ME"/>
        </w:rPr>
        <w:t>24</w:t>
      </w:r>
      <w:r w:rsidR="00A01D19" w:rsidRPr="00B35A22">
        <w:rPr>
          <w:sz w:val="22"/>
          <w:szCs w:val="22"/>
          <w:lang w:val="sr-Latn-ME"/>
        </w:rPr>
        <w:t xml:space="preserve"> </w:t>
      </w:r>
      <w:r w:rsidRPr="00B35A22">
        <w:rPr>
          <w:sz w:val="22"/>
          <w:lang w:val="sr-Latn-ME"/>
        </w:rPr>
        <w:t>(0,</w:t>
      </w:r>
      <w:r w:rsidR="00FD1DA9" w:rsidRPr="00B35A22">
        <w:rPr>
          <w:sz w:val="22"/>
          <w:lang w:val="sr-Latn-ME"/>
        </w:rPr>
        <w:t>5</w:t>
      </w:r>
      <w:r w:rsidRPr="00B35A22">
        <w:rPr>
          <w:sz w:val="22"/>
          <w:lang w:val="sr-Latn-ME"/>
        </w:rPr>
        <w:t>%) pacijenata. Kolitis koji je zahtijevao primjenu kortikosteroida zabilježen je kod 0,</w:t>
      </w:r>
      <w:r w:rsidR="00A56863" w:rsidRPr="00B35A22">
        <w:rPr>
          <w:sz w:val="22"/>
          <w:lang w:val="sr-Latn-ME"/>
        </w:rPr>
        <w:t>6</w:t>
      </w:r>
      <w:r w:rsidRPr="00B35A22">
        <w:rPr>
          <w:sz w:val="22"/>
          <w:lang w:val="sr-Latn-ME"/>
        </w:rPr>
        <w:t xml:space="preserve">% </w:t>
      </w:r>
      <w:r w:rsidR="00A01D19" w:rsidRPr="00B35A22">
        <w:rPr>
          <w:sz w:val="22"/>
          <w:lang w:val="sr-Latn-ME"/>
        </w:rPr>
        <w:t>(</w:t>
      </w:r>
      <w:r w:rsidR="00B04DB5" w:rsidRPr="00B35A22">
        <w:rPr>
          <w:sz w:val="22"/>
          <w:szCs w:val="22"/>
          <w:lang w:val="sr-Latn-ME"/>
        </w:rPr>
        <w:t>30</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DB709C" w:rsidRPr="00B35A22">
        <w:rPr>
          <w:sz w:val="22"/>
          <w:lang w:val="sr-Latn-ME"/>
        </w:rPr>
        <w:t xml:space="preserve"> kao monoterapiju</w:t>
      </w:r>
      <w:r w:rsidRPr="00B35A22">
        <w:rPr>
          <w:sz w:val="22"/>
          <w:lang w:val="sr-Latn-ME"/>
        </w:rPr>
        <w:t>.</w:t>
      </w:r>
    </w:p>
    <w:p w14:paraId="11CC7A95" w14:textId="20FBBE17" w:rsidR="008D7D40" w:rsidRPr="00B35A22" w:rsidRDefault="008D7D40" w:rsidP="00B35A22">
      <w:pPr>
        <w:widowControl w:val="0"/>
        <w:jc w:val="both"/>
        <w:rPr>
          <w:i/>
          <w:sz w:val="22"/>
          <w:lang w:val="sr-Latn-ME"/>
        </w:rPr>
      </w:pPr>
    </w:p>
    <w:p w14:paraId="1EDF1FD7" w14:textId="0BD96723" w:rsidR="000A26D9" w:rsidRPr="00B35A22" w:rsidRDefault="000A26D9" w:rsidP="00B35A22">
      <w:pPr>
        <w:widowControl w:val="0"/>
        <w:jc w:val="both"/>
        <w:rPr>
          <w:i/>
          <w:sz w:val="22"/>
          <w:u w:val="single"/>
          <w:lang w:val="sr-Latn-ME"/>
        </w:rPr>
      </w:pPr>
      <w:r w:rsidRPr="00B35A22">
        <w:rPr>
          <w:i/>
          <w:sz w:val="22"/>
          <w:u w:val="single"/>
          <w:lang w:val="sr-Latn-ME"/>
        </w:rPr>
        <w:t xml:space="preserve">Imunološki prouzrokovane endokrinopatije </w:t>
      </w:r>
    </w:p>
    <w:p w14:paraId="2E566835" w14:textId="4017015E" w:rsidR="00DB709C" w:rsidRPr="00B35A22" w:rsidRDefault="00DB709C" w:rsidP="00B35A22">
      <w:pPr>
        <w:widowControl w:val="0"/>
        <w:jc w:val="both"/>
        <w:rPr>
          <w:i/>
          <w:sz w:val="22"/>
          <w:u w:val="single"/>
          <w:lang w:val="sr-Latn-ME"/>
        </w:rPr>
      </w:pPr>
    </w:p>
    <w:p w14:paraId="19552F2E" w14:textId="1AFC2D58" w:rsidR="00DB709C" w:rsidRPr="00B35A22" w:rsidRDefault="00DB709C" w:rsidP="00B35A22">
      <w:pPr>
        <w:widowControl w:val="0"/>
        <w:tabs>
          <w:tab w:val="left" w:pos="284"/>
        </w:tabs>
        <w:jc w:val="both"/>
        <w:rPr>
          <w:i/>
          <w:sz w:val="22"/>
          <w:lang w:val="sr-Latn-ME"/>
        </w:rPr>
      </w:pPr>
      <w:r w:rsidRPr="00B35A22">
        <w:rPr>
          <w:i/>
          <w:sz w:val="22"/>
          <w:lang w:val="sr-Latn-ME"/>
        </w:rPr>
        <w:t>Poremećaji štitne žl</w:t>
      </w:r>
      <w:r w:rsidR="008D7D40" w:rsidRPr="00B35A22">
        <w:rPr>
          <w:i/>
          <w:sz w:val="22"/>
          <w:lang w:val="sr-Latn-ME"/>
        </w:rPr>
        <w:t>ij</w:t>
      </w:r>
      <w:r w:rsidRPr="00B35A22">
        <w:rPr>
          <w:i/>
          <w:sz w:val="22"/>
          <w:lang w:val="sr-Latn-ME"/>
        </w:rPr>
        <w:t>ezde</w:t>
      </w:r>
    </w:p>
    <w:p w14:paraId="4D9C5049" w14:textId="77777777" w:rsidR="00DB709C" w:rsidRPr="00B35A22" w:rsidRDefault="00DB709C" w:rsidP="00B35A22">
      <w:pPr>
        <w:widowControl w:val="0"/>
        <w:jc w:val="both"/>
        <w:rPr>
          <w:i/>
          <w:sz w:val="22"/>
          <w:u w:val="single"/>
          <w:lang w:val="sr-Latn-ME"/>
        </w:rPr>
      </w:pPr>
    </w:p>
    <w:p w14:paraId="56313BC6" w14:textId="27A2A149" w:rsidR="00A56863" w:rsidRPr="00B35A22" w:rsidRDefault="000A26D9" w:rsidP="00B35A22">
      <w:pPr>
        <w:widowControl w:val="0"/>
        <w:jc w:val="both"/>
        <w:rPr>
          <w:sz w:val="22"/>
          <w:lang w:val="sr-Latn-ME"/>
        </w:rPr>
      </w:pPr>
      <w:r w:rsidRPr="00B35A22">
        <w:rPr>
          <w:sz w:val="22"/>
          <w:lang w:val="sr-Latn-ME"/>
        </w:rPr>
        <w:t xml:space="preserve">Hipotireoza se javila kod </w:t>
      </w:r>
      <w:r w:rsidR="00FD1DA9" w:rsidRPr="00B35A22">
        <w:rPr>
          <w:sz w:val="22"/>
          <w:lang w:val="sr-Latn-ME"/>
        </w:rPr>
        <w:t>8,</w:t>
      </w:r>
      <w:r w:rsidR="00B04DB5" w:rsidRPr="00B35A22">
        <w:rPr>
          <w:sz w:val="22"/>
          <w:szCs w:val="22"/>
          <w:lang w:val="sr-Latn-ME"/>
        </w:rPr>
        <w:t>5</w:t>
      </w:r>
      <w:r w:rsidRPr="00B35A22">
        <w:rPr>
          <w:sz w:val="22"/>
          <w:szCs w:val="22"/>
          <w:lang w:val="sr-Latn-ME"/>
        </w:rPr>
        <w:t>% (</w:t>
      </w:r>
      <w:r w:rsidR="00B04DB5" w:rsidRPr="00B35A22">
        <w:rPr>
          <w:sz w:val="22"/>
          <w:szCs w:val="22"/>
          <w:lang w:val="sr-Latn-ME"/>
        </w:rPr>
        <w:t>427</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DB709C" w:rsidRPr="00B35A22">
        <w:rPr>
          <w:sz w:val="22"/>
          <w:lang w:val="sr-Latn-ME"/>
        </w:rPr>
        <w:t xml:space="preserve"> kao monoterapiju</w:t>
      </w:r>
      <w:r w:rsidRPr="00B35A22">
        <w:rPr>
          <w:sz w:val="22"/>
          <w:lang w:val="sr-Latn-ME"/>
        </w:rPr>
        <w:t xml:space="preserve">. Medijana vremena do nastupa iznosila je </w:t>
      </w:r>
      <w:r w:rsidR="00DB709C" w:rsidRPr="00B35A22">
        <w:rPr>
          <w:sz w:val="22"/>
          <w:lang w:val="sr-Latn-ME"/>
        </w:rPr>
        <w:t>4,</w:t>
      </w:r>
      <w:r w:rsidR="00FD1DA9" w:rsidRPr="00B35A22">
        <w:rPr>
          <w:sz w:val="22"/>
          <w:lang w:val="sr-Latn-ME"/>
        </w:rPr>
        <w:t xml:space="preserve">2  </w:t>
      </w:r>
      <w:r w:rsidR="00241BDE" w:rsidRPr="00B35A22">
        <w:rPr>
          <w:sz w:val="22"/>
          <w:lang w:val="sr-Latn-ME"/>
        </w:rPr>
        <w:t xml:space="preserve">mjeseci </w:t>
      </w:r>
      <w:r w:rsidRPr="00B35A22">
        <w:rPr>
          <w:sz w:val="22"/>
          <w:lang w:val="sr-Latn-ME"/>
        </w:rPr>
        <w:t xml:space="preserve">(raspon od </w:t>
      </w:r>
      <w:r w:rsidR="00B04DB5" w:rsidRPr="00B35A22">
        <w:rPr>
          <w:sz w:val="22"/>
          <w:szCs w:val="22"/>
          <w:lang w:val="sr-Latn-ME"/>
        </w:rPr>
        <w:t>0</w:t>
      </w:r>
      <w:r w:rsidR="00B04DB5" w:rsidRPr="00B35A22">
        <w:rPr>
          <w:sz w:val="22"/>
          <w:lang w:val="sr-Latn-ME"/>
        </w:rPr>
        <w:t xml:space="preserve"> </w:t>
      </w:r>
      <w:r w:rsidRPr="00B35A22">
        <w:rPr>
          <w:sz w:val="22"/>
          <w:lang w:val="sr-Latn-ME"/>
        </w:rPr>
        <w:t xml:space="preserve">dana do </w:t>
      </w:r>
      <w:r w:rsidR="00B04DB5" w:rsidRPr="00B35A22">
        <w:rPr>
          <w:sz w:val="22"/>
          <w:szCs w:val="22"/>
          <w:lang w:val="sr-Latn-ME"/>
        </w:rPr>
        <w:t>38</w:t>
      </w:r>
      <w:r w:rsidR="00B04DB5" w:rsidRPr="00B35A22">
        <w:rPr>
          <w:sz w:val="22"/>
          <w:lang w:val="sr-Latn-ME"/>
        </w:rPr>
        <w:t>,5</w:t>
      </w:r>
      <w:r w:rsidRPr="00B35A22">
        <w:rPr>
          <w:sz w:val="22"/>
          <w:lang w:val="sr-Latn-ME"/>
        </w:rPr>
        <w:t xml:space="preserve"> </w:t>
      </w:r>
      <w:r w:rsidR="00241BDE" w:rsidRPr="00B35A22">
        <w:rPr>
          <w:sz w:val="22"/>
          <w:lang w:val="sr-Latn-ME"/>
        </w:rPr>
        <w:t>mjeseci</w:t>
      </w:r>
      <w:r w:rsidRPr="00B35A22">
        <w:rPr>
          <w:sz w:val="22"/>
          <w:lang w:val="sr-Latn-ME"/>
        </w:rPr>
        <w:t xml:space="preserve">). </w:t>
      </w:r>
      <w:r w:rsidR="00A56863" w:rsidRPr="00B35A22">
        <w:rPr>
          <w:sz w:val="22"/>
          <w:lang w:val="sr-Latn-ME"/>
        </w:rPr>
        <w:t>Hipotireoza se javila kod 17,4% (86/495) pacijenata koji su primali atezolizumab kao monoterapiju za adjuvantno liječenje NSCLC-a. Medijana vremena do pojave bila je 4,0 mjeseci (raspon od 22 dana do 11,8 mjeseci).</w:t>
      </w:r>
    </w:p>
    <w:p w14:paraId="04D57F7B" w14:textId="77777777" w:rsidR="00A56863" w:rsidRPr="00B35A22" w:rsidRDefault="00A56863" w:rsidP="00B35A22">
      <w:pPr>
        <w:widowControl w:val="0"/>
        <w:jc w:val="both"/>
        <w:rPr>
          <w:sz w:val="22"/>
          <w:lang w:val="sr-Latn-ME"/>
        </w:rPr>
      </w:pPr>
    </w:p>
    <w:p w14:paraId="70D53399" w14:textId="25122BDD" w:rsidR="000A26D9" w:rsidRPr="00B35A22" w:rsidRDefault="000A26D9" w:rsidP="00B35A22">
      <w:pPr>
        <w:widowControl w:val="0"/>
        <w:jc w:val="both"/>
        <w:rPr>
          <w:sz w:val="22"/>
          <w:lang w:val="sr-Latn-ME"/>
        </w:rPr>
      </w:pPr>
      <w:r w:rsidRPr="00B35A22">
        <w:rPr>
          <w:sz w:val="22"/>
          <w:lang w:val="sr-Latn-ME"/>
        </w:rPr>
        <w:t xml:space="preserve">Hipertireoza se javila kod </w:t>
      </w:r>
      <w:r w:rsidR="00A56863" w:rsidRPr="00B35A22">
        <w:rPr>
          <w:sz w:val="22"/>
          <w:lang w:val="sr-Latn-ME"/>
        </w:rPr>
        <w:t>2,</w:t>
      </w:r>
      <w:r w:rsidR="00FD1DA9" w:rsidRPr="00B35A22">
        <w:rPr>
          <w:sz w:val="22"/>
          <w:lang w:val="sr-Latn-ME"/>
        </w:rPr>
        <w:t>4</w:t>
      </w:r>
      <w:r w:rsidRPr="00B35A22">
        <w:rPr>
          <w:sz w:val="22"/>
          <w:lang w:val="sr-Latn-ME"/>
        </w:rPr>
        <w:t>% (</w:t>
      </w:r>
      <w:r w:rsidR="00B04DB5" w:rsidRPr="00B35A22">
        <w:rPr>
          <w:sz w:val="22"/>
          <w:szCs w:val="22"/>
          <w:lang w:val="sr-Latn-ME"/>
        </w:rPr>
        <w:t>124</w:t>
      </w:r>
      <w:r w:rsidR="00A56863"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DB709C" w:rsidRPr="00B35A22">
        <w:rPr>
          <w:sz w:val="22"/>
          <w:lang w:val="sr-Latn-ME"/>
        </w:rPr>
        <w:t xml:space="preserve"> kao monoterapiju</w:t>
      </w:r>
      <w:r w:rsidRPr="00B35A22">
        <w:rPr>
          <w:sz w:val="22"/>
          <w:lang w:val="sr-Latn-ME"/>
        </w:rPr>
        <w:t xml:space="preserve">. Medijana vremena do nastupa iznosila je </w:t>
      </w:r>
      <w:r w:rsidR="00DB709C" w:rsidRPr="00B35A22">
        <w:rPr>
          <w:sz w:val="22"/>
          <w:lang w:val="sr-Latn-ME"/>
        </w:rPr>
        <w:t>2,</w:t>
      </w:r>
      <w:r w:rsidR="00FD1DA9" w:rsidRPr="00B35A22">
        <w:rPr>
          <w:sz w:val="22"/>
          <w:szCs w:val="22"/>
          <w:lang w:val="sr-Latn-ME"/>
        </w:rPr>
        <w:t>7</w:t>
      </w:r>
      <w:r w:rsidR="00241BDE" w:rsidRPr="00B35A22">
        <w:rPr>
          <w:sz w:val="22"/>
          <w:lang w:val="sr-Latn-ME"/>
        </w:rPr>
        <w:t xml:space="preserve"> mjesec</w:t>
      </w:r>
      <w:r w:rsidR="00A56863" w:rsidRPr="00B35A22">
        <w:rPr>
          <w:sz w:val="22"/>
          <w:lang w:val="sr-Latn-ME"/>
        </w:rPr>
        <w:t>i</w:t>
      </w:r>
      <w:r w:rsidR="00241BDE" w:rsidRPr="00B35A22">
        <w:rPr>
          <w:sz w:val="22"/>
          <w:lang w:val="sr-Latn-ME"/>
        </w:rPr>
        <w:t xml:space="preserve"> </w:t>
      </w:r>
      <w:r w:rsidRPr="00B35A22">
        <w:rPr>
          <w:sz w:val="22"/>
          <w:lang w:val="sr-Latn-ME"/>
        </w:rPr>
        <w:t xml:space="preserve">(raspon od </w:t>
      </w:r>
      <w:r w:rsidR="00B04DB5" w:rsidRPr="00B35A22">
        <w:rPr>
          <w:sz w:val="22"/>
          <w:szCs w:val="22"/>
          <w:lang w:val="sr-Latn-ME"/>
        </w:rPr>
        <w:t xml:space="preserve">0 </w:t>
      </w:r>
      <w:r w:rsidRPr="00B35A22">
        <w:rPr>
          <w:sz w:val="22"/>
          <w:szCs w:val="22"/>
          <w:lang w:val="sr-Latn-ME"/>
        </w:rPr>
        <w:t>dan</w:t>
      </w:r>
      <w:r w:rsidR="00B04DB5" w:rsidRPr="00B35A22">
        <w:rPr>
          <w:sz w:val="22"/>
          <w:szCs w:val="22"/>
          <w:lang w:val="sr-Latn-ME"/>
        </w:rPr>
        <w:t>a</w:t>
      </w:r>
      <w:r w:rsidRPr="00B35A22">
        <w:rPr>
          <w:sz w:val="22"/>
          <w:lang w:val="sr-Latn-ME"/>
        </w:rPr>
        <w:t xml:space="preserve"> do </w:t>
      </w:r>
      <w:r w:rsidR="00241BDE" w:rsidRPr="00B35A22">
        <w:rPr>
          <w:sz w:val="22"/>
          <w:lang w:val="sr-Latn-ME"/>
        </w:rPr>
        <w:t>24,3</w:t>
      </w:r>
      <w:r w:rsidRPr="00B35A22">
        <w:rPr>
          <w:sz w:val="22"/>
          <w:lang w:val="sr-Latn-ME"/>
        </w:rPr>
        <w:t xml:space="preserve"> </w:t>
      </w:r>
      <w:r w:rsidR="00241BDE" w:rsidRPr="00B35A22">
        <w:rPr>
          <w:sz w:val="22"/>
          <w:lang w:val="sr-Latn-ME"/>
        </w:rPr>
        <w:t>mjeseca</w:t>
      </w:r>
      <w:r w:rsidRPr="00B35A22">
        <w:rPr>
          <w:sz w:val="22"/>
          <w:lang w:val="sr-Latn-ME"/>
        </w:rPr>
        <w:t>).</w:t>
      </w:r>
      <w:r w:rsidR="00A56863" w:rsidRPr="00B35A22">
        <w:rPr>
          <w:sz w:val="22"/>
          <w:lang w:val="sr-Latn-ME"/>
        </w:rPr>
        <w:t xml:space="preserve"> Hipertireoza se javila kod 6,5% (32/495) pacijenata koji su primali atezolizumab kao monoterapij</w:t>
      </w:r>
      <w:r w:rsidR="00A01D19" w:rsidRPr="00B35A22">
        <w:rPr>
          <w:sz w:val="22"/>
          <w:lang w:val="sr-Latn-ME"/>
        </w:rPr>
        <w:t>u</w:t>
      </w:r>
      <w:r w:rsidR="00A56863" w:rsidRPr="00B35A22">
        <w:rPr>
          <w:sz w:val="22"/>
          <w:lang w:val="sr-Latn-ME"/>
        </w:rPr>
        <w:t xml:space="preserve"> za adjuvantno liječenje NSCLC-a. Medijana vremena do pojave bila je 2,8 mjeseci (raspon od 1 dana do 9,9 mjeseci).</w:t>
      </w:r>
    </w:p>
    <w:p w14:paraId="36F61E94" w14:textId="42D71E04" w:rsidR="00DB709C" w:rsidRPr="00B35A22" w:rsidRDefault="00DB709C" w:rsidP="00B35A22">
      <w:pPr>
        <w:widowControl w:val="0"/>
        <w:jc w:val="both"/>
        <w:rPr>
          <w:i/>
          <w:sz w:val="22"/>
          <w:lang w:val="sr-Latn-ME"/>
        </w:rPr>
      </w:pPr>
    </w:p>
    <w:p w14:paraId="51A75C10" w14:textId="6D3DB338" w:rsidR="00DB709C" w:rsidRPr="00B35A22" w:rsidRDefault="00DB709C" w:rsidP="00B35A22">
      <w:pPr>
        <w:widowControl w:val="0"/>
        <w:jc w:val="both"/>
        <w:rPr>
          <w:i/>
          <w:sz w:val="22"/>
          <w:lang w:val="sr-Latn-ME"/>
        </w:rPr>
      </w:pPr>
      <w:r w:rsidRPr="00B35A22">
        <w:rPr>
          <w:i/>
          <w:sz w:val="22"/>
          <w:lang w:val="sr-Latn-ME"/>
        </w:rPr>
        <w:t>Insuficijencija nadbubrežne žl</w:t>
      </w:r>
      <w:r w:rsidR="00B93CA9" w:rsidRPr="00B35A22">
        <w:rPr>
          <w:i/>
          <w:sz w:val="22"/>
          <w:lang w:val="sr-Latn-ME"/>
        </w:rPr>
        <w:t>ij</w:t>
      </w:r>
      <w:r w:rsidRPr="00B35A22">
        <w:rPr>
          <w:i/>
          <w:sz w:val="22"/>
          <w:lang w:val="sr-Latn-ME"/>
        </w:rPr>
        <w:t>ezde</w:t>
      </w:r>
    </w:p>
    <w:p w14:paraId="3E297323" w14:textId="77777777" w:rsidR="000A26D9" w:rsidRPr="00B35A22" w:rsidRDefault="000A26D9" w:rsidP="00B35A22">
      <w:pPr>
        <w:widowControl w:val="0"/>
        <w:jc w:val="both"/>
        <w:rPr>
          <w:sz w:val="22"/>
          <w:lang w:val="sr-Latn-ME"/>
        </w:rPr>
      </w:pPr>
    </w:p>
    <w:p w14:paraId="1316CAC4" w14:textId="4529758E" w:rsidR="00DB709C" w:rsidRPr="00B35A22" w:rsidRDefault="000A26D9" w:rsidP="00B35A22">
      <w:pPr>
        <w:widowControl w:val="0"/>
        <w:jc w:val="both"/>
        <w:rPr>
          <w:sz w:val="22"/>
          <w:lang w:val="sr-Latn-ME"/>
        </w:rPr>
      </w:pPr>
      <w:r w:rsidRPr="00B35A22">
        <w:rPr>
          <w:sz w:val="22"/>
          <w:lang w:val="sr-Latn-ME"/>
        </w:rPr>
        <w:t>Insuficijencija nadbubrežne žlijezde javila se kod 0,</w:t>
      </w:r>
      <w:r w:rsidR="00DE6DD2" w:rsidRPr="00B35A22">
        <w:rPr>
          <w:sz w:val="22"/>
          <w:lang w:val="sr-Latn-ME"/>
        </w:rPr>
        <w:t>5</w:t>
      </w:r>
      <w:r w:rsidRPr="00B35A22">
        <w:rPr>
          <w:sz w:val="22"/>
          <w:lang w:val="sr-Latn-ME"/>
        </w:rPr>
        <w:t>% (</w:t>
      </w:r>
      <w:r w:rsidR="00B04DB5" w:rsidRPr="00B35A22">
        <w:rPr>
          <w:sz w:val="22"/>
          <w:szCs w:val="22"/>
          <w:lang w:val="sr-Latn-ME"/>
        </w:rPr>
        <w:t>25</w:t>
      </w:r>
      <w:r w:rsidR="00DE6DD2"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DB709C" w:rsidRPr="00B35A22">
        <w:rPr>
          <w:sz w:val="22"/>
          <w:lang w:val="sr-Latn-ME"/>
        </w:rPr>
        <w:t xml:space="preserve"> kao monoterapiju</w:t>
      </w:r>
      <w:r w:rsidRPr="00B35A22">
        <w:rPr>
          <w:sz w:val="22"/>
          <w:lang w:val="sr-Latn-ME"/>
        </w:rPr>
        <w:t xml:space="preserve">. Medijana vremena do nastupa iznosila je </w:t>
      </w:r>
      <w:r w:rsidR="00DE6DD2" w:rsidRPr="00B35A22">
        <w:rPr>
          <w:sz w:val="22"/>
          <w:lang w:val="sr-Latn-ME"/>
        </w:rPr>
        <w:t>6,</w:t>
      </w:r>
      <w:r w:rsidR="00B04DB5" w:rsidRPr="00B35A22">
        <w:rPr>
          <w:sz w:val="22"/>
          <w:szCs w:val="22"/>
          <w:lang w:val="sr-Latn-ME"/>
        </w:rPr>
        <w:t>0</w:t>
      </w:r>
      <w:r w:rsidR="00B04DB5" w:rsidRPr="00B35A22">
        <w:rPr>
          <w:sz w:val="22"/>
          <w:lang w:val="sr-Latn-ME"/>
        </w:rPr>
        <w:t xml:space="preserve"> </w:t>
      </w:r>
      <w:r w:rsidRPr="00B35A22">
        <w:rPr>
          <w:sz w:val="22"/>
          <w:lang w:val="sr-Latn-ME"/>
        </w:rPr>
        <w:t xml:space="preserve">mjeseci (raspon od </w:t>
      </w:r>
      <w:r w:rsidR="00FD1DA9" w:rsidRPr="00B35A22">
        <w:rPr>
          <w:sz w:val="22"/>
          <w:lang w:val="sr-Latn-ME"/>
        </w:rPr>
        <w:t xml:space="preserve">3 </w:t>
      </w:r>
      <w:r w:rsidRPr="00B35A22">
        <w:rPr>
          <w:sz w:val="22"/>
          <w:lang w:val="sr-Latn-ME"/>
        </w:rPr>
        <w:t xml:space="preserve">dana do </w:t>
      </w:r>
      <w:r w:rsidR="00241BDE" w:rsidRPr="00B35A22">
        <w:rPr>
          <w:sz w:val="22"/>
          <w:lang w:val="sr-Latn-ME"/>
        </w:rPr>
        <w:t>21,4 mjeseca</w:t>
      </w:r>
      <w:r w:rsidR="00DE6DD2" w:rsidRPr="00B35A22">
        <w:rPr>
          <w:sz w:val="22"/>
          <w:lang w:val="sr-Latn-ME"/>
        </w:rPr>
        <w:t xml:space="preserve">). </w:t>
      </w:r>
      <w:r w:rsidR="00BB0D26" w:rsidRPr="00B35A22">
        <w:rPr>
          <w:sz w:val="22"/>
          <w:lang w:val="sr-Latn-ME"/>
        </w:rPr>
        <w:t xml:space="preserve">Insuficijencija nadbubrežne žlijezde dovela je do trajnog prekida primjene atezolizumaba </w:t>
      </w:r>
      <w:r w:rsidR="008D7D40" w:rsidRPr="00B35A22">
        <w:rPr>
          <w:sz w:val="22"/>
          <w:lang w:val="sr-Latn-ME"/>
        </w:rPr>
        <w:t xml:space="preserve">kod </w:t>
      </w:r>
      <w:r w:rsidR="00241BDE" w:rsidRPr="00B35A22">
        <w:rPr>
          <w:sz w:val="22"/>
          <w:lang w:val="sr-Latn-ME"/>
        </w:rPr>
        <w:t xml:space="preserve">2 </w:t>
      </w:r>
      <w:r w:rsidR="00BB0D26" w:rsidRPr="00B35A22">
        <w:rPr>
          <w:sz w:val="22"/>
          <w:lang w:val="sr-Latn-ME"/>
        </w:rPr>
        <w:t xml:space="preserve">(&lt;0,1%) pacijenta. </w:t>
      </w:r>
      <w:r w:rsidRPr="00B35A22">
        <w:rPr>
          <w:sz w:val="22"/>
          <w:lang w:val="sr-Latn-ME"/>
        </w:rPr>
        <w:t>Insuficijencija nadbubrežne žlijezde koja je zahtijevala primjenu kortikosteroida zabilježena je kod 0,</w:t>
      </w:r>
      <w:r w:rsidR="00DE6DD2" w:rsidRPr="00B35A22">
        <w:rPr>
          <w:sz w:val="22"/>
          <w:lang w:val="sr-Latn-ME"/>
        </w:rPr>
        <w:t>4</w:t>
      </w:r>
      <w:r w:rsidRPr="00B35A22">
        <w:rPr>
          <w:sz w:val="22"/>
          <w:lang w:val="sr-Latn-ME"/>
        </w:rPr>
        <w:t>% (</w:t>
      </w:r>
      <w:r w:rsidR="00B04DB5" w:rsidRPr="00B35A22">
        <w:rPr>
          <w:sz w:val="22"/>
          <w:szCs w:val="22"/>
          <w:lang w:val="sr-Latn-ME"/>
        </w:rPr>
        <w:t>20</w:t>
      </w:r>
      <w:r w:rsidR="00DE6DD2"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DB709C" w:rsidRPr="00B35A22">
        <w:rPr>
          <w:sz w:val="22"/>
          <w:lang w:val="sr-Latn-ME"/>
        </w:rPr>
        <w:t xml:space="preserve"> kao monoterapiju</w:t>
      </w:r>
      <w:r w:rsidRPr="00B35A22">
        <w:rPr>
          <w:sz w:val="22"/>
          <w:lang w:val="sr-Latn-ME"/>
        </w:rPr>
        <w:t>.</w:t>
      </w:r>
    </w:p>
    <w:p w14:paraId="7757B032" w14:textId="77777777" w:rsidR="00DB709C" w:rsidRPr="00B35A22" w:rsidRDefault="00DB709C" w:rsidP="00B35A22">
      <w:pPr>
        <w:widowControl w:val="0"/>
        <w:jc w:val="both"/>
        <w:rPr>
          <w:sz w:val="22"/>
          <w:lang w:val="sr-Latn-ME"/>
        </w:rPr>
      </w:pPr>
    </w:p>
    <w:p w14:paraId="5732D79C" w14:textId="312EB559" w:rsidR="000A26D9" w:rsidRPr="00B35A22" w:rsidRDefault="00DB709C" w:rsidP="00B35A22">
      <w:pPr>
        <w:widowControl w:val="0"/>
        <w:jc w:val="both"/>
        <w:rPr>
          <w:i/>
          <w:sz w:val="22"/>
          <w:lang w:val="sr-Latn-ME"/>
        </w:rPr>
      </w:pPr>
      <w:r w:rsidRPr="00B35A22">
        <w:rPr>
          <w:i/>
          <w:sz w:val="22"/>
          <w:lang w:val="sr-Latn-ME"/>
        </w:rPr>
        <w:t>Hipofizitis</w:t>
      </w:r>
    </w:p>
    <w:p w14:paraId="548669F7" w14:textId="77777777" w:rsidR="000A26D9" w:rsidRPr="00B35A22" w:rsidRDefault="000A26D9" w:rsidP="00B35A22">
      <w:pPr>
        <w:widowControl w:val="0"/>
        <w:jc w:val="both"/>
        <w:rPr>
          <w:sz w:val="22"/>
          <w:lang w:val="sr-Latn-ME"/>
        </w:rPr>
      </w:pPr>
    </w:p>
    <w:p w14:paraId="439C10F5" w14:textId="628FB23C" w:rsidR="000A26D9" w:rsidRPr="00B35A22" w:rsidRDefault="000A26D9" w:rsidP="00B35A22">
      <w:pPr>
        <w:widowControl w:val="0"/>
        <w:jc w:val="both"/>
        <w:rPr>
          <w:sz w:val="22"/>
          <w:lang w:val="sr-Latn-ME"/>
        </w:rPr>
      </w:pPr>
      <w:r w:rsidRPr="00B35A22">
        <w:rPr>
          <w:sz w:val="22"/>
          <w:lang w:val="sr-Latn-ME"/>
        </w:rPr>
        <w:t>Hipofizitis se javio kod &lt;0,</w:t>
      </w:r>
      <w:r w:rsidR="00243F20" w:rsidRPr="00B35A22">
        <w:rPr>
          <w:sz w:val="22"/>
          <w:lang w:val="sr-Latn-ME"/>
        </w:rPr>
        <w:t>2</w:t>
      </w:r>
      <w:r w:rsidRPr="00B35A22">
        <w:rPr>
          <w:sz w:val="22"/>
          <w:lang w:val="sr-Latn-ME"/>
        </w:rPr>
        <w:t>% (</w:t>
      </w:r>
      <w:r w:rsidR="00243F20" w:rsidRPr="00B35A22">
        <w:rPr>
          <w:sz w:val="22"/>
          <w:lang w:val="sr-Latn-ME"/>
        </w:rPr>
        <w:t>9</w:t>
      </w:r>
      <w:r w:rsidR="00DE6DD2" w:rsidRPr="00B35A22">
        <w:rPr>
          <w:sz w:val="22"/>
          <w:lang w:val="sr-Latn-ME"/>
        </w:rPr>
        <w:t>/</w:t>
      </w:r>
      <w:r w:rsidR="00B04DB5" w:rsidRPr="00B35A22">
        <w:rPr>
          <w:sz w:val="22"/>
          <w:szCs w:val="22"/>
          <w:lang w:val="sr-Latn-ME"/>
        </w:rPr>
        <w:t>5039</w:t>
      </w:r>
      <w:r w:rsidRPr="00B35A22">
        <w:rPr>
          <w:sz w:val="22"/>
          <w:lang w:val="sr-Latn-ME"/>
        </w:rPr>
        <w:t>) pacijenata koji su primali atezolizumab</w:t>
      </w:r>
      <w:r w:rsidR="00997A87" w:rsidRPr="00B35A22">
        <w:rPr>
          <w:sz w:val="22"/>
          <w:lang w:val="sr-Latn-ME"/>
        </w:rPr>
        <w:t xml:space="preserve"> kao monoterapiju</w:t>
      </w:r>
      <w:r w:rsidRPr="00B35A22">
        <w:rPr>
          <w:sz w:val="22"/>
          <w:lang w:val="sr-Latn-ME"/>
        </w:rPr>
        <w:t xml:space="preserve">. </w:t>
      </w:r>
      <w:r w:rsidR="000B6C13" w:rsidRPr="00B35A22">
        <w:rPr>
          <w:sz w:val="22"/>
          <w:lang w:val="sr-Latn-ME"/>
        </w:rPr>
        <w:t xml:space="preserve">Medijana vremena </w:t>
      </w:r>
      <w:r w:rsidRPr="00B35A22">
        <w:rPr>
          <w:sz w:val="22"/>
          <w:lang w:val="sr-Latn-ME"/>
        </w:rPr>
        <w:t xml:space="preserve">do nastupa </w:t>
      </w:r>
      <w:r w:rsidR="000B6C13" w:rsidRPr="00B35A22">
        <w:rPr>
          <w:sz w:val="22"/>
          <w:lang w:val="sr-Latn-ME"/>
        </w:rPr>
        <w:t xml:space="preserve">iznosila je </w:t>
      </w:r>
      <w:r w:rsidR="00243F20" w:rsidRPr="00B35A22">
        <w:rPr>
          <w:sz w:val="22"/>
          <w:lang w:val="sr-Latn-ME"/>
        </w:rPr>
        <w:t>5,3</w:t>
      </w:r>
      <w:r w:rsidR="00DE6DD2" w:rsidRPr="00B35A22">
        <w:rPr>
          <w:sz w:val="22"/>
          <w:lang w:val="sr-Latn-ME"/>
        </w:rPr>
        <w:t xml:space="preserve"> </w:t>
      </w:r>
      <w:r w:rsidR="00243F20" w:rsidRPr="00B35A22">
        <w:rPr>
          <w:sz w:val="22"/>
          <w:lang w:val="sr-Latn-ME"/>
        </w:rPr>
        <w:t xml:space="preserve">mjeseca </w:t>
      </w:r>
      <w:r w:rsidR="000B6C13" w:rsidRPr="00B35A22">
        <w:rPr>
          <w:sz w:val="22"/>
          <w:lang w:val="sr-Latn-ME"/>
        </w:rPr>
        <w:t xml:space="preserve">(raspon od </w:t>
      </w:r>
      <w:r w:rsidR="00243F20" w:rsidRPr="00B35A22">
        <w:rPr>
          <w:sz w:val="22"/>
          <w:lang w:val="sr-Latn-ME"/>
        </w:rPr>
        <w:t xml:space="preserve">21 </w:t>
      </w:r>
      <w:r w:rsidR="000B6C13" w:rsidRPr="00B35A22">
        <w:rPr>
          <w:sz w:val="22"/>
          <w:lang w:val="sr-Latn-ME"/>
        </w:rPr>
        <w:t xml:space="preserve">dan do 13,7 mjeseci). Kod </w:t>
      </w:r>
      <w:r w:rsidR="00243F20" w:rsidRPr="00B35A22">
        <w:rPr>
          <w:sz w:val="22"/>
          <w:lang w:val="sr-Latn-ME"/>
        </w:rPr>
        <w:t xml:space="preserve">šest </w:t>
      </w:r>
      <w:r w:rsidR="00830CC2" w:rsidRPr="00B35A22">
        <w:rPr>
          <w:sz w:val="22"/>
          <w:lang w:val="sr-Latn-ME"/>
        </w:rPr>
        <w:t xml:space="preserve">(&lt; 0,1%) </w:t>
      </w:r>
      <w:r w:rsidR="000B6C13" w:rsidRPr="00B35A22">
        <w:rPr>
          <w:sz w:val="22"/>
          <w:lang w:val="sr-Latn-ME"/>
        </w:rPr>
        <w:t xml:space="preserve"> pacijenta </w:t>
      </w:r>
      <w:r w:rsidR="00997A87" w:rsidRPr="00B35A22">
        <w:rPr>
          <w:sz w:val="22"/>
          <w:lang w:val="sr-Latn-ME"/>
        </w:rPr>
        <w:t>bilo je potrebno prim</w:t>
      </w:r>
      <w:r w:rsidR="008D7D40" w:rsidRPr="00B35A22">
        <w:rPr>
          <w:sz w:val="22"/>
          <w:lang w:val="sr-Latn-ME"/>
        </w:rPr>
        <w:t>i</w:t>
      </w:r>
      <w:r w:rsidR="00042108" w:rsidRPr="00B35A22">
        <w:rPr>
          <w:sz w:val="22"/>
          <w:lang w:val="sr-Latn-ME"/>
        </w:rPr>
        <w:t>j</w:t>
      </w:r>
      <w:r w:rsidR="00997A87" w:rsidRPr="00B35A22">
        <w:rPr>
          <w:sz w:val="22"/>
          <w:lang w:val="sr-Latn-ME"/>
        </w:rPr>
        <w:t>eniti kortikosteroide</w:t>
      </w:r>
      <w:r w:rsidR="00830CC2" w:rsidRPr="00B35A22">
        <w:rPr>
          <w:sz w:val="22"/>
          <w:lang w:val="sr-Latn-ME"/>
        </w:rPr>
        <w:t>,</w:t>
      </w:r>
      <w:r w:rsidR="000B6C13" w:rsidRPr="00B35A22">
        <w:rPr>
          <w:sz w:val="22"/>
          <w:lang w:val="sr-Latn-ME"/>
        </w:rPr>
        <w:t xml:space="preserve"> </w:t>
      </w:r>
      <w:r w:rsidR="00830CC2" w:rsidRPr="00B35A22">
        <w:rPr>
          <w:sz w:val="22"/>
          <w:lang w:val="sr-Latn-ME"/>
        </w:rPr>
        <w:t xml:space="preserve">a </w:t>
      </w:r>
      <w:r w:rsidR="000B6C13" w:rsidRPr="00B35A22">
        <w:rPr>
          <w:sz w:val="22"/>
          <w:lang w:val="sr-Latn-ME"/>
        </w:rPr>
        <w:t>liječenje atezolizumabom je prekinuto</w:t>
      </w:r>
      <w:r w:rsidR="00830CC2" w:rsidRPr="00B35A22">
        <w:rPr>
          <w:lang w:val="sr-Latn-ME"/>
        </w:rPr>
        <w:t xml:space="preserve"> </w:t>
      </w:r>
      <w:r w:rsidR="00830CC2" w:rsidRPr="00B35A22">
        <w:rPr>
          <w:sz w:val="22"/>
          <w:lang w:val="sr-Latn-ME"/>
        </w:rPr>
        <w:t>kod 1 (&lt; 0,1%) pacijenta</w:t>
      </w:r>
      <w:r w:rsidRPr="00B35A22">
        <w:rPr>
          <w:sz w:val="22"/>
          <w:lang w:val="sr-Latn-ME"/>
        </w:rPr>
        <w:t xml:space="preserve">. </w:t>
      </w:r>
    </w:p>
    <w:p w14:paraId="281FE54D" w14:textId="02F7040A" w:rsidR="00997A87" w:rsidRPr="00B35A22" w:rsidRDefault="00997A87" w:rsidP="00B35A22">
      <w:pPr>
        <w:widowControl w:val="0"/>
        <w:jc w:val="both"/>
        <w:rPr>
          <w:sz w:val="22"/>
          <w:lang w:val="sr-Latn-ME"/>
        </w:rPr>
      </w:pPr>
    </w:p>
    <w:p w14:paraId="29B9A33C" w14:textId="1AB36AED" w:rsidR="00243F20" w:rsidRPr="00B35A22" w:rsidRDefault="00243F20" w:rsidP="00B35A22">
      <w:pPr>
        <w:widowControl w:val="0"/>
        <w:tabs>
          <w:tab w:val="left" w:pos="284"/>
        </w:tabs>
        <w:jc w:val="both"/>
        <w:rPr>
          <w:sz w:val="22"/>
          <w:lang w:val="sr-Latn-ME"/>
        </w:rPr>
      </w:pPr>
      <w:r w:rsidRPr="00B35A22">
        <w:rPr>
          <w:sz w:val="22"/>
          <w:lang w:val="sr-Latn-ME"/>
        </w:rPr>
        <w:t>Hipofizitis se javio kod 1,4% (15/1093) pacijenata koji su primali atezolizumab u kombinaciji sa paklitakselom, a zatim atezolizumab, zgusnute doze (engl. dose-dense) doksorubicina ili epirubicina i ciklofosfamid. Medijana vremena do nastupa iznosila je 3,8 mjeseci (raspon od 2,4 do 10,7 mjeseci). Kod 11 pacijenata (1,0%) bila je potrebna primjena kortikosteroida. Liječenje atezolizumabom prekinuto je kod 7 (0,6%) pacijenata.</w:t>
      </w:r>
    </w:p>
    <w:p w14:paraId="43BD41C4" w14:textId="77777777" w:rsidR="00243F20" w:rsidRPr="00B35A22" w:rsidRDefault="00243F20" w:rsidP="00B35A22">
      <w:pPr>
        <w:widowControl w:val="0"/>
        <w:tabs>
          <w:tab w:val="left" w:pos="284"/>
        </w:tabs>
        <w:jc w:val="both"/>
        <w:rPr>
          <w:sz w:val="22"/>
          <w:lang w:val="sr-Latn-ME"/>
        </w:rPr>
      </w:pPr>
    </w:p>
    <w:p w14:paraId="4563BCD0" w14:textId="26952BC7" w:rsidR="00997A87" w:rsidRPr="00B35A22" w:rsidRDefault="00997A87" w:rsidP="00B35A22">
      <w:pPr>
        <w:widowControl w:val="0"/>
        <w:tabs>
          <w:tab w:val="left" w:pos="284"/>
        </w:tabs>
        <w:jc w:val="both"/>
        <w:rPr>
          <w:sz w:val="22"/>
          <w:lang w:val="sr-Latn-ME"/>
        </w:rPr>
      </w:pPr>
      <w:r w:rsidRPr="00B35A22">
        <w:rPr>
          <w:sz w:val="22"/>
          <w:lang w:val="sr-Latn-ME"/>
        </w:rPr>
        <w:t>Hipofizitis se javio kod 0,8% (3/393) pacijenata koji su primali atezolizumab u kombinaciji sa bevacizumabom, paklitakselom i karboplatinom. Medijana vremena do početka bila je 7,7 mjeseci (raspon od 5,0 do 8,8 mjeseci). Kod dva pacijenta bilo je potrebno prim</w:t>
      </w:r>
      <w:r w:rsidR="008D7D40" w:rsidRPr="00B35A22">
        <w:rPr>
          <w:sz w:val="22"/>
          <w:lang w:val="sr-Latn-ME"/>
        </w:rPr>
        <w:t>i</w:t>
      </w:r>
      <w:r w:rsidRPr="00B35A22">
        <w:rPr>
          <w:sz w:val="22"/>
          <w:lang w:val="sr-Latn-ME"/>
        </w:rPr>
        <w:t xml:space="preserve">jeniti kortikosteroide. </w:t>
      </w:r>
    </w:p>
    <w:p w14:paraId="1E4F3FF2" w14:textId="04FB9436" w:rsidR="00997A87" w:rsidRPr="00B35A22" w:rsidRDefault="00997A87" w:rsidP="00B35A22">
      <w:pPr>
        <w:widowControl w:val="0"/>
        <w:tabs>
          <w:tab w:val="left" w:pos="284"/>
        </w:tabs>
        <w:jc w:val="both"/>
        <w:rPr>
          <w:sz w:val="22"/>
          <w:lang w:val="sr-Latn-ME"/>
        </w:rPr>
      </w:pPr>
    </w:p>
    <w:p w14:paraId="299C24B8" w14:textId="20F695F6" w:rsidR="00D261B6" w:rsidRPr="00B35A22" w:rsidRDefault="00D261B6" w:rsidP="00B35A22">
      <w:pPr>
        <w:widowControl w:val="0"/>
        <w:tabs>
          <w:tab w:val="left" w:pos="284"/>
        </w:tabs>
        <w:jc w:val="both"/>
        <w:rPr>
          <w:sz w:val="22"/>
          <w:lang w:val="sr-Latn-ME"/>
        </w:rPr>
      </w:pPr>
      <w:r w:rsidRPr="00B35A22">
        <w:rPr>
          <w:sz w:val="22"/>
          <w:lang w:val="sr-Latn-ME"/>
        </w:rPr>
        <w:t>Hipofizitis se javio kod 0,4% (2/473) pacijenata koji su primali atezolizumab u kombinaciji sa nab-paklitakselom i karboplatinom. Medijana vremena do početka bila je 5,2 mjeseca (raspon od 5,1 do 5,3 mejseca). Kod dva pacijenta bilo je potrebno prim</w:t>
      </w:r>
      <w:r w:rsidR="005C612C" w:rsidRPr="00B35A22">
        <w:rPr>
          <w:sz w:val="22"/>
          <w:lang w:val="sr-Latn-ME"/>
        </w:rPr>
        <w:t>i</w:t>
      </w:r>
      <w:r w:rsidRPr="00B35A22">
        <w:rPr>
          <w:sz w:val="22"/>
          <w:lang w:val="sr-Latn-ME"/>
        </w:rPr>
        <w:t>jeniti kortikosteroide.</w:t>
      </w:r>
    </w:p>
    <w:p w14:paraId="4271917E" w14:textId="77777777" w:rsidR="00D261B6" w:rsidRPr="00B35A22" w:rsidRDefault="00D261B6" w:rsidP="00B35A22">
      <w:pPr>
        <w:widowControl w:val="0"/>
        <w:tabs>
          <w:tab w:val="left" w:pos="284"/>
        </w:tabs>
        <w:jc w:val="both"/>
        <w:rPr>
          <w:sz w:val="22"/>
          <w:lang w:val="sr-Latn-ME"/>
        </w:rPr>
      </w:pPr>
    </w:p>
    <w:p w14:paraId="06D2522F" w14:textId="77777777" w:rsidR="000B6C13" w:rsidRPr="00B35A22" w:rsidRDefault="00997A87" w:rsidP="00B35A22">
      <w:pPr>
        <w:widowControl w:val="0"/>
        <w:jc w:val="both"/>
        <w:rPr>
          <w:i/>
          <w:sz w:val="22"/>
          <w:lang w:val="sr-Latn-ME"/>
        </w:rPr>
      </w:pPr>
      <w:r w:rsidRPr="00B35A22">
        <w:rPr>
          <w:i/>
          <w:sz w:val="22"/>
          <w:lang w:val="sr-Latn-ME"/>
        </w:rPr>
        <w:t>Dijabetes melitus</w:t>
      </w:r>
    </w:p>
    <w:p w14:paraId="2EF8962E" w14:textId="77777777" w:rsidR="000B6C13" w:rsidRPr="00B35A22" w:rsidRDefault="000B6C13" w:rsidP="00B35A22">
      <w:pPr>
        <w:widowControl w:val="0"/>
        <w:jc w:val="both"/>
        <w:rPr>
          <w:sz w:val="22"/>
          <w:lang w:val="sr-Latn-ME"/>
        </w:rPr>
      </w:pPr>
    </w:p>
    <w:p w14:paraId="12F5C684" w14:textId="77E1D462" w:rsidR="000A26D9" w:rsidRPr="00B35A22" w:rsidRDefault="000A26D9" w:rsidP="00B35A22">
      <w:pPr>
        <w:widowControl w:val="0"/>
        <w:jc w:val="both"/>
        <w:rPr>
          <w:sz w:val="22"/>
          <w:lang w:val="sr-Latn-ME"/>
        </w:rPr>
      </w:pPr>
      <w:r w:rsidRPr="00B35A22">
        <w:rPr>
          <w:sz w:val="22"/>
          <w:lang w:val="sr-Latn-ME"/>
        </w:rPr>
        <w:t>Dijabetes se javio kod 0,</w:t>
      </w:r>
      <w:r w:rsidR="00B04DB5" w:rsidRPr="00B35A22">
        <w:rPr>
          <w:sz w:val="22"/>
          <w:szCs w:val="22"/>
          <w:lang w:val="sr-Latn-ME"/>
        </w:rPr>
        <w:t>6</w:t>
      </w:r>
      <w:r w:rsidRPr="00B35A22">
        <w:rPr>
          <w:sz w:val="22"/>
          <w:szCs w:val="22"/>
          <w:lang w:val="sr-Latn-ME"/>
        </w:rPr>
        <w:t>% (</w:t>
      </w:r>
      <w:r w:rsidR="00B04DB5" w:rsidRPr="00B35A22">
        <w:rPr>
          <w:sz w:val="22"/>
          <w:szCs w:val="22"/>
          <w:lang w:val="sr-Latn-ME"/>
        </w:rPr>
        <w:t>30</w:t>
      </w:r>
      <w:r w:rsidR="00DE6DD2" w:rsidRPr="00B35A22">
        <w:rPr>
          <w:sz w:val="22"/>
          <w:szCs w:val="22"/>
          <w:lang w:val="sr-Latn-ME"/>
        </w:rPr>
        <w:t>/</w:t>
      </w:r>
      <w:r w:rsidR="00B04DB5" w:rsidRPr="00B35A22">
        <w:rPr>
          <w:sz w:val="22"/>
          <w:szCs w:val="22"/>
          <w:lang w:val="sr-Latn-ME"/>
        </w:rPr>
        <w:t>5039</w:t>
      </w:r>
      <w:r w:rsidRPr="00B35A22">
        <w:rPr>
          <w:sz w:val="22"/>
          <w:lang w:val="sr-Latn-ME"/>
        </w:rPr>
        <w:t>) pacijenata koji su primali atezolizumab</w:t>
      </w:r>
      <w:r w:rsidR="00997A87" w:rsidRPr="00B35A22">
        <w:rPr>
          <w:sz w:val="22"/>
          <w:lang w:val="sr-Latn-ME"/>
        </w:rPr>
        <w:t xml:space="preserve"> kao monoterapiju</w:t>
      </w:r>
      <w:r w:rsidRPr="00B35A22">
        <w:rPr>
          <w:sz w:val="22"/>
          <w:lang w:val="sr-Latn-ME"/>
        </w:rPr>
        <w:t xml:space="preserve">. Medijana vremena do nastupa iznosila je </w:t>
      </w:r>
      <w:r w:rsidR="00DE6DD2" w:rsidRPr="00B35A22">
        <w:rPr>
          <w:sz w:val="22"/>
          <w:lang w:val="sr-Latn-ME"/>
        </w:rPr>
        <w:t>5,</w:t>
      </w:r>
      <w:r w:rsidR="00B04DB5" w:rsidRPr="00B35A22">
        <w:rPr>
          <w:sz w:val="22"/>
          <w:szCs w:val="22"/>
          <w:lang w:val="sr-Latn-ME"/>
        </w:rPr>
        <w:t>5</w:t>
      </w:r>
      <w:r w:rsidR="00FD1DA9" w:rsidRPr="00B35A22">
        <w:rPr>
          <w:sz w:val="22"/>
          <w:szCs w:val="22"/>
          <w:lang w:val="sr-Latn-ME"/>
        </w:rPr>
        <w:t xml:space="preserve"> </w:t>
      </w:r>
      <w:r w:rsidR="00B04DB5" w:rsidRPr="00B35A22">
        <w:rPr>
          <w:sz w:val="22"/>
          <w:szCs w:val="22"/>
          <w:lang w:val="sr-Latn-ME"/>
        </w:rPr>
        <w:t>mjeseci</w:t>
      </w:r>
      <w:r w:rsidR="00B04DB5" w:rsidRPr="00B35A22">
        <w:rPr>
          <w:sz w:val="22"/>
          <w:lang w:val="sr-Latn-ME"/>
        </w:rPr>
        <w:t xml:space="preserve"> </w:t>
      </w:r>
      <w:r w:rsidRPr="00B35A22">
        <w:rPr>
          <w:sz w:val="22"/>
          <w:lang w:val="sr-Latn-ME"/>
        </w:rPr>
        <w:t xml:space="preserve">(raspon od </w:t>
      </w:r>
      <w:r w:rsidR="00997A87" w:rsidRPr="00B35A22">
        <w:rPr>
          <w:sz w:val="22"/>
          <w:lang w:val="sr-Latn-ME"/>
        </w:rPr>
        <w:t xml:space="preserve"> </w:t>
      </w:r>
      <w:r w:rsidR="00FD1DA9" w:rsidRPr="00B35A22">
        <w:rPr>
          <w:sz w:val="22"/>
          <w:lang w:val="sr-Latn-ME"/>
        </w:rPr>
        <w:t xml:space="preserve">3 </w:t>
      </w:r>
      <w:r w:rsidRPr="00B35A22">
        <w:rPr>
          <w:sz w:val="22"/>
          <w:lang w:val="sr-Latn-ME"/>
        </w:rPr>
        <w:t xml:space="preserve">dana do </w:t>
      </w:r>
      <w:r w:rsidR="00241BDE" w:rsidRPr="00B35A22">
        <w:rPr>
          <w:sz w:val="22"/>
          <w:lang w:val="sr-Latn-ME"/>
        </w:rPr>
        <w:t>29,0</w:t>
      </w:r>
      <w:r w:rsidRPr="00B35A22">
        <w:rPr>
          <w:sz w:val="22"/>
          <w:lang w:val="sr-Latn-ME"/>
        </w:rPr>
        <w:t xml:space="preserve"> mjeseci). Dijabetes je doveo do prekida liječenja atezolizumabom kod </w:t>
      </w:r>
      <w:r w:rsidR="000B6C13" w:rsidRPr="00B35A22">
        <w:rPr>
          <w:lang w:val="sr-Latn-ME"/>
        </w:rPr>
        <w:t>&lt;</w:t>
      </w:r>
      <w:r w:rsidRPr="00B35A22">
        <w:rPr>
          <w:sz w:val="22"/>
          <w:lang w:val="sr-Latn-ME"/>
        </w:rPr>
        <w:t>0,1%</w:t>
      </w:r>
      <w:r w:rsidR="00997A87" w:rsidRPr="00B35A22">
        <w:rPr>
          <w:sz w:val="22"/>
          <w:lang w:val="sr-Latn-ME"/>
        </w:rPr>
        <w:t xml:space="preserve"> (3/</w:t>
      </w:r>
      <w:r w:rsidR="00B04DB5" w:rsidRPr="00B35A22">
        <w:rPr>
          <w:sz w:val="22"/>
          <w:szCs w:val="22"/>
          <w:lang w:val="sr-Latn-ME"/>
        </w:rPr>
        <w:t>5039</w:t>
      </w:r>
      <w:r w:rsidR="00997A87" w:rsidRPr="00B35A22">
        <w:rPr>
          <w:sz w:val="22"/>
          <w:szCs w:val="22"/>
          <w:lang w:val="sr-Latn-ME"/>
        </w:rPr>
        <w:t>)</w:t>
      </w:r>
      <w:r w:rsidRPr="00B35A22">
        <w:rPr>
          <w:sz w:val="22"/>
          <w:szCs w:val="22"/>
          <w:lang w:val="sr-Latn-ME"/>
        </w:rPr>
        <w:t xml:space="preserve"> pacijenta.</w:t>
      </w:r>
      <w:r w:rsidR="00B04DB5" w:rsidRPr="00B35A22">
        <w:rPr>
          <w:sz w:val="22"/>
          <w:szCs w:val="22"/>
          <w:lang w:val="sr-Latn-ME"/>
        </w:rPr>
        <w:t xml:space="preserve"> Kod četiri (&lt;0.1%) pacijenta bila je potrebna primjena kortikosteroida</w:t>
      </w:r>
      <w:r w:rsidR="00B04DB5" w:rsidRPr="00B35A22">
        <w:rPr>
          <w:sz w:val="22"/>
          <w:lang w:val="sr-Latn-ME"/>
        </w:rPr>
        <w:t>.</w:t>
      </w:r>
    </w:p>
    <w:p w14:paraId="79CD7F61" w14:textId="5024EC6B" w:rsidR="000A26D9" w:rsidRPr="00B35A22" w:rsidRDefault="000A26D9" w:rsidP="00B35A22">
      <w:pPr>
        <w:widowControl w:val="0"/>
        <w:jc w:val="both"/>
        <w:rPr>
          <w:sz w:val="22"/>
          <w:lang w:val="sr-Latn-ME"/>
        </w:rPr>
      </w:pPr>
    </w:p>
    <w:p w14:paraId="0B8FB13C" w14:textId="44AFC176" w:rsidR="000578A6" w:rsidRPr="00B35A22" w:rsidRDefault="000578A6" w:rsidP="00B35A22">
      <w:pPr>
        <w:widowControl w:val="0"/>
        <w:jc w:val="both"/>
        <w:rPr>
          <w:sz w:val="22"/>
          <w:lang w:val="sr-Latn-ME"/>
        </w:rPr>
      </w:pPr>
      <w:r w:rsidRPr="00B35A22">
        <w:rPr>
          <w:sz w:val="22"/>
          <w:lang w:val="sr-Latn-ME"/>
        </w:rPr>
        <w:t xml:space="preserve">Dijabetes melitus se javio kod 2,0% (10/493) pacijenata sa HCC-om koji su primali atezolizumab u kombinaciji sa bevacizumabom. Medijana vremena do ispoljavanja simptoma iznosila je 4,4 mjeseca </w:t>
      </w:r>
      <w:r w:rsidRPr="00B35A22">
        <w:rPr>
          <w:sz w:val="22"/>
          <w:lang w:val="sr-Latn-ME"/>
        </w:rPr>
        <w:lastRenderedPageBreak/>
        <w:t>(raspon od 1,2 mjeseca do 8,3 mjeseca). Nijedan slučaj dijabetesa melitusa nije doveo do prekida liječenja atezolizumabom.</w:t>
      </w:r>
    </w:p>
    <w:p w14:paraId="338E9951" w14:textId="77777777" w:rsidR="000578A6" w:rsidRPr="00B35A22" w:rsidRDefault="000578A6" w:rsidP="00B35A22">
      <w:pPr>
        <w:widowControl w:val="0"/>
        <w:jc w:val="both"/>
        <w:rPr>
          <w:sz w:val="22"/>
          <w:lang w:val="sr-Latn-ME"/>
        </w:rPr>
      </w:pPr>
    </w:p>
    <w:p w14:paraId="098D64E4" w14:textId="37BAC839" w:rsidR="00997A87" w:rsidRPr="00B35A22" w:rsidRDefault="000A26D9" w:rsidP="00B35A22">
      <w:pPr>
        <w:widowControl w:val="0"/>
        <w:jc w:val="both"/>
        <w:rPr>
          <w:i/>
          <w:sz w:val="22"/>
          <w:u w:val="single"/>
          <w:lang w:val="sr-Latn-ME"/>
        </w:rPr>
      </w:pPr>
      <w:r w:rsidRPr="00B35A22">
        <w:rPr>
          <w:i/>
          <w:sz w:val="22"/>
          <w:u w:val="single"/>
          <w:lang w:val="sr-Latn-ME"/>
        </w:rPr>
        <w:t xml:space="preserve">Imunološki prouzrokovan meningoencefalitis </w:t>
      </w:r>
    </w:p>
    <w:p w14:paraId="249BBC48" w14:textId="11B85BD5" w:rsidR="000A26D9" w:rsidRPr="00B35A22" w:rsidRDefault="00997A87" w:rsidP="00B35A22">
      <w:pPr>
        <w:widowControl w:val="0"/>
        <w:jc w:val="both"/>
        <w:rPr>
          <w:sz w:val="22"/>
          <w:lang w:val="sr-Latn-ME"/>
        </w:rPr>
      </w:pPr>
      <w:r w:rsidRPr="00B35A22">
        <w:rPr>
          <w:sz w:val="22"/>
          <w:lang w:val="sr-Latn-ME"/>
        </w:rPr>
        <w:t>Meningoencefalitis</w:t>
      </w:r>
      <w:r w:rsidR="00E612EC" w:rsidRPr="00B35A22">
        <w:rPr>
          <w:sz w:val="22"/>
          <w:lang w:val="sr-Latn-ME"/>
        </w:rPr>
        <w:t xml:space="preserve"> </w:t>
      </w:r>
      <w:r w:rsidR="000A26D9" w:rsidRPr="00B35A22">
        <w:rPr>
          <w:sz w:val="22"/>
          <w:lang w:val="sr-Latn-ME"/>
        </w:rPr>
        <w:t>se javio kod</w:t>
      </w:r>
      <w:r w:rsidRPr="00B35A22">
        <w:rPr>
          <w:sz w:val="22"/>
          <w:lang w:val="sr-Latn-ME"/>
        </w:rPr>
        <w:t xml:space="preserve"> 0,</w:t>
      </w:r>
      <w:r w:rsidR="00B04DB5" w:rsidRPr="00B35A22">
        <w:rPr>
          <w:sz w:val="22"/>
          <w:szCs w:val="22"/>
          <w:lang w:val="sr-Latn-ME"/>
        </w:rPr>
        <w:t>4</w:t>
      </w:r>
      <w:r w:rsidR="000A26D9" w:rsidRPr="00B35A22">
        <w:rPr>
          <w:sz w:val="22"/>
          <w:lang w:val="sr-Latn-ME"/>
        </w:rPr>
        <w:t>% (</w:t>
      </w:r>
      <w:r w:rsidR="00FD1DA9" w:rsidRPr="00B35A22">
        <w:rPr>
          <w:sz w:val="22"/>
          <w:lang w:val="sr-Latn-ME"/>
        </w:rPr>
        <w:t>22</w:t>
      </w:r>
      <w:r w:rsidR="00DE6DD2" w:rsidRPr="00B35A22">
        <w:rPr>
          <w:sz w:val="22"/>
          <w:lang w:val="sr-Latn-ME"/>
        </w:rPr>
        <w:t>/</w:t>
      </w:r>
      <w:r w:rsidR="00B04DB5" w:rsidRPr="00B35A22">
        <w:rPr>
          <w:sz w:val="22"/>
          <w:szCs w:val="22"/>
          <w:lang w:val="sr-Latn-ME"/>
        </w:rPr>
        <w:t>5039</w:t>
      </w:r>
      <w:r w:rsidR="000A26D9" w:rsidRPr="00B35A22">
        <w:rPr>
          <w:sz w:val="22"/>
          <w:lang w:val="sr-Latn-ME"/>
        </w:rPr>
        <w:t>) pacijenata koji su primali atezolizumab</w:t>
      </w:r>
      <w:r w:rsidRPr="00B35A22">
        <w:rPr>
          <w:sz w:val="22"/>
          <w:lang w:val="sr-Latn-ME"/>
        </w:rPr>
        <w:t xml:space="preserve"> kao monoterapiju</w:t>
      </w:r>
      <w:r w:rsidR="000A26D9" w:rsidRPr="00B35A22">
        <w:rPr>
          <w:sz w:val="22"/>
          <w:lang w:val="sr-Latn-ME"/>
        </w:rPr>
        <w:t>.</w:t>
      </w:r>
      <w:r w:rsidRPr="00B35A22">
        <w:rPr>
          <w:sz w:val="22"/>
          <w:lang w:val="sr-Latn-ME"/>
        </w:rPr>
        <w:t xml:space="preserve"> Medijana v</w:t>
      </w:r>
      <w:r w:rsidR="000A26D9" w:rsidRPr="00B35A22">
        <w:rPr>
          <w:sz w:val="22"/>
          <w:lang w:val="sr-Latn-ME"/>
        </w:rPr>
        <w:t>reme</w:t>
      </w:r>
      <w:r w:rsidRPr="00B35A22">
        <w:rPr>
          <w:sz w:val="22"/>
          <w:lang w:val="sr-Latn-ME"/>
        </w:rPr>
        <w:t>na</w:t>
      </w:r>
      <w:r w:rsidR="000A26D9" w:rsidRPr="00B35A22">
        <w:rPr>
          <w:sz w:val="22"/>
          <w:lang w:val="sr-Latn-ME"/>
        </w:rPr>
        <w:t xml:space="preserve"> do nastupa </w:t>
      </w:r>
      <w:r w:rsidR="001B6DA8" w:rsidRPr="00B35A22">
        <w:rPr>
          <w:sz w:val="22"/>
          <w:lang w:val="sr-Latn-ME"/>
        </w:rPr>
        <w:t>bila je</w:t>
      </w:r>
      <w:r w:rsidR="00241BDE" w:rsidRPr="00B35A22">
        <w:rPr>
          <w:sz w:val="22"/>
          <w:lang w:val="sr-Latn-ME"/>
        </w:rPr>
        <w:t xml:space="preserve"> </w:t>
      </w:r>
      <w:r w:rsidR="00B04DB5" w:rsidRPr="00B35A22">
        <w:rPr>
          <w:sz w:val="22"/>
          <w:szCs w:val="22"/>
          <w:lang w:val="sr-Latn-ME"/>
        </w:rPr>
        <w:t>15</w:t>
      </w:r>
      <w:r w:rsidR="00B04DB5" w:rsidRPr="00B35A22">
        <w:rPr>
          <w:sz w:val="22"/>
          <w:lang w:val="sr-Latn-ME"/>
        </w:rPr>
        <w:t xml:space="preserve"> </w:t>
      </w:r>
      <w:r w:rsidR="000A26D9" w:rsidRPr="00B35A22">
        <w:rPr>
          <w:sz w:val="22"/>
          <w:lang w:val="sr-Latn-ME"/>
        </w:rPr>
        <w:t>dana</w:t>
      </w:r>
      <w:r w:rsidR="001B6DA8" w:rsidRPr="00B35A22">
        <w:rPr>
          <w:sz w:val="22"/>
          <w:lang w:val="sr-Latn-ME"/>
        </w:rPr>
        <w:t xml:space="preserve"> (raspon od </w:t>
      </w:r>
      <w:r w:rsidR="00B04DB5" w:rsidRPr="00B35A22">
        <w:rPr>
          <w:sz w:val="22"/>
          <w:szCs w:val="22"/>
          <w:lang w:val="sr-Latn-ME"/>
        </w:rPr>
        <w:t>0</w:t>
      </w:r>
      <w:r w:rsidR="00B04DB5" w:rsidRPr="00B35A22">
        <w:rPr>
          <w:sz w:val="22"/>
          <w:lang w:val="sr-Latn-ME"/>
        </w:rPr>
        <w:t xml:space="preserve"> </w:t>
      </w:r>
      <w:r w:rsidR="001B6DA8" w:rsidRPr="00B35A22">
        <w:rPr>
          <w:sz w:val="22"/>
          <w:lang w:val="sr-Latn-ME"/>
        </w:rPr>
        <w:t>dana do 12,5 m</w:t>
      </w:r>
      <w:r w:rsidR="005C612C" w:rsidRPr="00B35A22">
        <w:rPr>
          <w:sz w:val="22"/>
          <w:lang w:val="sr-Latn-ME"/>
        </w:rPr>
        <w:t>j</w:t>
      </w:r>
      <w:r w:rsidR="001B6DA8" w:rsidRPr="00B35A22">
        <w:rPr>
          <w:sz w:val="22"/>
          <w:lang w:val="sr-Latn-ME"/>
        </w:rPr>
        <w:t>eseci).</w:t>
      </w:r>
      <w:r w:rsidR="000A26D9" w:rsidRPr="00B35A22">
        <w:rPr>
          <w:sz w:val="22"/>
          <w:lang w:val="sr-Latn-ME"/>
        </w:rPr>
        <w:t xml:space="preserve"> </w:t>
      </w:r>
      <w:r w:rsidR="001B6DA8" w:rsidRPr="00B35A22">
        <w:rPr>
          <w:sz w:val="22"/>
          <w:lang w:val="sr-Latn-ME"/>
        </w:rPr>
        <w:t>Medijana trajanja</w:t>
      </w:r>
      <w:r w:rsidR="0025184E" w:rsidRPr="00B35A22">
        <w:rPr>
          <w:sz w:val="22"/>
          <w:lang w:val="sr-Latn-ME"/>
        </w:rPr>
        <w:t xml:space="preserve"> je bila </w:t>
      </w:r>
      <w:r w:rsidR="00241BDE" w:rsidRPr="00B35A22">
        <w:rPr>
          <w:sz w:val="22"/>
          <w:lang w:val="sr-Latn-ME"/>
        </w:rPr>
        <w:t>2</w:t>
      </w:r>
      <w:r w:rsidR="00FD1DA9" w:rsidRPr="00B35A22">
        <w:rPr>
          <w:sz w:val="22"/>
          <w:lang w:val="sr-Latn-ME"/>
        </w:rPr>
        <w:t>4</w:t>
      </w:r>
      <w:r w:rsidR="00241BDE" w:rsidRPr="00B35A22">
        <w:rPr>
          <w:sz w:val="22"/>
          <w:lang w:val="sr-Latn-ME"/>
        </w:rPr>
        <w:t xml:space="preserve"> </w:t>
      </w:r>
      <w:r w:rsidR="0025184E" w:rsidRPr="00B35A22">
        <w:rPr>
          <w:sz w:val="22"/>
          <w:lang w:val="sr-Latn-ME"/>
        </w:rPr>
        <w:t>dan</w:t>
      </w:r>
      <w:r w:rsidR="00241BDE" w:rsidRPr="00B35A22">
        <w:rPr>
          <w:sz w:val="22"/>
          <w:lang w:val="sr-Latn-ME"/>
        </w:rPr>
        <w:t>a</w:t>
      </w:r>
      <w:r w:rsidR="000A26D9" w:rsidRPr="00B35A22">
        <w:rPr>
          <w:sz w:val="22"/>
          <w:lang w:val="sr-Latn-ME"/>
        </w:rPr>
        <w:t xml:space="preserve"> </w:t>
      </w:r>
      <w:r w:rsidR="0025184E" w:rsidRPr="00B35A22">
        <w:rPr>
          <w:sz w:val="22"/>
          <w:lang w:val="sr-Latn-ME"/>
        </w:rPr>
        <w:t>(</w:t>
      </w:r>
      <w:r w:rsidR="000A26D9" w:rsidRPr="00B35A22">
        <w:rPr>
          <w:sz w:val="22"/>
          <w:lang w:val="sr-Latn-ME"/>
        </w:rPr>
        <w:t xml:space="preserve">u rasponu od </w:t>
      </w:r>
      <w:r w:rsidR="0025184E" w:rsidRPr="00B35A22">
        <w:rPr>
          <w:sz w:val="22"/>
          <w:lang w:val="sr-Latn-ME"/>
        </w:rPr>
        <w:t xml:space="preserve"> 6</w:t>
      </w:r>
      <w:r w:rsidR="000A26D9" w:rsidRPr="00B35A22">
        <w:rPr>
          <w:sz w:val="22"/>
          <w:lang w:val="sr-Latn-ME"/>
        </w:rPr>
        <w:t xml:space="preserve"> dana do </w:t>
      </w:r>
      <w:r w:rsidR="0025184E" w:rsidRPr="00B35A22">
        <w:rPr>
          <w:sz w:val="22"/>
          <w:lang w:val="sr-Latn-ME"/>
        </w:rPr>
        <w:t xml:space="preserve"> 14,5+</w:t>
      </w:r>
      <w:r w:rsidR="000A26D9" w:rsidRPr="00B35A22">
        <w:rPr>
          <w:sz w:val="22"/>
          <w:lang w:val="sr-Latn-ME"/>
        </w:rPr>
        <w:t xml:space="preserve"> mjesec</w:t>
      </w:r>
      <w:r w:rsidR="0025184E" w:rsidRPr="00B35A22">
        <w:rPr>
          <w:sz w:val="22"/>
          <w:lang w:val="sr-Latn-ME"/>
        </w:rPr>
        <w:t>i; + označava cenzurisanu vrijednost</w:t>
      </w:r>
      <w:r w:rsidR="005C612C" w:rsidRPr="00B35A22">
        <w:rPr>
          <w:sz w:val="22"/>
          <w:lang w:val="sr-Latn-ME"/>
        </w:rPr>
        <w:t>).</w:t>
      </w:r>
      <w:r w:rsidR="000A26D9" w:rsidRPr="00B35A22">
        <w:rPr>
          <w:sz w:val="22"/>
          <w:lang w:val="sr-Latn-ME"/>
        </w:rPr>
        <w:t xml:space="preserve"> </w:t>
      </w:r>
    </w:p>
    <w:p w14:paraId="0592E609" w14:textId="77777777" w:rsidR="000A26D9" w:rsidRPr="00B35A22" w:rsidRDefault="000A26D9" w:rsidP="00B35A22">
      <w:pPr>
        <w:widowControl w:val="0"/>
        <w:jc w:val="both"/>
        <w:rPr>
          <w:sz w:val="22"/>
          <w:lang w:val="sr-Latn-ME"/>
        </w:rPr>
      </w:pPr>
    </w:p>
    <w:p w14:paraId="6F8F8C82" w14:textId="31B7BA0D" w:rsidR="000A26D9" w:rsidRPr="00B35A22" w:rsidRDefault="0025184E" w:rsidP="00B35A22">
      <w:pPr>
        <w:widowControl w:val="0"/>
        <w:jc w:val="both"/>
        <w:rPr>
          <w:sz w:val="22"/>
          <w:lang w:val="sr-Latn-ME"/>
        </w:rPr>
      </w:pPr>
      <w:r w:rsidRPr="00B35A22">
        <w:rPr>
          <w:sz w:val="22"/>
          <w:lang w:val="sr-Latn-ME"/>
        </w:rPr>
        <w:t xml:space="preserve">Meningoencefalitis </w:t>
      </w:r>
      <w:r w:rsidR="000A26D9" w:rsidRPr="00B35A22">
        <w:rPr>
          <w:sz w:val="22"/>
          <w:lang w:val="sr-Latn-ME"/>
        </w:rPr>
        <w:t>koji je zahtijevao primjenu kortikosteroida nastupio je kod  0,</w:t>
      </w:r>
      <w:r w:rsidR="00B04DB5" w:rsidRPr="00B35A22">
        <w:rPr>
          <w:sz w:val="22"/>
          <w:szCs w:val="22"/>
          <w:lang w:val="sr-Latn-ME"/>
        </w:rPr>
        <w:t>2</w:t>
      </w:r>
      <w:r w:rsidR="000A26D9" w:rsidRPr="00B35A22">
        <w:rPr>
          <w:sz w:val="22"/>
          <w:lang w:val="sr-Latn-ME"/>
        </w:rPr>
        <w:t>% (</w:t>
      </w:r>
      <w:r w:rsidR="00DE6DD2" w:rsidRPr="00B35A22">
        <w:rPr>
          <w:sz w:val="22"/>
          <w:lang w:val="sr-Latn-ME"/>
        </w:rPr>
        <w:t>1</w:t>
      </w:r>
      <w:r w:rsidR="00FD1DA9" w:rsidRPr="00B35A22">
        <w:rPr>
          <w:sz w:val="22"/>
          <w:lang w:val="sr-Latn-ME"/>
        </w:rPr>
        <w:t>2</w:t>
      </w:r>
      <w:r w:rsidR="00DE6DD2" w:rsidRPr="00B35A22">
        <w:rPr>
          <w:sz w:val="22"/>
          <w:lang w:val="sr-Latn-ME"/>
        </w:rPr>
        <w:t>/</w:t>
      </w:r>
      <w:r w:rsidR="00B04DB5" w:rsidRPr="00B35A22">
        <w:rPr>
          <w:sz w:val="22"/>
          <w:szCs w:val="22"/>
          <w:lang w:val="sr-Latn-ME"/>
        </w:rPr>
        <w:t>5039</w:t>
      </w:r>
      <w:r w:rsidR="000A26D9" w:rsidRPr="00B35A22">
        <w:rPr>
          <w:sz w:val="22"/>
          <w:lang w:val="sr-Latn-ME"/>
        </w:rPr>
        <w:t>) pacijenata koji su primali atezolizumab</w:t>
      </w:r>
      <w:r w:rsidRPr="00B35A22">
        <w:rPr>
          <w:sz w:val="22"/>
          <w:lang w:val="sr-Latn-ME"/>
        </w:rPr>
        <w:t xml:space="preserve"> i kod </w:t>
      </w:r>
      <w:r w:rsidR="00DE6DD2" w:rsidRPr="00B35A22">
        <w:rPr>
          <w:sz w:val="22"/>
          <w:lang w:val="sr-Latn-ME"/>
        </w:rPr>
        <w:t>8</w:t>
      </w:r>
      <w:r w:rsidRPr="00B35A22">
        <w:rPr>
          <w:sz w:val="22"/>
          <w:lang w:val="sr-Latn-ME"/>
        </w:rPr>
        <w:t xml:space="preserve"> pacijenta </w:t>
      </w:r>
      <w:r w:rsidR="00241BDE" w:rsidRPr="00B35A22">
        <w:rPr>
          <w:sz w:val="22"/>
          <w:lang w:val="sr-Latn-ME"/>
        </w:rPr>
        <w:t>(0,</w:t>
      </w:r>
      <w:r w:rsidR="00DE6DD2" w:rsidRPr="00B35A22">
        <w:rPr>
          <w:sz w:val="22"/>
          <w:lang w:val="sr-Latn-ME"/>
        </w:rPr>
        <w:t>2</w:t>
      </w:r>
      <w:r w:rsidR="00241BDE" w:rsidRPr="00B35A22">
        <w:rPr>
          <w:sz w:val="22"/>
          <w:lang w:val="sr-Latn-ME"/>
        </w:rPr>
        <w:t xml:space="preserve">%) </w:t>
      </w:r>
      <w:r w:rsidRPr="00B35A22">
        <w:rPr>
          <w:sz w:val="22"/>
          <w:lang w:val="sr-Latn-ME"/>
        </w:rPr>
        <w:t>je prekinuto l</w:t>
      </w:r>
      <w:r w:rsidR="00042108" w:rsidRPr="00B35A22">
        <w:rPr>
          <w:sz w:val="22"/>
          <w:lang w:val="sr-Latn-ME"/>
        </w:rPr>
        <w:t>ij</w:t>
      </w:r>
      <w:r w:rsidRPr="00B35A22">
        <w:rPr>
          <w:sz w:val="22"/>
          <w:lang w:val="sr-Latn-ME"/>
        </w:rPr>
        <w:t>ečenje atezolizumabom</w:t>
      </w:r>
      <w:r w:rsidR="000A26D9" w:rsidRPr="00B35A22">
        <w:rPr>
          <w:sz w:val="22"/>
          <w:lang w:val="sr-Latn-ME"/>
        </w:rPr>
        <w:t xml:space="preserve">. </w:t>
      </w:r>
    </w:p>
    <w:p w14:paraId="1C8EEA54" w14:textId="77777777" w:rsidR="005C612C" w:rsidRPr="00B35A22" w:rsidRDefault="005C612C" w:rsidP="00B35A22">
      <w:pPr>
        <w:widowControl w:val="0"/>
        <w:jc w:val="both"/>
        <w:rPr>
          <w:sz w:val="22"/>
          <w:lang w:val="sr-Latn-ME"/>
        </w:rPr>
      </w:pPr>
    </w:p>
    <w:p w14:paraId="4A12789D" w14:textId="47396F7F" w:rsidR="000A26D9" w:rsidRPr="00B35A22" w:rsidRDefault="000A26D9" w:rsidP="00B35A22">
      <w:pPr>
        <w:widowControl w:val="0"/>
        <w:jc w:val="both"/>
        <w:rPr>
          <w:i/>
          <w:sz w:val="22"/>
          <w:u w:val="single"/>
          <w:lang w:val="sr-Latn-ME"/>
        </w:rPr>
      </w:pPr>
      <w:r w:rsidRPr="00B35A22">
        <w:rPr>
          <w:i/>
          <w:sz w:val="22"/>
          <w:u w:val="single"/>
          <w:lang w:val="sr-Latn-ME"/>
        </w:rPr>
        <w:t>Imunološki prouzrokovane neuropatije</w:t>
      </w:r>
    </w:p>
    <w:p w14:paraId="01772FF6" w14:textId="490D9580" w:rsidR="00FD1DA9" w:rsidRPr="00B35A22" w:rsidRDefault="00FD1DA9" w:rsidP="00B35A22">
      <w:pPr>
        <w:widowControl w:val="0"/>
        <w:jc w:val="both"/>
        <w:rPr>
          <w:i/>
          <w:sz w:val="22"/>
          <w:u w:val="single"/>
          <w:lang w:val="sr-Latn-ME"/>
        </w:rPr>
      </w:pPr>
    </w:p>
    <w:p w14:paraId="7D449FA6" w14:textId="77777777" w:rsidR="00FD1DA9" w:rsidRPr="00B35A22" w:rsidRDefault="00FD1DA9" w:rsidP="00B35A22">
      <w:pPr>
        <w:widowControl w:val="0"/>
        <w:rPr>
          <w:i/>
          <w:sz w:val="22"/>
          <w:szCs w:val="22"/>
          <w:lang w:val="sr-Latn-ME"/>
        </w:rPr>
      </w:pPr>
      <w:r w:rsidRPr="00B35A22">
        <w:rPr>
          <w:i/>
          <w:sz w:val="22"/>
          <w:szCs w:val="22"/>
          <w:lang w:val="sr-Latn-ME"/>
        </w:rPr>
        <w:t>Guillain-Barréov sindrom i demijelinizirajuća polineuropatija</w:t>
      </w:r>
    </w:p>
    <w:p w14:paraId="292D3421" w14:textId="77777777" w:rsidR="00FD1DA9" w:rsidRPr="00B35A22" w:rsidRDefault="00FD1DA9" w:rsidP="00B35A22">
      <w:pPr>
        <w:widowControl w:val="0"/>
        <w:jc w:val="both"/>
        <w:rPr>
          <w:i/>
          <w:sz w:val="22"/>
          <w:szCs w:val="22"/>
          <w:u w:val="single"/>
          <w:lang w:val="sr-Latn-ME"/>
        </w:rPr>
      </w:pPr>
    </w:p>
    <w:p w14:paraId="41A9F2E1" w14:textId="1313265F" w:rsidR="000A26D9" w:rsidRPr="00B35A22" w:rsidRDefault="000A26D9" w:rsidP="00B35A22">
      <w:pPr>
        <w:widowControl w:val="0"/>
        <w:jc w:val="both"/>
        <w:rPr>
          <w:sz w:val="22"/>
          <w:szCs w:val="22"/>
          <w:lang w:val="sr-Latn-ME"/>
        </w:rPr>
      </w:pPr>
      <w:r w:rsidRPr="00B35A22">
        <w:rPr>
          <w:i/>
          <w:sz w:val="22"/>
          <w:szCs w:val="22"/>
          <w:lang w:val="sr-Latn-ME"/>
        </w:rPr>
        <w:t>Guillain Barré</w:t>
      </w:r>
      <w:r w:rsidR="007A4C3C" w:rsidRPr="00B35A22">
        <w:rPr>
          <w:sz w:val="22"/>
          <w:szCs w:val="22"/>
          <w:lang w:val="sr-Latn-ME"/>
        </w:rPr>
        <w:t>-</w:t>
      </w:r>
      <w:r w:rsidRPr="00B35A22">
        <w:rPr>
          <w:sz w:val="22"/>
          <w:szCs w:val="22"/>
          <w:lang w:val="sr-Latn-ME"/>
        </w:rPr>
        <w:t>ov sindrom i demijelinizirajuća polineuropatija javile su se kod  0,</w:t>
      </w:r>
      <w:r w:rsidR="00830CC2" w:rsidRPr="00B35A22">
        <w:rPr>
          <w:sz w:val="22"/>
          <w:szCs w:val="22"/>
          <w:lang w:val="sr-Latn-ME"/>
        </w:rPr>
        <w:t>1</w:t>
      </w:r>
      <w:r w:rsidRPr="00B35A22">
        <w:rPr>
          <w:sz w:val="22"/>
          <w:szCs w:val="22"/>
          <w:lang w:val="sr-Latn-ME"/>
        </w:rPr>
        <w:t>% (</w:t>
      </w:r>
      <w:r w:rsidR="004653E2" w:rsidRPr="00B35A22">
        <w:rPr>
          <w:sz w:val="22"/>
          <w:szCs w:val="22"/>
          <w:lang w:val="sr-Latn-ME"/>
        </w:rPr>
        <w:t>6/</w:t>
      </w:r>
      <w:r w:rsidR="00B04DB5" w:rsidRPr="00B35A22">
        <w:rPr>
          <w:sz w:val="22"/>
          <w:szCs w:val="22"/>
          <w:lang w:val="sr-Latn-ME"/>
        </w:rPr>
        <w:t>5039</w:t>
      </w:r>
      <w:r w:rsidRPr="00B35A22">
        <w:rPr>
          <w:sz w:val="22"/>
          <w:szCs w:val="22"/>
          <w:lang w:val="sr-Latn-ME"/>
        </w:rPr>
        <w:t>) pacijenata koji su primali atezolizumab</w:t>
      </w:r>
      <w:r w:rsidR="0025184E" w:rsidRPr="00B35A22">
        <w:rPr>
          <w:sz w:val="22"/>
          <w:szCs w:val="22"/>
          <w:lang w:val="sr-Latn-ME"/>
        </w:rPr>
        <w:t xml:space="preserve"> kao monoterapiju</w:t>
      </w:r>
      <w:r w:rsidRPr="00B35A22">
        <w:rPr>
          <w:sz w:val="22"/>
          <w:szCs w:val="22"/>
          <w:lang w:val="sr-Latn-ME"/>
        </w:rPr>
        <w:t xml:space="preserve">. Medijana vremena do nastupa iznosila je </w:t>
      </w:r>
      <w:r w:rsidR="004653E2" w:rsidRPr="00B35A22">
        <w:rPr>
          <w:sz w:val="22"/>
          <w:szCs w:val="22"/>
          <w:lang w:val="sr-Latn-ME"/>
        </w:rPr>
        <w:t xml:space="preserve">4,1 </w:t>
      </w:r>
      <w:r w:rsidRPr="00B35A22">
        <w:rPr>
          <w:sz w:val="22"/>
          <w:szCs w:val="22"/>
          <w:lang w:val="sr-Latn-ME"/>
        </w:rPr>
        <w:t xml:space="preserve">mjeseci (raspon od </w:t>
      </w:r>
      <w:r w:rsidR="00241BDE" w:rsidRPr="00B35A22">
        <w:rPr>
          <w:sz w:val="22"/>
          <w:szCs w:val="22"/>
          <w:lang w:val="sr-Latn-ME"/>
        </w:rPr>
        <w:t>1</w:t>
      </w:r>
      <w:r w:rsidR="00FD1DA9" w:rsidRPr="00B35A22">
        <w:rPr>
          <w:sz w:val="22"/>
          <w:szCs w:val="22"/>
          <w:lang w:val="sr-Latn-ME"/>
        </w:rPr>
        <w:t>8</w:t>
      </w:r>
      <w:r w:rsidR="00241BDE" w:rsidRPr="00B35A22">
        <w:rPr>
          <w:sz w:val="22"/>
          <w:szCs w:val="22"/>
          <w:lang w:val="sr-Latn-ME"/>
        </w:rPr>
        <w:t xml:space="preserve"> </w:t>
      </w:r>
      <w:r w:rsidRPr="00B35A22">
        <w:rPr>
          <w:sz w:val="22"/>
          <w:szCs w:val="22"/>
          <w:lang w:val="sr-Latn-ME"/>
        </w:rPr>
        <w:t xml:space="preserve">dana do 8,1 mjeseci). Medijana trajanja iznosila je </w:t>
      </w:r>
      <w:r w:rsidR="0025184E" w:rsidRPr="00B35A22">
        <w:rPr>
          <w:sz w:val="22"/>
          <w:szCs w:val="22"/>
          <w:lang w:val="sr-Latn-ME"/>
        </w:rPr>
        <w:t xml:space="preserve"> 8,0</w:t>
      </w:r>
      <w:r w:rsidRPr="00B35A22">
        <w:rPr>
          <w:sz w:val="22"/>
          <w:szCs w:val="22"/>
          <w:lang w:val="sr-Latn-ME"/>
        </w:rPr>
        <w:t xml:space="preserve"> mjeseci (</w:t>
      </w:r>
      <w:r w:rsidR="00950391" w:rsidRPr="00B35A22">
        <w:rPr>
          <w:sz w:val="22"/>
          <w:szCs w:val="22"/>
          <w:lang w:val="sr-Latn-ME"/>
        </w:rPr>
        <w:t xml:space="preserve">raspon </w:t>
      </w:r>
      <w:r w:rsidRPr="00B35A22">
        <w:rPr>
          <w:sz w:val="22"/>
          <w:szCs w:val="22"/>
          <w:lang w:val="sr-Latn-ME"/>
        </w:rPr>
        <w:t xml:space="preserve">od </w:t>
      </w:r>
      <w:r w:rsidR="0025184E" w:rsidRPr="00B35A22">
        <w:rPr>
          <w:sz w:val="22"/>
          <w:szCs w:val="22"/>
          <w:lang w:val="sr-Latn-ME"/>
        </w:rPr>
        <w:t xml:space="preserve"> </w:t>
      </w:r>
      <w:r w:rsidR="00241BDE" w:rsidRPr="00B35A22">
        <w:rPr>
          <w:sz w:val="22"/>
          <w:szCs w:val="22"/>
          <w:lang w:val="sr-Latn-ME"/>
        </w:rPr>
        <w:t>1</w:t>
      </w:r>
      <w:r w:rsidR="00FD1DA9" w:rsidRPr="00B35A22">
        <w:rPr>
          <w:sz w:val="22"/>
          <w:szCs w:val="22"/>
          <w:lang w:val="sr-Latn-ME"/>
        </w:rPr>
        <w:t>8</w:t>
      </w:r>
      <w:r w:rsidR="00241BDE" w:rsidRPr="00B35A22">
        <w:rPr>
          <w:sz w:val="22"/>
          <w:szCs w:val="22"/>
          <w:lang w:val="sr-Latn-ME"/>
        </w:rPr>
        <w:t xml:space="preserve"> </w:t>
      </w:r>
      <w:r w:rsidRPr="00B35A22">
        <w:rPr>
          <w:sz w:val="22"/>
          <w:szCs w:val="22"/>
          <w:lang w:val="sr-Latn-ME"/>
        </w:rPr>
        <w:t xml:space="preserve">dana do </w:t>
      </w:r>
      <w:r w:rsidR="004653E2" w:rsidRPr="00B35A22">
        <w:rPr>
          <w:sz w:val="22"/>
          <w:szCs w:val="22"/>
          <w:lang w:val="sr-Latn-ME"/>
        </w:rPr>
        <w:t>24,5+ mjeseci</w:t>
      </w:r>
      <w:r w:rsidRPr="00B35A22">
        <w:rPr>
          <w:sz w:val="22"/>
          <w:szCs w:val="22"/>
          <w:lang w:val="sr-Latn-ME"/>
        </w:rPr>
        <w:t>; ‘+’ označava cenzuri</w:t>
      </w:r>
      <w:r w:rsidR="005C612C" w:rsidRPr="00B35A22">
        <w:rPr>
          <w:sz w:val="22"/>
          <w:szCs w:val="22"/>
          <w:lang w:val="sr-Latn-ME"/>
        </w:rPr>
        <w:t>sanu</w:t>
      </w:r>
      <w:r w:rsidRPr="00B35A22">
        <w:rPr>
          <w:sz w:val="22"/>
          <w:szCs w:val="22"/>
          <w:lang w:val="sr-Latn-ME"/>
        </w:rPr>
        <w:t xml:space="preserve"> vrijednost). Guillain Barréov sindrom doveo je do prekida liječenja atezolizumabom kod 1 (&lt; 0,1%) pacijenata. Guillain Barréov sindrom koji je zahtijevao primjenu kortikosteroida zabilježen  je kod </w:t>
      </w:r>
      <w:r w:rsidR="009F3636" w:rsidRPr="00B35A22">
        <w:rPr>
          <w:sz w:val="22"/>
          <w:szCs w:val="22"/>
          <w:lang w:val="sr-Latn-ME"/>
        </w:rPr>
        <w:t xml:space="preserve">&lt; </w:t>
      </w:r>
      <w:r w:rsidRPr="00B35A22">
        <w:rPr>
          <w:sz w:val="22"/>
          <w:szCs w:val="22"/>
          <w:lang w:val="sr-Latn-ME"/>
        </w:rPr>
        <w:t>0,1% (</w:t>
      </w:r>
      <w:r w:rsidR="004653E2" w:rsidRPr="00B35A22">
        <w:rPr>
          <w:sz w:val="22"/>
          <w:szCs w:val="22"/>
          <w:lang w:val="sr-Latn-ME"/>
        </w:rPr>
        <w:t>3/</w:t>
      </w:r>
      <w:r w:rsidR="00B04DB5" w:rsidRPr="00B35A22">
        <w:rPr>
          <w:sz w:val="22"/>
          <w:szCs w:val="22"/>
          <w:lang w:val="sr-Latn-ME"/>
        </w:rPr>
        <w:t>5039</w:t>
      </w:r>
      <w:r w:rsidRPr="00B35A22">
        <w:rPr>
          <w:sz w:val="22"/>
          <w:szCs w:val="22"/>
          <w:lang w:val="sr-Latn-ME"/>
        </w:rPr>
        <w:t>) pacijenata koji su primali atezolizumab</w:t>
      </w:r>
      <w:r w:rsidR="0025184E" w:rsidRPr="00B35A22">
        <w:rPr>
          <w:sz w:val="22"/>
          <w:szCs w:val="22"/>
          <w:lang w:val="sr-Latn-ME"/>
        </w:rPr>
        <w:t xml:space="preserve"> kao monoterapiju</w:t>
      </w:r>
      <w:r w:rsidRPr="00B35A22">
        <w:rPr>
          <w:sz w:val="22"/>
          <w:szCs w:val="22"/>
          <w:lang w:val="sr-Latn-ME"/>
        </w:rPr>
        <w:t xml:space="preserve">. </w:t>
      </w:r>
    </w:p>
    <w:p w14:paraId="2FD78565" w14:textId="6500323B" w:rsidR="000A26D9" w:rsidRPr="00B35A22" w:rsidRDefault="000A26D9" w:rsidP="00B35A22">
      <w:pPr>
        <w:widowControl w:val="0"/>
        <w:jc w:val="both"/>
        <w:rPr>
          <w:sz w:val="22"/>
          <w:lang w:val="sr-Latn-ME"/>
        </w:rPr>
      </w:pPr>
    </w:p>
    <w:p w14:paraId="321CAEA9" w14:textId="77777777" w:rsidR="00FD1DA9" w:rsidRPr="00B35A22" w:rsidRDefault="00FD1DA9" w:rsidP="00B35A22">
      <w:pPr>
        <w:widowControl w:val="0"/>
        <w:jc w:val="both"/>
        <w:rPr>
          <w:sz w:val="22"/>
          <w:lang w:val="sr-Latn-ME"/>
        </w:rPr>
      </w:pPr>
      <w:bookmarkStart w:id="1" w:name="_Hlk130196260"/>
      <w:r w:rsidRPr="00B35A22">
        <w:rPr>
          <w:i/>
          <w:sz w:val="22"/>
          <w:lang w:val="sr-Latn-ME"/>
        </w:rPr>
        <w:t>Imunološki uzrokovana pareza lica</w:t>
      </w:r>
    </w:p>
    <w:p w14:paraId="11655FDD" w14:textId="77777777" w:rsidR="00FD1DA9" w:rsidRPr="00B35A22" w:rsidRDefault="00FD1DA9" w:rsidP="00B35A22">
      <w:pPr>
        <w:widowControl w:val="0"/>
        <w:jc w:val="both"/>
        <w:rPr>
          <w:sz w:val="22"/>
          <w:lang w:val="sr-Latn-ME"/>
        </w:rPr>
      </w:pPr>
    </w:p>
    <w:p w14:paraId="791B6C49" w14:textId="60B3BA64" w:rsidR="00FD1DA9" w:rsidRPr="00B35A22" w:rsidRDefault="00FD1DA9" w:rsidP="00B35A22">
      <w:pPr>
        <w:widowControl w:val="0"/>
        <w:jc w:val="both"/>
        <w:rPr>
          <w:sz w:val="22"/>
          <w:lang w:val="sr-Latn-ME"/>
        </w:rPr>
      </w:pPr>
      <w:r w:rsidRPr="00B35A22">
        <w:rPr>
          <w:sz w:val="22"/>
          <w:lang w:val="sr-Latn-ME"/>
        </w:rPr>
        <w:t xml:space="preserve">Pareza lica javila se </w:t>
      </w:r>
      <w:r w:rsidR="00314085" w:rsidRPr="00B35A22">
        <w:rPr>
          <w:sz w:val="22"/>
          <w:lang w:val="sr-Latn-ME"/>
        </w:rPr>
        <w:t>kod</w:t>
      </w:r>
      <w:r w:rsidRPr="00B35A22">
        <w:rPr>
          <w:sz w:val="22"/>
          <w:lang w:val="sr-Latn-ME"/>
        </w:rPr>
        <w:t xml:space="preserve"> &lt; 0,1% (1/</w:t>
      </w:r>
      <w:r w:rsidR="00B04DB5" w:rsidRPr="00B35A22">
        <w:rPr>
          <w:sz w:val="22"/>
          <w:szCs w:val="22"/>
          <w:lang w:val="sr-Latn-ME"/>
        </w:rPr>
        <w:t>5039</w:t>
      </w:r>
      <w:r w:rsidRPr="00B35A22">
        <w:rPr>
          <w:sz w:val="22"/>
          <w:lang w:val="sr-Latn-ME"/>
        </w:rPr>
        <w:t xml:space="preserve">) </w:t>
      </w:r>
      <w:r w:rsidR="00314085" w:rsidRPr="00B35A22">
        <w:rPr>
          <w:sz w:val="22"/>
          <w:lang w:val="sr-Latn-ME"/>
        </w:rPr>
        <w:t>pacijenata</w:t>
      </w:r>
      <w:r w:rsidRPr="00B35A22">
        <w:rPr>
          <w:sz w:val="22"/>
          <w:lang w:val="sr-Latn-ME"/>
        </w:rPr>
        <w:t xml:space="preserve"> koji su primali atezolizumab u monoterapiji. Vrijeme do nastupa iznosilo je 29 dana. Trajanje je iznosilo 1,1 mjesec. Događaj nije zahtijevao primjenu kortikosteroida i nije doveo do prekida liječenja atezolizumabom.</w:t>
      </w:r>
    </w:p>
    <w:p w14:paraId="2C1625E8" w14:textId="77777777" w:rsidR="00FD1DA9" w:rsidRPr="00B35A22" w:rsidRDefault="00FD1DA9" w:rsidP="00B35A22">
      <w:pPr>
        <w:widowControl w:val="0"/>
        <w:jc w:val="both"/>
        <w:rPr>
          <w:sz w:val="22"/>
          <w:lang w:val="sr-Latn-ME"/>
        </w:rPr>
      </w:pPr>
    </w:p>
    <w:p w14:paraId="1A419B14" w14:textId="42FBF2C7" w:rsidR="00FD1DA9" w:rsidRPr="00B35A22" w:rsidRDefault="00FD1DA9" w:rsidP="00B35A22">
      <w:pPr>
        <w:widowControl w:val="0"/>
        <w:jc w:val="both"/>
        <w:rPr>
          <w:sz w:val="22"/>
          <w:lang w:val="sr-Latn-ME"/>
        </w:rPr>
      </w:pPr>
      <w:r w:rsidRPr="00B35A22">
        <w:rPr>
          <w:i/>
          <w:sz w:val="22"/>
          <w:u w:val="single"/>
          <w:lang w:val="sr-Latn-ME"/>
        </w:rPr>
        <w:t>Imunološki uzrokovan mijelitis</w:t>
      </w:r>
    </w:p>
    <w:p w14:paraId="61E720C3" w14:textId="2D9DAA84" w:rsidR="00FD1DA9" w:rsidRPr="00B35A22" w:rsidRDefault="00FD1DA9" w:rsidP="00B35A22">
      <w:pPr>
        <w:widowControl w:val="0"/>
        <w:jc w:val="both"/>
        <w:rPr>
          <w:sz w:val="22"/>
          <w:lang w:val="sr-Latn-ME"/>
        </w:rPr>
      </w:pPr>
      <w:r w:rsidRPr="00B35A22">
        <w:rPr>
          <w:sz w:val="22"/>
          <w:lang w:val="sr-Latn-ME"/>
        </w:rPr>
        <w:t xml:space="preserve">Mijelitis se javio </w:t>
      </w:r>
      <w:r w:rsidR="00314085" w:rsidRPr="00B35A22">
        <w:rPr>
          <w:sz w:val="22"/>
          <w:lang w:val="sr-Latn-ME"/>
        </w:rPr>
        <w:t>kod</w:t>
      </w:r>
      <w:r w:rsidRPr="00B35A22">
        <w:rPr>
          <w:sz w:val="22"/>
          <w:lang w:val="sr-Latn-ME"/>
        </w:rPr>
        <w:t xml:space="preserve"> &lt;0,1% (1/</w:t>
      </w:r>
      <w:r w:rsidR="00B04DB5" w:rsidRPr="00B35A22">
        <w:rPr>
          <w:sz w:val="22"/>
          <w:szCs w:val="22"/>
          <w:lang w:val="sr-Latn-ME"/>
        </w:rPr>
        <w:t>5039</w:t>
      </w:r>
      <w:r w:rsidRPr="00B35A22">
        <w:rPr>
          <w:sz w:val="22"/>
          <w:lang w:val="sr-Latn-ME"/>
        </w:rPr>
        <w:t xml:space="preserve">) </w:t>
      </w:r>
      <w:r w:rsidR="00314085" w:rsidRPr="00B35A22">
        <w:rPr>
          <w:sz w:val="22"/>
          <w:lang w:val="sr-Latn-ME"/>
        </w:rPr>
        <w:t xml:space="preserve">pacijenata </w:t>
      </w:r>
      <w:r w:rsidRPr="00B35A22">
        <w:rPr>
          <w:sz w:val="22"/>
          <w:lang w:val="sr-Latn-ME"/>
        </w:rPr>
        <w:t>koji su primali atezolizumab u monoterapiji. Vrijeme do nastupa iznosilo je 3 dana. Događaj je zahtijevao primjenu kortikosteroida, ali nije doveo do prekida liječenja atezolizumabom.</w:t>
      </w:r>
    </w:p>
    <w:bookmarkEnd w:id="1"/>
    <w:p w14:paraId="5393E35D" w14:textId="77777777" w:rsidR="00FD1DA9" w:rsidRPr="00B35A22" w:rsidRDefault="00FD1DA9" w:rsidP="00B35A22">
      <w:pPr>
        <w:widowControl w:val="0"/>
        <w:jc w:val="both"/>
        <w:rPr>
          <w:sz w:val="22"/>
          <w:lang w:val="sr-Latn-ME"/>
        </w:rPr>
      </w:pPr>
    </w:p>
    <w:p w14:paraId="7A253D7E" w14:textId="77777777" w:rsidR="000A26D9" w:rsidRPr="00B35A22" w:rsidRDefault="000A26D9" w:rsidP="00B35A22">
      <w:pPr>
        <w:widowControl w:val="0"/>
        <w:tabs>
          <w:tab w:val="left" w:pos="2524"/>
        </w:tabs>
        <w:jc w:val="both"/>
        <w:rPr>
          <w:i/>
          <w:sz w:val="22"/>
          <w:u w:val="single"/>
          <w:lang w:val="sr-Latn-ME"/>
        </w:rPr>
      </w:pPr>
      <w:r w:rsidRPr="00B35A22">
        <w:rPr>
          <w:i/>
          <w:sz w:val="22"/>
          <w:u w:val="single"/>
          <w:lang w:val="sr-Latn-ME"/>
        </w:rPr>
        <w:t xml:space="preserve">Mijastenički sindrom </w:t>
      </w:r>
    </w:p>
    <w:p w14:paraId="01B507C2" w14:textId="618321AF" w:rsidR="000A26D9" w:rsidRPr="00B35A22" w:rsidRDefault="000A26D9" w:rsidP="00B35A22">
      <w:pPr>
        <w:widowControl w:val="0"/>
        <w:jc w:val="both"/>
        <w:rPr>
          <w:sz w:val="22"/>
          <w:lang w:val="sr-Latn-ME"/>
        </w:rPr>
      </w:pPr>
      <w:r w:rsidRPr="00B35A22">
        <w:rPr>
          <w:sz w:val="22"/>
          <w:lang w:val="sr-Latn-ME"/>
        </w:rPr>
        <w:t>Miastenija gravis javila se kod &lt;0,1% (</w:t>
      </w:r>
      <w:r w:rsidR="0025184E" w:rsidRPr="00B35A22">
        <w:rPr>
          <w:sz w:val="22"/>
          <w:lang w:val="sr-Latn-ME"/>
        </w:rPr>
        <w:t>1/</w:t>
      </w:r>
      <w:r w:rsidR="00B04DB5" w:rsidRPr="00B35A22">
        <w:rPr>
          <w:sz w:val="22"/>
          <w:szCs w:val="22"/>
          <w:lang w:val="sr-Latn-ME"/>
        </w:rPr>
        <w:t>50</w:t>
      </w:r>
      <w:r w:rsidR="00A57F3E" w:rsidRPr="00B35A22">
        <w:rPr>
          <w:sz w:val="22"/>
          <w:szCs w:val="22"/>
          <w:lang w:val="sr-Latn-ME"/>
        </w:rPr>
        <w:t>39</w:t>
      </w:r>
      <w:r w:rsidRPr="00B35A22">
        <w:rPr>
          <w:sz w:val="22"/>
          <w:lang w:val="sr-Latn-ME"/>
        </w:rPr>
        <w:t xml:space="preserve">) pacijenata </w:t>
      </w:r>
      <w:r w:rsidR="00A57F3E" w:rsidRPr="00B35A22">
        <w:rPr>
          <w:sz w:val="22"/>
          <w:szCs w:val="22"/>
          <w:lang w:val="sr-Latn-ME"/>
        </w:rPr>
        <w:t xml:space="preserve">(uključujući jedan slučaj sa smrtnim ishodom) </w:t>
      </w:r>
      <w:r w:rsidR="00E73539" w:rsidRPr="00B35A22">
        <w:rPr>
          <w:sz w:val="22"/>
          <w:lang w:val="sr-Latn-ME"/>
        </w:rPr>
        <w:t xml:space="preserve">koji su primali </w:t>
      </w:r>
      <w:r w:rsidRPr="00B35A22">
        <w:rPr>
          <w:sz w:val="22"/>
          <w:lang w:val="sr-Latn-ME"/>
        </w:rPr>
        <w:t xml:space="preserve">atezolizumab </w:t>
      </w:r>
      <w:r w:rsidR="00E73539" w:rsidRPr="00B35A22">
        <w:rPr>
          <w:sz w:val="22"/>
          <w:lang w:val="sr-Latn-ME"/>
        </w:rPr>
        <w:t>kao monoerapiju.</w:t>
      </w:r>
      <w:r w:rsidR="00ED2C8B" w:rsidRPr="00B35A22">
        <w:rPr>
          <w:sz w:val="22"/>
          <w:lang w:val="sr-Latn-ME"/>
        </w:rPr>
        <w:t xml:space="preserve"> </w:t>
      </w:r>
      <w:r w:rsidR="00A57F3E" w:rsidRPr="00B35A22">
        <w:rPr>
          <w:sz w:val="22"/>
          <w:szCs w:val="22"/>
          <w:lang w:val="sr-Latn-ME"/>
        </w:rPr>
        <w:t>Medijana vremena</w:t>
      </w:r>
      <w:r w:rsidR="00A57F3E" w:rsidRPr="00B35A22">
        <w:rPr>
          <w:sz w:val="22"/>
          <w:lang w:val="sr-Latn-ME"/>
        </w:rPr>
        <w:t xml:space="preserve"> </w:t>
      </w:r>
      <w:r w:rsidRPr="00B35A22">
        <w:rPr>
          <w:sz w:val="22"/>
          <w:lang w:val="sr-Latn-ME"/>
        </w:rPr>
        <w:t>do pojave</w:t>
      </w:r>
      <w:r w:rsidR="00E73539" w:rsidRPr="00B35A22">
        <w:rPr>
          <w:sz w:val="22"/>
          <w:lang w:val="sr-Latn-ME"/>
        </w:rPr>
        <w:t xml:space="preserve"> </w:t>
      </w:r>
      <w:r w:rsidR="00ED0A36" w:rsidRPr="00B35A22">
        <w:rPr>
          <w:sz w:val="22"/>
          <w:szCs w:val="22"/>
          <w:lang w:val="sr-Latn-ME"/>
        </w:rPr>
        <w:t>bila</w:t>
      </w:r>
      <w:r w:rsidR="00ED0A36" w:rsidRPr="00B35A22">
        <w:rPr>
          <w:sz w:val="22"/>
          <w:lang w:val="sr-Latn-ME"/>
        </w:rPr>
        <w:t xml:space="preserve"> </w:t>
      </w:r>
      <w:r w:rsidR="00E73539" w:rsidRPr="00B35A22">
        <w:rPr>
          <w:sz w:val="22"/>
          <w:lang w:val="sr-Latn-ME"/>
        </w:rPr>
        <w:t xml:space="preserve">je </w:t>
      </w:r>
      <w:r w:rsidR="00A57F3E" w:rsidRPr="00B35A22">
        <w:rPr>
          <w:sz w:val="22"/>
          <w:szCs w:val="22"/>
          <w:lang w:val="sr-Latn-ME"/>
        </w:rPr>
        <w:t>2,6</w:t>
      </w:r>
      <w:r w:rsidR="00E73539" w:rsidRPr="00B35A22">
        <w:rPr>
          <w:sz w:val="22"/>
          <w:szCs w:val="22"/>
          <w:lang w:val="sr-Latn-ME"/>
        </w:rPr>
        <w:t xml:space="preserve"> mjeseca</w:t>
      </w:r>
      <w:r w:rsidR="00A57F3E" w:rsidRPr="00B35A22">
        <w:rPr>
          <w:sz w:val="22"/>
          <w:szCs w:val="22"/>
          <w:lang w:val="sr-Latn-ME"/>
        </w:rPr>
        <w:t xml:space="preserve"> (raspon od </w:t>
      </w:r>
      <w:r w:rsidR="00A57F3E" w:rsidRPr="00B35A22">
        <w:rPr>
          <w:sz w:val="22"/>
          <w:lang w:val="sr-Latn-ME"/>
        </w:rPr>
        <w:t>1,2 mjeseca</w:t>
      </w:r>
      <w:r w:rsidR="00A57F3E" w:rsidRPr="00B35A22">
        <w:rPr>
          <w:sz w:val="22"/>
          <w:szCs w:val="22"/>
          <w:lang w:val="sr-Latn-ME"/>
        </w:rPr>
        <w:t xml:space="preserve"> do 4 mjeseca)</w:t>
      </w:r>
      <w:r w:rsidRPr="00B35A22">
        <w:rPr>
          <w:sz w:val="22"/>
          <w:szCs w:val="22"/>
          <w:lang w:val="sr-Latn-ME"/>
        </w:rPr>
        <w:t>.</w:t>
      </w:r>
      <w:r w:rsidRPr="00B35A22">
        <w:rPr>
          <w:sz w:val="22"/>
          <w:lang w:val="sr-Latn-ME"/>
        </w:rPr>
        <w:t xml:space="preserve"> </w:t>
      </w:r>
    </w:p>
    <w:p w14:paraId="18F7500E" w14:textId="77777777" w:rsidR="000A26D9" w:rsidRPr="00B35A22" w:rsidRDefault="000A26D9" w:rsidP="00B35A22">
      <w:pPr>
        <w:widowControl w:val="0"/>
        <w:jc w:val="both"/>
        <w:rPr>
          <w:sz w:val="22"/>
          <w:lang w:val="sr-Latn-ME"/>
        </w:rPr>
      </w:pPr>
    </w:p>
    <w:p w14:paraId="62C6F3DD"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pankreatitis</w:t>
      </w:r>
    </w:p>
    <w:p w14:paraId="058660C5" w14:textId="46D97CFE" w:rsidR="000A26D9" w:rsidRPr="00B35A22" w:rsidRDefault="000A26D9" w:rsidP="00B35A22">
      <w:pPr>
        <w:widowControl w:val="0"/>
        <w:jc w:val="both"/>
        <w:rPr>
          <w:sz w:val="22"/>
          <w:lang w:val="sr-Latn-ME"/>
        </w:rPr>
      </w:pPr>
      <w:r w:rsidRPr="00B35A22">
        <w:rPr>
          <w:sz w:val="22"/>
          <w:lang w:val="sr-Latn-ME"/>
        </w:rPr>
        <w:t>Pankreatitis, uključujući povišene vrijednosti amilaze i lipaze, javio se kod 0,</w:t>
      </w:r>
      <w:r w:rsidR="00314085" w:rsidRPr="00B35A22">
        <w:rPr>
          <w:sz w:val="22"/>
          <w:lang w:val="sr-Latn-ME"/>
        </w:rPr>
        <w:t>8</w:t>
      </w:r>
      <w:r w:rsidRPr="00B35A22">
        <w:rPr>
          <w:sz w:val="22"/>
          <w:lang w:val="sr-Latn-ME"/>
        </w:rPr>
        <w:t>% (</w:t>
      </w:r>
      <w:r w:rsidR="00A57F3E" w:rsidRPr="00B35A22">
        <w:rPr>
          <w:sz w:val="22"/>
          <w:szCs w:val="22"/>
          <w:lang w:val="sr-Latn-ME"/>
        </w:rPr>
        <w:t>40</w:t>
      </w:r>
      <w:r w:rsidR="004653E2" w:rsidRPr="00B35A22">
        <w:rPr>
          <w:sz w:val="22"/>
          <w:szCs w:val="22"/>
          <w:lang w:val="sr-Latn-ME"/>
        </w:rPr>
        <w:t>/</w:t>
      </w:r>
      <w:r w:rsidR="00A57F3E" w:rsidRPr="00B35A22">
        <w:rPr>
          <w:sz w:val="22"/>
          <w:szCs w:val="22"/>
          <w:lang w:val="sr-Latn-ME"/>
        </w:rPr>
        <w:t>5039</w:t>
      </w:r>
      <w:r w:rsidRPr="00B35A22">
        <w:rPr>
          <w:sz w:val="22"/>
          <w:lang w:val="sr-Latn-ME"/>
        </w:rPr>
        <w:t>) pacijenata koji su primali atezolizumab</w:t>
      </w:r>
      <w:r w:rsidR="00E73539" w:rsidRPr="00B35A22">
        <w:rPr>
          <w:sz w:val="22"/>
          <w:lang w:val="sr-Latn-ME"/>
        </w:rPr>
        <w:t xml:space="preserve"> kao monoterapiju</w:t>
      </w:r>
      <w:r w:rsidRPr="00B35A22">
        <w:rPr>
          <w:sz w:val="22"/>
          <w:lang w:val="sr-Latn-ME"/>
        </w:rPr>
        <w:t xml:space="preserve">. Medijana vremena do pojave iznosila je </w:t>
      </w:r>
      <w:r w:rsidR="004653E2" w:rsidRPr="00B35A22">
        <w:rPr>
          <w:sz w:val="22"/>
          <w:lang w:val="sr-Latn-ME"/>
        </w:rPr>
        <w:t>5</w:t>
      </w:r>
      <w:r w:rsidR="00950391" w:rsidRPr="00B35A22">
        <w:rPr>
          <w:sz w:val="22"/>
          <w:lang w:val="sr-Latn-ME"/>
        </w:rPr>
        <w:t xml:space="preserve"> </w:t>
      </w:r>
      <w:r w:rsidR="00241BDE" w:rsidRPr="00B35A22">
        <w:rPr>
          <w:sz w:val="22"/>
          <w:lang w:val="sr-Latn-ME"/>
        </w:rPr>
        <w:t xml:space="preserve">mjeseci </w:t>
      </w:r>
      <w:r w:rsidRPr="00B35A22">
        <w:rPr>
          <w:sz w:val="22"/>
          <w:lang w:val="sr-Latn-ME"/>
        </w:rPr>
        <w:t xml:space="preserve">(raspon od </w:t>
      </w:r>
      <w:r w:rsidR="00241BDE" w:rsidRPr="00B35A22">
        <w:rPr>
          <w:sz w:val="22"/>
          <w:lang w:val="sr-Latn-ME"/>
        </w:rPr>
        <w:t xml:space="preserve">1 </w:t>
      </w:r>
      <w:r w:rsidRPr="00B35A22">
        <w:rPr>
          <w:sz w:val="22"/>
          <w:lang w:val="sr-Latn-ME"/>
        </w:rPr>
        <w:t xml:space="preserve">dana do </w:t>
      </w:r>
      <w:r w:rsidR="00241BDE" w:rsidRPr="00B35A22">
        <w:rPr>
          <w:sz w:val="22"/>
          <w:lang w:val="sr-Latn-ME"/>
        </w:rPr>
        <w:t>24,8</w:t>
      </w:r>
      <w:r w:rsidRPr="00B35A22">
        <w:rPr>
          <w:sz w:val="22"/>
          <w:lang w:val="sr-Latn-ME"/>
        </w:rPr>
        <w:t xml:space="preserve"> mjeseci). Medijana trajanja iznosila je </w:t>
      </w:r>
      <w:r w:rsidR="00A57F3E" w:rsidRPr="00B35A22">
        <w:rPr>
          <w:sz w:val="22"/>
          <w:szCs w:val="22"/>
          <w:lang w:val="sr-Latn-ME"/>
        </w:rPr>
        <w:t>24 dana</w:t>
      </w:r>
      <w:r w:rsidRPr="00B35A22">
        <w:rPr>
          <w:sz w:val="22"/>
          <w:lang w:val="sr-Latn-ME"/>
        </w:rPr>
        <w:t xml:space="preserve"> (raspon od </w:t>
      </w:r>
      <w:r w:rsidR="00E73539" w:rsidRPr="00B35A22">
        <w:rPr>
          <w:sz w:val="22"/>
          <w:lang w:val="sr-Latn-ME"/>
        </w:rPr>
        <w:t xml:space="preserve">3 </w:t>
      </w:r>
      <w:r w:rsidRPr="00B35A22">
        <w:rPr>
          <w:sz w:val="22"/>
          <w:lang w:val="sr-Latn-ME"/>
        </w:rPr>
        <w:t>dana do</w:t>
      </w:r>
      <w:r w:rsidR="00E73539" w:rsidRPr="00B35A22">
        <w:rPr>
          <w:sz w:val="22"/>
          <w:lang w:val="sr-Latn-ME"/>
        </w:rPr>
        <w:t xml:space="preserve"> </w:t>
      </w:r>
      <w:r w:rsidR="00314085" w:rsidRPr="00B35A22">
        <w:rPr>
          <w:sz w:val="22"/>
          <w:lang w:val="sr-Latn-ME"/>
        </w:rPr>
        <w:t>40,4</w:t>
      </w:r>
      <w:r w:rsidRPr="00B35A22">
        <w:rPr>
          <w:sz w:val="22"/>
          <w:lang w:val="sr-Latn-ME"/>
        </w:rPr>
        <w:t>+ mjesec</w:t>
      </w:r>
      <w:r w:rsidR="00E73539" w:rsidRPr="00B35A22">
        <w:rPr>
          <w:sz w:val="22"/>
          <w:lang w:val="sr-Latn-ME"/>
        </w:rPr>
        <w:t>i</w:t>
      </w:r>
      <w:r w:rsidRPr="00B35A22">
        <w:rPr>
          <w:sz w:val="22"/>
          <w:lang w:val="sr-Latn-ME"/>
        </w:rPr>
        <w:t>;</w:t>
      </w:r>
      <w:r w:rsidR="005C612C" w:rsidRPr="00B35A22">
        <w:rPr>
          <w:sz w:val="22"/>
          <w:lang w:val="sr-Latn-ME"/>
        </w:rPr>
        <w:t xml:space="preserve"> </w:t>
      </w:r>
      <w:r w:rsidRPr="00B35A22">
        <w:rPr>
          <w:sz w:val="22"/>
          <w:lang w:val="sr-Latn-ME"/>
        </w:rPr>
        <w:t>‘+’ označava cenzuri</w:t>
      </w:r>
      <w:r w:rsidR="005C612C" w:rsidRPr="00B35A22">
        <w:rPr>
          <w:sz w:val="22"/>
          <w:lang w:val="sr-Latn-ME"/>
        </w:rPr>
        <w:t>sanu</w:t>
      </w:r>
      <w:r w:rsidRPr="00B35A22">
        <w:rPr>
          <w:sz w:val="22"/>
          <w:lang w:val="sr-Latn-ME"/>
        </w:rPr>
        <w:t xml:space="preserve"> vrijednost). Pankreatitis je doveo do prekida liječenja atezolizumabom kod </w:t>
      </w:r>
      <w:r w:rsidR="00950391" w:rsidRPr="00B35A22">
        <w:rPr>
          <w:sz w:val="22"/>
          <w:lang w:val="sr-Latn-ME"/>
        </w:rPr>
        <w:t xml:space="preserve">3 </w:t>
      </w:r>
      <w:r w:rsidRPr="00B35A22">
        <w:rPr>
          <w:sz w:val="22"/>
          <w:lang w:val="sr-Latn-ME"/>
        </w:rPr>
        <w:t>(&lt;0,1%) pacijenta. Pankreatitis koji je zahtijevao primjenu kortikosteroida zabilježen je kod  0,</w:t>
      </w:r>
      <w:r w:rsidR="00ED0A36" w:rsidRPr="00B35A22">
        <w:rPr>
          <w:sz w:val="22"/>
          <w:szCs w:val="22"/>
          <w:lang w:val="sr-Latn-ME"/>
        </w:rPr>
        <w:t>2</w:t>
      </w:r>
      <w:r w:rsidRPr="00B35A22">
        <w:rPr>
          <w:sz w:val="22"/>
          <w:szCs w:val="22"/>
          <w:lang w:val="sr-Latn-ME"/>
        </w:rPr>
        <w:t>% (</w:t>
      </w:r>
      <w:r w:rsidR="00A57F3E" w:rsidRPr="00B35A22">
        <w:rPr>
          <w:sz w:val="22"/>
          <w:szCs w:val="22"/>
          <w:lang w:val="sr-Latn-ME"/>
        </w:rPr>
        <w:t>8</w:t>
      </w:r>
      <w:r w:rsidRPr="00B35A22">
        <w:rPr>
          <w:sz w:val="22"/>
          <w:szCs w:val="22"/>
          <w:lang w:val="sr-Latn-ME"/>
        </w:rPr>
        <w:t>/</w:t>
      </w:r>
      <w:r w:rsidR="00A57F3E" w:rsidRPr="00B35A22">
        <w:rPr>
          <w:sz w:val="22"/>
          <w:szCs w:val="22"/>
          <w:lang w:val="sr-Latn-ME"/>
        </w:rPr>
        <w:t>5039</w:t>
      </w:r>
      <w:r w:rsidRPr="00B35A22">
        <w:rPr>
          <w:sz w:val="22"/>
          <w:lang w:val="sr-Latn-ME"/>
        </w:rPr>
        <w:t>) pacijenata koji su primali atezolizumab</w:t>
      </w:r>
      <w:r w:rsidR="00E73539" w:rsidRPr="00B35A22">
        <w:rPr>
          <w:sz w:val="22"/>
          <w:lang w:val="sr-Latn-ME"/>
        </w:rPr>
        <w:t xml:space="preserve"> kao monoterapiju</w:t>
      </w:r>
      <w:r w:rsidRPr="00B35A22">
        <w:rPr>
          <w:sz w:val="22"/>
          <w:lang w:val="sr-Latn-ME"/>
        </w:rPr>
        <w:t>.</w:t>
      </w:r>
    </w:p>
    <w:p w14:paraId="0F3B263C" w14:textId="77777777" w:rsidR="000A26D9" w:rsidRPr="00B35A22" w:rsidRDefault="000A26D9" w:rsidP="00B35A22">
      <w:pPr>
        <w:widowControl w:val="0"/>
        <w:jc w:val="both"/>
        <w:rPr>
          <w:i/>
          <w:sz w:val="22"/>
          <w:lang w:val="sr-Latn-ME"/>
        </w:rPr>
      </w:pPr>
    </w:p>
    <w:p w14:paraId="6B3675E7" w14:textId="77777777" w:rsidR="000A26D9" w:rsidRPr="00B35A22" w:rsidRDefault="000A26D9" w:rsidP="00B35A22">
      <w:pPr>
        <w:widowControl w:val="0"/>
        <w:jc w:val="both"/>
        <w:rPr>
          <w:i/>
          <w:sz w:val="22"/>
          <w:u w:val="single"/>
          <w:lang w:val="sr-Latn-ME"/>
        </w:rPr>
      </w:pPr>
      <w:r w:rsidRPr="00B35A22">
        <w:rPr>
          <w:i/>
          <w:sz w:val="22"/>
          <w:u w:val="single"/>
          <w:lang w:val="sr-Latn-ME"/>
        </w:rPr>
        <w:t>Imunološki prouzrokovan miokarditis</w:t>
      </w:r>
    </w:p>
    <w:p w14:paraId="23562245" w14:textId="43242AFB" w:rsidR="000A26D9" w:rsidRPr="00B35A22" w:rsidRDefault="000A26D9" w:rsidP="00B35A22">
      <w:pPr>
        <w:widowControl w:val="0"/>
        <w:jc w:val="both"/>
        <w:rPr>
          <w:sz w:val="22"/>
          <w:lang w:val="sr-Latn-ME"/>
        </w:rPr>
      </w:pPr>
      <w:r w:rsidRPr="00B35A22">
        <w:rPr>
          <w:sz w:val="22"/>
          <w:lang w:val="sr-Latn-ME"/>
        </w:rPr>
        <w:t>Miokarditis se javio kod &lt;0,1% (</w:t>
      </w:r>
      <w:r w:rsidR="00A57F3E" w:rsidRPr="00B35A22">
        <w:rPr>
          <w:sz w:val="22"/>
          <w:szCs w:val="22"/>
          <w:lang w:val="sr-Latn-ME"/>
        </w:rPr>
        <w:t>5</w:t>
      </w:r>
      <w:r w:rsidR="004653E2" w:rsidRPr="00B35A22">
        <w:rPr>
          <w:sz w:val="22"/>
          <w:szCs w:val="22"/>
          <w:lang w:val="sr-Latn-ME"/>
        </w:rPr>
        <w:t>/</w:t>
      </w:r>
      <w:r w:rsidR="00A57F3E" w:rsidRPr="00B35A22">
        <w:rPr>
          <w:sz w:val="22"/>
          <w:szCs w:val="22"/>
          <w:lang w:val="sr-Latn-ME"/>
        </w:rPr>
        <w:t>5039</w:t>
      </w:r>
      <w:r w:rsidRPr="00B35A22">
        <w:rPr>
          <w:sz w:val="22"/>
          <w:lang w:val="sr-Latn-ME"/>
        </w:rPr>
        <w:t xml:space="preserve">) </w:t>
      </w:r>
      <w:r w:rsidR="00241BDE" w:rsidRPr="00B35A22">
        <w:rPr>
          <w:sz w:val="22"/>
          <w:lang w:val="sr-Latn-ME"/>
        </w:rPr>
        <w:t>pacijenata koji su primili monoterapiju atezolizumabom</w:t>
      </w:r>
      <w:r w:rsidRPr="00B35A22">
        <w:rPr>
          <w:sz w:val="22"/>
          <w:lang w:val="sr-Latn-ME"/>
        </w:rPr>
        <w:t>.</w:t>
      </w:r>
      <w:r w:rsidR="004653E2" w:rsidRPr="00B35A22">
        <w:rPr>
          <w:sz w:val="22"/>
          <w:lang w:val="sr-Latn-ME"/>
        </w:rPr>
        <w:t xml:space="preserve"> Kod jednog od </w:t>
      </w:r>
      <w:r w:rsidR="00A57F3E" w:rsidRPr="00B35A22">
        <w:rPr>
          <w:sz w:val="22"/>
          <w:szCs w:val="22"/>
          <w:lang w:val="sr-Latn-ME"/>
        </w:rPr>
        <w:t xml:space="preserve">tih 5 </w:t>
      </w:r>
      <w:r w:rsidR="004653E2" w:rsidRPr="00B35A22">
        <w:rPr>
          <w:sz w:val="22"/>
          <w:szCs w:val="22"/>
          <w:lang w:val="sr-Latn-ME"/>
        </w:rPr>
        <w:t>pacijen</w:t>
      </w:r>
      <w:r w:rsidR="00A57F3E" w:rsidRPr="00B35A22">
        <w:rPr>
          <w:sz w:val="22"/>
          <w:szCs w:val="22"/>
          <w:lang w:val="sr-Latn-ME"/>
        </w:rPr>
        <w:t>a</w:t>
      </w:r>
      <w:r w:rsidR="004653E2" w:rsidRPr="00B35A22">
        <w:rPr>
          <w:sz w:val="22"/>
          <w:szCs w:val="22"/>
          <w:lang w:val="sr-Latn-ME"/>
        </w:rPr>
        <w:t>ta</w:t>
      </w:r>
      <w:r w:rsidR="004653E2" w:rsidRPr="00B35A22">
        <w:rPr>
          <w:sz w:val="22"/>
          <w:lang w:val="sr-Latn-ME"/>
        </w:rPr>
        <w:t xml:space="preserve"> zabilježen je smrtni ishod, i to u adjuvantnom liječenju NSCLC-a.</w:t>
      </w:r>
      <w:r w:rsidRPr="00B35A22">
        <w:rPr>
          <w:sz w:val="22"/>
          <w:lang w:val="sr-Latn-ME"/>
        </w:rPr>
        <w:t xml:space="preserve"> </w:t>
      </w:r>
      <w:r w:rsidR="004653E2" w:rsidRPr="00B35A22">
        <w:rPr>
          <w:sz w:val="22"/>
          <w:lang w:val="sr-Latn-ME"/>
        </w:rPr>
        <w:t>Medijana vremena</w:t>
      </w:r>
      <w:r w:rsidRPr="00B35A22">
        <w:rPr>
          <w:sz w:val="22"/>
          <w:lang w:val="sr-Latn-ME"/>
        </w:rPr>
        <w:t xml:space="preserve"> do nastupanja </w:t>
      </w:r>
      <w:r w:rsidR="00241BDE" w:rsidRPr="00B35A22">
        <w:rPr>
          <w:sz w:val="22"/>
          <w:lang w:val="sr-Latn-ME"/>
        </w:rPr>
        <w:t>bil</w:t>
      </w:r>
      <w:r w:rsidR="004653E2" w:rsidRPr="00B35A22">
        <w:rPr>
          <w:sz w:val="22"/>
          <w:lang w:val="sr-Latn-ME"/>
        </w:rPr>
        <w:t>a</w:t>
      </w:r>
      <w:r w:rsidR="00241BDE" w:rsidRPr="00B35A22">
        <w:rPr>
          <w:sz w:val="22"/>
          <w:lang w:val="sr-Latn-ME"/>
        </w:rPr>
        <w:t xml:space="preserve"> je </w:t>
      </w:r>
      <w:r w:rsidR="00A57F3E" w:rsidRPr="00B35A22">
        <w:rPr>
          <w:sz w:val="22"/>
          <w:szCs w:val="22"/>
          <w:lang w:val="sr-Latn-ME"/>
        </w:rPr>
        <w:t>7</w:t>
      </w:r>
      <w:r w:rsidR="00241BDE" w:rsidRPr="00B35A22">
        <w:rPr>
          <w:sz w:val="22"/>
          <w:szCs w:val="22"/>
          <w:lang w:val="sr-Latn-ME"/>
        </w:rPr>
        <w:t xml:space="preserve"> </w:t>
      </w:r>
      <w:r w:rsidR="00A57F3E" w:rsidRPr="00B35A22">
        <w:rPr>
          <w:sz w:val="22"/>
          <w:szCs w:val="22"/>
          <w:lang w:val="sr-Latn-ME"/>
        </w:rPr>
        <w:t>mjeseci</w:t>
      </w:r>
      <w:r w:rsidR="00A57F3E" w:rsidRPr="00B35A22">
        <w:rPr>
          <w:sz w:val="22"/>
          <w:lang w:val="sr-Latn-ME"/>
        </w:rPr>
        <w:t xml:space="preserve"> </w:t>
      </w:r>
      <w:r w:rsidR="004653E2" w:rsidRPr="00B35A22">
        <w:rPr>
          <w:sz w:val="22"/>
          <w:lang w:val="sr-Latn-ME"/>
        </w:rPr>
        <w:t>(raspon od 1,5 do 4,9 mjeseci</w:t>
      </w:r>
      <w:r w:rsidR="00241BDE" w:rsidRPr="00B35A22">
        <w:rPr>
          <w:sz w:val="22"/>
          <w:lang w:val="sr-Latn-ME"/>
        </w:rPr>
        <w:t xml:space="preserve">, a </w:t>
      </w:r>
      <w:r w:rsidR="004653E2" w:rsidRPr="00B35A22">
        <w:rPr>
          <w:sz w:val="22"/>
          <w:lang w:val="sr-Latn-ME"/>
        </w:rPr>
        <w:t xml:space="preserve">medijana </w:t>
      </w:r>
      <w:r w:rsidR="00241BDE" w:rsidRPr="00B35A22">
        <w:rPr>
          <w:sz w:val="22"/>
          <w:lang w:val="sr-Latn-ME"/>
        </w:rPr>
        <w:t>trajanj</w:t>
      </w:r>
      <w:r w:rsidR="004653E2" w:rsidRPr="00B35A22">
        <w:rPr>
          <w:sz w:val="22"/>
          <w:lang w:val="sr-Latn-ME"/>
        </w:rPr>
        <w:t>a</w:t>
      </w:r>
      <w:r w:rsidR="00241BDE" w:rsidRPr="00B35A22">
        <w:rPr>
          <w:sz w:val="22"/>
          <w:lang w:val="sr-Latn-ME"/>
        </w:rPr>
        <w:t xml:space="preserve"> </w:t>
      </w:r>
      <w:r w:rsidR="00A57F3E" w:rsidRPr="00B35A22">
        <w:rPr>
          <w:sz w:val="22"/>
          <w:szCs w:val="22"/>
          <w:lang w:val="sr-Latn-ME"/>
        </w:rPr>
        <w:t>14</w:t>
      </w:r>
      <w:r w:rsidR="00A57F3E" w:rsidRPr="00B35A22">
        <w:rPr>
          <w:sz w:val="22"/>
          <w:lang w:val="sr-Latn-ME"/>
        </w:rPr>
        <w:t xml:space="preserve"> </w:t>
      </w:r>
      <w:r w:rsidR="00241BDE" w:rsidRPr="00B35A22">
        <w:rPr>
          <w:sz w:val="22"/>
          <w:lang w:val="sr-Latn-ME"/>
        </w:rPr>
        <w:t>dana</w:t>
      </w:r>
      <w:r w:rsidR="004653E2" w:rsidRPr="00B35A22">
        <w:rPr>
          <w:sz w:val="22"/>
          <w:lang w:val="sr-Latn-ME"/>
        </w:rPr>
        <w:t xml:space="preserve"> (raspon od 1</w:t>
      </w:r>
      <w:r w:rsidR="00314085" w:rsidRPr="00B35A22">
        <w:rPr>
          <w:sz w:val="22"/>
          <w:lang w:val="sr-Latn-ME"/>
        </w:rPr>
        <w:t>2</w:t>
      </w:r>
      <w:r w:rsidR="004653E2" w:rsidRPr="00B35A22">
        <w:rPr>
          <w:sz w:val="22"/>
          <w:lang w:val="sr-Latn-ME"/>
        </w:rPr>
        <w:t xml:space="preserve"> dana do 2,8 mjeseci)</w:t>
      </w:r>
      <w:r w:rsidRPr="00B35A22">
        <w:rPr>
          <w:sz w:val="22"/>
          <w:lang w:val="sr-Latn-ME"/>
        </w:rPr>
        <w:t xml:space="preserve">. </w:t>
      </w:r>
      <w:r w:rsidR="00241BDE" w:rsidRPr="00B35A22">
        <w:rPr>
          <w:sz w:val="22"/>
          <w:lang w:val="sr-Latn-ME"/>
        </w:rPr>
        <w:t xml:space="preserve">Miokarditis je doveo do prekida liječenja atezolizumabom kod </w:t>
      </w:r>
      <w:r w:rsidR="00314085" w:rsidRPr="00B35A22">
        <w:rPr>
          <w:sz w:val="22"/>
          <w:lang w:val="sr-Latn-ME"/>
        </w:rPr>
        <w:t>3</w:t>
      </w:r>
      <w:r w:rsidR="00241BDE" w:rsidRPr="00B35A22">
        <w:rPr>
          <w:sz w:val="22"/>
          <w:lang w:val="sr-Latn-ME"/>
        </w:rPr>
        <w:t xml:space="preserve"> (&lt;0,1%) pacijenta.</w:t>
      </w:r>
      <w:r w:rsidR="004653E2" w:rsidRPr="00B35A22">
        <w:rPr>
          <w:sz w:val="22"/>
          <w:lang w:val="sr-Latn-ME"/>
        </w:rPr>
        <w:t xml:space="preserve"> Kod </w:t>
      </w:r>
      <w:r w:rsidR="00A57F3E" w:rsidRPr="00B35A22">
        <w:rPr>
          <w:sz w:val="22"/>
          <w:szCs w:val="22"/>
          <w:lang w:val="sr-Latn-ME"/>
        </w:rPr>
        <w:t>tri</w:t>
      </w:r>
      <w:r w:rsidR="00A57F3E" w:rsidRPr="00B35A22">
        <w:rPr>
          <w:sz w:val="22"/>
          <w:lang w:val="sr-Latn-ME"/>
        </w:rPr>
        <w:t xml:space="preserve"> </w:t>
      </w:r>
      <w:r w:rsidR="004653E2" w:rsidRPr="00B35A22">
        <w:rPr>
          <w:sz w:val="22"/>
          <w:lang w:val="sr-Latn-ME"/>
        </w:rPr>
        <w:t>(&lt; 0,1%) pacijenta bila je potrebna primjena kortikosteroida.</w:t>
      </w:r>
    </w:p>
    <w:p w14:paraId="3A6D7494" w14:textId="77777777" w:rsidR="00D70371" w:rsidRPr="00B35A22" w:rsidRDefault="00D70371" w:rsidP="00B35A22">
      <w:pPr>
        <w:widowControl w:val="0"/>
        <w:jc w:val="both"/>
        <w:rPr>
          <w:i/>
          <w:sz w:val="22"/>
          <w:lang w:val="sr-Latn-ME"/>
        </w:rPr>
      </w:pPr>
    </w:p>
    <w:p w14:paraId="141E1E7F" w14:textId="77777777" w:rsidR="00D70371" w:rsidRPr="00B35A22" w:rsidRDefault="00D70371" w:rsidP="00B35A22">
      <w:pPr>
        <w:widowControl w:val="0"/>
        <w:jc w:val="both"/>
        <w:rPr>
          <w:i/>
          <w:sz w:val="22"/>
          <w:u w:val="single"/>
          <w:lang w:val="sr-Latn-ME"/>
        </w:rPr>
      </w:pPr>
      <w:r w:rsidRPr="00B35A22">
        <w:rPr>
          <w:i/>
          <w:sz w:val="22"/>
          <w:u w:val="single"/>
          <w:lang w:val="sr-Latn-ME"/>
        </w:rPr>
        <w:t>Imunološki prouzrokovan nefritis</w:t>
      </w:r>
    </w:p>
    <w:p w14:paraId="6284A19C" w14:textId="7F173D05" w:rsidR="000A26D9" w:rsidRPr="00B35A22" w:rsidRDefault="00D70371" w:rsidP="00B35A22">
      <w:pPr>
        <w:widowControl w:val="0"/>
        <w:jc w:val="both"/>
        <w:rPr>
          <w:sz w:val="22"/>
          <w:lang w:val="sr-Latn-ME"/>
        </w:rPr>
      </w:pPr>
      <w:r w:rsidRPr="00B35A22">
        <w:rPr>
          <w:sz w:val="22"/>
          <w:lang w:val="sr-Latn-ME"/>
        </w:rPr>
        <w:t>Nefritis se javio kod 0,</w:t>
      </w:r>
      <w:r w:rsidR="00830CC2" w:rsidRPr="00B35A22">
        <w:rPr>
          <w:sz w:val="22"/>
          <w:lang w:val="sr-Latn-ME"/>
        </w:rPr>
        <w:t>2</w:t>
      </w:r>
      <w:r w:rsidRPr="00B35A22">
        <w:rPr>
          <w:sz w:val="22"/>
          <w:lang w:val="sr-Latn-ME"/>
        </w:rPr>
        <w:t>% (</w:t>
      </w:r>
      <w:r w:rsidR="004653E2" w:rsidRPr="00B35A22">
        <w:rPr>
          <w:sz w:val="22"/>
          <w:lang w:val="sr-Latn-ME"/>
        </w:rPr>
        <w:t>1</w:t>
      </w:r>
      <w:r w:rsidR="00314085" w:rsidRPr="00B35A22">
        <w:rPr>
          <w:sz w:val="22"/>
          <w:lang w:val="sr-Latn-ME"/>
        </w:rPr>
        <w:t>1</w:t>
      </w:r>
      <w:r w:rsidR="004653E2" w:rsidRPr="00B35A22">
        <w:rPr>
          <w:sz w:val="22"/>
          <w:lang w:val="sr-Latn-ME"/>
        </w:rPr>
        <w:t>/</w:t>
      </w:r>
      <w:r w:rsidR="00A57F3E" w:rsidRPr="00B35A22">
        <w:rPr>
          <w:sz w:val="22"/>
          <w:szCs w:val="22"/>
          <w:lang w:val="sr-Latn-ME"/>
        </w:rPr>
        <w:t>5039</w:t>
      </w:r>
      <w:r w:rsidRPr="00B35A22">
        <w:rPr>
          <w:sz w:val="22"/>
          <w:lang w:val="sr-Latn-ME"/>
        </w:rPr>
        <w:t xml:space="preserve">) pacijenata koji su primali atezolizumab. </w:t>
      </w:r>
      <w:r w:rsidR="00950391" w:rsidRPr="00B35A22">
        <w:rPr>
          <w:sz w:val="22"/>
          <w:lang w:val="sr-Latn-ME"/>
        </w:rPr>
        <w:t xml:space="preserve">Medijana vremena </w:t>
      </w:r>
      <w:r w:rsidRPr="00B35A22">
        <w:rPr>
          <w:sz w:val="22"/>
          <w:lang w:val="sr-Latn-ME"/>
        </w:rPr>
        <w:t xml:space="preserve">do nastupanja </w:t>
      </w:r>
      <w:r w:rsidR="00950391" w:rsidRPr="00B35A22">
        <w:rPr>
          <w:sz w:val="22"/>
          <w:lang w:val="sr-Latn-ME"/>
        </w:rPr>
        <w:t>iznosila je</w:t>
      </w:r>
      <w:r w:rsidRPr="00B35A22">
        <w:rPr>
          <w:sz w:val="22"/>
          <w:lang w:val="sr-Latn-ME"/>
        </w:rPr>
        <w:t xml:space="preserve"> </w:t>
      </w:r>
      <w:r w:rsidR="004653E2" w:rsidRPr="00B35A22">
        <w:rPr>
          <w:sz w:val="22"/>
          <w:lang w:val="sr-Latn-ME"/>
        </w:rPr>
        <w:t>5,</w:t>
      </w:r>
      <w:r w:rsidR="00314085" w:rsidRPr="00B35A22">
        <w:rPr>
          <w:sz w:val="22"/>
          <w:lang w:val="sr-Latn-ME"/>
        </w:rPr>
        <w:t>1</w:t>
      </w:r>
      <w:r w:rsidRPr="00B35A22">
        <w:rPr>
          <w:sz w:val="22"/>
          <w:lang w:val="sr-Latn-ME"/>
        </w:rPr>
        <w:t xml:space="preserve"> mjesec</w:t>
      </w:r>
      <w:r w:rsidR="00950391" w:rsidRPr="00B35A22">
        <w:rPr>
          <w:sz w:val="22"/>
          <w:lang w:val="sr-Latn-ME"/>
        </w:rPr>
        <w:t xml:space="preserve"> (raspon od </w:t>
      </w:r>
      <w:r w:rsidR="00314085" w:rsidRPr="00B35A22">
        <w:rPr>
          <w:sz w:val="22"/>
          <w:lang w:val="sr-Latn-ME"/>
        </w:rPr>
        <w:t>3</w:t>
      </w:r>
      <w:r w:rsidR="00241BDE" w:rsidRPr="00B35A22">
        <w:rPr>
          <w:sz w:val="22"/>
          <w:lang w:val="sr-Latn-ME"/>
        </w:rPr>
        <w:t xml:space="preserve"> dana</w:t>
      </w:r>
      <w:r w:rsidR="00950391" w:rsidRPr="00B35A22">
        <w:rPr>
          <w:sz w:val="22"/>
          <w:lang w:val="sr-Latn-ME"/>
        </w:rPr>
        <w:t xml:space="preserve"> do 17,5 mjeseci)</w:t>
      </w:r>
      <w:r w:rsidRPr="00B35A22">
        <w:rPr>
          <w:sz w:val="22"/>
          <w:lang w:val="sr-Latn-ME"/>
        </w:rPr>
        <w:t xml:space="preserve">. </w:t>
      </w:r>
      <w:r w:rsidR="00950391" w:rsidRPr="00B35A22">
        <w:rPr>
          <w:sz w:val="22"/>
          <w:lang w:val="sr-Latn-ME"/>
        </w:rPr>
        <w:t xml:space="preserve">Nefritis je doveo do </w:t>
      </w:r>
      <w:r w:rsidR="00EB378D" w:rsidRPr="00B35A22">
        <w:rPr>
          <w:sz w:val="22"/>
          <w:lang w:val="sr-Latn-ME"/>
        </w:rPr>
        <w:t xml:space="preserve">trajnog prekida liječenja atezolizumabom kod </w:t>
      </w:r>
      <w:r w:rsidR="004653E2" w:rsidRPr="00B35A22">
        <w:rPr>
          <w:sz w:val="22"/>
          <w:lang w:val="sr-Latn-ME"/>
        </w:rPr>
        <w:t>5</w:t>
      </w:r>
      <w:r w:rsidR="00830CC2" w:rsidRPr="00B35A22">
        <w:rPr>
          <w:sz w:val="22"/>
          <w:lang w:val="sr-Latn-ME"/>
        </w:rPr>
        <w:t xml:space="preserve"> </w:t>
      </w:r>
      <w:r w:rsidR="00EB378D" w:rsidRPr="00B35A22">
        <w:rPr>
          <w:sz w:val="22"/>
          <w:szCs w:val="22"/>
          <w:lang w:val="sr-Latn-ME"/>
        </w:rPr>
        <w:t>(</w:t>
      </w:r>
      <w:r w:rsidR="00A57F3E" w:rsidRPr="00B35A22">
        <w:rPr>
          <w:szCs w:val="22"/>
          <w:lang w:val="sr-Latn-ME"/>
        </w:rPr>
        <w:t>≤ </w:t>
      </w:r>
      <w:r w:rsidR="00EB378D" w:rsidRPr="00B35A22">
        <w:rPr>
          <w:sz w:val="22"/>
          <w:lang w:val="sr-Latn-ME"/>
        </w:rPr>
        <w:t>0,1%)</w:t>
      </w:r>
      <w:r w:rsidR="00EB378D" w:rsidRPr="00B35A22">
        <w:rPr>
          <w:lang w:val="sr-Latn-ME"/>
        </w:rPr>
        <w:t xml:space="preserve"> pacijenta.</w:t>
      </w:r>
      <w:r w:rsidR="00EB378D" w:rsidRPr="00B35A22">
        <w:rPr>
          <w:sz w:val="22"/>
          <w:lang w:val="sr-Latn-ME"/>
        </w:rPr>
        <w:t xml:space="preserve"> </w:t>
      </w:r>
      <w:r w:rsidRPr="00B35A22">
        <w:rPr>
          <w:sz w:val="22"/>
          <w:lang w:val="sr-Latn-ME"/>
        </w:rPr>
        <w:t xml:space="preserve">Kod </w:t>
      </w:r>
      <w:r w:rsidR="00314085" w:rsidRPr="00B35A22">
        <w:rPr>
          <w:sz w:val="22"/>
          <w:lang w:val="sr-Latn-ME"/>
        </w:rPr>
        <w:t xml:space="preserve">5 </w:t>
      </w:r>
      <w:r w:rsidR="00843F2C" w:rsidRPr="00B35A22">
        <w:rPr>
          <w:sz w:val="22"/>
          <w:szCs w:val="22"/>
          <w:lang w:val="sr-Latn-ME"/>
        </w:rPr>
        <w:t>(</w:t>
      </w:r>
      <w:r w:rsidR="00843F2C" w:rsidRPr="00B35A22">
        <w:rPr>
          <w:sz w:val="22"/>
          <w:lang w:val="sr-Latn-ME"/>
        </w:rPr>
        <w:t xml:space="preserve">0,1%) </w:t>
      </w:r>
      <w:r w:rsidR="00EB378D" w:rsidRPr="00B35A22">
        <w:rPr>
          <w:sz w:val="22"/>
          <w:lang w:val="sr-Latn-ME"/>
        </w:rPr>
        <w:t xml:space="preserve"> </w:t>
      </w:r>
      <w:r w:rsidRPr="00B35A22">
        <w:rPr>
          <w:sz w:val="22"/>
          <w:szCs w:val="22"/>
          <w:lang w:val="sr-Latn-ME"/>
        </w:rPr>
        <w:t>pacijen</w:t>
      </w:r>
      <w:r w:rsidR="00A57F3E" w:rsidRPr="00B35A22">
        <w:rPr>
          <w:sz w:val="22"/>
          <w:szCs w:val="22"/>
          <w:lang w:val="sr-Latn-ME"/>
        </w:rPr>
        <w:t>a</w:t>
      </w:r>
      <w:r w:rsidRPr="00B35A22">
        <w:rPr>
          <w:sz w:val="22"/>
          <w:szCs w:val="22"/>
          <w:lang w:val="sr-Latn-ME"/>
        </w:rPr>
        <w:t>ta</w:t>
      </w:r>
      <w:r w:rsidRPr="00B35A22">
        <w:rPr>
          <w:sz w:val="22"/>
          <w:lang w:val="sr-Latn-ME"/>
        </w:rPr>
        <w:t xml:space="preserve"> je bila potrebna primjena </w:t>
      </w:r>
      <w:r w:rsidRPr="00B35A22">
        <w:rPr>
          <w:sz w:val="22"/>
          <w:lang w:val="sr-Latn-ME"/>
        </w:rPr>
        <w:lastRenderedPageBreak/>
        <w:t>kortikosteroida.</w:t>
      </w:r>
    </w:p>
    <w:p w14:paraId="13F4B9C2" w14:textId="1E8B5631" w:rsidR="00A67E3B" w:rsidRPr="00B35A22" w:rsidRDefault="00A67E3B" w:rsidP="00B35A22">
      <w:pPr>
        <w:widowControl w:val="0"/>
        <w:jc w:val="both"/>
        <w:rPr>
          <w:sz w:val="22"/>
          <w:lang w:val="sr-Latn-ME"/>
        </w:rPr>
      </w:pPr>
    </w:p>
    <w:p w14:paraId="02D9B418" w14:textId="768A7844" w:rsidR="00A67E3B" w:rsidRPr="00B35A22" w:rsidRDefault="00A67E3B" w:rsidP="00B35A22">
      <w:pPr>
        <w:widowControl w:val="0"/>
        <w:jc w:val="both"/>
        <w:rPr>
          <w:i/>
          <w:sz w:val="22"/>
          <w:u w:val="single"/>
          <w:lang w:val="sr-Latn-ME"/>
        </w:rPr>
      </w:pPr>
      <w:r w:rsidRPr="00B35A22">
        <w:rPr>
          <w:i/>
          <w:sz w:val="22"/>
          <w:u w:val="single"/>
          <w:lang w:val="sr-Latn-ME"/>
        </w:rPr>
        <w:t>Imunološki prouzrokovan miozitis</w:t>
      </w:r>
    </w:p>
    <w:p w14:paraId="62765BA2" w14:textId="3F0D97FA" w:rsidR="00A67E3B" w:rsidRPr="00B35A22" w:rsidRDefault="00A67E3B" w:rsidP="00B35A22">
      <w:pPr>
        <w:widowControl w:val="0"/>
        <w:jc w:val="both"/>
        <w:rPr>
          <w:sz w:val="22"/>
          <w:lang w:val="sr-Latn-ME"/>
        </w:rPr>
      </w:pPr>
      <w:r w:rsidRPr="00B35A22">
        <w:rPr>
          <w:sz w:val="22"/>
          <w:lang w:val="sr-Latn-ME"/>
        </w:rPr>
        <w:t>Miozitis se javio kod 0,</w:t>
      </w:r>
      <w:r w:rsidR="00A57F3E" w:rsidRPr="00B35A22">
        <w:rPr>
          <w:sz w:val="22"/>
          <w:szCs w:val="22"/>
          <w:lang w:val="sr-Latn-ME"/>
        </w:rPr>
        <w:t>6</w:t>
      </w:r>
      <w:r w:rsidRPr="00B35A22">
        <w:rPr>
          <w:sz w:val="22"/>
          <w:szCs w:val="22"/>
          <w:lang w:val="sr-Latn-ME"/>
        </w:rPr>
        <w:t>% (</w:t>
      </w:r>
      <w:r w:rsidR="00A57F3E" w:rsidRPr="00B35A22">
        <w:rPr>
          <w:sz w:val="22"/>
          <w:szCs w:val="22"/>
          <w:lang w:val="sr-Latn-ME"/>
        </w:rPr>
        <w:t>32</w:t>
      </w:r>
      <w:r w:rsidR="00986165" w:rsidRPr="00B35A22">
        <w:rPr>
          <w:sz w:val="22"/>
          <w:szCs w:val="22"/>
          <w:lang w:val="sr-Latn-ME"/>
        </w:rPr>
        <w:t>/</w:t>
      </w:r>
      <w:r w:rsidR="00A57F3E" w:rsidRPr="00B35A22">
        <w:rPr>
          <w:sz w:val="22"/>
          <w:szCs w:val="22"/>
          <w:lang w:val="sr-Latn-ME"/>
        </w:rPr>
        <w:t>5039</w:t>
      </w:r>
      <w:r w:rsidRPr="00B35A22">
        <w:rPr>
          <w:sz w:val="22"/>
          <w:lang w:val="sr-Latn-ME"/>
        </w:rPr>
        <w:t xml:space="preserve">) pacijenata koji su primali </w:t>
      </w:r>
      <w:r w:rsidR="00585437" w:rsidRPr="00B35A22">
        <w:rPr>
          <w:sz w:val="22"/>
          <w:lang w:val="sr-Latn-ME"/>
        </w:rPr>
        <w:t>atezolizumab</w:t>
      </w:r>
      <w:r w:rsidRPr="00B35A22">
        <w:rPr>
          <w:sz w:val="22"/>
          <w:lang w:val="sr-Latn-ME"/>
        </w:rPr>
        <w:t xml:space="preserve"> u monoterapiji. Medijana vremena do nastupanja iznosila je </w:t>
      </w:r>
      <w:r w:rsidR="00241BDE" w:rsidRPr="00B35A22">
        <w:rPr>
          <w:sz w:val="22"/>
          <w:lang w:val="sr-Latn-ME"/>
        </w:rPr>
        <w:t>3,</w:t>
      </w:r>
      <w:r w:rsidR="00314085" w:rsidRPr="00B35A22">
        <w:rPr>
          <w:sz w:val="22"/>
          <w:lang w:val="sr-Latn-ME"/>
        </w:rPr>
        <w:t>5</w:t>
      </w:r>
      <w:r w:rsidRPr="00B35A22">
        <w:rPr>
          <w:sz w:val="22"/>
          <w:lang w:val="sr-Latn-ME"/>
        </w:rPr>
        <w:t xml:space="preserve"> </w:t>
      </w:r>
      <w:r w:rsidR="00241BDE" w:rsidRPr="00B35A22">
        <w:rPr>
          <w:sz w:val="22"/>
          <w:lang w:val="sr-Latn-ME"/>
        </w:rPr>
        <w:t>mjesec</w:t>
      </w:r>
      <w:r w:rsidR="00314085" w:rsidRPr="00B35A22">
        <w:rPr>
          <w:sz w:val="22"/>
          <w:lang w:val="sr-Latn-ME"/>
        </w:rPr>
        <w:t>i</w:t>
      </w:r>
      <w:r w:rsidR="00241BDE" w:rsidRPr="00B35A22">
        <w:rPr>
          <w:sz w:val="22"/>
          <w:lang w:val="sr-Latn-ME"/>
        </w:rPr>
        <w:t xml:space="preserve"> </w:t>
      </w:r>
      <w:r w:rsidRPr="00B35A22">
        <w:rPr>
          <w:sz w:val="22"/>
          <w:lang w:val="sr-Latn-ME"/>
        </w:rPr>
        <w:t xml:space="preserve">(raspon od </w:t>
      </w:r>
      <w:r w:rsidR="00241BDE" w:rsidRPr="00B35A22">
        <w:rPr>
          <w:sz w:val="22"/>
          <w:lang w:val="sr-Latn-ME"/>
        </w:rPr>
        <w:t>12 dana</w:t>
      </w:r>
      <w:r w:rsidR="00843F2C" w:rsidRPr="00B35A22">
        <w:rPr>
          <w:sz w:val="22"/>
          <w:lang w:val="sr-Latn-ME"/>
        </w:rPr>
        <w:t xml:space="preserve"> </w:t>
      </w:r>
      <w:r w:rsidRPr="00B35A22">
        <w:rPr>
          <w:sz w:val="22"/>
          <w:lang w:val="sr-Latn-ME"/>
        </w:rPr>
        <w:t>do 11,</w:t>
      </w:r>
      <w:r w:rsidR="00314085" w:rsidRPr="00B35A22">
        <w:rPr>
          <w:sz w:val="22"/>
          <w:lang w:val="sr-Latn-ME"/>
        </w:rPr>
        <w:t>5</w:t>
      </w:r>
      <w:r w:rsidRPr="00B35A22">
        <w:rPr>
          <w:sz w:val="22"/>
          <w:lang w:val="sr-Latn-ME"/>
        </w:rPr>
        <w:t xml:space="preserve"> mjeseci). Medijana trajanja iznosila je </w:t>
      </w:r>
      <w:r w:rsidR="00314085" w:rsidRPr="00B35A22">
        <w:rPr>
          <w:sz w:val="22"/>
          <w:lang w:val="sr-Latn-ME"/>
        </w:rPr>
        <w:t>3,2</w:t>
      </w:r>
      <w:r w:rsidR="00986165" w:rsidRPr="00B35A22">
        <w:rPr>
          <w:sz w:val="22"/>
          <w:lang w:val="sr-Latn-ME"/>
        </w:rPr>
        <w:t xml:space="preserve"> </w:t>
      </w:r>
      <w:r w:rsidR="00241BDE" w:rsidRPr="00B35A22">
        <w:rPr>
          <w:sz w:val="22"/>
          <w:lang w:val="sr-Latn-ME"/>
        </w:rPr>
        <w:t>mjesec</w:t>
      </w:r>
      <w:r w:rsidR="00314085" w:rsidRPr="00B35A22">
        <w:rPr>
          <w:sz w:val="22"/>
          <w:lang w:val="sr-Latn-ME"/>
        </w:rPr>
        <w:t>a</w:t>
      </w:r>
      <w:r w:rsidR="00241BDE" w:rsidRPr="00B35A22">
        <w:rPr>
          <w:sz w:val="22"/>
          <w:lang w:val="sr-Latn-ME"/>
        </w:rPr>
        <w:t xml:space="preserve"> </w:t>
      </w:r>
      <w:r w:rsidRPr="00B35A22">
        <w:rPr>
          <w:sz w:val="22"/>
          <w:lang w:val="sr-Latn-ME"/>
        </w:rPr>
        <w:t xml:space="preserve">(raspon od </w:t>
      </w:r>
      <w:r w:rsidR="00314085" w:rsidRPr="00B35A22">
        <w:rPr>
          <w:sz w:val="22"/>
          <w:lang w:val="sr-Latn-ME"/>
        </w:rPr>
        <w:t>9</w:t>
      </w:r>
      <w:r w:rsidR="00241BDE" w:rsidRPr="00B35A22">
        <w:rPr>
          <w:sz w:val="22"/>
          <w:lang w:val="sr-Latn-ME"/>
        </w:rPr>
        <w:t xml:space="preserve"> </w:t>
      </w:r>
      <w:r w:rsidR="00843F2C" w:rsidRPr="00B35A22">
        <w:rPr>
          <w:sz w:val="22"/>
          <w:lang w:val="sr-Latn-ME"/>
        </w:rPr>
        <w:t>dana</w:t>
      </w:r>
      <w:r w:rsidRPr="00B35A22">
        <w:rPr>
          <w:sz w:val="22"/>
          <w:lang w:val="sr-Latn-ME"/>
        </w:rPr>
        <w:t xml:space="preserve"> do </w:t>
      </w:r>
      <w:r w:rsidR="00314085" w:rsidRPr="00B35A22">
        <w:rPr>
          <w:sz w:val="22"/>
          <w:lang w:val="sr-Latn-ME"/>
        </w:rPr>
        <w:t>51,1</w:t>
      </w:r>
      <w:r w:rsidRPr="00B35A22">
        <w:rPr>
          <w:sz w:val="22"/>
          <w:lang w:val="sr-Latn-ME"/>
        </w:rPr>
        <w:t>+ mjesec; ‘+’ označava cenzuri</w:t>
      </w:r>
      <w:r w:rsidR="000754A3" w:rsidRPr="00B35A22">
        <w:rPr>
          <w:sz w:val="22"/>
          <w:lang w:val="sr-Latn-ME"/>
        </w:rPr>
        <w:t>sanu</w:t>
      </w:r>
      <w:r w:rsidRPr="00B35A22">
        <w:rPr>
          <w:sz w:val="22"/>
          <w:lang w:val="sr-Latn-ME"/>
        </w:rPr>
        <w:t xml:space="preserve"> vrijednost). Miozitis je doveo do trajnog prekida liječenja </w:t>
      </w:r>
      <w:r w:rsidR="00585437" w:rsidRPr="00B35A22">
        <w:rPr>
          <w:sz w:val="22"/>
          <w:lang w:val="sr-Latn-ME"/>
        </w:rPr>
        <w:t>atezolizumabom</w:t>
      </w:r>
      <w:r w:rsidRPr="00B35A22">
        <w:rPr>
          <w:sz w:val="22"/>
          <w:lang w:val="sr-Latn-ME"/>
        </w:rPr>
        <w:t xml:space="preserve"> kod </w:t>
      </w:r>
      <w:r w:rsidR="00314085" w:rsidRPr="00B35A22">
        <w:rPr>
          <w:sz w:val="22"/>
          <w:lang w:val="sr-Latn-ME"/>
        </w:rPr>
        <w:t>6</w:t>
      </w:r>
      <w:r w:rsidRPr="00B35A22">
        <w:rPr>
          <w:sz w:val="22"/>
          <w:lang w:val="sr-Latn-ME"/>
        </w:rPr>
        <w:t xml:space="preserve"> (&lt;0,1%) pacijenta. Kod </w:t>
      </w:r>
      <w:r w:rsidR="00A57F3E" w:rsidRPr="00B35A22">
        <w:rPr>
          <w:sz w:val="22"/>
          <w:szCs w:val="22"/>
          <w:lang w:val="sr-Latn-ME"/>
        </w:rPr>
        <w:t>deset</w:t>
      </w:r>
      <w:r w:rsidR="00A57F3E" w:rsidRPr="00B35A22">
        <w:rPr>
          <w:sz w:val="22"/>
          <w:lang w:val="sr-Latn-ME"/>
        </w:rPr>
        <w:t xml:space="preserve"> </w:t>
      </w:r>
      <w:r w:rsidRPr="00B35A22">
        <w:rPr>
          <w:sz w:val="22"/>
          <w:lang w:val="sr-Latn-ME"/>
        </w:rPr>
        <w:t>pacijenata (0,</w:t>
      </w:r>
      <w:r w:rsidR="00314085" w:rsidRPr="00B35A22">
        <w:rPr>
          <w:sz w:val="22"/>
          <w:lang w:val="sr-Latn-ME"/>
        </w:rPr>
        <w:t>1</w:t>
      </w:r>
      <w:r w:rsidRPr="00B35A22">
        <w:rPr>
          <w:sz w:val="22"/>
          <w:lang w:val="sr-Latn-ME"/>
        </w:rPr>
        <w:t>%) je bila potrebna primjena kortikosteroida.</w:t>
      </w:r>
    </w:p>
    <w:p w14:paraId="7E74BCA5" w14:textId="7C4B0307" w:rsidR="00F10BA7" w:rsidRPr="00B35A22" w:rsidRDefault="00F10BA7" w:rsidP="00B35A22">
      <w:pPr>
        <w:widowControl w:val="0"/>
        <w:jc w:val="both"/>
        <w:rPr>
          <w:i/>
          <w:sz w:val="22"/>
          <w:lang w:val="sr-Latn-ME"/>
        </w:rPr>
      </w:pPr>
    </w:p>
    <w:p w14:paraId="4F7FF80C" w14:textId="0A7BEE94" w:rsidR="00F10BA7" w:rsidRPr="00B35A22" w:rsidRDefault="00F10BA7" w:rsidP="00B35A22">
      <w:pPr>
        <w:widowControl w:val="0"/>
        <w:jc w:val="both"/>
        <w:rPr>
          <w:i/>
          <w:sz w:val="22"/>
          <w:lang w:val="sr-Latn-ME"/>
        </w:rPr>
      </w:pPr>
      <w:r w:rsidRPr="00B35A22">
        <w:rPr>
          <w:i/>
          <w:sz w:val="22"/>
          <w:u w:val="single"/>
          <w:lang w:val="sr-Latn-ME"/>
        </w:rPr>
        <w:t>Imunološki prouzrokovane teške kožne neželjene reakcije</w:t>
      </w:r>
    </w:p>
    <w:p w14:paraId="163AC038" w14:textId="46B4C820" w:rsidR="00E73539" w:rsidRPr="00B35A22" w:rsidRDefault="00F10BA7" w:rsidP="00B35A22">
      <w:pPr>
        <w:widowControl w:val="0"/>
        <w:jc w:val="both"/>
        <w:rPr>
          <w:i/>
          <w:sz w:val="22"/>
          <w:lang w:val="sr-Latn-ME"/>
        </w:rPr>
      </w:pPr>
      <w:r w:rsidRPr="00B35A22">
        <w:rPr>
          <w:sz w:val="22"/>
          <w:lang w:val="sr-Latn-ME"/>
        </w:rPr>
        <w:t>Teške kožne neželjene reakcije (SCARs) javile su se kod 0,</w:t>
      </w:r>
      <w:r w:rsidR="00986165" w:rsidRPr="00B35A22">
        <w:rPr>
          <w:sz w:val="22"/>
          <w:lang w:val="sr-Latn-ME"/>
        </w:rPr>
        <w:t>6</w:t>
      </w:r>
      <w:r w:rsidRPr="00B35A22">
        <w:rPr>
          <w:sz w:val="22"/>
          <w:lang w:val="sr-Latn-ME"/>
        </w:rPr>
        <w:t>% (</w:t>
      </w:r>
      <w:r w:rsidR="00314085" w:rsidRPr="00B35A22">
        <w:rPr>
          <w:sz w:val="22"/>
          <w:lang w:val="sr-Latn-ME"/>
        </w:rPr>
        <w:t>30</w:t>
      </w:r>
      <w:r w:rsidR="00986165" w:rsidRPr="00B35A22">
        <w:rPr>
          <w:sz w:val="22"/>
          <w:lang w:val="sr-Latn-ME"/>
        </w:rPr>
        <w:t>/</w:t>
      </w:r>
      <w:r w:rsidR="00A57F3E" w:rsidRPr="00B35A22">
        <w:rPr>
          <w:sz w:val="22"/>
          <w:szCs w:val="22"/>
          <w:lang w:val="sr-Latn-ME"/>
        </w:rPr>
        <w:t>5039</w:t>
      </w:r>
      <w:r w:rsidRPr="00B35A22">
        <w:rPr>
          <w:sz w:val="22"/>
          <w:lang w:val="sr-Latn-ME"/>
        </w:rPr>
        <w:t xml:space="preserve">) pacijenata koji su primali atezolizumab kao monoterapiju. </w:t>
      </w:r>
      <w:r w:rsidR="00241BDE" w:rsidRPr="00B35A22">
        <w:rPr>
          <w:sz w:val="22"/>
          <w:lang w:val="sr-Latn-ME"/>
        </w:rPr>
        <w:t xml:space="preserve">Kod jednog od tih </w:t>
      </w:r>
      <w:r w:rsidR="00314085" w:rsidRPr="00B35A22">
        <w:rPr>
          <w:sz w:val="22"/>
          <w:lang w:val="sr-Latn-ME"/>
        </w:rPr>
        <w:t xml:space="preserve">30 </w:t>
      </w:r>
      <w:r w:rsidR="00241BDE" w:rsidRPr="00B35A22">
        <w:rPr>
          <w:sz w:val="22"/>
          <w:lang w:val="sr-Latn-ME"/>
        </w:rPr>
        <w:t xml:space="preserve">pacijenata zabilježen je smrtni ishod. </w:t>
      </w:r>
      <w:r w:rsidRPr="00B35A22">
        <w:rPr>
          <w:sz w:val="22"/>
          <w:lang w:val="sr-Latn-ME"/>
        </w:rPr>
        <w:t xml:space="preserve">Medijana vremena do početka iznosila je </w:t>
      </w:r>
      <w:r w:rsidR="00314085" w:rsidRPr="00B35A22">
        <w:rPr>
          <w:sz w:val="22"/>
          <w:lang w:val="sr-Latn-ME"/>
        </w:rPr>
        <w:t>4,8</w:t>
      </w:r>
      <w:r w:rsidRPr="00B35A22">
        <w:rPr>
          <w:sz w:val="22"/>
          <w:lang w:val="sr-Latn-ME"/>
        </w:rPr>
        <w:t xml:space="preserve"> mjeseci (raspon od </w:t>
      </w:r>
      <w:r w:rsidR="00314085" w:rsidRPr="00B35A22">
        <w:rPr>
          <w:sz w:val="22"/>
          <w:lang w:val="sr-Latn-ME"/>
        </w:rPr>
        <w:t>3</w:t>
      </w:r>
      <w:r w:rsidR="00241BDE" w:rsidRPr="00B35A22">
        <w:rPr>
          <w:sz w:val="22"/>
          <w:lang w:val="sr-Latn-ME"/>
        </w:rPr>
        <w:t xml:space="preserve"> dana</w:t>
      </w:r>
      <w:r w:rsidRPr="00B35A22">
        <w:rPr>
          <w:sz w:val="22"/>
          <w:lang w:val="sr-Latn-ME"/>
        </w:rPr>
        <w:t xml:space="preserve"> do 15,5 mjeseci). Medijana trajanja iznosila je </w:t>
      </w:r>
      <w:r w:rsidR="00241BDE" w:rsidRPr="00B35A22">
        <w:rPr>
          <w:sz w:val="22"/>
          <w:lang w:val="sr-Latn-ME"/>
        </w:rPr>
        <w:t>2,</w:t>
      </w:r>
      <w:r w:rsidR="00986165" w:rsidRPr="00B35A22">
        <w:rPr>
          <w:sz w:val="22"/>
          <w:lang w:val="sr-Latn-ME"/>
        </w:rPr>
        <w:t>4</w:t>
      </w:r>
      <w:r w:rsidRPr="00B35A22">
        <w:rPr>
          <w:sz w:val="22"/>
          <w:lang w:val="sr-Latn-ME"/>
        </w:rPr>
        <w:t xml:space="preserve"> </w:t>
      </w:r>
      <w:r w:rsidR="00241BDE" w:rsidRPr="00B35A22">
        <w:rPr>
          <w:sz w:val="22"/>
          <w:lang w:val="sr-Latn-ME"/>
        </w:rPr>
        <w:t xml:space="preserve">mjeseca </w:t>
      </w:r>
      <w:r w:rsidRPr="00B35A22">
        <w:rPr>
          <w:sz w:val="22"/>
          <w:lang w:val="sr-Latn-ME"/>
        </w:rPr>
        <w:t xml:space="preserve">(raspon od </w:t>
      </w:r>
      <w:r w:rsidR="00241BDE" w:rsidRPr="00B35A22">
        <w:rPr>
          <w:sz w:val="22"/>
          <w:lang w:val="sr-Latn-ME"/>
        </w:rPr>
        <w:t xml:space="preserve">1 dana </w:t>
      </w:r>
      <w:r w:rsidRPr="00B35A22">
        <w:rPr>
          <w:sz w:val="22"/>
          <w:lang w:val="sr-Latn-ME"/>
        </w:rPr>
        <w:t xml:space="preserve">do </w:t>
      </w:r>
      <w:r w:rsidR="00986165" w:rsidRPr="00B35A22">
        <w:rPr>
          <w:sz w:val="22"/>
          <w:lang w:val="sr-Latn-ME"/>
        </w:rPr>
        <w:t>37,5</w:t>
      </w:r>
      <w:r w:rsidRPr="00B35A22">
        <w:rPr>
          <w:sz w:val="22"/>
          <w:lang w:val="sr-Latn-ME"/>
        </w:rPr>
        <w:t>+ mjeseca; '+' označava cenzuri</w:t>
      </w:r>
      <w:r w:rsidR="000754A3" w:rsidRPr="00B35A22">
        <w:rPr>
          <w:sz w:val="22"/>
          <w:lang w:val="sr-Latn-ME"/>
        </w:rPr>
        <w:t>sanu</w:t>
      </w:r>
      <w:r w:rsidRPr="00B35A22">
        <w:rPr>
          <w:sz w:val="22"/>
          <w:lang w:val="sr-Latn-ME"/>
        </w:rPr>
        <w:t xml:space="preserve"> vrijednost). Teške kožne neželjene reakcije dovele su do prekida liječenja atezolizumabom kod 3 (&lt; 0,1%) pacijenta. Teške kožne neželjene reakcije koje su zahtijevale primjenu sistemskih kortikosteroida javile su se kod 0,2% (</w:t>
      </w:r>
      <w:r w:rsidR="00986165" w:rsidRPr="00B35A22">
        <w:rPr>
          <w:sz w:val="22"/>
          <w:lang w:val="sr-Latn-ME"/>
        </w:rPr>
        <w:t>9/</w:t>
      </w:r>
      <w:r w:rsidR="00A57F3E" w:rsidRPr="00B35A22">
        <w:rPr>
          <w:sz w:val="22"/>
          <w:szCs w:val="22"/>
          <w:lang w:val="sr-Latn-ME"/>
        </w:rPr>
        <w:t>5039</w:t>
      </w:r>
      <w:r w:rsidRPr="00B35A22">
        <w:rPr>
          <w:sz w:val="22"/>
          <w:lang w:val="sr-Latn-ME"/>
        </w:rPr>
        <w:t>) pacijenata koji su primali atezolizumab kao monoterapiju.</w:t>
      </w:r>
    </w:p>
    <w:p w14:paraId="1153CBCB" w14:textId="5EF09054" w:rsidR="00B51DBB" w:rsidRPr="00B35A22" w:rsidRDefault="00B51DBB" w:rsidP="00B35A22">
      <w:pPr>
        <w:widowControl w:val="0"/>
        <w:rPr>
          <w:lang w:val="sr-Latn-ME"/>
        </w:rPr>
      </w:pPr>
      <w:bookmarkStart w:id="2" w:name="_Hlk125701283"/>
    </w:p>
    <w:p w14:paraId="4EF16C22" w14:textId="627933C2" w:rsidR="00B51DBB" w:rsidRPr="00B35A22" w:rsidRDefault="00B51DBB" w:rsidP="00B35A22">
      <w:pPr>
        <w:widowControl w:val="0"/>
        <w:jc w:val="both"/>
        <w:rPr>
          <w:sz w:val="22"/>
          <w:lang w:val="sr-Latn-ME"/>
        </w:rPr>
      </w:pPr>
      <w:r w:rsidRPr="00B35A22">
        <w:rPr>
          <w:i/>
          <w:sz w:val="22"/>
          <w:u w:val="single"/>
          <w:lang w:val="sr-Latn-ME"/>
        </w:rPr>
        <w:t>Imunološki prouzrokovani poremećaji perikarda</w:t>
      </w:r>
    </w:p>
    <w:p w14:paraId="1ECE41D3" w14:textId="6A4936C0" w:rsidR="00B51DBB" w:rsidRPr="00B35A22" w:rsidRDefault="00B51DBB" w:rsidP="00B35A22">
      <w:pPr>
        <w:widowControl w:val="0"/>
        <w:jc w:val="both"/>
        <w:rPr>
          <w:sz w:val="22"/>
          <w:szCs w:val="22"/>
          <w:lang w:val="sr-Latn-ME"/>
        </w:rPr>
      </w:pPr>
      <w:r w:rsidRPr="00B35A22">
        <w:rPr>
          <w:sz w:val="22"/>
          <w:lang w:val="sr-Latn-ME"/>
        </w:rPr>
        <w:t>Poremećaji perikarda javili su se u 1</w:t>
      </w:r>
      <w:r w:rsidRPr="00B35A22">
        <w:rPr>
          <w:sz w:val="22"/>
          <w:szCs w:val="22"/>
          <w:lang w:val="sr-Latn-ME"/>
        </w:rPr>
        <w:t>% (4</w:t>
      </w:r>
      <w:r w:rsidR="00A57F3E" w:rsidRPr="00B35A22">
        <w:rPr>
          <w:sz w:val="22"/>
          <w:szCs w:val="22"/>
          <w:lang w:val="sr-Latn-ME"/>
        </w:rPr>
        <w:t>9</w:t>
      </w:r>
      <w:r w:rsidRPr="00B35A22">
        <w:rPr>
          <w:sz w:val="22"/>
          <w:szCs w:val="22"/>
          <w:lang w:val="sr-Latn-ME"/>
        </w:rPr>
        <w:t>/</w:t>
      </w:r>
      <w:r w:rsidR="00A57F3E" w:rsidRPr="00B35A22">
        <w:rPr>
          <w:sz w:val="22"/>
          <w:szCs w:val="22"/>
          <w:lang w:val="sr-Latn-ME"/>
        </w:rPr>
        <w:t>5039</w:t>
      </w:r>
      <w:r w:rsidRPr="00B35A22">
        <w:rPr>
          <w:sz w:val="22"/>
          <w:lang w:val="sr-Latn-ME"/>
        </w:rPr>
        <w:t xml:space="preserve">) pacijenata koji su primali </w:t>
      </w:r>
      <w:r w:rsidR="00314085" w:rsidRPr="00B35A22">
        <w:rPr>
          <w:sz w:val="22"/>
          <w:lang w:val="sr-Latn-ME"/>
        </w:rPr>
        <w:t>atezolizumab</w:t>
      </w:r>
      <w:r w:rsidRPr="00B35A22">
        <w:rPr>
          <w:sz w:val="22"/>
          <w:lang w:val="sr-Latn-ME"/>
        </w:rPr>
        <w:t xml:space="preserve"> u monoterapiji. Medijana vremena do nastupa iznosila je 1,4 mjeseca (raspon od 6 dana do 17,5 mjeseci). Medijana trajanja iznosila je </w:t>
      </w:r>
      <w:r w:rsidR="00A57F3E" w:rsidRPr="00B35A22">
        <w:rPr>
          <w:sz w:val="22"/>
          <w:szCs w:val="22"/>
          <w:lang w:val="sr-Latn-ME"/>
        </w:rPr>
        <w:t>2,5</w:t>
      </w:r>
      <w:r w:rsidRPr="00B35A22">
        <w:rPr>
          <w:sz w:val="22"/>
          <w:lang w:val="sr-Latn-ME"/>
        </w:rPr>
        <w:t xml:space="preserve"> mjeseca (raspon od </w:t>
      </w:r>
      <w:r w:rsidR="00A57F3E" w:rsidRPr="00B35A22">
        <w:rPr>
          <w:sz w:val="22"/>
          <w:szCs w:val="22"/>
          <w:lang w:val="sr-Latn-ME"/>
        </w:rPr>
        <w:t>0</w:t>
      </w:r>
      <w:r w:rsidRPr="00B35A22">
        <w:rPr>
          <w:sz w:val="22"/>
          <w:lang w:val="sr-Latn-ME"/>
        </w:rPr>
        <w:t xml:space="preserve"> do </w:t>
      </w:r>
      <w:r w:rsidR="00314085" w:rsidRPr="00B35A22">
        <w:rPr>
          <w:sz w:val="22"/>
          <w:lang w:val="sr-Latn-ME"/>
        </w:rPr>
        <w:t>51,5</w:t>
      </w:r>
      <w:r w:rsidRPr="00B35A22">
        <w:rPr>
          <w:sz w:val="22"/>
          <w:lang w:val="sr-Latn-ME"/>
        </w:rPr>
        <w:t>+ mjesec</w:t>
      </w:r>
      <w:r w:rsidR="00314085" w:rsidRPr="00B35A22">
        <w:rPr>
          <w:sz w:val="22"/>
          <w:lang w:val="sr-Latn-ME"/>
        </w:rPr>
        <w:t>i</w:t>
      </w:r>
      <w:r w:rsidRPr="00B35A22">
        <w:rPr>
          <w:sz w:val="22"/>
          <w:lang w:val="sr-Latn-ME"/>
        </w:rPr>
        <w:t>; '+' označava cenzurisanu vrijednost). Poremećaji perikarda doveli su do prekida liječenja lijekom Tecentriq u 3 (&lt; 0,1%) pacijenata. Poremećaji perikarda koji su zahtijevali primjenu kortikosteroida javili su se kod 0,</w:t>
      </w:r>
      <w:r w:rsidR="00A57F3E" w:rsidRPr="00B35A22">
        <w:rPr>
          <w:sz w:val="22"/>
          <w:szCs w:val="22"/>
          <w:lang w:val="sr-Latn-ME"/>
        </w:rPr>
        <w:t>2</w:t>
      </w:r>
      <w:r w:rsidRPr="00B35A22">
        <w:rPr>
          <w:sz w:val="22"/>
          <w:lang w:val="sr-Latn-ME"/>
        </w:rPr>
        <w:t>% (7/</w:t>
      </w:r>
      <w:r w:rsidR="00A57F3E" w:rsidRPr="00B35A22">
        <w:rPr>
          <w:sz w:val="22"/>
          <w:szCs w:val="22"/>
          <w:lang w:val="sr-Latn-ME"/>
        </w:rPr>
        <w:t>5039</w:t>
      </w:r>
      <w:r w:rsidRPr="00B35A22">
        <w:rPr>
          <w:sz w:val="22"/>
          <w:lang w:val="sr-Latn-ME"/>
        </w:rPr>
        <w:t>) pacijenata.</w:t>
      </w:r>
      <w:bookmarkEnd w:id="2"/>
    </w:p>
    <w:p w14:paraId="1B9A378E" w14:textId="7F147110" w:rsidR="00127349" w:rsidRPr="00B35A22" w:rsidRDefault="00127349" w:rsidP="00B35A22">
      <w:pPr>
        <w:widowControl w:val="0"/>
        <w:jc w:val="both"/>
        <w:rPr>
          <w:i/>
          <w:sz w:val="22"/>
          <w:u w:val="single"/>
          <w:lang w:val="sr-Latn-ME"/>
        </w:rPr>
      </w:pPr>
    </w:p>
    <w:p w14:paraId="1478B189" w14:textId="58EC09D4" w:rsidR="00127349" w:rsidRPr="00B35A22" w:rsidRDefault="00127349" w:rsidP="00B35A22">
      <w:pPr>
        <w:widowControl w:val="0"/>
        <w:jc w:val="both"/>
        <w:rPr>
          <w:i/>
          <w:sz w:val="22"/>
          <w:u w:val="single"/>
          <w:lang w:val="sr-Latn-ME"/>
        </w:rPr>
      </w:pPr>
      <w:r w:rsidRPr="00B35A22">
        <w:rPr>
          <w:i/>
          <w:sz w:val="22"/>
          <w:u w:val="single"/>
          <w:lang w:val="sr-Latn-ME"/>
        </w:rPr>
        <w:t>Uticaji farmakološke grupe inhibitora kontrolnih tačaka imunološkog sistema</w:t>
      </w:r>
    </w:p>
    <w:p w14:paraId="12AA1411" w14:textId="76423860" w:rsidR="00127349" w:rsidRPr="00B35A22" w:rsidRDefault="00127349" w:rsidP="00B35A22">
      <w:pPr>
        <w:widowControl w:val="0"/>
        <w:jc w:val="both"/>
        <w:rPr>
          <w:sz w:val="22"/>
          <w:lang w:val="sr-Latn-ME"/>
        </w:rPr>
      </w:pPr>
      <w:r w:rsidRPr="00B35A22">
        <w:rPr>
          <w:sz w:val="22"/>
          <w:lang w:val="sr-Latn-ME"/>
        </w:rPr>
        <w:t>Tokom liječenja drugim inhibitorima kontrolnih tačaka imunološkog sistema zabilježeni su slučajevi sljedećih neželjenih reakcija, a koji se mogu pojaviti i tokom liječenja atezolizumabom: egzokrina insuficijencija pankreasa.</w:t>
      </w:r>
    </w:p>
    <w:p w14:paraId="3F240E6D" w14:textId="77777777" w:rsidR="00127349" w:rsidRPr="00B35A22" w:rsidRDefault="00127349" w:rsidP="00B35A22">
      <w:pPr>
        <w:widowControl w:val="0"/>
        <w:jc w:val="both"/>
        <w:rPr>
          <w:i/>
          <w:sz w:val="22"/>
          <w:u w:val="single"/>
          <w:lang w:val="sr-Latn-ME"/>
        </w:rPr>
      </w:pPr>
    </w:p>
    <w:p w14:paraId="40A255FA" w14:textId="6D9D1B0F" w:rsidR="007D1F43" w:rsidRPr="00B35A22" w:rsidRDefault="000A26D9" w:rsidP="00B35A22">
      <w:pPr>
        <w:widowControl w:val="0"/>
        <w:jc w:val="both"/>
        <w:rPr>
          <w:i/>
          <w:sz w:val="22"/>
          <w:u w:val="single"/>
          <w:lang w:val="sr-Latn-ME"/>
        </w:rPr>
      </w:pPr>
      <w:r w:rsidRPr="00B35A22">
        <w:rPr>
          <w:i/>
          <w:sz w:val="22"/>
          <w:u w:val="single"/>
          <w:lang w:val="sr-Latn-ME"/>
        </w:rPr>
        <w:t>Imunogenost</w:t>
      </w:r>
    </w:p>
    <w:p w14:paraId="703C2D13" w14:textId="4477E8F9" w:rsidR="00C95C8B" w:rsidRPr="00B35A22" w:rsidRDefault="00D261B6" w:rsidP="00B35A22">
      <w:pPr>
        <w:widowControl w:val="0"/>
        <w:jc w:val="both"/>
        <w:rPr>
          <w:sz w:val="22"/>
          <w:lang w:val="sr-Latn-ME"/>
        </w:rPr>
      </w:pPr>
      <w:r w:rsidRPr="00B35A22">
        <w:rPr>
          <w:sz w:val="22"/>
          <w:lang w:val="sr-Latn-ME"/>
        </w:rPr>
        <w:t xml:space="preserve">Prema podacima iz više kliničkih ispitivanja faze </w:t>
      </w:r>
      <w:r w:rsidR="0056694C" w:rsidRPr="00B35A22">
        <w:rPr>
          <w:sz w:val="22"/>
          <w:lang w:val="sr-Latn-ME"/>
        </w:rPr>
        <w:t xml:space="preserve">II i </w:t>
      </w:r>
      <w:r w:rsidRPr="00B35A22">
        <w:rPr>
          <w:sz w:val="22"/>
          <w:lang w:val="sr-Latn-ME"/>
        </w:rPr>
        <w:t xml:space="preserve">III, kod 13,1% do </w:t>
      </w:r>
      <w:r w:rsidR="0056694C" w:rsidRPr="00B35A22">
        <w:rPr>
          <w:sz w:val="22"/>
          <w:lang w:val="sr-Latn-ME"/>
        </w:rPr>
        <w:t>54,1</w:t>
      </w:r>
      <w:r w:rsidRPr="00B35A22">
        <w:rPr>
          <w:sz w:val="22"/>
          <w:lang w:val="sr-Latn-ME"/>
        </w:rPr>
        <w:t xml:space="preserve">% pacijenata su se tokom liječenja razvila antitijela na lijek. </w:t>
      </w:r>
      <w:r w:rsidR="0056694C" w:rsidRPr="00B35A22">
        <w:rPr>
          <w:sz w:val="22"/>
          <w:lang w:val="sr-Latn-ME"/>
        </w:rPr>
        <w:t>Pacijenti kod kojih su se tokom liječenja razvila antitijela na lijek obično su imali lošiji opšti zdravstveni status i karakteristike bolesti na početku ispitivanja. Te neujednačenosti u pogledu početnog zdravstvenog statusa i karakteristika bolesti mogu utjecati na tumačenje rezultata analiza farmakokinetike, efikasnosti i bezbjednosti. Sprovedene su eksploratorne analize prilagođene za neujednačenosti u početnom zdravstvenom statusu i karakteristikama bolesti kako bi se procijenio uticaj antitijela na lijek na efikasnost. Te analize nijesu isključile mogućnost smanjenja koristi u pogledu efikasnosti kod pacijenata kod kojih su se razvila antitijela na lijek u odnosu na pacijente kod kojih nije došlo do njihovog razvoja. Medijana vremena do razvoja antitijela na lijek kretala se u rasponu od 3 nedjelje do 5 nedjelja.</w:t>
      </w:r>
    </w:p>
    <w:p w14:paraId="4A6E7222" w14:textId="77777777" w:rsidR="00C95C8B" w:rsidRPr="00B35A22" w:rsidRDefault="00C95C8B" w:rsidP="00B35A22">
      <w:pPr>
        <w:widowControl w:val="0"/>
        <w:jc w:val="both"/>
        <w:rPr>
          <w:sz w:val="22"/>
          <w:lang w:val="sr-Latn-ME"/>
        </w:rPr>
      </w:pPr>
    </w:p>
    <w:p w14:paraId="58F2F393" w14:textId="62BD063C" w:rsidR="006C5F62" w:rsidRPr="00B35A22" w:rsidRDefault="006C5F62" w:rsidP="00B35A22">
      <w:pPr>
        <w:widowControl w:val="0"/>
        <w:jc w:val="both"/>
        <w:rPr>
          <w:lang w:val="sr-Latn-ME"/>
        </w:rPr>
      </w:pPr>
      <w:r w:rsidRPr="00B35A22">
        <w:rPr>
          <w:sz w:val="22"/>
          <w:lang w:val="sr-Latn-ME"/>
        </w:rPr>
        <w:t>Prema objedinjenim podacima prikupljenim od pacijenata liječenih atezolizumabom u monoterapiji (N=</w:t>
      </w:r>
      <w:r w:rsidR="00986165" w:rsidRPr="00B35A22">
        <w:rPr>
          <w:sz w:val="22"/>
          <w:lang w:val="sr-Latn-ME"/>
        </w:rPr>
        <w:t xml:space="preserve"> 3460</w:t>
      </w:r>
      <w:r w:rsidRPr="00B35A22">
        <w:rPr>
          <w:sz w:val="22"/>
          <w:lang w:val="sr-Latn-ME"/>
        </w:rPr>
        <w:t>) i onih liječenih kombinovanim terapijama (N=</w:t>
      </w:r>
      <w:r w:rsidR="000578A6" w:rsidRPr="00B35A22">
        <w:rPr>
          <w:sz w:val="22"/>
          <w:lang w:val="sr-Latn-ME"/>
        </w:rPr>
        <w:t>2285</w:t>
      </w:r>
      <w:r w:rsidRPr="00B35A22">
        <w:rPr>
          <w:sz w:val="22"/>
          <w:lang w:val="sr-Latn-ME"/>
        </w:rPr>
        <w:t xml:space="preserve">), zapažene su sljedeće stope neželjenih dejstava u populaciji pozitivnoj na antitijela na lijek u odnosu na populaciju negativnu na antitijela na lijek, redom: </w:t>
      </w:r>
      <w:r w:rsidR="00986165" w:rsidRPr="00B35A22">
        <w:rPr>
          <w:sz w:val="22"/>
          <w:lang w:val="sr-Latn-ME"/>
        </w:rPr>
        <w:t>46,2</w:t>
      </w:r>
      <w:r w:rsidRPr="00B35A22">
        <w:rPr>
          <w:sz w:val="22"/>
          <w:lang w:val="sr-Latn-ME"/>
        </w:rPr>
        <w:t xml:space="preserve">% u odnosu na </w:t>
      </w:r>
      <w:r w:rsidR="00986165" w:rsidRPr="00B35A22">
        <w:rPr>
          <w:sz w:val="22"/>
          <w:lang w:val="sr-Latn-ME"/>
        </w:rPr>
        <w:t>39,4</w:t>
      </w:r>
      <w:r w:rsidRPr="00B35A22">
        <w:rPr>
          <w:sz w:val="22"/>
          <w:lang w:val="sr-Latn-ME"/>
        </w:rPr>
        <w:t xml:space="preserve">% za neželjena dejstva 3 </w:t>
      </w:r>
      <w:r w:rsidRPr="00B35A22">
        <w:rPr>
          <w:sz w:val="22"/>
          <w:lang w:val="sr-Latn-ME"/>
        </w:rPr>
        <w:noBreakHyphen/>
        <w:t xml:space="preserve"> 4. stepena, </w:t>
      </w:r>
      <w:r w:rsidR="00986165" w:rsidRPr="00B35A22">
        <w:rPr>
          <w:sz w:val="22"/>
          <w:lang w:val="sr-Latn-ME"/>
        </w:rPr>
        <w:t>39,6</w:t>
      </w:r>
      <w:r w:rsidRPr="00B35A22">
        <w:rPr>
          <w:sz w:val="22"/>
          <w:lang w:val="sr-Latn-ME"/>
        </w:rPr>
        <w:t xml:space="preserve">% u odnosu na </w:t>
      </w:r>
      <w:r w:rsidR="00986165" w:rsidRPr="00B35A22">
        <w:rPr>
          <w:sz w:val="22"/>
          <w:lang w:val="sr-Latn-ME"/>
        </w:rPr>
        <w:t>33,3</w:t>
      </w:r>
      <w:r w:rsidRPr="00B35A22">
        <w:rPr>
          <w:sz w:val="22"/>
          <w:lang w:val="sr-Latn-ME"/>
        </w:rPr>
        <w:t xml:space="preserve">% za ozbiljna neželjena dejstva, </w:t>
      </w:r>
      <w:r w:rsidR="00986165" w:rsidRPr="00B35A22">
        <w:rPr>
          <w:sz w:val="22"/>
          <w:lang w:val="sr-Latn-ME"/>
        </w:rPr>
        <w:t>8,5</w:t>
      </w:r>
      <w:r w:rsidRPr="00B35A22">
        <w:rPr>
          <w:sz w:val="22"/>
          <w:lang w:val="sr-Latn-ME"/>
        </w:rPr>
        <w:t xml:space="preserve">% u odnosu na </w:t>
      </w:r>
      <w:r w:rsidR="00986165" w:rsidRPr="00B35A22">
        <w:rPr>
          <w:sz w:val="22"/>
          <w:lang w:val="sr-Latn-ME"/>
        </w:rPr>
        <w:t>7,8</w:t>
      </w:r>
      <w:r w:rsidRPr="00B35A22">
        <w:rPr>
          <w:sz w:val="22"/>
          <w:lang w:val="sr-Latn-ME"/>
        </w:rPr>
        <w:t xml:space="preserve">% za neželjena dejstva koje su dovela do prekida liječenja (kod monoterapije); </w:t>
      </w:r>
      <w:r w:rsidR="000578A6" w:rsidRPr="00B35A22">
        <w:rPr>
          <w:sz w:val="22"/>
          <w:lang w:val="sr-Latn-ME"/>
        </w:rPr>
        <w:t>63</w:t>
      </w:r>
      <w:r w:rsidRPr="00B35A22">
        <w:rPr>
          <w:sz w:val="22"/>
          <w:lang w:val="sr-Latn-ME"/>
        </w:rPr>
        <w:t>,</w:t>
      </w:r>
      <w:r w:rsidR="000578A6" w:rsidRPr="00B35A22">
        <w:rPr>
          <w:sz w:val="22"/>
          <w:lang w:val="sr-Latn-ME"/>
        </w:rPr>
        <w:t>9</w:t>
      </w:r>
      <w:r w:rsidRPr="00B35A22">
        <w:rPr>
          <w:sz w:val="22"/>
          <w:lang w:val="sr-Latn-ME"/>
        </w:rPr>
        <w:t xml:space="preserve">% u odnosu na </w:t>
      </w:r>
      <w:r w:rsidR="000578A6" w:rsidRPr="00B35A22">
        <w:rPr>
          <w:sz w:val="22"/>
          <w:lang w:val="sr-Latn-ME"/>
        </w:rPr>
        <w:t>60</w:t>
      </w:r>
      <w:r w:rsidRPr="00B35A22">
        <w:rPr>
          <w:sz w:val="22"/>
          <w:lang w:val="sr-Latn-ME"/>
        </w:rPr>
        <w:t>,</w:t>
      </w:r>
      <w:r w:rsidR="000578A6" w:rsidRPr="00B35A22">
        <w:rPr>
          <w:sz w:val="22"/>
          <w:lang w:val="sr-Latn-ME"/>
        </w:rPr>
        <w:t>9</w:t>
      </w:r>
      <w:r w:rsidRPr="00B35A22">
        <w:rPr>
          <w:sz w:val="22"/>
          <w:lang w:val="sr-Latn-ME"/>
        </w:rPr>
        <w:t>% za neželjena dejstva 3 </w:t>
      </w:r>
      <w:r w:rsidRPr="00B35A22">
        <w:rPr>
          <w:sz w:val="22"/>
          <w:lang w:val="sr-Latn-ME"/>
        </w:rPr>
        <w:noBreakHyphen/>
        <w:t xml:space="preserve"> 4. stepena, </w:t>
      </w:r>
      <w:r w:rsidR="000578A6" w:rsidRPr="00B35A22">
        <w:rPr>
          <w:sz w:val="22"/>
          <w:lang w:val="sr-Latn-ME"/>
        </w:rPr>
        <w:t>43</w:t>
      </w:r>
      <w:r w:rsidRPr="00B35A22">
        <w:rPr>
          <w:sz w:val="22"/>
          <w:lang w:val="sr-Latn-ME"/>
        </w:rPr>
        <w:t>,</w:t>
      </w:r>
      <w:r w:rsidR="000578A6" w:rsidRPr="00B35A22">
        <w:rPr>
          <w:sz w:val="22"/>
          <w:lang w:val="sr-Latn-ME"/>
        </w:rPr>
        <w:t>9</w:t>
      </w:r>
      <w:r w:rsidRPr="00B35A22">
        <w:rPr>
          <w:sz w:val="22"/>
          <w:lang w:val="sr-Latn-ME"/>
        </w:rPr>
        <w:t xml:space="preserve">% u odnosu na </w:t>
      </w:r>
      <w:r w:rsidR="000578A6" w:rsidRPr="00B35A22">
        <w:rPr>
          <w:sz w:val="22"/>
          <w:lang w:val="sr-Latn-ME"/>
        </w:rPr>
        <w:t>35</w:t>
      </w:r>
      <w:r w:rsidRPr="00B35A22">
        <w:rPr>
          <w:sz w:val="22"/>
          <w:lang w:val="sr-Latn-ME"/>
        </w:rPr>
        <w:t xml:space="preserve">,6% za ozbiljna neželjena dejstva, </w:t>
      </w:r>
      <w:r w:rsidR="000578A6" w:rsidRPr="00B35A22">
        <w:rPr>
          <w:sz w:val="22"/>
          <w:lang w:val="sr-Latn-ME"/>
        </w:rPr>
        <w:t>22</w:t>
      </w:r>
      <w:r w:rsidRPr="00B35A22">
        <w:rPr>
          <w:sz w:val="22"/>
          <w:lang w:val="sr-Latn-ME"/>
        </w:rPr>
        <w:t>,</w:t>
      </w:r>
      <w:r w:rsidR="000578A6" w:rsidRPr="00B35A22">
        <w:rPr>
          <w:sz w:val="22"/>
          <w:lang w:val="sr-Latn-ME"/>
        </w:rPr>
        <w:t>8</w:t>
      </w:r>
      <w:r w:rsidRPr="00B35A22">
        <w:rPr>
          <w:sz w:val="22"/>
          <w:lang w:val="sr-Latn-ME"/>
        </w:rPr>
        <w:t xml:space="preserve">% u odnosu na </w:t>
      </w:r>
      <w:r w:rsidR="000578A6" w:rsidRPr="00B35A22">
        <w:rPr>
          <w:sz w:val="22"/>
          <w:lang w:val="sr-Latn-ME"/>
        </w:rPr>
        <w:t>18</w:t>
      </w:r>
      <w:r w:rsidRPr="00B35A22">
        <w:rPr>
          <w:sz w:val="22"/>
          <w:lang w:val="sr-Latn-ME"/>
        </w:rPr>
        <w:t>,</w:t>
      </w:r>
      <w:r w:rsidR="000578A6" w:rsidRPr="00B35A22">
        <w:rPr>
          <w:sz w:val="22"/>
          <w:lang w:val="sr-Latn-ME"/>
        </w:rPr>
        <w:t>4</w:t>
      </w:r>
      <w:r w:rsidRPr="00B35A22">
        <w:rPr>
          <w:sz w:val="22"/>
          <w:lang w:val="sr-Latn-ME"/>
        </w:rPr>
        <w:t>% za neželjena dejstva koja su dovela do prekida liječenja (kod kombinovane terapije). Međutim, na osnovu dostupnih podataka ne mogu se donijeti čvrsti zaključci o mogućim obrascima neželjenih reakcija.</w:t>
      </w:r>
    </w:p>
    <w:p w14:paraId="3FFE4D42" w14:textId="6AA33A1A" w:rsidR="00257C2F" w:rsidRPr="00B35A22" w:rsidRDefault="00257C2F" w:rsidP="00B35A22">
      <w:pPr>
        <w:widowControl w:val="0"/>
        <w:jc w:val="both"/>
        <w:rPr>
          <w:sz w:val="22"/>
          <w:lang w:val="sr-Latn-ME"/>
        </w:rPr>
      </w:pPr>
    </w:p>
    <w:p w14:paraId="7ECC437F" w14:textId="7856236B" w:rsidR="00E42227" w:rsidRPr="00B35A22" w:rsidRDefault="00E42227" w:rsidP="00B35A22">
      <w:pPr>
        <w:widowControl w:val="0"/>
        <w:jc w:val="both"/>
        <w:rPr>
          <w:sz w:val="22"/>
          <w:lang w:val="sr-Latn-ME"/>
        </w:rPr>
      </w:pPr>
      <w:r w:rsidRPr="00B35A22">
        <w:rPr>
          <w:i/>
          <w:sz w:val="22"/>
          <w:u w:val="single"/>
          <w:lang w:val="sr-Latn-ME"/>
        </w:rPr>
        <w:t>Pedijatrijska populacija</w:t>
      </w:r>
    </w:p>
    <w:p w14:paraId="0BE3D02A" w14:textId="212D5CF6" w:rsidR="00257C2F" w:rsidRPr="00B35A22" w:rsidRDefault="00E42227" w:rsidP="00B35A22">
      <w:pPr>
        <w:widowControl w:val="0"/>
        <w:jc w:val="both"/>
        <w:rPr>
          <w:sz w:val="22"/>
          <w:lang w:val="sr-Latn-ME"/>
        </w:rPr>
      </w:pPr>
      <w:r w:rsidRPr="00B35A22">
        <w:rPr>
          <w:sz w:val="22"/>
          <w:lang w:val="sr-Latn-ME"/>
        </w:rPr>
        <w:t>Bezbjednost atezolizumaba kod djece i adolescenata nije ustanovljena. U kliničkom ispitivanju sprovedenom kod 69 pedijatrijskih pacijenata (&lt; 18 godina) nije zapažen nijedan novi bezbjednosni signal, a bezbjednosni profil lijeka je bio uporediv sa onim zapaženim kod odraslih.</w:t>
      </w:r>
    </w:p>
    <w:p w14:paraId="7FC4031A" w14:textId="77777777" w:rsidR="00E42227" w:rsidRPr="00B35A22" w:rsidRDefault="00E42227" w:rsidP="00B35A22">
      <w:pPr>
        <w:widowControl w:val="0"/>
        <w:jc w:val="both"/>
        <w:rPr>
          <w:sz w:val="22"/>
          <w:lang w:val="sr-Latn-ME"/>
        </w:rPr>
      </w:pPr>
    </w:p>
    <w:p w14:paraId="48A02670" w14:textId="1B99C386" w:rsidR="00257C2F" w:rsidRPr="00B35A22" w:rsidRDefault="00257C2F" w:rsidP="00B35A22">
      <w:pPr>
        <w:widowControl w:val="0"/>
        <w:tabs>
          <w:tab w:val="left" w:pos="284"/>
        </w:tabs>
        <w:jc w:val="both"/>
        <w:rPr>
          <w:i/>
          <w:sz w:val="22"/>
          <w:u w:val="single"/>
          <w:lang w:val="sr-Latn-ME"/>
        </w:rPr>
      </w:pPr>
      <w:r w:rsidRPr="00B35A22">
        <w:rPr>
          <w:i/>
          <w:sz w:val="22"/>
          <w:u w:val="single"/>
          <w:lang w:val="sr-Latn-ME"/>
        </w:rPr>
        <w:t>Stariji pacijenti</w:t>
      </w:r>
    </w:p>
    <w:p w14:paraId="70CB309A" w14:textId="62662AB5" w:rsidR="00A57F3E" w:rsidRPr="00B35A22" w:rsidRDefault="00257C2F" w:rsidP="00B35A22">
      <w:pPr>
        <w:widowControl w:val="0"/>
        <w:tabs>
          <w:tab w:val="left" w:pos="284"/>
        </w:tabs>
        <w:autoSpaceDE w:val="0"/>
        <w:autoSpaceDN w:val="0"/>
        <w:adjustRightInd w:val="0"/>
        <w:jc w:val="both"/>
        <w:rPr>
          <w:sz w:val="22"/>
          <w:lang w:val="sr-Latn-ME"/>
        </w:rPr>
      </w:pPr>
      <w:r w:rsidRPr="00B35A22">
        <w:rPr>
          <w:sz w:val="22"/>
          <w:lang w:val="sr-Latn-ME"/>
        </w:rPr>
        <w:lastRenderedPageBreak/>
        <w:t>Sveukupno ni</w:t>
      </w:r>
      <w:r w:rsidR="000754A3" w:rsidRPr="00B35A22">
        <w:rPr>
          <w:sz w:val="22"/>
          <w:lang w:val="sr-Latn-ME"/>
        </w:rPr>
        <w:t>je</w:t>
      </w:r>
      <w:r w:rsidRPr="00B35A22">
        <w:rPr>
          <w:sz w:val="22"/>
          <w:lang w:val="sr-Latn-ME"/>
        </w:rPr>
        <w:t>su prim</w:t>
      </w:r>
      <w:r w:rsidR="000754A3" w:rsidRPr="00B35A22">
        <w:rPr>
          <w:sz w:val="22"/>
          <w:lang w:val="sr-Latn-ME"/>
        </w:rPr>
        <w:t>i</w:t>
      </w:r>
      <w:r w:rsidRPr="00B35A22">
        <w:rPr>
          <w:sz w:val="22"/>
          <w:lang w:val="sr-Latn-ME"/>
        </w:rPr>
        <w:t xml:space="preserve">jećene razlike u bezbjednosti lijeka između pacijenata </w:t>
      </w:r>
      <w:r w:rsidR="00A57F3E" w:rsidRPr="00B35A22">
        <w:rPr>
          <w:sz w:val="22"/>
          <w:lang w:val="sr-Latn-ME"/>
        </w:rPr>
        <w:t>starosti od &lt;65 godina, 65</w:t>
      </w:r>
      <w:r w:rsidR="00ED2C8B" w:rsidRPr="00B35A22">
        <w:rPr>
          <w:sz w:val="22"/>
          <w:lang w:val="sr-Latn-ME"/>
        </w:rPr>
        <w:t>-</w:t>
      </w:r>
      <w:r w:rsidR="00A57F3E" w:rsidRPr="00B35A22">
        <w:rPr>
          <w:sz w:val="22"/>
          <w:lang w:val="sr-Latn-ME"/>
        </w:rPr>
        <w:t>74 godine i 75</w:t>
      </w:r>
      <w:r w:rsidR="00ED2C8B" w:rsidRPr="00B35A22">
        <w:rPr>
          <w:sz w:val="22"/>
          <w:lang w:val="sr-Latn-ME"/>
        </w:rPr>
        <w:t>-</w:t>
      </w:r>
      <w:r w:rsidR="00A57F3E" w:rsidRPr="00B35A22">
        <w:rPr>
          <w:sz w:val="22"/>
          <w:lang w:val="sr-Latn-ME"/>
        </w:rPr>
        <w:t>84 godine koji su primali atezolizumab u monoterapiji. Podaci za pacijente starosti od ≥85 godina previše su ograničeni da bi se mogli donijeti smisleni zaključci o toj populaciji.</w:t>
      </w:r>
    </w:p>
    <w:p w14:paraId="654BA34D" w14:textId="77777777" w:rsidR="00A57F3E" w:rsidRPr="00B35A22" w:rsidRDefault="00A57F3E" w:rsidP="00B35A22">
      <w:pPr>
        <w:widowControl w:val="0"/>
        <w:tabs>
          <w:tab w:val="left" w:pos="284"/>
        </w:tabs>
        <w:autoSpaceDE w:val="0"/>
        <w:autoSpaceDN w:val="0"/>
        <w:adjustRightInd w:val="0"/>
        <w:jc w:val="both"/>
        <w:rPr>
          <w:sz w:val="22"/>
          <w:lang w:val="sr-Latn-ME"/>
        </w:rPr>
      </w:pPr>
    </w:p>
    <w:p w14:paraId="73E2690B" w14:textId="1586893D" w:rsidR="00D261B6" w:rsidRPr="00B35A22" w:rsidRDefault="00257C2F" w:rsidP="00B35A22">
      <w:pPr>
        <w:widowControl w:val="0"/>
        <w:tabs>
          <w:tab w:val="left" w:pos="284"/>
        </w:tabs>
        <w:autoSpaceDE w:val="0"/>
        <w:autoSpaceDN w:val="0"/>
        <w:adjustRightInd w:val="0"/>
        <w:jc w:val="both"/>
        <w:rPr>
          <w:sz w:val="22"/>
          <w:lang w:val="sr-Latn-ME"/>
        </w:rPr>
      </w:pPr>
      <w:r w:rsidRPr="00B35A22">
        <w:rPr>
          <w:sz w:val="22"/>
          <w:lang w:val="sr-Latn-ME"/>
        </w:rPr>
        <w:t xml:space="preserve">U kliničkom ispitivanju IMpower150, starost od ≥ 65 godina bila je povezana sa povećanim rizikom od razvoja neželjenih događaja kod pacijenata koji primaju atezolizumab u kombinaciji sa bevacizumabom, karboplatinom i paklitakselom. </w:t>
      </w:r>
    </w:p>
    <w:p w14:paraId="45FF649C" w14:textId="77777777" w:rsidR="00D261B6" w:rsidRPr="00B35A22" w:rsidRDefault="00D261B6" w:rsidP="00B35A22">
      <w:pPr>
        <w:widowControl w:val="0"/>
        <w:tabs>
          <w:tab w:val="left" w:pos="284"/>
        </w:tabs>
        <w:autoSpaceDE w:val="0"/>
        <w:autoSpaceDN w:val="0"/>
        <w:adjustRightInd w:val="0"/>
        <w:jc w:val="both"/>
        <w:rPr>
          <w:sz w:val="22"/>
          <w:lang w:val="sr-Latn-ME"/>
        </w:rPr>
      </w:pPr>
    </w:p>
    <w:p w14:paraId="42EF6969" w14:textId="6E19F967" w:rsidR="00257C2F" w:rsidRPr="00B35A22" w:rsidRDefault="00257C2F" w:rsidP="00B35A22">
      <w:pPr>
        <w:widowControl w:val="0"/>
        <w:tabs>
          <w:tab w:val="left" w:pos="284"/>
        </w:tabs>
        <w:autoSpaceDE w:val="0"/>
        <w:autoSpaceDN w:val="0"/>
        <w:adjustRightInd w:val="0"/>
        <w:jc w:val="both"/>
        <w:rPr>
          <w:sz w:val="22"/>
          <w:lang w:val="sr-Latn-ME"/>
        </w:rPr>
      </w:pPr>
      <w:r w:rsidRPr="00B35A22">
        <w:rPr>
          <w:sz w:val="22"/>
          <w:lang w:val="sr-Latn-ME"/>
        </w:rPr>
        <w:t xml:space="preserve">Podaci o pacijentima starosti ≥75 godina </w:t>
      </w:r>
      <w:r w:rsidR="00D261B6" w:rsidRPr="00B35A22">
        <w:rPr>
          <w:sz w:val="22"/>
          <w:lang w:val="sr-Latn-ME"/>
        </w:rPr>
        <w:t>iz ispitivanja IMpower150</w:t>
      </w:r>
      <w:r w:rsidR="00241BDE" w:rsidRPr="00B35A22">
        <w:rPr>
          <w:sz w:val="22"/>
          <w:lang w:val="sr-Latn-ME"/>
        </w:rPr>
        <w:t>,</w:t>
      </w:r>
      <w:r w:rsidR="00D261B6" w:rsidRPr="00B35A22">
        <w:rPr>
          <w:sz w:val="22"/>
          <w:lang w:val="sr-Latn-ME"/>
        </w:rPr>
        <w:t xml:space="preserve"> IMpower133 </w:t>
      </w:r>
      <w:r w:rsidR="00241BDE" w:rsidRPr="00B35A22">
        <w:rPr>
          <w:sz w:val="22"/>
          <w:lang w:val="sr-Latn-ME"/>
        </w:rPr>
        <w:t xml:space="preserve">i IMpower110 </w:t>
      </w:r>
      <w:r w:rsidR="00A57F3E" w:rsidRPr="00B35A22">
        <w:rPr>
          <w:sz w:val="22"/>
          <w:lang w:val="sr-Latn-ME"/>
        </w:rPr>
        <w:t xml:space="preserve">bili su </w:t>
      </w:r>
      <w:r w:rsidRPr="00B35A22">
        <w:rPr>
          <w:sz w:val="22"/>
          <w:lang w:val="sr-Latn-ME"/>
        </w:rPr>
        <w:t>previše ograničeni da bi se mogli donijeti zaključci o toj populaciji</w:t>
      </w:r>
      <w:r w:rsidR="00D261B6" w:rsidRPr="00B35A22">
        <w:rPr>
          <w:sz w:val="22"/>
          <w:lang w:val="sr-Latn-ME"/>
        </w:rPr>
        <w:t>.</w:t>
      </w:r>
      <w:r w:rsidRPr="00B35A22">
        <w:rPr>
          <w:sz w:val="22"/>
          <w:lang w:val="sr-Latn-ME"/>
        </w:rPr>
        <w:t xml:space="preserve"> </w:t>
      </w:r>
      <w:r w:rsidR="00A57F3E" w:rsidRPr="00B35A22">
        <w:rPr>
          <w:sz w:val="22"/>
          <w:lang w:val="sr-Latn-ME"/>
        </w:rPr>
        <w:t>U ispitivanju IPSOS u prvoj liniji liječenja pacijenata sa NSCLC-om nepogodnih za liječenje platinom sveukupno nijesu zabilježene razlike u bezbjednosnom profilu atezolizumaba prim</w:t>
      </w:r>
      <w:r w:rsidR="00ED2C8B" w:rsidRPr="00B35A22">
        <w:rPr>
          <w:sz w:val="22"/>
          <w:lang w:val="sr-Latn-ME"/>
        </w:rPr>
        <w:t>i</w:t>
      </w:r>
      <w:r w:rsidR="00A57F3E" w:rsidRPr="00B35A22">
        <w:rPr>
          <w:sz w:val="22"/>
          <w:lang w:val="sr-Latn-ME"/>
        </w:rPr>
        <w:t>jenjenog u monoterapiji za prvu liniju liječenja između uzrasnih podgrupa pacijenata.</w:t>
      </w:r>
    </w:p>
    <w:p w14:paraId="20AA4073" w14:textId="77777777" w:rsidR="000A26D9" w:rsidRPr="00B35A22" w:rsidRDefault="000A26D9" w:rsidP="00B35A22">
      <w:pPr>
        <w:widowControl w:val="0"/>
        <w:jc w:val="both"/>
        <w:rPr>
          <w:sz w:val="22"/>
          <w:lang w:val="sr-Latn-ME"/>
        </w:rPr>
      </w:pPr>
    </w:p>
    <w:p w14:paraId="042B5029" w14:textId="77777777" w:rsidR="001665B4" w:rsidRPr="00B35A22" w:rsidRDefault="001665B4" w:rsidP="00B35A22">
      <w:pPr>
        <w:widowControl w:val="0"/>
        <w:spacing w:line="276" w:lineRule="auto"/>
        <w:jc w:val="both"/>
        <w:rPr>
          <w:rFonts w:eastAsia="Calibri"/>
          <w:sz w:val="22"/>
          <w:u w:val="single"/>
          <w:lang w:val="sr-Latn-ME"/>
        </w:rPr>
      </w:pPr>
      <w:r w:rsidRPr="00B35A22">
        <w:rPr>
          <w:rFonts w:eastAsia="Calibri"/>
          <w:sz w:val="22"/>
          <w:u w:val="single"/>
          <w:lang w:val="sr-Latn-ME"/>
        </w:rPr>
        <w:t>Prijavljivanje sumnji na neželjena dejstva</w:t>
      </w:r>
    </w:p>
    <w:p w14:paraId="0CAEE839" w14:textId="77777777" w:rsidR="001665B4" w:rsidRPr="00B35A22" w:rsidRDefault="001665B4" w:rsidP="00B35A22">
      <w:pPr>
        <w:widowControl w:val="0"/>
        <w:jc w:val="both"/>
        <w:rPr>
          <w:rFonts w:eastAsia="Calibri"/>
          <w:sz w:val="22"/>
          <w:lang w:val="sr-Latn-ME"/>
        </w:rPr>
      </w:pPr>
      <w:r w:rsidRPr="00B35A22">
        <w:rPr>
          <w:rFonts w:eastAsia="Calibri"/>
          <w:sz w:val="22"/>
          <w:lang w:val="sr-Latn-ME"/>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2D0F9672" w14:textId="77777777"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 xml:space="preserve">Institut za ljekove i medicinska sredstva </w:t>
      </w:r>
    </w:p>
    <w:p w14:paraId="4A0B4EAF" w14:textId="77777777"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Odjeljenje za farmakovigilancu</w:t>
      </w:r>
    </w:p>
    <w:p w14:paraId="2ED65D0D" w14:textId="77777777"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Bulevar Ivana Crnojevića 64a, 81000 Podgorica</w:t>
      </w:r>
    </w:p>
    <w:p w14:paraId="70BC8E84" w14:textId="77777777" w:rsidR="001665B4" w:rsidRPr="00B35A22" w:rsidRDefault="001665B4" w:rsidP="00B35A22">
      <w:pPr>
        <w:pStyle w:val="NoSpacing"/>
        <w:widowControl w:val="0"/>
        <w:jc w:val="both"/>
        <w:rPr>
          <w:rFonts w:eastAsia="Calibri"/>
          <w:sz w:val="22"/>
          <w:lang w:val="sr-Latn-ME"/>
        </w:rPr>
      </w:pPr>
    </w:p>
    <w:p w14:paraId="0CB45325" w14:textId="77777777"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tel: +382 (0) 20 310 280</w:t>
      </w:r>
    </w:p>
    <w:p w14:paraId="7CE66936" w14:textId="77777777"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fax: +382 (0) 20 310 581</w:t>
      </w:r>
    </w:p>
    <w:p w14:paraId="2E5F345B" w14:textId="2B014D3C" w:rsidR="001665B4" w:rsidRPr="00B35A22" w:rsidRDefault="00B35A22" w:rsidP="00B35A22">
      <w:pPr>
        <w:pStyle w:val="NoSpacing"/>
        <w:widowControl w:val="0"/>
        <w:jc w:val="both"/>
        <w:rPr>
          <w:rFonts w:eastAsia="Calibri"/>
          <w:sz w:val="22"/>
          <w:lang w:val="sr-Latn-ME"/>
        </w:rPr>
      </w:pPr>
      <w:hyperlink r:id="rId11" w:history="1">
        <w:r w:rsidR="001665B4" w:rsidRPr="00B35A22">
          <w:rPr>
            <w:rStyle w:val="Hyperlink"/>
            <w:rFonts w:eastAsia="Calibri"/>
            <w:sz w:val="22"/>
            <w:lang w:val="sr-Latn-ME"/>
          </w:rPr>
          <w:t>www.cinmed.me</w:t>
        </w:r>
      </w:hyperlink>
    </w:p>
    <w:p w14:paraId="156844BA" w14:textId="6BFCBC07" w:rsidR="001665B4" w:rsidRPr="00B35A22" w:rsidRDefault="00B35A22" w:rsidP="00B35A22">
      <w:pPr>
        <w:pStyle w:val="NoSpacing"/>
        <w:widowControl w:val="0"/>
        <w:jc w:val="both"/>
        <w:rPr>
          <w:rFonts w:eastAsia="Calibri"/>
          <w:color w:val="0000FF"/>
          <w:sz w:val="22"/>
          <w:u w:val="single"/>
          <w:lang w:val="sr-Latn-ME"/>
        </w:rPr>
      </w:pPr>
      <w:hyperlink r:id="rId12" w:history="1">
        <w:r w:rsidR="001665B4" w:rsidRPr="00B35A22">
          <w:rPr>
            <w:rStyle w:val="Hyperlink"/>
            <w:rFonts w:eastAsia="Calibri"/>
            <w:sz w:val="22"/>
            <w:lang w:val="sr-Latn-ME"/>
          </w:rPr>
          <w:t>nezeljenadejstva@cinmed.me</w:t>
        </w:r>
      </w:hyperlink>
    </w:p>
    <w:p w14:paraId="5C2159DA" w14:textId="38F132FA" w:rsidR="001665B4" w:rsidRPr="00B35A22" w:rsidRDefault="001665B4" w:rsidP="00B35A22">
      <w:pPr>
        <w:pStyle w:val="NoSpacing"/>
        <w:widowControl w:val="0"/>
        <w:jc w:val="both"/>
        <w:rPr>
          <w:rFonts w:eastAsia="Calibri"/>
          <w:sz w:val="22"/>
          <w:lang w:val="sr-Latn-ME"/>
        </w:rPr>
      </w:pPr>
      <w:r w:rsidRPr="00B35A22">
        <w:rPr>
          <w:rFonts w:eastAsia="Calibri"/>
          <w:sz w:val="22"/>
          <w:lang w:val="sr-Latn-ME"/>
        </w:rPr>
        <w:t>putem IS zdravstvene zaštite</w:t>
      </w:r>
    </w:p>
    <w:p w14:paraId="183D8168" w14:textId="32A82106" w:rsidR="00C465A3" w:rsidRPr="00B35A22" w:rsidRDefault="00C465A3" w:rsidP="00B35A22">
      <w:pPr>
        <w:pStyle w:val="NoSpacing"/>
        <w:widowControl w:val="0"/>
        <w:jc w:val="both"/>
        <w:rPr>
          <w:rFonts w:eastAsia="Calibri"/>
          <w:sz w:val="22"/>
          <w:lang w:val="sr-Latn-ME"/>
        </w:rPr>
      </w:pPr>
      <w:r w:rsidRPr="00B35A22">
        <w:rPr>
          <w:rFonts w:eastAsia="Calibri"/>
          <w:sz w:val="22"/>
          <w:lang w:val="sr-Latn-ME"/>
        </w:rPr>
        <w:t>QR kod za online prijavu sumnje na neželjeno dejstvo lijeka:</w:t>
      </w:r>
    </w:p>
    <w:p w14:paraId="7707AACF" w14:textId="77777777" w:rsidR="00C465A3" w:rsidRPr="00B35A22" w:rsidRDefault="00C465A3" w:rsidP="00B35A22">
      <w:pPr>
        <w:pStyle w:val="NoSpacing"/>
        <w:widowControl w:val="0"/>
        <w:jc w:val="both"/>
        <w:rPr>
          <w:rFonts w:eastAsia="Calibri"/>
          <w:sz w:val="22"/>
          <w:lang w:val="sr-Latn-ME"/>
        </w:rPr>
      </w:pPr>
    </w:p>
    <w:p w14:paraId="4DF9912C" w14:textId="3DFA855F" w:rsidR="00C465A3" w:rsidRPr="00B35A22" w:rsidRDefault="001C6F46" w:rsidP="00B35A22">
      <w:pPr>
        <w:pStyle w:val="NoSpacing"/>
        <w:widowControl w:val="0"/>
        <w:jc w:val="both"/>
        <w:rPr>
          <w:rFonts w:eastAsia="Calibri"/>
          <w:sz w:val="22"/>
          <w:lang w:val="sr-Latn-ME"/>
        </w:rPr>
      </w:pPr>
      <w:r w:rsidRPr="00B35A22">
        <w:rPr>
          <w:b/>
          <w:bCs/>
          <w:sz w:val="22"/>
          <w:szCs w:val="22"/>
          <w:lang w:val="sr-Latn-ME" w:eastAsia="sr-Latn-ME"/>
        </w:rPr>
        <w:drawing>
          <wp:inline distT="0" distB="0" distL="0" distR="0" wp14:anchorId="757D983F" wp14:editId="17F7B342">
            <wp:extent cx="980796" cy="972000"/>
            <wp:effectExtent l="0" t="0" r="0" b="0"/>
            <wp:docPr id="10"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3755E69B" w14:textId="77777777" w:rsidR="00836B35" w:rsidRPr="00B35A22" w:rsidRDefault="00836B35" w:rsidP="00B35A22">
      <w:pPr>
        <w:widowControl w:val="0"/>
        <w:tabs>
          <w:tab w:val="left" w:pos="540"/>
          <w:tab w:val="left" w:pos="569"/>
        </w:tabs>
        <w:jc w:val="both"/>
        <w:rPr>
          <w:b/>
          <w:sz w:val="22"/>
          <w:lang w:val="sr-Latn-ME"/>
        </w:rPr>
      </w:pPr>
    </w:p>
    <w:p w14:paraId="757C8F0A" w14:textId="10083760" w:rsidR="00CD6F02" w:rsidRPr="00B35A22" w:rsidRDefault="0072020E" w:rsidP="00B35A22">
      <w:pPr>
        <w:widowControl w:val="0"/>
        <w:tabs>
          <w:tab w:val="left" w:pos="540"/>
          <w:tab w:val="left" w:pos="569"/>
        </w:tabs>
        <w:jc w:val="both"/>
        <w:rPr>
          <w:b/>
          <w:sz w:val="22"/>
          <w:lang w:val="sr-Latn-ME"/>
        </w:rPr>
      </w:pPr>
      <w:r w:rsidRPr="00B35A22">
        <w:rPr>
          <w:b/>
          <w:sz w:val="22"/>
          <w:lang w:val="sr-Latn-ME"/>
        </w:rPr>
        <w:t xml:space="preserve">4.9. </w:t>
      </w:r>
      <w:r w:rsidR="00480FB1" w:rsidRPr="00B35A22">
        <w:rPr>
          <w:b/>
          <w:sz w:val="22"/>
          <w:lang w:val="sr-Latn-ME"/>
        </w:rPr>
        <w:tab/>
      </w:r>
      <w:r w:rsidRPr="00B35A22">
        <w:rPr>
          <w:b/>
          <w:sz w:val="22"/>
          <w:lang w:val="sr-Latn-ME"/>
        </w:rPr>
        <w:t>Predoziranje</w:t>
      </w:r>
      <w:r w:rsidR="002846DB" w:rsidRPr="00B35A22">
        <w:rPr>
          <w:b/>
          <w:sz w:val="22"/>
          <w:lang w:val="sr-Latn-ME"/>
        </w:rPr>
        <w:t xml:space="preserve"> </w:t>
      </w:r>
    </w:p>
    <w:p w14:paraId="264124FC" w14:textId="77777777" w:rsidR="00370486" w:rsidRPr="00B35A22" w:rsidRDefault="00370486" w:rsidP="00B35A22">
      <w:pPr>
        <w:widowControl w:val="0"/>
        <w:tabs>
          <w:tab w:val="left" w:pos="540"/>
          <w:tab w:val="left" w:pos="569"/>
        </w:tabs>
        <w:jc w:val="both"/>
        <w:rPr>
          <w:b/>
          <w:sz w:val="22"/>
          <w:lang w:val="sr-Latn-ME"/>
        </w:rPr>
      </w:pPr>
    </w:p>
    <w:p w14:paraId="46885E74" w14:textId="77777777" w:rsidR="000A26D9" w:rsidRPr="00B35A22" w:rsidRDefault="000A26D9" w:rsidP="00B35A22">
      <w:pPr>
        <w:pStyle w:val="Header"/>
        <w:widowControl w:val="0"/>
        <w:tabs>
          <w:tab w:val="left" w:pos="284"/>
        </w:tabs>
        <w:jc w:val="both"/>
        <w:rPr>
          <w:sz w:val="22"/>
          <w:lang w:val="sr-Latn-ME"/>
        </w:rPr>
      </w:pPr>
      <w:r w:rsidRPr="00B35A22">
        <w:rPr>
          <w:sz w:val="22"/>
          <w:lang w:val="sr-Latn-ME"/>
        </w:rPr>
        <w:t xml:space="preserve">Nema podataka o predoziranju atezolizumabom. </w:t>
      </w:r>
    </w:p>
    <w:p w14:paraId="254FA010" w14:textId="77777777" w:rsidR="008046FB" w:rsidRPr="00B35A22" w:rsidRDefault="000A26D9" w:rsidP="00B35A22">
      <w:pPr>
        <w:pStyle w:val="Header"/>
        <w:widowControl w:val="0"/>
        <w:tabs>
          <w:tab w:val="left" w:pos="284"/>
        </w:tabs>
        <w:jc w:val="both"/>
        <w:rPr>
          <w:sz w:val="22"/>
          <w:lang w:val="sr-Latn-ME"/>
        </w:rPr>
      </w:pPr>
      <w:r w:rsidRPr="00B35A22">
        <w:rPr>
          <w:sz w:val="22"/>
          <w:lang w:val="sr-Latn-ME"/>
        </w:rPr>
        <w:t>U slučaju predoziranja potrebno je pažljivo nadgledati pacijente zbog moguće pojave znakova ili simptoma neželjenih dejstava i uvesti odgovarajuće simptomatsko liječenje.</w:t>
      </w:r>
    </w:p>
    <w:p w14:paraId="249B1282" w14:textId="7DBF47B1" w:rsidR="00227BDB" w:rsidRPr="00B35A22" w:rsidRDefault="00227BDB" w:rsidP="00B35A22">
      <w:pPr>
        <w:pStyle w:val="Header"/>
        <w:widowControl w:val="0"/>
        <w:tabs>
          <w:tab w:val="left" w:pos="284"/>
        </w:tabs>
        <w:jc w:val="both"/>
        <w:rPr>
          <w:lang w:val="sr-Latn-ME"/>
        </w:rPr>
      </w:pPr>
    </w:p>
    <w:p w14:paraId="2E2E4883" w14:textId="77777777" w:rsidR="009012F0" w:rsidRPr="00B35A22" w:rsidRDefault="009012F0" w:rsidP="00B35A22">
      <w:pPr>
        <w:pStyle w:val="Header"/>
        <w:widowControl w:val="0"/>
        <w:tabs>
          <w:tab w:val="left" w:pos="284"/>
        </w:tabs>
        <w:jc w:val="both"/>
        <w:rPr>
          <w:lang w:val="sr-Latn-ME"/>
        </w:rPr>
      </w:pPr>
    </w:p>
    <w:p w14:paraId="6C21DCAA"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5. </w:t>
      </w:r>
      <w:r w:rsidR="00480FB1" w:rsidRPr="00B35A22">
        <w:rPr>
          <w:b/>
          <w:sz w:val="22"/>
          <w:lang w:val="sr-Latn-ME"/>
        </w:rPr>
        <w:tab/>
      </w:r>
      <w:r w:rsidRPr="00B35A22">
        <w:rPr>
          <w:b/>
          <w:sz w:val="22"/>
          <w:lang w:val="sr-Latn-ME"/>
        </w:rPr>
        <w:t>FARMAKOLOŠK</w:t>
      </w:r>
      <w:r w:rsidR="000D425A" w:rsidRPr="00B35A22">
        <w:rPr>
          <w:b/>
          <w:sz w:val="22"/>
          <w:lang w:val="sr-Latn-ME"/>
        </w:rPr>
        <w:t>I</w:t>
      </w:r>
      <w:r w:rsidRPr="00B35A22">
        <w:rPr>
          <w:b/>
          <w:sz w:val="22"/>
          <w:lang w:val="sr-Latn-ME"/>
        </w:rPr>
        <w:t xml:space="preserve"> PODACI</w:t>
      </w:r>
    </w:p>
    <w:p w14:paraId="6A1B64FC" w14:textId="77777777" w:rsidR="0072020E" w:rsidRPr="00B35A22" w:rsidRDefault="0072020E" w:rsidP="00B35A22">
      <w:pPr>
        <w:widowControl w:val="0"/>
        <w:tabs>
          <w:tab w:val="left" w:pos="540"/>
          <w:tab w:val="left" w:pos="569"/>
        </w:tabs>
        <w:jc w:val="both"/>
        <w:rPr>
          <w:b/>
          <w:sz w:val="22"/>
          <w:lang w:val="sr-Latn-ME"/>
        </w:rPr>
      </w:pPr>
    </w:p>
    <w:p w14:paraId="37FE01DF"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5.1. </w:t>
      </w:r>
      <w:r w:rsidR="00480FB1" w:rsidRPr="00B35A22">
        <w:rPr>
          <w:b/>
          <w:sz w:val="22"/>
          <w:lang w:val="sr-Latn-ME"/>
        </w:rPr>
        <w:tab/>
      </w:r>
      <w:r w:rsidRPr="00B35A22">
        <w:rPr>
          <w:b/>
          <w:sz w:val="22"/>
          <w:lang w:val="sr-Latn-ME"/>
        </w:rPr>
        <w:t>Farmakodinamski podaci</w:t>
      </w:r>
      <w:r w:rsidR="003A7059" w:rsidRPr="00B35A22">
        <w:rPr>
          <w:b/>
          <w:sz w:val="22"/>
          <w:lang w:val="sr-Latn-ME"/>
        </w:rPr>
        <w:t xml:space="preserve"> </w:t>
      </w:r>
    </w:p>
    <w:p w14:paraId="269A9830" w14:textId="77777777" w:rsidR="00F45F77" w:rsidRPr="00B35A22" w:rsidRDefault="00F45F77" w:rsidP="00B35A22">
      <w:pPr>
        <w:widowControl w:val="0"/>
        <w:tabs>
          <w:tab w:val="left" w:pos="540"/>
          <w:tab w:val="left" w:pos="569"/>
        </w:tabs>
        <w:jc w:val="both"/>
        <w:rPr>
          <w:b/>
          <w:sz w:val="22"/>
          <w:lang w:val="sr-Latn-ME"/>
        </w:rPr>
      </w:pPr>
    </w:p>
    <w:p w14:paraId="13CD2A8E" w14:textId="176D2AD2" w:rsidR="0072020E" w:rsidRPr="00B35A22" w:rsidRDefault="0072020E" w:rsidP="00B35A22">
      <w:pPr>
        <w:widowControl w:val="0"/>
        <w:tabs>
          <w:tab w:val="left" w:pos="540"/>
          <w:tab w:val="left" w:pos="569"/>
        </w:tabs>
        <w:jc w:val="both"/>
        <w:rPr>
          <w:sz w:val="22"/>
          <w:lang w:val="sr-Latn-ME"/>
        </w:rPr>
      </w:pPr>
      <w:r w:rsidRPr="00B35A22">
        <w:rPr>
          <w:sz w:val="22"/>
          <w:lang w:val="sr-Latn-ME"/>
        </w:rPr>
        <w:t>Farmakoterapijska grupa:</w:t>
      </w:r>
      <w:r w:rsidR="000A26D9" w:rsidRPr="00B35A22">
        <w:rPr>
          <w:sz w:val="22"/>
          <w:lang w:val="sr-Latn-ME"/>
        </w:rPr>
        <w:t xml:space="preserve"> Antineoplastici, monoklonska antitijela</w:t>
      </w:r>
      <w:r w:rsidR="007F5599" w:rsidRPr="00B35A22">
        <w:rPr>
          <w:sz w:val="22"/>
          <w:lang w:val="sr-Latn-ME"/>
        </w:rPr>
        <w:t xml:space="preserve"> </w:t>
      </w:r>
      <w:r w:rsidR="007F5599" w:rsidRPr="00B35A22">
        <w:rPr>
          <w:lang w:val="sr-Latn-ME"/>
        </w:rPr>
        <w:t>i konjugati antitijela, inhibitori PD-1/PDL-1 (programirani protein ćelijske smrti 1/ligand smrti 1).</w:t>
      </w:r>
    </w:p>
    <w:p w14:paraId="40E63725" w14:textId="77777777" w:rsidR="0072020E" w:rsidRPr="00B35A22" w:rsidRDefault="0072020E" w:rsidP="00B35A22">
      <w:pPr>
        <w:widowControl w:val="0"/>
        <w:tabs>
          <w:tab w:val="left" w:pos="540"/>
          <w:tab w:val="left" w:pos="569"/>
        </w:tabs>
        <w:jc w:val="both"/>
        <w:rPr>
          <w:sz w:val="22"/>
          <w:lang w:val="sr-Latn-ME"/>
        </w:rPr>
      </w:pPr>
    </w:p>
    <w:p w14:paraId="5ADE4AB3" w14:textId="1CF7F9DF" w:rsidR="0072020E" w:rsidRPr="00B35A22" w:rsidRDefault="0072020E" w:rsidP="00B35A22">
      <w:pPr>
        <w:widowControl w:val="0"/>
        <w:tabs>
          <w:tab w:val="left" w:pos="540"/>
          <w:tab w:val="left" w:pos="569"/>
        </w:tabs>
        <w:jc w:val="both"/>
        <w:rPr>
          <w:sz w:val="22"/>
          <w:lang w:val="sr-Latn-ME"/>
        </w:rPr>
      </w:pPr>
      <w:r w:rsidRPr="00B35A22">
        <w:rPr>
          <w:sz w:val="22"/>
          <w:lang w:val="sr-Latn-ME"/>
        </w:rPr>
        <w:t>ATC kod:</w:t>
      </w:r>
      <w:r w:rsidR="000A26D9" w:rsidRPr="00B35A22">
        <w:rPr>
          <w:sz w:val="22"/>
          <w:lang w:val="sr-Latn-ME"/>
        </w:rPr>
        <w:t xml:space="preserve"> </w:t>
      </w:r>
      <w:r w:rsidR="009F3636" w:rsidRPr="00B35A22">
        <w:rPr>
          <w:sz w:val="22"/>
          <w:lang w:val="sr-Latn-ME"/>
        </w:rPr>
        <w:t>L01FF05</w:t>
      </w:r>
    </w:p>
    <w:p w14:paraId="1CE4A114" w14:textId="77777777" w:rsidR="000A26D9" w:rsidRPr="00B35A22" w:rsidRDefault="000A26D9" w:rsidP="00B35A22">
      <w:pPr>
        <w:widowControl w:val="0"/>
        <w:tabs>
          <w:tab w:val="left" w:pos="540"/>
          <w:tab w:val="left" w:pos="569"/>
        </w:tabs>
        <w:jc w:val="both"/>
        <w:rPr>
          <w:sz w:val="22"/>
          <w:lang w:val="sr-Latn-ME"/>
        </w:rPr>
      </w:pPr>
    </w:p>
    <w:p w14:paraId="0A042CE6" w14:textId="77777777" w:rsidR="000A26D9" w:rsidRPr="00B35A22" w:rsidRDefault="000A26D9" w:rsidP="00B35A22">
      <w:pPr>
        <w:widowControl w:val="0"/>
        <w:jc w:val="both"/>
        <w:outlineLvl w:val="0"/>
        <w:rPr>
          <w:sz w:val="22"/>
          <w:u w:val="single"/>
          <w:lang w:val="sr-Latn-ME"/>
        </w:rPr>
      </w:pPr>
      <w:r w:rsidRPr="00B35A22">
        <w:rPr>
          <w:sz w:val="22"/>
          <w:u w:val="single"/>
          <w:lang w:val="sr-Latn-ME"/>
        </w:rPr>
        <w:t xml:space="preserve">Mehanizam djelovanja </w:t>
      </w:r>
    </w:p>
    <w:p w14:paraId="5D3B229C" w14:textId="77777777" w:rsidR="000A26D9" w:rsidRPr="00B35A22" w:rsidRDefault="000A26D9" w:rsidP="00B35A22">
      <w:pPr>
        <w:widowControl w:val="0"/>
        <w:jc w:val="both"/>
        <w:outlineLvl w:val="0"/>
        <w:rPr>
          <w:sz w:val="22"/>
          <w:lang w:val="sr-Latn-ME"/>
        </w:rPr>
      </w:pPr>
    </w:p>
    <w:p w14:paraId="40AB9735" w14:textId="74EEA4B2" w:rsidR="000A26D9" w:rsidRPr="00B35A22" w:rsidRDefault="000A26D9" w:rsidP="00B35A22">
      <w:pPr>
        <w:widowControl w:val="0"/>
        <w:jc w:val="both"/>
        <w:outlineLvl w:val="0"/>
        <w:rPr>
          <w:sz w:val="22"/>
          <w:lang w:val="sr-Latn-ME"/>
        </w:rPr>
      </w:pPr>
      <w:r w:rsidRPr="00B35A22">
        <w:rPr>
          <w:sz w:val="22"/>
          <w:lang w:val="sr-Latn-ME"/>
        </w:rPr>
        <w:t xml:space="preserve">Ligand receptora programirane ćelijske smrti 1 (PD-L1) može se eksprimirati na tumorskim ćelijama i/ili imunim ćelijama koje infiltriraju tumor te može </w:t>
      </w:r>
      <w:r w:rsidR="00704EEB" w:rsidRPr="00B35A22">
        <w:rPr>
          <w:sz w:val="22"/>
          <w:lang w:val="sr-Latn-ME"/>
        </w:rPr>
        <w:t>doprinijeti</w:t>
      </w:r>
      <w:r w:rsidRPr="00B35A22">
        <w:rPr>
          <w:sz w:val="22"/>
          <w:lang w:val="sr-Latn-ME"/>
        </w:rPr>
        <w:t xml:space="preserve"> inhibiciji imunog odgovora na tumor u tumorskom mikrookruženju. Vezivanje PD-L1 za receptore PD-1 i B7.1 na T-ćelijama i antigen-prezentujućim ćelijama potiskuje aktivnost citotoksičnih T-ćelija, proliferaciju-T ćelija i proizvodnju </w:t>
      </w:r>
      <w:r w:rsidRPr="00B35A22">
        <w:rPr>
          <w:sz w:val="22"/>
          <w:lang w:val="sr-Latn-ME"/>
        </w:rPr>
        <w:lastRenderedPageBreak/>
        <w:t xml:space="preserve">citokina. </w:t>
      </w:r>
    </w:p>
    <w:p w14:paraId="11D4B29C" w14:textId="77777777" w:rsidR="000A26D9" w:rsidRPr="00B35A22" w:rsidRDefault="000A26D9" w:rsidP="00B35A22">
      <w:pPr>
        <w:widowControl w:val="0"/>
        <w:jc w:val="both"/>
        <w:outlineLvl w:val="0"/>
        <w:rPr>
          <w:sz w:val="22"/>
          <w:lang w:val="sr-Latn-ME"/>
        </w:rPr>
      </w:pPr>
    </w:p>
    <w:p w14:paraId="27D4C2CC" w14:textId="77777777" w:rsidR="000A26D9" w:rsidRPr="00B35A22" w:rsidRDefault="000A26D9" w:rsidP="00B35A22">
      <w:pPr>
        <w:widowControl w:val="0"/>
        <w:jc w:val="both"/>
        <w:outlineLvl w:val="0"/>
        <w:rPr>
          <w:sz w:val="22"/>
          <w:lang w:val="sr-Latn-ME"/>
        </w:rPr>
      </w:pPr>
      <w:r w:rsidRPr="00B35A22">
        <w:rPr>
          <w:sz w:val="22"/>
          <w:lang w:val="sr-Latn-ME"/>
        </w:rPr>
        <w:t xml:space="preserve">Atezolizumab je humanizovano monoklonsko antitijelo imunoglobulin G1 (IgG1) proizvedeno Fc inženjeringom, koje se vezuje direktno za PD-L1 i ostvaruje dvojnu blokadu receptora PD-1 i B7.1 te tako prekida inhibiciju imunog odgovora posredovanu kompleksom PD-L1/PD-1, što uključuje reaktivaciju imunog odgovora na tumor bez indukcije ćelijske citotoksičnosti zavisne od antitijela. Atezolizumab ne utiče na interakciju PD-L2/PD-1 te tako omogućava da se i dalje prenose inhibicijski signali posredovani kompleksom PD-L2/PD-1. </w:t>
      </w:r>
    </w:p>
    <w:p w14:paraId="2841C176" w14:textId="77777777" w:rsidR="000A26D9" w:rsidRPr="00B35A22" w:rsidRDefault="000A26D9" w:rsidP="00B35A22">
      <w:pPr>
        <w:widowControl w:val="0"/>
        <w:jc w:val="both"/>
        <w:outlineLvl w:val="0"/>
        <w:rPr>
          <w:sz w:val="22"/>
          <w:lang w:val="sr-Latn-ME"/>
        </w:rPr>
      </w:pPr>
    </w:p>
    <w:p w14:paraId="7DA78BED" w14:textId="77777777" w:rsidR="000A26D9" w:rsidRPr="00B35A22" w:rsidRDefault="000A26D9" w:rsidP="00B35A22">
      <w:pPr>
        <w:widowControl w:val="0"/>
        <w:ind w:hanging="20"/>
        <w:jc w:val="both"/>
        <w:outlineLvl w:val="0"/>
        <w:rPr>
          <w:sz w:val="22"/>
          <w:u w:val="single"/>
          <w:lang w:val="sr-Latn-ME"/>
        </w:rPr>
      </w:pPr>
      <w:r w:rsidRPr="00B35A22">
        <w:rPr>
          <w:sz w:val="22"/>
          <w:u w:val="single"/>
          <w:lang w:val="sr-Latn-ME"/>
        </w:rPr>
        <w:t>Klinička efikasnost i bezbjednost</w:t>
      </w:r>
    </w:p>
    <w:p w14:paraId="052F15EC" w14:textId="77777777" w:rsidR="000A5896" w:rsidRPr="00B35A22" w:rsidRDefault="000A5896" w:rsidP="00B35A22">
      <w:pPr>
        <w:widowControl w:val="0"/>
        <w:jc w:val="both"/>
        <w:outlineLvl w:val="0"/>
        <w:rPr>
          <w:sz w:val="22"/>
          <w:lang w:val="sr-Latn-ME"/>
        </w:rPr>
      </w:pPr>
    </w:p>
    <w:p w14:paraId="295932DF" w14:textId="77777777" w:rsidR="000A26D9" w:rsidRPr="00B35A22" w:rsidRDefault="000A26D9" w:rsidP="00B35A22">
      <w:pPr>
        <w:widowControl w:val="0"/>
        <w:jc w:val="both"/>
        <w:outlineLvl w:val="0"/>
        <w:rPr>
          <w:i/>
          <w:sz w:val="22"/>
          <w:u w:val="single"/>
          <w:lang w:val="sr-Latn-ME"/>
        </w:rPr>
      </w:pPr>
      <w:r w:rsidRPr="00B35A22">
        <w:rPr>
          <w:i/>
          <w:sz w:val="22"/>
          <w:u w:val="single"/>
          <w:lang w:val="sr-Latn-ME"/>
        </w:rPr>
        <w:t>Urotelijalni karcinom</w:t>
      </w:r>
    </w:p>
    <w:p w14:paraId="5E017033" w14:textId="77777777" w:rsidR="000A26D9" w:rsidRPr="00B35A22" w:rsidRDefault="000A26D9" w:rsidP="00B35A22">
      <w:pPr>
        <w:widowControl w:val="0"/>
        <w:jc w:val="both"/>
        <w:outlineLvl w:val="0"/>
        <w:rPr>
          <w:sz w:val="22"/>
          <w:lang w:val="sr-Latn-ME"/>
        </w:rPr>
      </w:pPr>
    </w:p>
    <w:p w14:paraId="783A3089" w14:textId="023149A3" w:rsidR="000A26D9" w:rsidRPr="00B35A22" w:rsidRDefault="000A26D9" w:rsidP="00B35A22">
      <w:pPr>
        <w:widowControl w:val="0"/>
        <w:jc w:val="both"/>
        <w:outlineLvl w:val="0"/>
        <w:rPr>
          <w:i/>
          <w:sz w:val="22"/>
          <w:lang w:val="sr-Latn-ME"/>
        </w:rPr>
      </w:pPr>
      <w:r w:rsidRPr="00B35A22">
        <w:rPr>
          <w:i/>
          <w:sz w:val="22"/>
          <w:lang w:val="sr-Latn-ME"/>
        </w:rPr>
        <w:t>IMvigor211 (GO29294): Randomizovano ispitivanje kod pacijenata sa lokalno uznapredovalim ili metastatskim urotelijalnim karcinomom prethodno liječenih hemoterapijom</w:t>
      </w:r>
    </w:p>
    <w:p w14:paraId="6B64FA11" w14:textId="77777777" w:rsidR="000A26D9" w:rsidRPr="00B35A22" w:rsidRDefault="000A26D9" w:rsidP="00B35A22">
      <w:pPr>
        <w:widowControl w:val="0"/>
        <w:jc w:val="both"/>
        <w:outlineLvl w:val="0"/>
        <w:rPr>
          <w:sz w:val="22"/>
          <w:lang w:val="sr-Latn-ME"/>
        </w:rPr>
      </w:pPr>
    </w:p>
    <w:p w14:paraId="22AB8944" w14:textId="37E2A731" w:rsidR="000A26D9" w:rsidRPr="00B35A22" w:rsidRDefault="000A26D9" w:rsidP="00B35A22">
      <w:pPr>
        <w:widowControl w:val="0"/>
        <w:tabs>
          <w:tab w:val="left" w:pos="540"/>
          <w:tab w:val="left" w:pos="569"/>
        </w:tabs>
        <w:jc w:val="both"/>
        <w:rPr>
          <w:sz w:val="22"/>
          <w:lang w:val="sr-Latn-ME"/>
        </w:rPr>
      </w:pPr>
      <w:r w:rsidRPr="00B35A22">
        <w:rPr>
          <w:sz w:val="22"/>
          <w:lang w:val="sr-Latn-ME"/>
        </w:rPr>
        <w:t>Otvoreno, multicentrično, međunarodno, randomizovano ispitivanje faze III (IMvigor211) sprovedeno je radi ocjene efikasnosti i bezbjednosti atezolizumaba u odnosu na hemoterapiju (vinflunin, docetaksel ili paklitaksel,</w:t>
      </w:r>
      <w:r w:rsidR="00704EEB" w:rsidRPr="00B35A22">
        <w:rPr>
          <w:sz w:val="22"/>
          <w:lang w:val="sr-Latn-ME"/>
        </w:rPr>
        <w:t xml:space="preserve"> </w:t>
      </w:r>
      <w:r w:rsidRPr="00B35A22">
        <w:rPr>
          <w:sz w:val="22"/>
          <w:lang w:val="sr-Latn-ME"/>
        </w:rPr>
        <w:t>prema izboru ispitivača) kod pacijenata sa lokalno uznapredovalim ili metastatskim urotelijalnim karcinomom (UK) kojima je bolest uznapredovala tokom ili nakon liječenja protokolom koji je sadržavao platinu. U ovo ispitivanje nijesu bili uključeni pacijenti koji su imali autoimunu bolest u anamnezi, koji su imali aktivne ili od kortikosteroida zavisne moždane metastaze, koji su primili živu atenuisanu vakcinu u roku od 28 dana prije uključivanja u ispitivanje te oni koji su primili sistemske imunostimulatore u roku od 4 nedjelje ili sistemske imunosupresive u roku od 2 nedjelje prije uključivanja u ispitivanje. Procjene statusa tumora (tumorskog odgovora) sprovodile su se svakih 9 nedjelja tokom prve 54 nedjelje, a zatim svakih 12 nedjelja. Uzorci tumora prospektivno su se ocjenjivali kako bi se utvrdila ekspresija PD-L1 na imunosnim ćelijama koje infiltriraju tumor, a dobijeni rezultati koristili su se za definisanje podgrupa prema ekspresiji PD-L1 radi sprovođenja analiza opisanih u nastavku.</w:t>
      </w:r>
    </w:p>
    <w:p w14:paraId="29BDAAE7" w14:textId="77777777" w:rsidR="000A26D9" w:rsidRPr="00B35A22" w:rsidRDefault="000A26D9" w:rsidP="00B35A22">
      <w:pPr>
        <w:widowControl w:val="0"/>
        <w:jc w:val="both"/>
        <w:outlineLvl w:val="0"/>
        <w:rPr>
          <w:sz w:val="22"/>
          <w:lang w:val="sr-Latn-ME"/>
        </w:rPr>
      </w:pPr>
    </w:p>
    <w:p w14:paraId="6C523868" w14:textId="0D34C664" w:rsidR="000A26D9" w:rsidRPr="00B35A22" w:rsidRDefault="000A26D9" w:rsidP="00B35A22">
      <w:pPr>
        <w:widowControl w:val="0"/>
        <w:jc w:val="both"/>
        <w:outlineLvl w:val="0"/>
        <w:rPr>
          <w:sz w:val="22"/>
          <w:lang w:val="sr-Latn-ME"/>
        </w:rPr>
      </w:pPr>
      <w:r w:rsidRPr="00B35A22">
        <w:rPr>
          <w:sz w:val="22"/>
          <w:lang w:val="sr-Latn-ME"/>
        </w:rPr>
        <w:t>U ispitivanj</w:t>
      </w:r>
      <w:r w:rsidR="00704EEB" w:rsidRPr="00B35A22">
        <w:rPr>
          <w:sz w:val="22"/>
          <w:lang w:val="sr-Latn-ME"/>
        </w:rPr>
        <w:t>u</w:t>
      </w:r>
      <w:r w:rsidRPr="00B35A22">
        <w:rPr>
          <w:sz w:val="22"/>
          <w:lang w:val="sr-Latn-ME"/>
        </w:rPr>
        <w:t xml:space="preserve"> je bio uključen ukupno 931 pacijent. Pacijenti su bili randomizovani (1:1) za primanje atezolizumaba ili hemoterapije. Randomizacija je bila stratifikovana prema hemoterapiji (vinflunin ili taksan), statusu ekspresije PD-L1 na imunim ćelijama koje infiltriraju tumor (&lt; 5% ili ≥ 5%), broju prognostičkih faktora rizika (0 ili 1 – 3) i jetrenim metastazama (da ili ne). Prognostički faktori rizika uključivali su vrijeme od prethodne hemoterapije &lt; 3 mjeseca, funkcionalni ECOG status &gt; 0 te vrijednost hemoglobina &lt; 10 g/dl.</w:t>
      </w:r>
    </w:p>
    <w:p w14:paraId="294ADB7A" w14:textId="77777777" w:rsidR="000A26D9" w:rsidRPr="00B35A22" w:rsidRDefault="000A26D9" w:rsidP="00B35A22">
      <w:pPr>
        <w:widowControl w:val="0"/>
        <w:jc w:val="both"/>
        <w:outlineLvl w:val="0"/>
        <w:rPr>
          <w:sz w:val="22"/>
          <w:lang w:val="sr-Latn-ME"/>
        </w:rPr>
      </w:pPr>
    </w:p>
    <w:p w14:paraId="37D2AE2A" w14:textId="3CABAEAA" w:rsidR="000A26D9" w:rsidRPr="00B35A22" w:rsidRDefault="000A26D9" w:rsidP="00B35A22">
      <w:pPr>
        <w:widowControl w:val="0"/>
        <w:jc w:val="both"/>
        <w:outlineLvl w:val="0"/>
        <w:rPr>
          <w:sz w:val="22"/>
          <w:lang w:val="sr-Latn-ME"/>
        </w:rPr>
      </w:pPr>
      <w:r w:rsidRPr="00B35A22">
        <w:rPr>
          <w:sz w:val="22"/>
          <w:lang w:val="sr-Latn-ME"/>
        </w:rPr>
        <w:t>Atezolizumab se primjenjivao u fiksnoj dozi od 1200 mg intravenskom infuzijom svake 3 nedjelje. Nije bilo do</w:t>
      </w:r>
      <w:r w:rsidR="00704EEB" w:rsidRPr="00B35A22">
        <w:rPr>
          <w:sz w:val="22"/>
          <w:lang w:val="sr-Latn-ME"/>
        </w:rPr>
        <w:t>zvoljeno</w:t>
      </w:r>
      <w:r w:rsidRPr="00B35A22">
        <w:rPr>
          <w:sz w:val="22"/>
          <w:lang w:val="sr-Latn-ME"/>
        </w:rPr>
        <w:t xml:space="preserve"> smanjivati dozu atezolizumaba. Pacijenti su se liječili do gubitka kliničke koristi prema ocjeni ispitivača ili pojave neprihvatljive toksičnosti. Vinflunin se primjenjivao u dozi od 320 mg/m</w:t>
      </w:r>
      <w:r w:rsidRPr="00B35A22">
        <w:rPr>
          <w:sz w:val="22"/>
          <w:vertAlign w:val="superscript"/>
          <w:lang w:val="sr-Latn-ME"/>
        </w:rPr>
        <w:t>2</w:t>
      </w:r>
      <w:r w:rsidRPr="00B35A22">
        <w:rPr>
          <w:sz w:val="22"/>
          <w:lang w:val="sr-Latn-ME"/>
        </w:rPr>
        <w:t xml:space="preserve"> intravenskom infuzijom 1. dana svakog 3-nedjeljnog ciklusa do progresije bolesti ili pojave neprihvatljive toksičnosti. Paklitaksel se primjenjivao u dozi od 175 mg/m</w:t>
      </w:r>
      <w:r w:rsidRPr="00B35A22">
        <w:rPr>
          <w:sz w:val="22"/>
          <w:vertAlign w:val="superscript"/>
          <w:lang w:val="sr-Latn-ME"/>
        </w:rPr>
        <w:t>2</w:t>
      </w:r>
      <w:r w:rsidRPr="00B35A22">
        <w:rPr>
          <w:sz w:val="22"/>
          <w:lang w:val="sr-Latn-ME"/>
        </w:rPr>
        <w:t xml:space="preserve"> intravenskom infuzijom u trajanju od 3 sata 1. dana svakog 3-nedjeljnog ciklusa do progresije bolesti ili pojave neprihvatljive toksičnosti. Docetaksel se primjenjivao u dozi od 75 mg/m</w:t>
      </w:r>
      <w:r w:rsidRPr="00B35A22">
        <w:rPr>
          <w:sz w:val="22"/>
          <w:vertAlign w:val="superscript"/>
          <w:lang w:val="sr-Latn-ME"/>
        </w:rPr>
        <w:t>2</w:t>
      </w:r>
      <w:r w:rsidRPr="00B35A22">
        <w:rPr>
          <w:sz w:val="22"/>
          <w:lang w:val="sr-Latn-ME"/>
        </w:rPr>
        <w:t xml:space="preserve"> intravenskom infuzijom 1. dana svakog 3- nedjeljnig ciklusa do progresije bolesti ili pojave neprihvatljive toksičnosti. Medijana trajanja liječenja među svim liječenim pacijentima iznosila je 2,8 mjeseci u grupi liječenoj atezolizumabom, 2,1 mjesec u grupama liječenima vinfluninom i paklitakselom te 1,6 mjeseci u grupi liječenoj docetakselom. </w:t>
      </w:r>
    </w:p>
    <w:p w14:paraId="287048BE" w14:textId="77777777" w:rsidR="000A26D9" w:rsidRPr="00B35A22" w:rsidRDefault="000A26D9" w:rsidP="00B35A22">
      <w:pPr>
        <w:widowControl w:val="0"/>
        <w:jc w:val="both"/>
        <w:outlineLvl w:val="0"/>
        <w:rPr>
          <w:sz w:val="22"/>
          <w:lang w:val="sr-Latn-ME"/>
        </w:rPr>
      </w:pPr>
    </w:p>
    <w:p w14:paraId="76A35F70" w14:textId="69F1C1CF" w:rsidR="000A26D9" w:rsidRPr="00B35A22" w:rsidRDefault="000A26D9" w:rsidP="00B35A22">
      <w:pPr>
        <w:widowControl w:val="0"/>
        <w:jc w:val="both"/>
        <w:rPr>
          <w:sz w:val="22"/>
          <w:lang w:val="sr-Latn-ME"/>
        </w:rPr>
      </w:pPr>
      <w:r w:rsidRPr="00B35A22">
        <w:rPr>
          <w:sz w:val="22"/>
          <w:lang w:val="sr-Latn-ME"/>
        </w:rPr>
        <w:t xml:space="preserve">Demografske karakteristike i početne karakteristike bolesti u populaciji za primarnu analizu bile su dobro ujednačene između liječenih grupa. Medijana starosti iznosila je 67 godina (raspon: 31 – 88), a 77,1% pacijenata bili su muškarci. Većina pacijenata bila je bijele rase (72,1%), 53,9% pacijenta u grupi liječenoj hemoterapijom primala je vinflunin, 71,4% pacijenta imala je najmanje jedan faktor rizika za lošu prognozu, a njih 28,8% imalo je metastaze jetre na početku ispitivanja. Početni funkcionalni ECOG status iznosio je 0 (45,6%) ili 1 (54,4%). Mokraćna bešika je bila primarno mjesto tumora kod 71,1% pacijenata, dok je njih 25,4% imalo </w:t>
      </w:r>
      <w:r w:rsidR="009F3636" w:rsidRPr="00B35A22">
        <w:rPr>
          <w:sz w:val="22"/>
          <w:lang w:val="sr-Latn-ME"/>
        </w:rPr>
        <w:t>UK</w:t>
      </w:r>
      <w:r w:rsidRPr="00B35A22">
        <w:rPr>
          <w:sz w:val="22"/>
          <w:lang w:val="sr-Latn-ME"/>
        </w:rPr>
        <w:t xml:space="preserve"> gornjih mokraćnih puteva. Bilo je 24,2% pacijenata koji su prethodno primali samo adjuvantnu ili neoadjuvantnu terapiju koja je sadržala platinu i doživjeli progresiju u roku od 12 mjeseci. </w:t>
      </w:r>
    </w:p>
    <w:p w14:paraId="7491314A" w14:textId="77777777" w:rsidR="000A26D9" w:rsidRPr="00B35A22" w:rsidRDefault="000A26D9" w:rsidP="00B35A22">
      <w:pPr>
        <w:widowControl w:val="0"/>
        <w:jc w:val="both"/>
        <w:rPr>
          <w:sz w:val="22"/>
          <w:lang w:val="sr-Latn-ME"/>
        </w:rPr>
      </w:pPr>
    </w:p>
    <w:p w14:paraId="011CC96A" w14:textId="77777777" w:rsidR="000A26D9" w:rsidRPr="00B35A22" w:rsidRDefault="000A26D9" w:rsidP="00B35A22">
      <w:pPr>
        <w:widowControl w:val="0"/>
        <w:jc w:val="both"/>
        <w:rPr>
          <w:sz w:val="22"/>
          <w:lang w:val="sr-Latn-ME"/>
        </w:rPr>
      </w:pPr>
      <w:r w:rsidRPr="00B35A22">
        <w:rPr>
          <w:sz w:val="22"/>
          <w:lang w:val="sr-Latn-ME"/>
        </w:rPr>
        <w:t xml:space="preserve">Primarni cilj kliničke studije za efikasnost u ispitivanju IMvigor211 bilo je ukupno preživljavanje (engl. </w:t>
      </w:r>
      <w:r w:rsidRPr="00B35A22">
        <w:rPr>
          <w:sz w:val="22"/>
          <w:lang w:val="sr-Latn-ME"/>
        </w:rPr>
        <w:lastRenderedPageBreak/>
        <w:t>o</w:t>
      </w:r>
      <w:r w:rsidRPr="00B35A22">
        <w:rPr>
          <w:i/>
          <w:sz w:val="22"/>
          <w:lang w:val="sr-Latn-ME"/>
        </w:rPr>
        <w:t>verall survival,</w:t>
      </w:r>
      <w:r w:rsidRPr="00B35A22">
        <w:rPr>
          <w:sz w:val="22"/>
          <w:lang w:val="sr-Latn-ME"/>
        </w:rPr>
        <w:t xml:space="preserve"> OS). Sekundarni ciljevi kliničke studije za efikasnost, koje je ocjenjivao ispitivač na osnovu verzije 1.1 Kriterijuma za ocjenu odgovora kod solidnih tumora (engl. </w:t>
      </w:r>
      <w:r w:rsidRPr="00B35A22">
        <w:rPr>
          <w:i/>
          <w:sz w:val="22"/>
          <w:lang w:val="sr-Latn-ME"/>
        </w:rPr>
        <w:t>Response Evaluation Criteria In Solid Tumors</w:t>
      </w:r>
      <w:r w:rsidRPr="00B35A22">
        <w:rPr>
          <w:sz w:val="22"/>
          <w:lang w:val="sr-Latn-ME"/>
        </w:rPr>
        <w:t xml:space="preserve">, RECIST), bile su stopa objektivnog odgovora (engl. </w:t>
      </w:r>
      <w:r w:rsidRPr="00B35A22">
        <w:rPr>
          <w:i/>
          <w:sz w:val="22"/>
          <w:lang w:val="sr-Latn-ME"/>
        </w:rPr>
        <w:t>objective response rate</w:t>
      </w:r>
      <w:r w:rsidRPr="00B35A22">
        <w:rPr>
          <w:sz w:val="22"/>
          <w:lang w:val="sr-Latn-ME"/>
        </w:rPr>
        <w:t xml:space="preserve">, ORR), preživljavanje bez progresije bolesti (engl. </w:t>
      </w:r>
      <w:r w:rsidRPr="00B35A22">
        <w:rPr>
          <w:i/>
          <w:sz w:val="22"/>
          <w:lang w:val="sr-Latn-ME"/>
        </w:rPr>
        <w:t>progression free survival</w:t>
      </w:r>
      <w:r w:rsidRPr="00B35A22">
        <w:rPr>
          <w:sz w:val="22"/>
          <w:lang w:val="sr-Latn-ME"/>
        </w:rPr>
        <w:t xml:space="preserve">, PFS) i trajanje odgovora (engl. </w:t>
      </w:r>
      <w:r w:rsidRPr="00B35A22">
        <w:rPr>
          <w:i/>
          <w:sz w:val="22"/>
          <w:lang w:val="sr-Latn-ME"/>
        </w:rPr>
        <w:t>duration of response</w:t>
      </w:r>
      <w:r w:rsidRPr="00B35A22">
        <w:rPr>
          <w:sz w:val="22"/>
          <w:lang w:val="sr-Latn-ME"/>
        </w:rPr>
        <w:t xml:space="preserve">, DOR). Poređenje OS-a između liječene i kontrolne grupe u okviru populacije sa najvišim stepenom ekspresije PD-L1 (populacija IC2/3), populacije sa bilo kojim stepenom ekspresije PD-L1 (populacija IC1/2/3) te populacije predviđene za liječenje (engl. intent-to-treat, ITT; svi uključeni pacijenti) testirale su se hijerarhijskim postupkom sa fiksnim redosljedom zasnovanim na stratifikovanom log rang testu pri dvostranom nivou od 5% kako slijedi: 1. korak: populacija IC2/3; 2. korak: populacija IC1/2/3; 3. korak: populacija svih uključenih pacijenata. Statistička značajnost rezultata za OS u 2. koraku i 3. koraku mogla se formalno ispitati samo ako su rezultati u prethodnom koraku bili statistički značajni. </w:t>
      </w:r>
    </w:p>
    <w:p w14:paraId="48679FC7" w14:textId="77777777" w:rsidR="002E37A5" w:rsidRPr="00B35A22" w:rsidRDefault="002E37A5" w:rsidP="00B35A22">
      <w:pPr>
        <w:widowControl w:val="0"/>
        <w:tabs>
          <w:tab w:val="left" w:pos="540"/>
          <w:tab w:val="left" w:pos="569"/>
        </w:tabs>
        <w:jc w:val="both"/>
        <w:rPr>
          <w:b/>
          <w:sz w:val="22"/>
          <w:lang w:val="sr-Latn-ME"/>
        </w:rPr>
      </w:pPr>
    </w:p>
    <w:p w14:paraId="4A697EF1" w14:textId="4B5E1645" w:rsidR="000A26D9" w:rsidRPr="00B35A22" w:rsidRDefault="000A26D9" w:rsidP="00B35A22">
      <w:pPr>
        <w:widowControl w:val="0"/>
        <w:jc w:val="both"/>
        <w:rPr>
          <w:sz w:val="22"/>
          <w:lang w:val="sr-Latn-ME"/>
        </w:rPr>
      </w:pPr>
      <w:r w:rsidRPr="00B35A22">
        <w:rPr>
          <w:sz w:val="22"/>
          <w:lang w:val="sr-Latn-ME"/>
        </w:rPr>
        <w:t xml:space="preserve">Medijana praćenja preživljavanja iznosila je 17 mjeseci. Primarna analiza ispitivanja IMvigor21 nije postigla primarni cilj – OS. Atezolizumab nije pokazao statistički značajan koristan efekat na preživljavanje u odnosu na hemoterapiju kod pacijenata sa prethodno liječenim lokalno uznapredovalim ili metastatskim </w:t>
      </w:r>
      <w:r w:rsidR="009F3636" w:rsidRPr="00B35A22">
        <w:rPr>
          <w:sz w:val="22"/>
          <w:lang w:val="sr-Latn-ME"/>
        </w:rPr>
        <w:t>UK-om</w:t>
      </w:r>
      <w:r w:rsidRPr="00B35A22">
        <w:rPr>
          <w:sz w:val="22"/>
          <w:lang w:val="sr-Latn-ME"/>
        </w:rPr>
        <w:t xml:space="preserve">. Prema unaprijed specifikovanom redoslijedu za hijerarhijsko testiranje, najprije se testirala populacija IC2/3, uz HR za OS od 0,87 (95% CI: 0,63; 1,21; medijana OS-a iznosila je 11,1 mjeseci uz atezolizumab naspram 10,6 mjeseci uz hemoterapiju). Stratifikovana log rang p vrijednost iznosila je 0,41, pa se rezultati u toj populaciji ne smatraju statistički značajnim. Zbog toga se nijesu mogli sprovesti formalni testovi statističke značajnosti za OS u populaciji IC1/2/3 ni u populaciji svih uključenih pacijenata, a rezultati tih analiza smatrali bi se eksploracijskim. Ključni rezultati u populaciji svih uključenih pacijenata sažeto su prikazani u Tabeli </w:t>
      </w:r>
      <w:r w:rsidR="00E14959" w:rsidRPr="00B35A22">
        <w:rPr>
          <w:sz w:val="22"/>
          <w:lang w:val="sr-Latn-ME"/>
        </w:rPr>
        <w:t>4</w:t>
      </w:r>
      <w:r w:rsidRPr="00B35A22">
        <w:rPr>
          <w:sz w:val="22"/>
          <w:lang w:val="sr-Latn-ME"/>
        </w:rPr>
        <w:t xml:space="preserve">. Kaplan Meierova kriva za OS u populaciji svih uključenih pacijenata prikazana je na Slici 1.    </w:t>
      </w:r>
    </w:p>
    <w:p w14:paraId="4C37CD33" w14:textId="6AAA62BE" w:rsidR="000A26D9" w:rsidRPr="00B35A22" w:rsidRDefault="000A26D9" w:rsidP="00B35A22">
      <w:pPr>
        <w:widowControl w:val="0"/>
        <w:jc w:val="both"/>
        <w:rPr>
          <w:b/>
          <w:sz w:val="22"/>
          <w:lang w:val="sr-Latn-ME"/>
        </w:rPr>
      </w:pPr>
    </w:p>
    <w:p w14:paraId="7EF01458" w14:textId="510F872A" w:rsidR="00557471" w:rsidRPr="00B35A22" w:rsidRDefault="00E42227" w:rsidP="00B35A22">
      <w:pPr>
        <w:widowControl w:val="0"/>
        <w:jc w:val="both"/>
        <w:rPr>
          <w:b/>
          <w:sz w:val="22"/>
          <w:szCs w:val="22"/>
          <w:lang w:val="sr-Latn-ME"/>
        </w:rPr>
      </w:pPr>
      <w:r w:rsidRPr="00B35A22">
        <w:rPr>
          <w:sz w:val="22"/>
          <w:lang w:val="sr-Latn-ME"/>
        </w:rPr>
        <w:t xml:space="preserve">Sprovedena je </w:t>
      </w:r>
      <w:r w:rsidR="00D5115F" w:rsidRPr="00B35A22">
        <w:rPr>
          <w:sz w:val="22"/>
          <w:lang w:val="sr-Latn-ME"/>
        </w:rPr>
        <w:t xml:space="preserve">eksploratorna </w:t>
      </w:r>
      <w:r w:rsidRPr="00B35A22">
        <w:rPr>
          <w:sz w:val="22"/>
          <w:lang w:val="sr-Latn-ME"/>
        </w:rPr>
        <w:t>analiza ažuriranih podataka o preživljavanju, uz medijanu praćenja preživljavanja od 34 mjeseca u ITT populaciji. Medijana OS</w:t>
      </w:r>
      <w:r w:rsidRPr="00B35A22">
        <w:rPr>
          <w:sz w:val="22"/>
          <w:lang w:val="sr-Latn-ME"/>
        </w:rPr>
        <w:noBreakHyphen/>
        <w:t xml:space="preserve">a iznosila je 8,6 mjeseci (95% CI: 7,8; 9,6) u grupi liječenoj atezolizumabom i 8,0 mjeseci (95% CI: 7,2; 8,6) u onoj koja je primala hemoterapiju, uz odnos </w:t>
      </w:r>
      <w:r w:rsidR="00F200F7" w:rsidRPr="00B35A22">
        <w:rPr>
          <w:sz w:val="22"/>
          <w:lang w:val="sr-Latn-ME"/>
        </w:rPr>
        <w:t>rizik</w:t>
      </w:r>
      <w:r w:rsidRPr="00B35A22">
        <w:rPr>
          <w:sz w:val="22"/>
          <w:lang w:val="sr-Latn-ME"/>
        </w:rPr>
        <w:t>a od 0,82 (95% CI: 0,71; 0,94). U skladu sa trendom zapaženim kod stopa 12</w:t>
      </w:r>
      <w:r w:rsidRPr="00B35A22">
        <w:rPr>
          <w:sz w:val="22"/>
          <w:lang w:val="sr-Latn-ME"/>
        </w:rPr>
        <w:noBreakHyphen/>
        <w:t>mjesečnog OS</w:t>
      </w:r>
      <w:r w:rsidRPr="00B35A22">
        <w:rPr>
          <w:sz w:val="22"/>
          <w:lang w:val="sr-Latn-ME"/>
        </w:rPr>
        <w:noBreakHyphen/>
        <w:t>a u primarnoj analizi, u ITT populaciji zabilježene su brojčano veće stope 24</w:t>
      </w:r>
      <w:r w:rsidRPr="00B35A22">
        <w:rPr>
          <w:sz w:val="22"/>
          <w:lang w:val="sr-Latn-ME"/>
        </w:rPr>
        <w:noBreakHyphen/>
        <w:t>mjesečnog i 30</w:t>
      </w:r>
      <w:r w:rsidRPr="00B35A22">
        <w:rPr>
          <w:sz w:val="22"/>
          <w:lang w:val="sr-Latn-ME"/>
        </w:rPr>
        <w:noBreakHyphen/>
        <w:t>mjesečnog OS</w:t>
      </w:r>
      <w:r w:rsidRPr="00B35A22">
        <w:rPr>
          <w:sz w:val="22"/>
          <w:lang w:val="sr-Latn-ME"/>
        </w:rPr>
        <w:noBreakHyphen/>
        <w:t>a kod pacijenata liječenih atezolizumabom nego kod onih koji su primali hemoterapiju. Postotak pacijenata koji su bili živi nakon 24 mjeseca (procijenjen Kaplan Meierovom metodom) iznosio je 12,7% u grupi koja je primala hemoterapiju</w:t>
      </w:r>
      <w:r w:rsidR="008B1AB7" w:rsidRPr="00B35A22">
        <w:rPr>
          <w:sz w:val="22"/>
          <w:lang w:val="sr-Latn-ME"/>
        </w:rPr>
        <w:t>,</w:t>
      </w:r>
      <w:r w:rsidRPr="00B35A22">
        <w:rPr>
          <w:sz w:val="22"/>
          <w:lang w:val="sr-Latn-ME"/>
        </w:rPr>
        <w:t xml:space="preserve"> te 22,5% u onoj liječenoj atezolizumabom; taj postotak je nakon 30 mjeseci (procijenjen Kaplan Meierovom metodom) iznosio 9,8% u grupi koja je primala hemoterapiju i 18,1% u onoj liječenoj atezolizumabom.</w:t>
      </w:r>
    </w:p>
    <w:p w14:paraId="38429C2F" w14:textId="77777777" w:rsidR="00557471" w:rsidRPr="00B35A22" w:rsidRDefault="00557471" w:rsidP="00B35A22">
      <w:pPr>
        <w:widowControl w:val="0"/>
        <w:jc w:val="both"/>
        <w:rPr>
          <w:b/>
          <w:sz w:val="22"/>
          <w:szCs w:val="22"/>
          <w:lang w:val="sr-Latn-ME"/>
        </w:rPr>
      </w:pPr>
    </w:p>
    <w:p w14:paraId="13C7FBB7" w14:textId="03666EC1" w:rsidR="000A26D9" w:rsidRPr="00B35A22" w:rsidRDefault="000A26D9" w:rsidP="00B35A22">
      <w:pPr>
        <w:widowControl w:val="0"/>
        <w:jc w:val="both"/>
        <w:rPr>
          <w:b/>
          <w:sz w:val="22"/>
          <w:lang w:val="sr-Latn-ME"/>
        </w:rPr>
      </w:pPr>
      <w:r w:rsidRPr="00B35A22">
        <w:rPr>
          <w:b/>
          <w:sz w:val="22"/>
          <w:lang w:val="sr-Latn-ME"/>
        </w:rPr>
        <w:t xml:space="preserve">Tabela </w:t>
      </w:r>
      <w:r w:rsidR="00E14959" w:rsidRPr="00B35A22">
        <w:rPr>
          <w:b/>
          <w:sz w:val="22"/>
          <w:lang w:val="sr-Latn-ME"/>
        </w:rPr>
        <w:t>4</w:t>
      </w:r>
      <w:r w:rsidRPr="00B35A22">
        <w:rPr>
          <w:b/>
          <w:sz w:val="22"/>
          <w:lang w:val="sr-Latn-ME"/>
        </w:rPr>
        <w:t>: Sažetak rezultata za efikasnost  iz ispitivanja IMvigor211</w:t>
      </w:r>
    </w:p>
    <w:p w14:paraId="7A105B51" w14:textId="77777777" w:rsidR="000A26D9" w:rsidRPr="00B35A22" w:rsidRDefault="000A26D9" w:rsidP="00B35A22">
      <w:pPr>
        <w:widowControl w:val="0"/>
        <w:ind w:left="1560" w:hanging="1560"/>
        <w:jc w:val="both"/>
        <w:rPr>
          <w:b/>
          <w:sz w:val="22"/>
          <w:lang w:val="sr-Latn-ME"/>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2268"/>
        <w:gridCol w:w="2191"/>
      </w:tblGrid>
      <w:tr w:rsidR="000A26D9" w:rsidRPr="00B35A22" w14:paraId="506852CE" w14:textId="77777777" w:rsidTr="0065270B">
        <w:trPr>
          <w:trHeight w:val="453"/>
          <w:tblHeader/>
        </w:trPr>
        <w:tc>
          <w:tcPr>
            <w:tcW w:w="4361" w:type="dxa"/>
            <w:tcBorders>
              <w:right w:val="nil"/>
            </w:tcBorders>
          </w:tcPr>
          <w:p w14:paraId="608C2956" w14:textId="77777777" w:rsidR="000A26D9" w:rsidRPr="00B35A22" w:rsidRDefault="000A26D9" w:rsidP="00B35A22">
            <w:pPr>
              <w:widowControl w:val="0"/>
              <w:spacing w:beforeLines="20" w:before="48"/>
              <w:jc w:val="both"/>
              <w:rPr>
                <w:b/>
                <w:sz w:val="20"/>
                <w:lang w:val="sr-Latn-ME"/>
              </w:rPr>
            </w:pPr>
            <w:r w:rsidRPr="00B35A22">
              <w:rPr>
                <w:b/>
                <w:sz w:val="20"/>
                <w:lang w:val="sr-Latn-ME"/>
              </w:rPr>
              <w:t>Mjera ishoda za efikasnost</w:t>
            </w:r>
          </w:p>
        </w:tc>
        <w:tc>
          <w:tcPr>
            <w:tcW w:w="2268" w:type="dxa"/>
            <w:tcBorders>
              <w:left w:val="nil"/>
              <w:right w:val="nil"/>
            </w:tcBorders>
          </w:tcPr>
          <w:p w14:paraId="7C1AAC45" w14:textId="77777777" w:rsidR="000A26D9" w:rsidRPr="00B35A22" w:rsidRDefault="000A26D9" w:rsidP="00B35A22">
            <w:pPr>
              <w:widowControl w:val="0"/>
              <w:spacing w:beforeLines="20" w:before="48"/>
              <w:jc w:val="both"/>
              <w:rPr>
                <w:b/>
                <w:sz w:val="20"/>
                <w:lang w:val="sr-Latn-ME"/>
              </w:rPr>
            </w:pPr>
            <w:r w:rsidRPr="00B35A22">
              <w:rPr>
                <w:b/>
                <w:sz w:val="20"/>
                <w:lang w:val="sr-Latn-ME"/>
              </w:rPr>
              <w:t>Atezolizumab</w:t>
            </w:r>
          </w:p>
          <w:p w14:paraId="264FBFB7" w14:textId="77777777" w:rsidR="000A26D9" w:rsidRPr="00B35A22" w:rsidRDefault="000A26D9" w:rsidP="00B35A22">
            <w:pPr>
              <w:widowControl w:val="0"/>
              <w:spacing w:beforeLines="20" w:before="48"/>
              <w:jc w:val="both"/>
              <w:rPr>
                <w:b/>
                <w:sz w:val="20"/>
                <w:lang w:val="sr-Latn-ME"/>
              </w:rPr>
            </w:pPr>
            <w:r w:rsidRPr="00B35A22">
              <w:rPr>
                <w:b/>
                <w:sz w:val="20"/>
                <w:lang w:val="sr-Latn-ME"/>
              </w:rPr>
              <w:t>(n=467)</w:t>
            </w:r>
          </w:p>
        </w:tc>
        <w:tc>
          <w:tcPr>
            <w:tcW w:w="2191" w:type="dxa"/>
            <w:tcBorders>
              <w:left w:val="nil"/>
            </w:tcBorders>
          </w:tcPr>
          <w:p w14:paraId="5C7A91A4" w14:textId="77777777" w:rsidR="000A26D9" w:rsidRPr="00B35A22" w:rsidRDefault="000A26D9" w:rsidP="00B35A22">
            <w:pPr>
              <w:widowControl w:val="0"/>
              <w:spacing w:beforeLines="20" w:before="48"/>
              <w:jc w:val="both"/>
              <w:rPr>
                <w:b/>
                <w:sz w:val="20"/>
                <w:lang w:val="sr-Latn-ME"/>
              </w:rPr>
            </w:pPr>
            <w:r w:rsidRPr="00B35A22">
              <w:rPr>
                <w:b/>
                <w:sz w:val="20"/>
                <w:lang w:val="sr-Latn-ME"/>
              </w:rPr>
              <w:t>Hemoterapija</w:t>
            </w:r>
          </w:p>
          <w:p w14:paraId="65322953" w14:textId="77777777" w:rsidR="000A26D9" w:rsidRPr="00B35A22" w:rsidRDefault="000A26D9" w:rsidP="00B35A22">
            <w:pPr>
              <w:widowControl w:val="0"/>
              <w:spacing w:beforeLines="20" w:before="48"/>
              <w:jc w:val="both"/>
              <w:rPr>
                <w:b/>
                <w:sz w:val="20"/>
                <w:lang w:val="sr-Latn-ME"/>
              </w:rPr>
            </w:pPr>
            <w:r w:rsidRPr="00B35A22">
              <w:rPr>
                <w:b/>
                <w:sz w:val="20"/>
                <w:lang w:val="sr-Latn-ME"/>
              </w:rPr>
              <w:t>(n=464)</w:t>
            </w:r>
          </w:p>
        </w:tc>
      </w:tr>
      <w:tr w:rsidR="000A26D9" w:rsidRPr="00B35A22" w14:paraId="3F5D0072" w14:textId="77777777" w:rsidTr="0065270B">
        <w:tc>
          <w:tcPr>
            <w:tcW w:w="4361" w:type="dxa"/>
            <w:tcBorders>
              <w:right w:val="nil"/>
            </w:tcBorders>
          </w:tcPr>
          <w:p w14:paraId="4D3D9A21" w14:textId="77777777" w:rsidR="000A26D9" w:rsidRPr="00B35A22" w:rsidRDefault="000A26D9" w:rsidP="00B35A22">
            <w:pPr>
              <w:widowControl w:val="0"/>
              <w:spacing w:beforeLines="20" w:before="48"/>
              <w:jc w:val="both"/>
              <w:rPr>
                <w:b/>
                <w:i/>
                <w:sz w:val="20"/>
                <w:lang w:val="sr-Latn-ME"/>
              </w:rPr>
            </w:pPr>
            <w:r w:rsidRPr="00B35A22">
              <w:rPr>
                <w:b/>
                <w:i/>
                <w:sz w:val="20"/>
                <w:lang w:val="sr-Latn-ME"/>
              </w:rPr>
              <w:t>Primarni cilj kliničke studije za efikasnost</w:t>
            </w:r>
          </w:p>
        </w:tc>
        <w:tc>
          <w:tcPr>
            <w:tcW w:w="2268" w:type="dxa"/>
            <w:tcBorders>
              <w:left w:val="nil"/>
              <w:right w:val="nil"/>
            </w:tcBorders>
          </w:tcPr>
          <w:p w14:paraId="4F4EB00A" w14:textId="77777777" w:rsidR="000A26D9" w:rsidRPr="00B35A22" w:rsidRDefault="000A26D9" w:rsidP="00B35A22">
            <w:pPr>
              <w:widowControl w:val="0"/>
              <w:spacing w:beforeLines="20" w:before="48"/>
              <w:jc w:val="both"/>
              <w:rPr>
                <w:sz w:val="20"/>
                <w:lang w:val="sr-Latn-ME"/>
              </w:rPr>
            </w:pPr>
          </w:p>
        </w:tc>
        <w:tc>
          <w:tcPr>
            <w:tcW w:w="2191" w:type="dxa"/>
            <w:tcBorders>
              <w:left w:val="nil"/>
            </w:tcBorders>
          </w:tcPr>
          <w:p w14:paraId="18C4577C" w14:textId="77777777" w:rsidR="000A26D9" w:rsidRPr="00B35A22" w:rsidRDefault="000A26D9" w:rsidP="00B35A22">
            <w:pPr>
              <w:widowControl w:val="0"/>
              <w:spacing w:beforeLines="20" w:before="48"/>
              <w:jc w:val="both"/>
              <w:rPr>
                <w:sz w:val="20"/>
                <w:lang w:val="sr-Latn-ME"/>
              </w:rPr>
            </w:pPr>
          </w:p>
        </w:tc>
      </w:tr>
      <w:tr w:rsidR="000A26D9" w:rsidRPr="00B35A22" w14:paraId="7CFC9565" w14:textId="77777777" w:rsidTr="0065270B">
        <w:tc>
          <w:tcPr>
            <w:tcW w:w="4361" w:type="dxa"/>
            <w:tcBorders>
              <w:right w:val="nil"/>
            </w:tcBorders>
          </w:tcPr>
          <w:p w14:paraId="6DE6EB6E" w14:textId="77777777" w:rsidR="000A26D9" w:rsidRPr="00B35A22" w:rsidRDefault="000A26D9" w:rsidP="00B35A22">
            <w:pPr>
              <w:widowControl w:val="0"/>
              <w:spacing w:beforeLines="20" w:before="48"/>
              <w:jc w:val="both"/>
              <w:rPr>
                <w:b/>
                <w:i/>
                <w:sz w:val="20"/>
                <w:lang w:val="sr-Latn-ME"/>
              </w:rPr>
            </w:pPr>
            <w:r w:rsidRPr="00B35A22">
              <w:rPr>
                <w:b/>
                <w:i/>
                <w:sz w:val="20"/>
                <w:lang w:val="sr-Latn-ME"/>
              </w:rPr>
              <w:t>OS*</w:t>
            </w:r>
          </w:p>
        </w:tc>
        <w:tc>
          <w:tcPr>
            <w:tcW w:w="2268" w:type="dxa"/>
            <w:tcBorders>
              <w:left w:val="nil"/>
              <w:right w:val="nil"/>
            </w:tcBorders>
          </w:tcPr>
          <w:p w14:paraId="4EE2C8E1" w14:textId="77777777" w:rsidR="000A26D9" w:rsidRPr="00B35A22" w:rsidRDefault="000A26D9" w:rsidP="00B35A22">
            <w:pPr>
              <w:widowControl w:val="0"/>
              <w:spacing w:beforeLines="20" w:before="48"/>
              <w:jc w:val="both"/>
              <w:rPr>
                <w:sz w:val="20"/>
                <w:lang w:val="sr-Latn-ME"/>
              </w:rPr>
            </w:pPr>
          </w:p>
        </w:tc>
        <w:tc>
          <w:tcPr>
            <w:tcW w:w="2191" w:type="dxa"/>
            <w:tcBorders>
              <w:left w:val="nil"/>
            </w:tcBorders>
          </w:tcPr>
          <w:p w14:paraId="6D414B8F" w14:textId="77777777" w:rsidR="000A26D9" w:rsidRPr="00B35A22" w:rsidRDefault="000A26D9" w:rsidP="00B35A22">
            <w:pPr>
              <w:widowControl w:val="0"/>
              <w:spacing w:beforeLines="20" w:before="48"/>
              <w:jc w:val="both"/>
              <w:rPr>
                <w:sz w:val="20"/>
                <w:lang w:val="sr-Latn-ME"/>
              </w:rPr>
            </w:pPr>
          </w:p>
        </w:tc>
      </w:tr>
      <w:tr w:rsidR="00CC0044" w:rsidRPr="00B35A22" w14:paraId="4789F28D" w14:textId="77777777" w:rsidTr="000A26D9">
        <w:tc>
          <w:tcPr>
            <w:tcW w:w="4361" w:type="dxa"/>
            <w:tcBorders>
              <w:top w:val="nil"/>
              <w:bottom w:val="nil"/>
              <w:right w:val="nil"/>
            </w:tcBorders>
          </w:tcPr>
          <w:p w14:paraId="2597D7ED"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Broj smrtnih slučajeva (%)</w:t>
            </w:r>
          </w:p>
        </w:tc>
        <w:tc>
          <w:tcPr>
            <w:tcW w:w="2268" w:type="dxa"/>
            <w:tcBorders>
              <w:top w:val="nil"/>
              <w:left w:val="nil"/>
              <w:bottom w:val="nil"/>
              <w:right w:val="nil"/>
            </w:tcBorders>
          </w:tcPr>
          <w:p w14:paraId="4D436228" w14:textId="77777777" w:rsidR="000A26D9" w:rsidRPr="00B35A22" w:rsidRDefault="000A26D9" w:rsidP="00B35A22">
            <w:pPr>
              <w:widowControl w:val="0"/>
              <w:spacing w:beforeLines="20" w:before="48"/>
              <w:jc w:val="both"/>
              <w:rPr>
                <w:sz w:val="20"/>
                <w:lang w:val="sr-Latn-ME"/>
              </w:rPr>
            </w:pPr>
            <w:r w:rsidRPr="00B35A22">
              <w:rPr>
                <w:sz w:val="20"/>
                <w:lang w:val="sr-Latn-ME"/>
              </w:rPr>
              <w:t>324 (69,4%)</w:t>
            </w:r>
          </w:p>
        </w:tc>
        <w:tc>
          <w:tcPr>
            <w:tcW w:w="2191" w:type="dxa"/>
            <w:tcBorders>
              <w:top w:val="nil"/>
              <w:left w:val="nil"/>
              <w:bottom w:val="nil"/>
            </w:tcBorders>
          </w:tcPr>
          <w:p w14:paraId="2D19882D" w14:textId="77777777" w:rsidR="000A26D9" w:rsidRPr="00B35A22" w:rsidRDefault="000A26D9" w:rsidP="00B35A22">
            <w:pPr>
              <w:widowControl w:val="0"/>
              <w:spacing w:beforeLines="20" w:before="48"/>
              <w:jc w:val="both"/>
              <w:rPr>
                <w:sz w:val="20"/>
                <w:lang w:val="sr-Latn-ME"/>
              </w:rPr>
            </w:pPr>
            <w:r w:rsidRPr="00B35A22">
              <w:rPr>
                <w:sz w:val="20"/>
                <w:lang w:val="sr-Latn-ME"/>
              </w:rPr>
              <w:t>350 (75,4%)</w:t>
            </w:r>
          </w:p>
        </w:tc>
      </w:tr>
      <w:tr w:rsidR="00CC0044" w:rsidRPr="00B35A22" w14:paraId="75B8A8BA" w14:textId="77777777" w:rsidTr="000A26D9">
        <w:tc>
          <w:tcPr>
            <w:tcW w:w="4361" w:type="dxa"/>
            <w:tcBorders>
              <w:top w:val="nil"/>
              <w:bottom w:val="nil"/>
              <w:right w:val="nil"/>
            </w:tcBorders>
          </w:tcPr>
          <w:p w14:paraId="122ADAA6"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Medijana vremena do događaja (mjeseci) </w:t>
            </w:r>
          </w:p>
        </w:tc>
        <w:tc>
          <w:tcPr>
            <w:tcW w:w="2268" w:type="dxa"/>
            <w:tcBorders>
              <w:top w:val="nil"/>
              <w:left w:val="nil"/>
              <w:bottom w:val="nil"/>
              <w:right w:val="nil"/>
            </w:tcBorders>
          </w:tcPr>
          <w:p w14:paraId="1112DA77" w14:textId="77777777" w:rsidR="000A26D9" w:rsidRPr="00B35A22" w:rsidRDefault="000A26D9" w:rsidP="00B35A22">
            <w:pPr>
              <w:widowControl w:val="0"/>
              <w:spacing w:beforeLines="20" w:before="48"/>
              <w:jc w:val="both"/>
              <w:rPr>
                <w:sz w:val="20"/>
                <w:lang w:val="sr-Latn-ME"/>
              </w:rPr>
            </w:pPr>
            <w:r w:rsidRPr="00B35A22">
              <w:rPr>
                <w:sz w:val="20"/>
                <w:lang w:val="sr-Latn-ME"/>
              </w:rPr>
              <w:t>8,6</w:t>
            </w:r>
          </w:p>
        </w:tc>
        <w:tc>
          <w:tcPr>
            <w:tcW w:w="2191" w:type="dxa"/>
            <w:tcBorders>
              <w:top w:val="nil"/>
              <w:left w:val="nil"/>
              <w:bottom w:val="nil"/>
            </w:tcBorders>
          </w:tcPr>
          <w:p w14:paraId="1B53B7A3" w14:textId="77777777" w:rsidR="000A26D9" w:rsidRPr="00B35A22" w:rsidRDefault="000A26D9" w:rsidP="00B35A22">
            <w:pPr>
              <w:widowControl w:val="0"/>
              <w:spacing w:beforeLines="20" w:before="48"/>
              <w:jc w:val="both"/>
              <w:rPr>
                <w:sz w:val="20"/>
                <w:lang w:val="sr-Latn-ME"/>
              </w:rPr>
            </w:pPr>
            <w:r w:rsidRPr="00B35A22">
              <w:rPr>
                <w:sz w:val="20"/>
                <w:lang w:val="sr-Latn-ME"/>
              </w:rPr>
              <w:t>8,0</w:t>
            </w:r>
          </w:p>
        </w:tc>
      </w:tr>
      <w:tr w:rsidR="000A26D9" w:rsidRPr="00B35A22" w14:paraId="6AA20368" w14:textId="77777777" w:rsidTr="0065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482DD078"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95% CI</w:t>
            </w:r>
          </w:p>
        </w:tc>
        <w:tc>
          <w:tcPr>
            <w:tcW w:w="2268" w:type="dxa"/>
          </w:tcPr>
          <w:p w14:paraId="20A370D3" w14:textId="77777777" w:rsidR="000A26D9" w:rsidRPr="00B35A22" w:rsidRDefault="000A26D9" w:rsidP="00B35A22">
            <w:pPr>
              <w:widowControl w:val="0"/>
              <w:spacing w:beforeLines="20" w:before="48"/>
              <w:jc w:val="both"/>
              <w:rPr>
                <w:sz w:val="20"/>
                <w:lang w:val="sr-Latn-ME"/>
              </w:rPr>
            </w:pPr>
            <w:r w:rsidRPr="00B35A22">
              <w:rPr>
                <w:sz w:val="20"/>
                <w:lang w:val="sr-Latn-ME"/>
              </w:rPr>
              <w:t>7,8; 9,6</w:t>
            </w:r>
          </w:p>
        </w:tc>
        <w:tc>
          <w:tcPr>
            <w:tcW w:w="2191" w:type="dxa"/>
            <w:tcBorders>
              <w:right w:val="single" w:sz="4" w:space="0" w:color="auto"/>
            </w:tcBorders>
          </w:tcPr>
          <w:p w14:paraId="392C1157" w14:textId="77777777" w:rsidR="000A26D9" w:rsidRPr="00B35A22" w:rsidRDefault="000A26D9" w:rsidP="00B35A22">
            <w:pPr>
              <w:widowControl w:val="0"/>
              <w:spacing w:beforeLines="20" w:before="48"/>
              <w:jc w:val="both"/>
              <w:rPr>
                <w:sz w:val="20"/>
                <w:lang w:val="sr-Latn-ME"/>
              </w:rPr>
            </w:pPr>
            <w:r w:rsidRPr="00B35A22">
              <w:rPr>
                <w:sz w:val="20"/>
                <w:lang w:val="sr-Latn-ME"/>
              </w:rPr>
              <w:t>7,2; 8,6</w:t>
            </w:r>
          </w:p>
        </w:tc>
      </w:tr>
      <w:tr w:rsidR="000A26D9" w:rsidRPr="00B35A22" w14:paraId="30481A8C" w14:textId="77777777" w:rsidTr="0065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1" w:type="dxa"/>
            <w:tcBorders>
              <w:left w:val="single" w:sz="4" w:space="0" w:color="auto"/>
            </w:tcBorders>
          </w:tcPr>
          <w:p w14:paraId="64698D96" w14:textId="5AA99B04" w:rsidR="000A26D9" w:rsidRPr="00B35A22" w:rsidRDefault="000A26D9" w:rsidP="00B35A22">
            <w:pPr>
              <w:widowControl w:val="0"/>
              <w:spacing w:beforeLines="20" w:before="48"/>
              <w:jc w:val="both"/>
              <w:rPr>
                <w:sz w:val="20"/>
                <w:lang w:val="sr-Latn-ME"/>
              </w:rPr>
            </w:pPr>
            <w:r w:rsidRPr="00B35A22">
              <w:rPr>
                <w:sz w:val="20"/>
                <w:lang w:val="sr-Latn-ME"/>
              </w:rPr>
              <w:t xml:space="preserve">  Stratifikovan</w:t>
            </w:r>
            <w:r w:rsidRPr="00B35A22">
              <w:rPr>
                <w:rFonts w:ascii="Lucida Sans Unicode" w:hAnsi="Lucida Sans Unicode"/>
                <w:sz w:val="20"/>
                <w:vertAlign w:val="superscript"/>
                <w:lang w:val="sr-Latn-ME"/>
              </w:rPr>
              <w:t>ǂ</w:t>
            </w:r>
            <w:r w:rsidRPr="00B35A22">
              <w:rPr>
                <w:sz w:val="20"/>
                <w:lang w:val="sr-Latn-ME"/>
              </w:rPr>
              <w:t xml:space="preserve"> odnos </w:t>
            </w:r>
            <w:r w:rsidR="00F200F7" w:rsidRPr="00B35A22">
              <w:rPr>
                <w:sz w:val="20"/>
                <w:lang w:val="sr-Latn-ME"/>
              </w:rPr>
              <w:t>rizik</w:t>
            </w:r>
            <w:r w:rsidRPr="00B35A22">
              <w:rPr>
                <w:sz w:val="20"/>
                <w:lang w:val="sr-Latn-ME"/>
              </w:rPr>
              <w:t>a (95% CI)</w:t>
            </w:r>
          </w:p>
        </w:tc>
        <w:tc>
          <w:tcPr>
            <w:tcW w:w="4459" w:type="dxa"/>
            <w:gridSpan w:val="2"/>
            <w:tcBorders>
              <w:right w:val="single" w:sz="4" w:space="0" w:color="auto"/>
            </w:tcBorders>
          </w:tcPr>
          <w:p w14:paraId="4069A768" w14:textId="77777777" w:rsidR="000A26D9" w:rsidRPr="00B35A22" w:rsidRDefault="000A26D9" w:rsidP="00B35A22">
            <w:pPr>
              <w:widowControl w:val="0"/>
              <w:spacing w:beforeLines="20" w:before="48"/>
              <w:jc w:val="both"/>
              <w:rPr>
                <w:sz w:val="20"/>
                <w:lang w:val="sr-Latn-ME"/>
              </w:rPr>
            </w:pPr>
            <w:r w:rsidRPr="00B35A22">
              <w:rPr>
                <w:sz w:val="20"/>
                <w:lang w:val="sr-Latn-ME"/>
              </w:rPr>
              <w:t>0,85 (0,73; 0,99)</w:t>
            </w:r>
          </w:p>
        </w:tc>
      </w:tr>
      <w:tr w:rsidR="000A26D9" w:rsidRPr="00B35A22" w14:paraId="680E944E" w14:textId="77777777" w:rsidTr="0065270B">
        <w:tc>
          <w:tcPr>
            <w:tcW w:w="4361" w:type="dxa"/>
            <w:tcBorders>
              <w:top w:val="nil"/>
              <w:bottom w:val="nil"/>
              <w:right w:val="nil"/>
            </w:tcBorders>
            <w:vAlign w:val="center"/>
          </w:tcPr>
          <w:p w14:paraId="12A72C24" w14:textId="77777777" w:rsidR="000A26D9" w:rsidRPr="00B35A22" w:rsidRDefault="000A26D9" w:rsidP="00B35A22">
            <w:pPr>
              <w:widowControl w:val="0"/>
              <w:spacing w:beforeLines="20" w:before="48"/>
              <w:ind w:left="180" w:hanging="90"/>
              <w:jc w:val="both"/>
              <w:rPr>
                <w:b/>
                <w:sz w:val="20"/>
                <w:lang w:val="sr-Latn-ME"/>
              </w:rPr>
            </w:pPr>
            <w:r w:rsidRPr="00B35A22">
              <w:rPr>
                <w:b/>
                <w:sz w:val="20"/>
                <w:lang w:val="sr-Latn-ME"/>
              </w:rPr>
              <w:t>12-mjesečni OS (%)**</w:t>
            </w:r>
          </w:p>
        </w:tc>
        <w:tc>
          <w:tcPr>
            <w:tcW w:w="2268" w:type="dxa"/>
            <w:tcBorders>
              <w:top w:val="nil"/>
              <w:left w:val="nil"/>
              <w:bottom w:val="nil"/>
              <w:right w:val="nil"/>
            </w:tcBorders>
            <w:vAlign w:val="center"/>
          </w:tcPr>
          <w:p w14:paraId="32551B73" w14:textId="77777777" w:rsidR="000A26D9" w:rsidRPr="00B35A22" w:rsidRDefault="000A26D9" w:rsidP="00B35A22">
            <w:pPr>
              <w:widowControl w:val="0"/>
              <w:jc w:val="both"/>
              <w:rPr>
                <w:sz w:val="20"/>
                <w:lang w:val="sr-Latn-ME"/>
              </w:rPr>
            </w:pPr>
            <w:r w:rsidRPr="00B35A22">
              <w:rPr>
                <w:sz w:val="20"/>
                <w:lang w:val="sr-Latn-ME"/>
              </w:rPr>
              <w:t>39,2%</w:t>
            </w:r>
          </w:p>
        </w:tc>
        <w:tc>
          <w:tcPr>
            <w:tcW w:w="2191" w:type="dxa"/>
            <w:tcBorders>
              <w:top w:val="nil"/>
              <w:left w:val="nil"/>
              <w:bottom w:val="nil"/>
            </w:tcBorders>
            <w:vAlign w:val="center"/>
          </w:tcPr>
          <w:p w14:paraId="060AD15D" w14:textId="77777777" w:rsidR="000A26D9" w:rsidRPr="00B35A22" w:rsidRDefault="000A26D9" w:rsidP="00B35A22">
            <w:pPr>
              <w:widowControl w:val="0"/>
              <w:jc w:val="both"/>
              <w:rPr>
                <w:sz w:val="20"/>
                <w:lang w:val="sr-Latn-ME"/>
              </w:rPr>
            </w:pPr>
            <w:r w:rsidRPr="00B35A22">
              <w:rPr>
                <w:sz w:val="20"/>
                <w:lang w:val="sr-Latn-ME"/>
              </w:rPr>
              <w:t>32,4%</w:t>
            </w:r>
          </w:p>
        </w:tc>
      </w:tr>
      <w:tr w:rsidR="000A26D9" w:rsidRPr="00B35A22" w14:paraId="7D9C9E92" w14:textId="77777777" w:rsidTr="0065270B">
        <w:tc>
          <w:tcPr>
            <w:tcW w:w="8820" w:type="dxa"/>
            <w:gridSpan w:val="3"/>
          </w:tcPr>
          <w:p w14:paraId="125C6508" w14:textId="77777777" w:rsidR="000A26D9" w:rsidRPr="00B35A22" w:rsidRDefault="000A26D9" w:rsidP="00B35A22">
            <w:pPr>
              <w:widowControl w:val="0"/>
              <w:spacing w:beforeLines="20" w:before="48"/>
              <w:jc w:val="both"/>
              <w:rPr>
                <w:b/>
                <w:i/>
                <w:sz w:val="20"/>
                <w:lang w:val="sr-Latn-ME"/>
              </w:rPr>
            </w:pPr>
            <w:r w:rsidRPr="00B35A22">
              <w:rPr>
                <w:b/>
                <w:i/>
                <w:sz w:val="20"/>
                <w:lang w:val="sr-Latn-ME"/>
              </w:rPr>
              <w:t>Sekundarni cilj i eksploracijski rezultat</w:t>
            </w:r>
          </w:p>
        </w:tc>
      </w:tr>
      <w:tr w:rsidR="000A26D9" w:rsidRPr="00B35A22" w14:paraId="48107879" w14:textId="77777777" w:rsidTr="0065270B">
        <w:tc>
          <w:tcPr>
            <w:tcW w:w="8820" w:type="dxa"/>
            <w:gridSpan w:val="3"/>
          </w:tcPr>
          <w:p w14:paraId="7C7C4FDB" w14:textId="77777777" w:rsidR="000A26D9" w:rsidRPr="00B35A22" w:rsidRDefault="000A26D9" w:rsidP="00B35A22">
            <w:pPr>
              <w:widowControl w:val="0"/>
              <w:spacing w:beforeLines="20" w:before="48"/>
              <w:jc w:val="both"/>
              <w:rPr>
                <w:sz w:val="20"/>
                <w:lang w:val="sr-Latn-ME"/>
              </w:rPr>
            </w:pPr>
            <w:r w:rsidRPr="00B35A22">
              <w:rPr>
                <w:b/>
                <w:i/>
                <w:sz w:val="20"/>
                <w:lang w:val="sr-Latn-ME"/>
              </w:rPr>
              <w:t>PFS prema ocjeni ispitivača (RECIST v1.1)</w:t>
            </w:r>
          </w:p>
        </w:tc>
      </w:tr>
      <w:tr w:rsidR="000A26D9" w:rsidRPr="00B35A22" w14:paraId="215D7E96" w14:textId="77777777" w:rsidTr="0065270B">
        <w:tc>
          <w:tcPr>
            <w:tcW w:w="4361" w:type="dxa"/>
            <w:tcBorders>
              <w:bottom w:val="nil"/>
              <w:right w:val="nil"/>
            </w:tcBorders>
          </w:tcPr>
          <w:p w14:paraId="3AEA93CC" w14:textId="77777777" w:rsidR="000A26D9" w:rsidRPr="00B35A22" w:rsidRDefault="000A26D9" w:rsidP="00B35A22">
            <w:pPr>
              <w:widowControl w:val="0"/>
              <w:spacing w:beforeLines="20" w:before="48"/>
              <w:jc w:val="both"/>
              <w:rPr>
                <w:b/>
                <w:sz w:val="20"/>
                <w:lang w:val="sr-Latn-ME"/>
              </w:rPr>
            </w:pPr>
            <w:r w:rsidRPr="00B35A22">
              <w:rPr>
                <w:b/>
                <w:sz w:val="20"/>
                <w:lang w:val="sr-Latn-ME"/>
              </w:rPr>
              <w:t>Svi uključeni pacijenti *</w:t>
            </w:r>
          </w:p>
        </w:tc>
        <w:tc>
          <w:tcPr>
            <w:tcW w:w="2268" w:type="dxa"/>
            <w:tcBorders>
              <w:left w:val="nil"/>
              <w:bottom w:val="nil"/>
              <w:right w:val="nil"/>
            </w:tcBorders>
          </w:tcPr>
          <w:p w14:paraId="5434CAC8" w14:textId="77777777" w:rsidR="000A26D9" w:rsidRPr="00B35A22" w:rsidRDefault="000A26D9" w:rsidP="00B35A22">
            <w:pPr>
              <w:widowControl w:val="0"/>
              <w:spacing w:beforeLines="20" w:before="48"/>
              <w:jc w:val="both"/>
              <w:rPr>
                <w:sz w:val="20"/>
                <w:lang w:val="sr-Latn-ME"/>
              </w:rPr>
            </w:pPr>
            <w:r w:rsidRPr="00B35A22">
              <w:rPr>
                <w:sz w:val="20"/>
                <w:lang w:val="sr-Latn-ME"/>
              </w:rPr>
              <w:t>n=467</w:t>
            </w:r>
          </w:p>
        </w:tc>
        <w:tc>
          <w:tcPr>
            <w:tcW w:w="2191" w:type="dxa"/>
            <w:tcBorders>
              <w:left w:val="nil"/>
              <w:bottom w:val="nil"/>
            </w:tcBorders>
          </w:tcPr>
          <w:p w14:paraId="0854340D" w14:textId="77777777" w:rsidR="000A26D9" w:rsidRPr="00B35A22" w:rsidRDefault="000A26D9" w:rsidP="00B35A22">
            <w:pPr>
              <w:widowControl w:val="0"/>
              <w:spacing w:beforeLines="20" w:before="48"/>
              <w:jc w:val="both"/>
              <w:rPr>
                <w:sz w:val="20"/>
                <w:lang w:val="sr-Latn-ME"/>
              </w:rPr>
            </w:pPr>
            <w:r w:rsidRPr="00B35A22">
              <w:rPr>
                <w:sz w:val="20"/>
                <w:lang w:val="sr-Latn-ME"/>
              </w:rPr>
              <w:t>n=464</w:t>
            </w:r>
          </w:p>
        </w:tc>
      </w:tr>
      <w:tr w:rsidR="00CC0044" w:rsidRPr="00B35A22" w14:paraId="24CA4138" w14:textId="77777777" w:rsidTr="000A26D9">
        <w:tc>
          <w:tcPr>
            <w:tcW w:w="4361" w:type="dxa"/>
            <w:tcBorders>
              <w:top w:val="nil"/>
              <w:bottom w:val="nil"/>
              <w:right w:val="nil"/>
            </w:tcBorders>
          </w:tcPr>
          <w:p w14:paraId="1ACE0C3F"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Broj događaja (%)</w:t>
            </w:r>
          </w:p>
        </w:tc>
        <w:tc>
          <w:tcPr>
            <w:tcW w:w="2268" w:type="dxa"/>
            <w:tcBorders>
              <w:top w:val="nil"/>
              <w:left w:val="nil"/>
              <w:bottom w:val="nil"/>
              <w:right w:val="nil"/>
            </w:tcBorders>
            <w:vAlign w:val="center"/>
          </w:tcPr>
          <w:p w14:paraId="6DB898DD" w14:textId="77777777" w:rsidR="000A26D9" w:rsidRPr="00B35A22" w:rsidRDefault="000A26D9" w:rsidP="00B35A22">
            <w:pPr>
              <w:widowControl w:val="0"/>
              <w:spacing w:beforeLines="20" w:before="48"/>
              <w:jc w:val="both"/>
              <w:rPr>
                <w:sz w:val="20"/>
                <w:lang w:val="sr-Latn-ME"/>
              </w:rPr>
            </w:pPr>
            <w:r w:rsidRPr="00B35A22">
              <w:rPr>
                <w:sz w:val="20"/>
                <w:lang w:val="sr-Latn-ME"/>
              </w:rPr>
              <w:t>407 (87,2%)</w:t>
            </w:r>
          </w:p>
        </w:tc>
        <w:tc>
          <w:tcPr>
            <w:tcW w:w="2191" w:type="dxa"/>
            <w:tcBorders>
              <w:top w:val="nil"/>
              <w:left w:val="nil"/>
              <w:bottom w:val="nil"/>
            </w:tcBorders>
            <w:vAlign w:val="center"/>
          </w:tcPr>
          <w:p w14:paraId="5DCD372A" w14:textId="77777777" w:rsidR="000A26D9" w:rsidRPr="00B35A22" w:rsidRDefault="000A26D9" w:rsidP="00B35A22">
            <w:pPr>
              <w:widowControl w:val="0"/>
              <w:spacing w:beforeLines="20" w:before="48"/>
              <w:jc w:val="both"/>
              <w:rPr>
                <w:sz w:val="20"/>
                <w:lang w:val="sr-Latn-ME"/>
              </w:rPr>
            </w:pPr>
            <w:r w:rsidRPr="00B35A22">
              <w:rPr>
                <w:sz w:val="20"/>
                <w:lang w:val="sr-Latn-ME"/>
              </w:rPr>
              <w:t>410 (88,4%)</w:t>
            </w:r>
          </w:p>
        </w:tc>
      </w:tr>
      <w:tr w:rsidR="00CC0044" w:rsidRPr="00B35A22" w14:paraId="55994B13" w14:textId="77777777" w:rsidTr="000A26D9">
        <w:tc>
          <w:tcPr>
            <w:tcW w:w="4361" w:type="dxa"/>
            <w:tcBorders>
              <w:top w:val="nil"/>
              <w:bottom w:val="nil"/>
              <w:right w:val="nil"/>
            </w:tcBorders>
          </w:tcPr>
          <w:p w14:paraId="7E34B797"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Medijan trajanja PFS</w:t>
            </w:r>
            <w:r w:rsidRPr="00B35A22">
              <w:rPr>
                <w:sz w:val="20"/>
                <w:lang w:val="sr-Latn-ME"/>
              </w:rPr>
              <w:noBreakHyphen/>
              <w:t xml:space="preserve">a (mjeseci) </w:t>
            </w:r>
          </w:p>
        </w:tc>
        <w:tc>
          <w:tcPr>
            <w:tcW w:w="2268" w:type="dxa"/>
            <w:tcBorders>
              <w:top w:val="nil"/>
              <w:left w:val="nil"/>
              <w:bottom w:val="nil"/>
              <w:right w:val="nil"/>
            </w:tcBorders>
            <w:vAlign w:val="center"/>
          </w:tcPr>
          <w:p w14:paraId="4774092D" w14:textId="77777777" w:rsidR="000A26D9" w:rsidRPr="00B35A22" w:rsidRDefault="000A26D9" w:rsidP="00B35A22">
            <w:pPr>
              <w:widowControl w:val="0"/>
              <w:spacing w:beforeLines="20" w:before="48"/>
              <w:jc w:val="both"/>
              <w:rPr>
                <w:sz w:val="20"/>
                <w:lang w:val="sr-Latn-ME"/>
              </w:rPr>
            </w:pPr>
            <w:r w:rsidRPr="00B35A22">
              <w:rPr>
                <w:sz w:val="20"/>
                <w:lang w:val="sr-Latn-ME"/>
              </w:rPr>
              <w:t>2,1</w:t>
            </w:r>
          </w:p>
        </w:tc>
        <w:tc>
          <w:tcPr>
            <w:tcW w:w="2191" w:type="dxa"/>
            <w:tcBorders>
              <w:top w:val="nil"/>
              <w:left w:val="nil"/>
              <w:bottom w:val="nil"/>
            </w:tcBorders>
            <w:vAlign w:val="center"/>
          </w:tcPr>
          <w:p w14:paraId="4990DDC9" w14:textId="77777777" w:rsidR="000A26D9" w:rsidRPr="00B35A22" w:rsidRDefault="000A26D9" w:rsidP="00B35A22">
            <w:pPr>
              <w:widowControl w:val="0"/>
              <w:spacing w:beforeLines="20" w:before="48"/>
              <w:jc w:val="both"/>
              <w:rPr>
                <w:sz w:val="20"/>
                <w:lang w:val="sr-Latn-ME"/>
              </w:rPr>
            </w:pPr>
            <w:r w:rsidRPr="00B35A22">
              <w:rPr>
                <w:sz w:val="20"/>
                <w:lang w:val="sr-Latn-ME"/>
              </w:rPr>
              <w:t>4,0</w:t>
            </w:r>
          </w:p>
        </w:tc>
      </w:tr>
      <w:tr w:rsidR="00CC0044" w:rsidRPr="00B35A22" w14:paraId="24BA11B2" w14:textId="77777777" w:rsidTr="000A26D9">
        <w:tc>
          <w:tcPr>
            <w:tcW w:w="4361" w:type="dxa"/>
            <w:tcBorders>
              <w:top w:val="nil"/>
              <w:bottom w:val="nil"/>
              <w:right w:val="nil"/>
            </w:tcBorders>
          </w:tcPr>
          <w:p w14:paraId="74E1F6AF"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95% CI</w:t>
            </w:r>
          </w:p>
        </w:tc>
        <w:tc>
          <w:tcPr>
            <w:tcW w:w="2268" w:type="dxa"/>
            <w:tcBorders>
              <w:top w:val="nil"/>
              <w:left w:val="nil"/>
              <w:bottom w:val="nil"/>
              <w:right w:val="nil"/>
            </w:tcBorders>
            <w:vAlign w:val="center"/>
          </w:tcPr>
          <w:p w14:paraId="1BC18F2A" w14:textId="77777777" w:rsidR="000A26D9" w:rsidRPr="00B35A22" w:rsidRDefault="000A26D9" w:rsidP="00B35A22">
            <w:pPr>
              <w:widowControl w:val="0"/>
              <w:spacing w:beforeLines="20" w:before="48"/>
              <w:jc w:val="both"/>
              <w:rPr>
                <w:sz w:val="20"/>
                <w:lang w:val="sr-Latn-ME"/>
              </w:rPr>
            </w:pPr>
            <w:r w:rsidRPr="00B35A22">
              <w:rPr>
                <w:sz w:val="20"/>
                <w:lang w:val="sr-Latn-ME"/>
              </w:rPr>
              <w:t>2,1; 2,2</w:t>
            </w:r>
          </w:p>
        </w:tc>
        <w:tc>
          <w:tcPr>
            <w:tcW w:w="2191" w:type="dxa"/>
            <w:tcBorders>
              <w:top w:val="nil"/>
              <w:left w:val="nil"/>
              <w:bottom w:val="nil"/>
            </w:tcBorders>
            <w:vAlign w:val="center"/>
          </w:tcPr>
          <w:p w14:paraId="6B9DEDD6" w14:textId="77777777" w:rsidR="000A26D9" w:rsidRPr="00B35A22" w:rsidRDefault="000A26D9" w:rsidP="00B35A22">
            <w:pPr>
              <w:widowControl w:val="0"/>
              <w:spacing w:beforeLines="20" w:before="48"/>
              <w:jc w:val="both"/>
              <w:rPr>
                <w:sz w:val="20"/>
                <w:lang w:val="sr-Latn-ME"/>
              </w:rPr>
            </w:pPr>
            <w:r w:rsidRPr="00B35A22">
              <w:rPr>
                <w:sz w:val="20"/>
                <w:lang w:val="sr-Latn-ME"/>
              </w:rPr>
              <w:t>3,4; 4,2</w:t>
            </w:r>
          </w:p>
        </w:tc>
      </w:tr>
      <w:tr w:rsidR="000A26D9" w:rsidRPr="00B35A22" w14:paraId="41EA61C7" w14:textId="77777777" w:rsidTr="0065270B">
        <w:tc>
          <w:tcPr>
            <w:tcW w:w="4361" w:type="dxa"/>
            <w:tcBorders>
              <w:top w:val="nil"/>
              <w:right w:val="nil"/>
            </w:tcBorders>
          </w:tcPr>
          <w:p w14:paraId="1145A352" w14:textId="37ACBE3F" w:rsidR="000A26D9" w:rsidRPr="00B35A22" w:rsidRDefault="000A26D9" w:rsidP="00B35A22">
            <w:pPr>
              <w:widowControl w:val="0"/>
              <w:spacing w:beforeLines="20" w:before="48"/>
              <w:jc w:val="both"/>
              <w:rPr>
                <w:sz w:val="20"/>
                <w:lang w:val="sr-Latn-ME"/>
              </w:rPr>
            </w:pPr>
            <w:r w:rsidRPr="00B35A22">
              <w:rPr>
                <w:sz w:val="20"/>
                <w:lang w:val="sr-Latn-ME"/>
              </w:rPr>
              <w:t xml:space="preserve">   Stratifikovan odnos </w:t>
            </w:r>
            <w:r w:rsidR="00F200F7" w:rsidRPr="00B35A22">
              <w:rPr>
                <w:sz w:val="20"/>
                <w:lang w:val="sr-Latn-ME"/>
              </w:rPr>
              <w:t>rizik</w:t>
            </w:r>
            <w:r w:rsidRPr="00B35A22">
              <w:rPr>
                <w:sz w:val="20"/>
                <w:lang w:val="sr-Latn-ME"/>
              </w:rPr>
              <w:t>a (95% CI)</w:t>
            </w:r>
          </w:p>
        </w:tc>
        <w:tc>
          <w:tcPr>
            <w:tcW w:w="4459" w:type="dxa"/>
            <w:gridSpan w:val="2"/>
            <w:tcBorders>
              <w:top w:val="nil"/>
              <w:left w:val="nil"/>
            </w:tcBorders>
            <w:vAlign w:val="center"/>
          </w:tcPr>
          <w:p w14:paraId="37974978" w14:textId="77777777" w:rsidR="000A26D9" w:rsidRPr="00B35A22" w:rsidRDefault="000A26D9" w:rsidP="00B35A22">
            <w:pPr>
              <w:widowControl w:val="0"/>
              <w:spacing w:beforeLines="20" w:before="48"/>
              <w:jc w:val="both"/>
              <w:rPr>
                <w:sz w:val="20"/>
                <w:lang w:val="sr-Latn-ME"/>
              </w:rPr>
            </w:pPr>
            <w:r w:rsidRPr="00B35A22">
              <w:rPr>
                <w:sz w:val="20"/>
                <w:lang w:val="sr-Latn-ME"/>
              </w:rPr>
              <w:t>1,10 (0,95; 1,26)</w:t>
            </w:r>
          </w:p>
        </w:tc>
      </w:tr>
      <w:tr w:rsidR="000A26D9" w:rsidRPr="00B35A22" w14:paraId="765F0A4F" w14:textId="77777777" w:rsidTr="0065270B">
        <w:tc>
          <w:tcPr>
            <w:tcW w:w="8820" w:type="dxa"/>
            <w:gridSpan w:val="3"/>
          </w:tcPr>
          <w:p w14:paraId="57B5D952" w14:textId="77777777" w:rsidR="000A26D9" w:rsidRPr="00B35A22" w:rsidRDefault="000A26D9" w:rsidP="00B35A22">
            <w:pPr>
              <w:widowControl w:val="0"/>
              <w:spacing w:beforeLines="20" w:before="48"/>
              <w:jc w:val="both"/>
              <w:rPr>
                <w:sz w:val="20"/>
                <w:lang w:val="sr-Latn-ME"/>
              </w:rPr>
            </w:pPr>
            <w:r w:rsidRPr="00B35A22">
              <w:rPr>
                <w:b/>
                <w:i/>
                <w:sz w:val="20"/>
                <w:lang w:val="sr-Latn-ME"/>
              </w:rPr>
              <w:t>ORR prema ocjeni ispitivača (RECIST v1.1)</w:t>
            </w:r>
          </w:p>
        </w:tc>
      </w:tr>
      <w:tr w:rsidR="000A26D9" w:rsidRPr="00B35A22" w14:paraId="6F597000" w14:textId="77777777" w:rsidTr="0065270B">
        <w:tc>
          <w:tcPr>
            <w:tcW w:w="4361" w:type="dxa"/>
            <w:tcBorders>
              <w:bottom w:val="nil"/>
              <w:right w:val="nil"/>
            </w:tcBorders>
          </w:tcPr>
          <w:p w14:paraId="371B6BA4" w14:textId="77777777" w:rsidR="000A26D9" w:rsidRPr="00B35A22" w:rsidRDefault="000A26D9" w:rsidP="00B35A22">
            <w:pPr>
              <w:widowControl w:val="0"/>
              <w:spacing w:beforeLines="20" w:before="48"/>
              <w:jc w:val="both"/>
              <w:rPr>
                <w:b/>
                <w:sz w:val="20"/>
                <w:lang w:val="sr-Latn-ME"/>
              </w:rPr>
            </w:pPr>
            <w:r w:rsidRPr="00B35A22">
              <w:rPr>
                <w:b/>
                <w:sz w:val="20"/>
                <w:lang w:val="sr-Latn-ME"/>
              </w:rPr>
              <w:t>Svi uključeni pacijenti</w:t>
            </w:r>
          </w:p>
        </w:tc>
        <w:tc>
          <w:tcPr>
            <w:tcW w:w="2268" w:type="dxa"/>
            <w:tcBorders>
              <w:left w:val="nil"/>
              <w:bottom w:val="nil"/>
              <w:right w:val="nil"/>
            </w:tcBorders>
          </w:tcPr>
          <w:p w14:paraId="31FD3EA2" w14:textId="77777777" w:rsidR="000A26D9" w:rsidRPr="00B35A22" w:rsidRDefault="000A26D9" w:rsidP="00B35A22">
            <w:pPr>
              <w:widowControl w:val="0"/>
              <w:spacing w:beforeLines="20" w:before="48"/>
              <w:jc w:val="both"/>
              <w:rPr>
                <w:sz w:val="20"/>
                <w:lang w:val="sr-Latn-ME"/>
              </w:rPr>
            </w:pPr>
            <w:r w:rsidRPr="00B35A22">
              <w:rPr>
                <w:sz w:val="20"/>
                <w:lang w:val="sr-Latn-ME"/>
              </w:rPr>
              <w:t>n=462</w:t>
            </w:r>
          </w:p>
        </w:tc>
        <w:tc>
          <w:tcPr>
            <w:tcW w:w="2191" w:type="dxa"/>
            <w:tcBorders>
              <w:left w:val="nil"/>
              <w:bottom w:val="nil"/>
            </w:tcBorders>
          </w:tcPr>
          <w:p w14:paraId="5B588E56" w14:textId="77777777" w:rsidR="000A26D9" w:rsidRPr="00B35A22" w:rsidRDefault="000A26D9" w:rsidP="00B35A22">
            <w:pPr>
              <w:widowControl w:val="0"/>
              <w:spacing w:beforeLines="20" w:before="48"/>
              <w:jc w:val="both"/>
              <w:rPr>
                <w:sz w:val="20"/>
                <w:lang w:val="sr-Latn-ME"/>
              </w:rPr>
            </w:pPr>
            <w:r w:rsidRPr="00B35A22">
              <w:rPr>
                <w:sz w:val="20"/>
                <w:lang w:val="sr-Latn-ME"/>
              </w:rPr>
              <w:t>n=461</w:t>
            </w:r>
          </w:p>
        </w:tc>
      </w:tr>
      <w:tr w:rsidR="00CC0044" w:rsidRPr="00B35A22" w14:paraId="5C535246" w14:textId="77777777" w:rsidTr="000A26D9">
        <w:tc>
          <w:tcPr>
            <w:tcW w:w="4361" w:type="dxa"/>
            <w:tcBorders>
              <w:top w:val="nil"/>
              <w:bottom w:val="nil"/>
              <w:right w:val="nil"/>
            </w:tcBorders>
          </w:tcPr>
          <w:p w14:paraId="552AAC61" w14:textId="77777777" w:rsidR="000A26D9" w:rsidRPr="00B35A22" w:rsidRDefault="000A26D9" w:rsidP="00B35A22">
            <w:pPr>
              <w:widowControl w:val="0"/>
              <w:spacing w:beforeLines="20" w:before="48"/>
              <w:ind w:left="142" w:hanging="142"/>
              <w:jc w:val="both"/>
              <w:rPr>
                <w:sz w:val="20"/>
                <w:lang w:val="sr-Latn-ME"/>
              </w:rPr>
            </w:pPr>
            <w:r w:rsidRPr="00B35A22">
              <w:rPr>
                <w:sz w:val="20"/>
                <w:lang w:val="sr-Latn-ME"/>
              </w:rPr>
              <w:lastRenderedPageBreak/>
              <w:t xml:space="preserve">   Broj pacijenata sa potvrđenim odgovorom (%)</w:t>
            </w:r>
          </w:p>
        </w:tc>
        <w:tc>
          <w:tcPr>
            <w:tcW w:w="2268" w:type="dxa"/>
            <w:tcBorders>
              <w:top w:val="nil"/>
              <w:left w:val="nil"/>
              <w:bottom w:val="nil"/>
              <w:right w:val="nil"/>
            </w:tcBorders>
            <w:vAlign w:val="center"/>
          </w:tcPr>
          <w:p w14:paraId="6123F328" w14:textId="77777777" w:rsidR="000A26D9" w:rsidRPr="00B35A22" w:rsidRDefault="000A26D9" w:rsidP="00B35A22">
            <w:pPr>
              <w:widowControl w:val="0"/>
              <w:spacing w:beforeLines="20" w:before="48"/>
              <w:jc w:val="both"/>
              <w:rPr>
                <w:sz w:val="20"/>
                <w:lang w:val="sr-Latn-ME"/>
              </w:rPr>
            </w:pPr>
            <w:r w:rsidRPr="00B35A22">
              <w:rPr>
                <w:sz w:val="20"/>
                <w:lang w:val="sr-Latn-ME"/>
              </w:rPr>
              <w:t>62 (13,4%)</w:t>
            </w:r>
          </w:p>
        </w:tc>
        <w:tc>
          <w:tcPr>
            <w:tcW w:w="2191" w:type="dxa"/>
            <w:tcBorders>
              <w:top w:val="nil"/>
              <w:left w:val="nil"/>
              <w:bottom w:val="nil"/>
            </w:tcBorders>
            <w:vAlign w:val="center"/>
          </w:tcPr>
          <w:p w14:paraId="3B343147" w14:textId="77777777" w:rsidR="000A26D9" w:rsidRPr="00B35A22" w:rsidRDefault="000A26D9" w:rsidP="00B35A22">
            <w:pPr>
              <w:widowControl w:val="0"/>
              <w:spacing w:beforeLines="20" w:before="48"/>
              <w:jc w:val="both"/>
              <w:rPr>
                <w:sz w:val="20"/>
                <w:lang w:val="sr-Latn-ME"/>
              </w:rPr>
            </w:pPr>
            <w:r w:rsidRPr="00B35A22">
              <w:rPr>
                <w:sz w:val="20"/>
                <w:lang w:val="sr-Latn-ME"/>
              </w:rPr>
              <w:t>62 (13,4%)</w:t>
            </w:r>
          </w:p>
        </w:tc>
      </w:tr>
      <w:tr w:rsidR="00CC0044" w:rsidRPr="00B35A22" w14:paraId="7CB13A97" w14:textId="77777777" w:rsidTr="000A26D9">
        <w:tc>
          <w:tcPr>
            <w:tcW w:w="4361" w:type="dxa"/>
            <w:tcBorders>
              <w:top w:val="nil"/>
              <w:bottom w:val="nil"/>
              <w:right w:val="nil"/>
            </w:tcBorders>
          </w:tcPr>
          <w:p w14:paraId="03882D56"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95% CI</w:t>
            </w:r>
          </w:p>
        </w:tc>
        <w:tc>
          <w:tcPr>
            <w:tcW w:w="2268" w:type="dxa"/>
            <w:tcBorders>
              <w:top w:val="nil"/>
              <w:left w:val="nil"/>
              <w:bottom w:val="nil"/>
              <w:right w:val="nil"/>
            </w:tcBorders>
            <w:vAlign w:val="center"/>
          </w:tcPr>
          <w:p w14:paraId="1A3FF0EB" w14:textId="77777777" w:rsidR="000A26D9" w:rsidRPr="00B35A22" w:rsidRDefault="000A26D9" w:rsidP="00B35A22">
            <w:pPr>
              <w:widowControl w:val="0"/>
              <w:spacing w:beforeLines="20" w:before="48"/>
              <w:jc w:val="both"/>
              <w:rPr>
                <w:sz w:val="20"/>
                <w:lang w:val="sr-Latn-ME"/>
              </w:rPr>
            </w:pPr>
            <w:r w:rsidRPr="00B35A22">
              <w:rPr>
                <w:sz w:val="20"/>
                <w:lang w:val="sr-Latn-ME"/>
              </w:rPr>
              <w:t>10,45; 16,87</w:t>
            </w:r>
          </w:p>
        </w:tc>
        <w:tc>
          <w:tcPr>
            <w:tcW w:w="2191" w:type="dxa"/>
            <w:tcBorders>
              <w:top w:val="nil"/>
              <w:left w:val="nil"/>
              <w:bottom w:val="nil"/>
            </w:tcBorders>
            <w:vAlign w:val="center"/>
          </w:tcPr>
          <w:p w14:paraId="220A3573" w14:textId="77777777" w:rsidR="000A26D9" w:rsidRPr="00B35A22" w:rsidRDefault="000A26D9" w:rsidP="00B35A22">
            <w:pPr>
              <w:widowControl w:val="0"/>
              <w:spacing w:beforeLines="20" w:before="48"/>
              <w:jc w:val="both"/>
              <w:rPr>
                <w:sz w:val="20"/>
                <w:lang w:val="sr-Latn-ME"/>
              </w:rPr>
            </w:pPr>
            <w:r w:rsidRPr="00B35A22">
              <w:rPr>
                <w:sz w:val="20"/>
                <w:lang w:val="sr-Latn-ME"/>
              </w:rPr>
              <w:t>10,47; 16,91</w:t>
            </w:r>
          </w:p>
        </w:tc>
      </w:tr>
      <w:tr w:rsidR="00CC0044" w:rsidRPr="00B35A22" w14:paraId="0ABAF3B0" w14:textId="77777777" w:rsidTr="000A26D9">
        <w:tc>
          <w:tcPr>
            <w:tcW w:w="4361" w:type="dxa"/>
            <w:tcBorders>
              <w:top w:val="nil"/>
              <w:bottom w:val="nil"/>
              <w:right w:val="nil"/>
            </w:tcBorders>
          </w:tcPr>
          <w:p w14:paraId="3621AD70" w14:textId="77777777" w:rsidR="000A26D9" w:rsidRPr="00B35A22" w:rsidRDefault="000A26D9" w:rsidP="00B35A22">
            <w:pPr>
              <w:widowControl w:val="0"/>
              <w:spacing w:beforeLines="20" w:before="48"/>
              <w:ind w:left="142"/>
              <w:jc w:val="both"/>
              <w:rPr>
                <w:b/>
                <w:i/>
                <w:sz w:val="20"/>
                <w:lang w:val="sr-Latn-ME"/>
              </w:rPr>
            </w:pPr>
            <w:r w:rsidRPr="00B35A22">
              <w:rPr>
                <w:sz w:val="20"/>
                <w:lang w:val="sr-Latn-ME"/>
              </w:rPr>
              <w:t>Broj pacijenata sa potpunim odgovorom (%)</w:t>
            </w:r>
          </w:p>
        </w:tc>
        <w:tc>
          <w:tcPr>
            <w:tcW w:w="2268" w:type="dxa"/>
            <w:tcBorders>
              <w:top w:val="nil"/>
              <w:left w:val="nil"/>
              <w:bottom w:val="nil"/>
              <w:right w:val="nil"/>
            </w:tcBorders>
          </w:tcPr>
          <w:p w14:paraId="450781D2" w14:textId="77777777" w:rsidR="000A26D9" w:rsidRPr="00B35A22" w:rsidRDefault="000A26D9" w:rsidP="00B35A22">
            <w:pPr>
              <w:widowControl w:val="0"/>
              <w:spacing w:beforeLines="20" w:before="48"/>
              <w:jc w:val="both"/>
              <w:rPr>
                <w:sz w:val="20"/>
                <w:lang w:val="sr-Latn-ME"/>
              </w:rPr>
            </w:pPr>
            <w:r w:rsidRPr="00B35A22">
              <w:rPr>
                <w:sz w:val="20"/>
                <w:lang w:val="sr-Latn-ME"/>
              </w:rPr>
              <w:t>16 (3,5%)</w:t>
            </w:r>
          </w:p>
        </w:tc>
        <w:tc>
          <w:tcPr>
            <w:tcW w:w="2191" w:type="dxa"/>
            <w:tcBorders>
              <w:top w:val="nil"/>
              <w:left w:val="nil"/>
              <w:bottom w:val="nil"/>
            </w:tcBorders>
          </w:tcPr>
          <w:p w14:paraId="4C0C30DA" w14:textId="77777777" w:rsidR="000A26D9" w:rsidRPr="00B35A22" w:rsidRDefault="000A26D9" w:rsidP="00B35A22">
            <w:pPr>
              <w:widowControl w:val="0"/>
              <w:spacing w:beforeLines="20" w:before="48"/>
              <w:jc w:val="both"/>
              <w:rPr>
                <w:sz w:val="20"/>
                <w:lang w:val="sr-Latn-ME"/>
              </w:rPr>
            </w:pPr>
            <w:r w:rsidRPr="00B35A22">
              <w:rPr>
                <w:sz w:val="20"/>
                <w:lang w:val="sr-Latn-ME"/>
              </w:rPr>
              <w:t>16 (3,5%)</w:t>
            </w:r>
          </w:p>
        </w:tc>
      </w:tr>
      <w:tr w:rsidR="000A26D9" w:rsidRPr="00B35A22" w14:paraId="21DDD568" w14:textId="77777777" w:rsidTr="0065270B">
        <w:tc>
          <w:tcPr>
            <w:tcW w:w="4361" w:type="dxa"/>
            <w:tcBorders>
              <w:top w:val="nil"/>
              <w:right w:val="nil"/>
            </w:tcBorders>
          </w:tcPr>
          <w:p w14:paraId="41236E45" w14:textId="77777777" w:rsidR="000A26D9" w:rsidRPr="00B35A22" w:rsidRDefault="000A26D9" w:rsidP="00B35A22">
            <w:pPr>
              <w:widowControl w:val="0"/>
              <w:spacing w:beforeLines="20" w:before="48"/>
              <w:ind w:left="142"/>
              <w:jc w:val="both"/>
              <w:rPr>
                <w:b/>
                <w:i/>
                <w:sz w:val="20"/>
                <w:lang w:val="sr-Latn-ME"/>
              </w:rPr>
            </w:pPr>
            <w:r w:rsidRPr="00B35A22">
              <w:rPr>
                <w:sz w:val="20"/>
                <w:lang w:val="sr-Latn-ME"/>
              </w:rPr>
              <w:t>Broj pacijenata sa djelimičnim odgovorom (%)</w:t>
            </w:r>
          </w:p>
        </w:tc>
        <w:tc>
          <w:tcPr>
            <w:tcW w:w="2268" w:type="dxa"/>
            <w:tcBorders>
              <w:top w:val="nil"/>
              <w:left w:val="nil"/>
              <w:right w:val="nil"/>
            </w:tcBorders>
          </w:tcPr>
          <w:p w14:paraId="074A23E9" w14:textId="77777777" w:rsidR="000A26D9" w:rsidRPr="00B35A22" w:rsidRDefault="000A26D9" w:rsidP="00B35A22">
            <w:pPr>
              <w:widowControl w:val="0"/>
              <w:spacing w:beforeLines="20" w:before="48"/>
              <w:jc w:val="both"/>
              <w:rPr>
                <w:sz w:val="20"/>
                <w:lang w:val="sr-Latn-ME"/>
              </w:rPr>
            </w:pPr>
            <w:r w:rsidRPr="00B35A22">
              <w:rPr>
                <w:sz w:val="20"/>
                <w:lang w:val="sr-Latn-ME"/>
              </w:rPr>
              <w:t>46 (10,0%)</w:t>
            </w:r>
          </w:p>
        </w:tc>
        <w:tc>
          <w:tcPr>
            <w:tcW w:w="2191" w:type="dxa"/>
            <w:tcBorders>
              <w:top w:val="nil"/>
              <w:left w:val="nil"/>
            </w:tcBorders>
          </w:tcPr>
          <w:p w14:paraId="42506920" w14:textId="77777777" w:rsidR="000A26D9" w:rsidRPr="00B35A22" w:rsidRDefault="000A26D9" w:rsidP="00B35A22">
            <w:pPr>
              <w:widowControl w:val="0"/>
              <w:spacing w:beforeLines="20" w:before="48"/>
              <w:jc w:val="both"/>
              <w:rPr>
                <w:sz w:val="20"/>
                <w:lang w:val="sr-Latn-ME"/>
              </w:rPr>
            </w:pPr>
            <w:r w:rsidRPr="00B35A22">
              <w:rPr>
                <w:sz w:val="20"/>
                <w:lang w:val="sr-Latn-ME"/>
              </w:rPr>
              <w:t>46 (10,0%)</w:t>
            </w:r>
          </w:p>
        </w:tc>
      </w:tr>
      <w:tr w:rsidR="000A26D9" w:rsidRPr="00B35A22" w14:paraId="7CF74EDF" w14:textId="77777777" w:rsidTr="0065270B">
        <w:tc>
          <w:tcPr>
            <w:tcW w:w="4361" w:type="dxa"/>
            <w:tcBorders>
              <w:top w:val="nil"/>
              <w:right w:val="nil"/>
            </w:tcBorders>
          </w:tcPr>
          <w:p w14:paraId="5650B605" w14:textId="77777777" w:rsidR="000A26D9" w:rsidRPr="00B35A22" w:rsidRDefault="000A26D9" w:rsidP="00B35A22">
            <w:pPr>
              <w:widowControl w:val="0"/>
              <w:spacing w:beforeLines="20" w:before="48"/>
              <w:ind w:left="142"/>
              <w:jc w:val="both"/>
              <w:rPr>
                <w:sz w:val="20"/>
                <w:lang w:val="sr-Latn-ME"/>
              </w:rPr>
            </w:pPr>
            <w:r w:rsidRPr="00B35A22">
              <w:rPr>
                <w:sz w:val="20"/>
                <w:lang w:val="sr-Latn-ME"/>
              </w:rPr>
              <w:t>Broj pacijenata sa stabilnom bolešću (%)</w:t>
            </w:r>
          </w:p>
        </w:tc>
        <w:tc>
          <w:tcPr>
            <w:tcW w:w="2268" w:type="dxa"/>
            <w:tcBorders>
              <w:top w:val="nil"/>
              <w:left w:val="nil"/>
              <w:right w:val="nil"/>
            </w:tcBorders>
          </w:tcPr>
          <w:p w14:paraId="7163C357" w14:textId="77777777" w:rsidR="000A26D9" w:rsidRPr="00B35A22" w:rsidRDefault="000A26D9" w:rsidP="00B35A22">
            <w:pPr>
              <w:widowControl w:val="0"/>
              <w:spacing w:beforeLines="20" w:before="48"/>
              <w:jc w:val="both"/>
              <w:rPr>
                <w:sz w:val="20"/>
                <w:lang w:val="sr-Latn-ME"/>
              </w:rPr>
            </w:pPr>
            <w:r w:rsidRPr="00B35A22">
              <w:rPr>
                <w:sz w:val="20"/>
                <w:lang w:val="sr-Latn-ME"/>
              </w:rPr>
              <w:t>92 (19,9%)</w:t>
            </w:r>
          </w:p>
        </w:tc>
        <w:tc>
          <w:tcPr>
            <w:tcW w:w="2191" w:type="dxa"/>
            <w:tcBorders>
              <w:top w:val="nil"/>
              <w:left w:val="nil"/>
            </w:tcBorders>
          </w:tcPr>
          <w:p w14:paraId="1B49E588" w14:textId="77777777" w:rsidR="000A26D9" w:rsidRPr="00B35A22" w:rsidRDefault="000A26D9" w:rsidP="00B35A22">
            <w:pPr>
              <w:widowControl w:val="0"/>
              <w:spacing w:beforeLines="20" w:before="48"/>
              <w:jc w:val="both"/>
              <w:rPr>
                <w:sz w:val="20"/>
                <w:lang w:val="sr-Latn-ME"/>
              </w:rPr>
            </w:pPr>
            <w:r w:rsidRPr="00B35A22">
              <w:rPr>
                <w:sz w:val="20"/>
                <w:lang w:val="sr-Latn-ME"/>
              </w:rPr>
              <w:t>162 (35,1%)</w:t>
            </w:r>
          </w:p>
        </w:tc>
      </w:tr>
      <w:tr w:rsidR="000A26D9" w:rsidRPr="00B35A22" w14:paraId="32AB8117" w14:textId="77777777" w:rsidTr="0065270B">
        <w:tc>
          <w:tcPr>
            <w:tcW w:w="6629" w:type="dxa"/>
            <w:gridSpan w:val="2"/>
            <w:tcBorders>
              <w:right w:val="nil"/>
            </w:tcBorders>
          </w:tcPr>
          <w:p w14:paraId="3699B141" w14:textId="77777777" w:rsidR="000A26D9" w:rsidRPr="00B35A22" w:rsidRDefault="000A26D9" w:rsidP="00B35A22">
            <w:pPr>
              <w:widowControl w:val="0"/>
              <w:spacing w:beforeLines="20" w:before="48"/>
              <w:jc w:val="both"/>
              <w:rPr>
                <w:sz w:val="20"/>
                <w:lang w:val="sr-Latn-ME"/>
              </w:rPr>
            </w:pPr>
            <w:r w:rsidRPr="00B35A22">
              <w:rPr>
                <w:b/>
                <w:i/>
                <w:sz w:val="20"/>
                <w:lang w:val="sr-Latn-ME"/>
              </w:rPr>
              <w:t>Trajanje odgovora prema ocjeni ispitivača (RECIST v1.1)</w:t>
            </w:r>
          </w:p>
        </w:tc>
        <w:tc>
          <w:tcPr>
            <w:tcW w:w="2191" w:type="dxa"/>
            <w:tcBorders>
              <w:left w:val="nil"/>
            </w:tcBorders>
          </w:tcPr>
          <w:p w14:paraId="4131E859" w14:textId="77777777" w:rsidR="000A26D9" w:rsidRPr="00B35A22" w:rsidRDefault="000A26D9" w:rsidP="00B35A22">
            <w:pPr>
              <w:widowControl w:val="0"/>
              <w:spacing w:beforeLines="20" w:before="48"/>
              <w:jc w:val="both"/>
              <w:rPr>
                <w:sz w:val="20"/>
                <w:lang w:val="sr-Latn-ME"/>
              </w:rPr>
            </w:pPr>
          </w:p>
        </w:tc>
      </w:tr>
      <w:tr w:rsidR="000A26D9" w:rsidRPr="00B35A22" w14:paraId="4BEF3B9B" w14:textId="77777777" w:rsidTr="0065270B">
        <w:tc>
          <w:tcPr>
            <w:tcW w:w="4361" w:type="dxa"/>
            <w:tcBorders>
              <w:bottom w:val="nil"/>
              <w:right w:val="nil"/>
            </w:tcBorders>
          </w:tcPr>
          <w:p w14:paraId="78841243" w14:textId="77777777" w:rsidR="000A26D9" w:rsidRPr="00B35A22" w:rsidRDefault="000A26D9" w:rsidP="00B35A22">
            <w:pPr>
              <w:widowControl w:val="0"/>
              <w:spacing w:beforeLines="20" w:before="48"/>
              <w:jc w:val="both"/>
              <w:rPr>
                <w:b/>
                <w:sz w:val="20"/>
                <w:lang w:val="sr-Latn-ME"/>
              </w:rPr>
            </w:pPr>
            <w:r w:rsidRPr="00B35A22">
              <w:rPr>
                <w:b/>
                <w:sz w:val="20"/>
                <w:lang w:val="sr-Latn-ME"/>
              </w:rPr>
              <w:t>Svi uključeni pacijenti</w:t>
            </w:r>
          </w:p>
        </w:tc>
        <w:tc>
          <w:tcPr>
            <w:tcW w:w="2268" w:type="dxa"/>
            <w:tcBorders>
              <w:left w:val="nil"/>
              <w:bottom w:val="nil"/>
              <w:right w:val="nil"/>
            </w:tcBorders>
          </w:tcPr>
          <w:p w14:paraId="7DBD9C68" w14:textId="77777777" w:rsidR="000A26D9" w:rsidRPr="00B35A22" w:rsidRDefault="000A26D9" w:rsidP="00B35A22">
            <w:pPr>
              <w:widowControl w:val="0"/>
              <w:spacing w:beforeLines="20" w:before="48"/>
              <w:jc w:val="both"/>
              <w:rPr>
                <w:sz w:val="20"/>
                <w:lang w:val="sr-Latn-ME"/>
              </w:rPr>
            </w:pPr>
            <w:r w:rsidRPr="00B35A22">
              <w:rPr>
                <w:sz w:val="20"/>
                <w:lang w:val="sr-Latn-ME"/>
              </w:rPr>
              <w:t>n=62</w:t>
            </w:r>
          </w:p>
        </w:tc>
        <w:tc>
          <w:tcPr>
            <w:tcW w:w="2191" w:type="dxa"/>
            <w:tcBorders>
              <w:left w:val="nil"/>
              <w:bottom w:val="nil"/>
            </w:tcBorders>
          </w:tcPr>
          <w:p w14:paraId="6E263C96" w14:textId="77777777" w:rsidR="000A26D9" w:rsidRPr="00B35A22" w:rsidRDefault="000A26D9" w:rsidP="00B35A22">
            <w:pPr>
              <w:widowControl w:val="0"/>
              <w:spacing w:beforeLines="20" w:before="48"/>
              <w:jc w:val="both"/>
              <w:rPr>
                <w:sz w:val="20"/>
                <w:lang w:val="sr-Latn-ME"/>
              </w:rPr>
            </w:pPr>
            <w:r w:rsidRPr="00B35A22">
              <w:rPr>
                <w:sz w:val="20"/>
                <w:lang w:val="sr-Latn-ME"/>
              </w:rPr>
              <w:t>n=62</w:t>
            </w:r>
          </w:p>
        </w:tc>
      </w:tr>
      <w:tr w:rsidR="00CC0044" w:rsidRPr="00B35A22" w14:paraId="71AE719B" w14:textId="77777777" w:rsidTr="000A26D9">
        <w:tc>
          <w:tcPr>
            <w:tcW w:w="4361" w:type="dxa"/>
            <w:tcBorders>
              <w:top w:val="nil"/>
              <w:bottom w:val="nil"/>
              <w:right w:val="nil"/>
            </w:tcBorders>
          </w:tcPr>
          <w:p w14:paraId="33CE7F8D"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Medijana u mjesecima ***</w:t>
            </w:r>
          </w:p>
        </w:tc>
        <w:tc>
          <w:tcPr>
            <w:tcW w:w="2268" w:type="dxa"/>
            <w:tcBorders>
              <w:top w:val="nil"/>
              <w:left w:val="nil"/>
              <w:bottom w:val="nil"/>
              <w:right w:val="nil"/>
            </w:tcBorders>
          </w:tcPr>
          <w:p w14:paraId="140020B0" w14:textId="77777777" w:rsidR="000A26D9" w:rsidRPr="00B35A22" w:rsidRDefault="000A26D9" w:rsidP="00B35A22">
            <w:pPr>
              <w:widowControl w:val="0"/>
              <w:spacing w:beforeLines="20" w:before="48"/>
              <w:jc w:val="both"/>
              <w:rPr>
                <w:sz w:val="20"/>
                <w:lang w:val="sr-Latn-ME"/>
              </w:rPr>
            </w:pPr>
            <w:r w:rsidRPr="00B35A22">
              <w:rPr>
                <w:sz w:val="20"/>
                <w:lang w:val="sr-Latn-ME"/>
              </w:rPr>
              <w:t>21,7</w:t>
            </w:r>
          </w:p>
        </w:tc>
        <w:tc>
          <w:tcPr>
            <w:tcW w:w="2191" w:type="dxa"/>
            <w:tcBorders>
              <w:top w:val="nil"/>
              <w:left w:val="nil"/>
              <w:bottom w:val="nil"/>
            </w:tcBorders>
          </w:tcPr>
          <w:p w14:paraId="63F2B8F5" w14:textId="77777777" w:rsidR="000A26D9" w:rsidRPr="00B35A22" w:rsidRDefault="000A26D9" w:rsidP="00B35A22">
            <w:pPr>
              <w:widowControl w:val="0"/>
              <w:spacing w:beforeLines="20" w:before="48"/>
              <w:jc w:val="both"/>
              <w:rPr>
                <w:sz w:val="20"/>
                <w:lang w:val="sr-Latn-ME"/>
              </w:rPr>
            </w:pPr>
            <w:r w:rsidRPr="00B35A22">
              <w:rPr>
                <w:sz w:val="20"/>
                <w:lang w:val="sr-Latn-ME"/>
              </w:rPr>
              <w:t>7,4</w:t>
            </w:r>
          </w:p>
        </w:tc>
      </w:tr>
      <w:tr w:rsidR="000A26D9" w:rsidRPr="00B35A22" w14:paraId="58AFA71B" w14:textId="77777777" w:rsidTr="0065270B">
        <w:tc>
          <w:tcPr>
            <w:tcW w:w="4361" w:type="dxa"/>
            <w:tcBorders>
              <w:top w:val="nil"/>
              <w:right w:val="nil"/>
            </w:tcBorders>
          </w:tcPr>
          <w:p w14:paraId="4C494902" w14:textId="77777777" w:rsidR="000A26D9" w:rsidRPr="00B35A22" w:rsidRDefault="000A26D9" w:rsidP="00B35A22">
            <w:pPr>
              <w:widowControl w:val="0"/>
              <w:spacing w:beforeLines="20" w:before="48"/>
              <w:jc w:val="both"/>
              <w:rPr>
                <w:sz w:val="20"/>
                <w:lang w:val="sr-Latn-ME"/>
              </w:rPr>
            </w:pPr>
            <w:r w:rsidRPr="00B35A22">
              <w:rPr>
                <w:sz w:val="20"/>
                <w:lang w:val="sr-Latn-ME"/>
              </w:rPr>
              <w:t xml:space="preserve">   95% CI</w:t>
            </w:r>
          </w:p>
        </w:tc>
        <w:tc>
          <w:tcPr>
            <w:tcW w:w="2268" w:type="dxa"/>
            <w:tcBorders>
              <w:top w:val="nil"/>
              <w:left w:val="nil"/>
              <w:right w:val="nil"/>
            </w:tcBorders>
          </w:tcPr>
          <w:p w14:paraId="3282BBC0" w14:textId="77777777" w:rsidR="000A26D9" w:rsidRPr="00B35A22" w:rsidRDefault="000A26D9" w:rsidP="00B35A22">
            <w:pPr>
              <w:widowControl w:val="0"/>
              <w:spacing w:beforeLines="20" w:before="48"/>
              <w:jc w:val="both"/>
              <w:rPr>
                <w:sz w:val="20"/>
                <w:lang w:val="sr-Latn-ME"/>
              </w:rPr>
            </w:pPr>
            <w:r w:rsidRPr="00B35A22">
              <w:rPr>
                <w:sz w:val="20"/>
                <w:lang w:val="sr-Latn-ME"/>
              </w:rPr>
              <w:t>13,0; 21,7</w:t>
            </w:r>
          </w:p>
        </w:tc>
        <w:tc>
          <w:tcPr>
            <w:tcW w:w="2191" w:type="dxa"/>
            <w:tcBorders>
              <w:top w:val="nil"/>
              <w:left w:val="nil"/>
            </w:tcBorders>
          </w:tcPr>
          <w:p w14:paraId="5C698F69" w14:textId="77777777" w:rsidR="000A26D9" w:rsidRPr="00B35A22" w:rsidRDefault="000A26D9" w:rsidP="00B35A22">
            <w:pPr>
              <w:widowControl w:val="0"/>
              <w:spacing w:beforeLines="20" w:before="48"/>
              <w:jc w:val="both"/>
              <w:rPr>
                <w:sz w:val="20"/>
                <w:lang w:val="sr-Latn-ME"/>
              </w:rPr>
            </w:pPr>
            <w:r w:rsidRPr="00B35A22">
              <w:rPr>
                <w:sz w:val="20"/>
                <w:lang w:val="sr-Latn-ME"/>
              </w:rPr>
              <w:t>6,1; 10,3</w:t>
            </w:r>
          </w:p>
        </w:tc>
      </w:tr>
    </w:tbl>
    <w:p w14:paraId="65AA893A" w14:textId="77777777" w:rsidR="000A26D9" w:rsidRPr="00B35A22" w:rsidRDefault="000A26D9" w:rsidP="00B35A22">
      <w:pPr>
        <w:widowControl w:val="0"/>
        <w:jc w:val="both"/>
        <w:rPr>
          <w:sz w:val="20"/>
          <w:lang w:val="sr-Latn-ME"/>
        </w:rPr>
      </w:pPr>
      <w:r w:rsidRPr="00B35A22">
        <w:rPr>
          <w:sz w:val="20"/>
          <w:lang w:val="sr-Latn-ME"/>
        </w:rPr>
        <w:t>CI = interval pouzdanosti; ORR = stopa objektivnog odgovora; OS = ukupno preživljavanje; PFS = preživljavanje bez progresije bolesti; RECIST v1.1 = verzija 1.1 Kriterijuma za ocjenu odgovora kod solidnih tumora.</w:t>
      </w:r>
    </w:p>
    <w:p w14:paraId="5A5F6EC7" w14:textId="790B4FE6" w:rsidR="000A26D9" w:rsidRPr="00B35A22" w:rsidRDefault="000A26D9" w:rsidP="00B35A22">
      <w:pPr>
        <w:widowControl w:val="0"/>
        <w:jc w:val="both"/>
        <w:rPr>
          <w:sz w:val="20"/>
          <w:lang w:val="sr-Latn-ME"/>
        </w:rPr>
      </w:pPr>
      <w:r w:rsidRPr="00B35A22">
        <w:rPr>
          <w:sz w:val="20"/>
          <w:lang w:val="sr-Latn-ME"/>
        </w:rPr>
        <w:t>* Analiza OS-a u populaciji svih uključenih pacijenata provedena je na osnovu stratifikovanog log rang testa; a rezultat se navodi samo za ilustraciju (p=0,0378); prema unaprijed specifikovanoj hijerarhijskoj analizi, p vrijednost za analizu OS a u populaciji svih uključenih pacijenata ne može se smatrati statistički značajnom.</w:t>
      </w:r>
    </w:p>
    <w:p w14:paraId="1A29BA09" w14:textId="77777777" w:rsidR="000A26D9" w:rsidRPr="00B35A22" w:rsidRDefault="000A26D9" w:rsidP="00B35A22">
      <w:pPr>
        <w:widowControl w:val="0"/>
        <w:jc w:val="both"/>
        <w:rPr>
          <w:sz w:val="20"/>
          <w:lang w:val="sr-Latn-ME"/>
        </w:rPr>
      </w:pPr>
      <w:r w:rsidRPr="00B35A22">
        <w:rPr>
          <w:sz w:val="20"/>
          <w:lang w:val="sr-Latn-ME"/>
        </w:rPr>
        <w:t>ǂ Stratifikacija prema hemoterapiji (vinflunin ili taksan), statusu ekspresije PD</w:t>
      </w:r>
      <w:r w:rsidRPr="00B35A22">
        <w:rPr>
          <w:sz w:val="20"/>
          <w:lang w:val="sr-Latn-ME"/>
        </w:rPr>
        <w:noBreakHyphen/>
        <w:t>L1 na imunim ćelijama koje infiltriraju tumor (&lt; 5% ili ≥ 5%), broju prognostičkih faktora rizika (0 ili 1 </w:t>
      </w:r>
      <w:r w:rsidRPr="00B35A22">
        <w:rPr>
          <w:sz w:val="20"/>
          <w:lang w:val="sr-Latn-ME"/>
        </w:rPr>
        <w:noBreakHyphen/>
        <w:t> 3) i metastazama na jetri (da ili ne).</w:t>
      </w:r>
      <w:r w:rsidRPr="00B35A22" w:rsidDel="00136A3C">
        <w:rPr>
          <w:sz w:val="20"/>
          <w:lang w:val="sr-Latn-ME"/>
        </w:rPr>
        <w:t xml:space="preserve"> </w:t>
      </w:r>
    </w:p>
    <w:p w14:paraId="16BB695D" w14:textId="307AE504" w:rsidR="00052498" w:rsidRPr="00B35A22" w:rsidRDefault="000A26D9" w:rsidP="00B35A22">
      <w:pPr>
        <w:widowControl w:val="0"/>
        <w:jc w:val="both"/>
        <w:rPr>
          <w:b/>
          <w:sz w:val="20"/>
          <w:szCs w:val="20"/>
          <w:lang w:val="sr-Latn-ME"/>
        </w:rPr>
      </w:pPr>
      <w:r w:rsidRPr="00B35A22">
        <w:rPr>
          <w:sz w:val="20"/>
          <w:lang w:val="sr-Latn-ME"/>
        </w:rPr>
        <w:t>** Na osnovu procjene prema Kaplan</w:t>
      </w:r>
      <w:r w:rsidRPr="00B35A22">
        <w:rPr>
          <w:sz w:val="20"/>
          <w:lang w:val="sr-Latn-ME"/>
        </w:rPr>
        <w:noBreakHyphen/>
        <w:t>Meierovoj metodi*** Odgovor je i dalje imalo 63% pacijenata koji su ostvarili odgovor u grupi liječenoj atezolizumabom te 21% pacijenata koji su ostvarili odgovor u grupi liječenoj hemoterapijom.</w:t>
      </w:r>
    </w:p>
    <w:p w14:paraId="19232A71" w14:textId="77777777" w:rsidR="00052498" w:rsidRPr="00B35A22" w:rsidRDefault="00052498" w:rsidP="00B35A22">
      <w:pPr>
        <w:widowControl w:val="0"/>
        <w:jc w:val="both"/>
        <w:outlineLvl w:val="0"/>
        <w:rPr>
          <w:b/>
          <w:sz w:val="22"/>
          <w:szCs w:val="22"/>
          <w:lang w:val="sr-Latn-ME" w:eastAsia="ja-JP"/>
        </w:rPr>
      </w:pPr>
    </w:p>
    <w:p w14:paraId="35C5E6F3" w14:textId="35D3CB18" w:rsidR="000A26D9" w:rsidRPr="00B35A22" w:rsidRDefault="000A26D9" w:rsidP="00B35A22">
      <w:pPr>
        <w:widowControl w:val="0"/>
        <w:jc w:val="both"/>
        <w:outlineLvl w:val="0"/>
        <w:rPr>
          <w:b/>
          <w:sz w:val="22"/>
          <w:lang w:val="sr-Latn-ME"/>
        </w:rPr>
      </w:pPr>
      <w:r w:rsidRPr="00B35A22">
        <w:rPr>
          <w:b/>
          <w:sz w:val="22"/>
          <w:lang w:val="sr-Latn-ME"/>
        </w:rPr>
        <w:t xml:space="preserve">Slika 1: </w:t>
      </w:r>
      <w:r w:rsidRPr="00B35A22">
        <w:rPr>
          <w:b/>
          <w:i/>
          <w:sz w:val="22"/>
          <w:lang w:val="sr-Latn-ME"/>
        </w:rPr>
        <w:t>Kaplan Meier</w:t>
      </w:r>
      <w:r w:rsidR="00D60B4D" w:rsidRPr="00B35A22">
        <w:rPr>
          <w:b/>
          <w:sz w:val="22"/>
          <w:lang w:val="sr-Latn-ME"/>
        </w:rPr>
        <w:t>-</w:t>
      </w:r>
      <w:r w:rsidRPr="00B35A22">
        <w:rPr>
          <w:b/>
          <w:sz w:val="22"/>
          <w:lang w:val="sr-Latn-ME"/>
        </w:rPr>
        <w:t>ova kriva ukupnog preživljenja (IMvigor211)</w:t>
      </w:r>
    </w:p>
    <w:p w14:paraId="0439B92B" w14:textId="420522AA" w:rsidR="000A26D9" w:rsidRPr="00B35A22" w:rsidRDefault="000A26D9" w:rsidP="00B35A22">
      <w:pPr>
        <w:widowControl w:val="0"/>
        <w:tabs>
          <w:tab w:val="left" w:pos="540"/>
          <w:tab w:val="left" w:pos="569"/>
        </w:tabs>
        <w:jc w:val="both"/>
        <w:rPr>
          <w:b/>
          <w:sz w:val="22"/>
          <w:lang w:val="sr-Latn-ME"/>
        </w:rPr>
      </w:pPr>
    </w:p>
    <w:p w14:paraId="505AC4B4" w14:textId="124DEAA1" w:rsidR="00D60B4D" w:rsidRPr="00B35A22" w:rsidRDefault="002D3A92" w:rsidP="00B35A22">
      <w:pPr>
        <w:pStyle w:val="Header"/>
        <w:widowControl w:val="0"/>
        <w:tabs>
          <w:tab w:val="left" w:pos="284"/>
        </w:tabs>
        <w:jc w:val="both"/>
        <w:rPr>
          <w:i/>
          <w:sz w:val="22"/>
          <w:lang w:val="sr-Latn-ME"/>
        </w:rPr>
      </w:pPr>
      <w:r w:rsidRPr="00B35A22">
        <w:rPr>
          <w:lang w:val="sr-Latn-ME" w:eastAsia="sr-Latn-ME"/>
        </w:rPr>
        <w:drawing>
          <wp:inline distT="0" distB="0" distL="0" distR="0" wp14:anchorId="522ECB66" wp14:editId="4C70BF52">
            <wp:extent cx="5768975" cy="306895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975" cy="3068955"/>
                    </a:xfrm>
                    <a:prstGeom prst="rect">
                      <a:avLst/>
                    </a:prstGeom>
                  </pic:spPr>
                </pic:pic>
              </a:graphicData>
            </a:graphic>
          </wp:inline>
        </w:drawing>
      </w:r>
    </w:p>
    <w:p w14:paraId="265F1305" w14:textId="77777777" w:rsidR="00A544A5" w:rsidRPr="00B35A22" w:rsidRDefault="00A544A5" w:rsidP="00B35A22">
      <w:pPr>
        <w:pStyle w:val="Header"/>
        <w:widowControl w:val="0"/>
        <w:tabs>
          <w:tab w:val="left" w:pos="284"/>
        </w:tabs>
        <w:jc w:val="both"/>
        <w:rPr>
          <w:i/>
          <w:sz w:val="22"/>
          <w:lang w:val="sr-Latn-ME"/>
        </w:rPr>
      </w:pPr>
    </w:p>
    <w:p w14:paraId="358165A3" w14:textId="79C56FCD" w:rsidR="000A26D9" w:rsidRPr="00B35A22" w:rsidRDefault="000A26D9" w:rsidP="00B35A22">
      <w:pPr>
        <w:pStyle w:val="Header"/>
        <w:widowControl w:val="0"/>
        <w:tabs>
          <w:tab w:val="left" w:pos="284"/>
        </w:tabs>
        <w:jc w:val="both"/>
        <w:rPr>
          <w:i/>
          <w:sz w:val="22"/>
          <w:lang w:val="sr-Latn-ME"/>
        </w:rPr>
      </w:pPr>
      <w:r w:rsidRPr="00B35A22">
        <w:rPr>
          <w:i/>
          <w:sz w:val="22"/>
          <w:lang w:val="sr-Latn-ME"/>
        </w:rPr>
        <w:t xml:space="preserve">IMvigor210 (GO29293): </w:t>
      </w:r>
      <w:r w:rsidR="0000376A" w:rsidRPr="00B35A22">
        <w:rPr>
          <w:i/>
          <w:sz w:val="22"/>
          <w:lang w:val="sr-Latn-ME"/>
        </w:rPr>
        <w:t>I</w:t>
      </w:r>
      <w:r w:rsidRPr="00B35A22">
        <w:rPr>
          <w:i/>
          <w:sz w:val="22"/>
          <w:lang w:val="sr-Latn-ME"/>
        </w:rPr>
        <w:t>spitivanje</w:t>
      </w:r>
      <w:r w:rsidR="0000376A" w:rsidRPr="00B35A22">
        <w:rPr>
          <w:i/>
          <w:sz w:val="22"/>
          <w:lang w:val="sr-Latn-ME"/>
        </w:rPr>
        <w:t xml:space="preserve"> u jednoj grupi</w:t>
      </w:r>
      <w:r w:rsidRPr="00B35A22">
        <w:rPr>
          <w:i/>
          <w:sz w:val="22"/>
          <w:lang w:val="sr-Latn-ME"/>
        </w:rPr>
        <w:t xml:space="preserve"> kod prethodno neliječenih pacijenata sa urotelijalnim karcinomom koji nijesu pogodni za liječenje cisplatinom te kod pacijenata sa urotelijalnim karcinomom prethodno liječenih hemoterapijom</w:t>
      </w:r>
    </w:p>
    <w:p w14:paraId="4024EED7" w14:textId="1DA4A256" w:rsidR="000A26D9" w:rsidRPr="00B35A22" w:rsidRDefault="000A26D9" w:rsidP="00B35A22">
      <w:pPr>
        <w:pStyle w:val="Header"/>
        <w:widowControl w:val="0"/>
        <w:tabs>
          <w:tab w:val="left" w:pos="284"/>
        </w:tabs>
        <w:jc w:val="both"/>
        <w:rPr>
          <w:sz w:val="22"/>
          <w:lang w:val="sr-Latn-ME"/>
        </w:rPr>
      </w:pPr>
      <w:r w:rsidRPr="00B35A22">
        <w:rPr>
          <w:sz w:val="22"/>
          <w:lang w:val="sr-Latn-ME"/>
        </w:rPr>
        <w:t xml:space="preserve">Multicentrično, međunarodno, kliničko ispitivanje faze II </w:t>
      </w:r>
      <w:r w:rsidR="0000376A" w:rsidRPr="00B35A22">
        <w:rPr>
          <w:sz w:val="22"/>
          <w:lang w:val="sr-Latn-ME"/>
        </w:rPr>
        <w:t xml:space="preserve">u jednoj grupi </w:t>
      </w:r>
      <w:r w:rsidRPr="00B35A22">
        <w:rPr>
          <w:sz w:val="22"/>
          <w:lang w:val="sr-Latn-ME"/>
        </w:rPr>
        <w:t xml:space="preserve">sa dvije kohorte (IMvigor210) sprovedeno je kod pacijenata sa lokalno uznapredovalim ili metastatskim UK-om (koji se još naziva i urotelijalni karcinom mokraćne bešike). </w:t>
      </w:r>
    </w:p>
    <w:p w14:paraId="63EB72AA" w14:textId="2E0EDB11" w:rsidR="000A26D9" w:rsidRPr="00B35A22" w:rsidRDefault="000A26D9" w:rsidP="00B35A22">
      <w:pPr>
        <w:pStyle w:val="Header"/>
        <w:widowControl w:val="0"/>
        <w:tabs>
          <w:tab w:val="left" w:pos="284"/>
        </w:tabs>
        <w:jc w:val="both"/>
        <w:rPr>
          <w:sz w:val="22"/>
          <w:lang w:val="sr-Latn-ME"/>
        </w:rPr>
      </w:pPr>
      <w:r w:rsidRPr="00B35A22">
        <w:rPr>
          <w:sz w:val="22"/>
          <w:lang w:val="sr-Latn-ME"/>
        </w:rPr>
        <w:t>U ispitivanj</w:t>
      </w:r>
      <w:r w:rsidR="0000376A" w:rsidRPr="00B35A22">
        <w:rPr>
          <w:sz w:val="22"/>
          <w:lang w:val="sr-Latn-ME"/>
        </w:rPr>
        <w:t>u</w:t>
      </w:r>
      <w:r w:rsidRPr="00B35A22">
        <w:rPr>
          <w:sz w:val="22"/>
          <w:lang w:val="sr-Latn-ME"/>
        </w:rPr>
        <w:t xml:space="preserve"> je bilo uključeno ukupno 438 pacijenta, a imalo je dvije kohorte. Prva kohorta uključivala je prethodno neliječene pacijente sa lokalno uznapredovalim ili metastatskim UK- om koji nijesu bili pogodni ili sposobni za hemoterapiju zasnovanu na cisplatinu ili koji su doživjeli progresiju bolesti najmanje 12 mjeseci nakon liječenja neoadjuvantnim ili adjuvantnim hemoterapijskim protokolom koji je </w:t>
      </w:r>
      <w:r w:rsidR="0000376A" w:rsidRPr="00B35A22">
        <w:rPr>
          <w:sz w:val="22"/>
          <w:lang w:val="sr-Latn-ME"/>
        </w:rPr>
        <w:t>uključivao</w:t>
      </w:r>
      <w:r w:rsidRPr="00B35A22">
        <w:rPr>
          <w:sz w:val="22"/>
          <w:lang w:val="sr-Latn-ME"/>
        </w:rPr>
        <w:t xml:space="preserve"> platinu. Druga kohorta uključivala je pacijente koji su primili najmanje jedan hemoterapijski protokol zasnovan na platini za lokalno uznapredovali ili metastatski UK ili koji su doživjeli progresiju bolesti u roku od 12</w:t>
      </w:r>
      <w:r w:rsidR="0000376A" w:rsidRPr="00B35A22">
        <w:rPr>
          <w:sz w:val="22"/>
          <w:lang w:val="sr-Latn-ME"/>
        </w:rPr>
        <w:t xml:space="preserve"> </w:t>
      </w:r>
      <w:r w:rsidRPr="00B35A22">
        <w:rPr>
          <w:sz w:val="22"/>
          <w:lang w:val="sr-Latn-ME"/>
        </w:rPr>
        <w:t xml:space="preserve">mjeseci od liječenja neoadjuvantnim ili adjuvantnim hemoterapijskim protokolom koji je </w:t>
      </w:r>
      <w:r w:rsidR="0000376A" w:rsidRPr="00B35A22">
        <w:rPr>
          <w:sz w:val="22"/>
          <w:lang w:val="sr-Latn-ME"/>
        </w:rPr>
        <w:t>uključivao</w:t>
      </w:r>
      <w:r w:rsidRPr="00B35A22">
        <w:rPr>
          <w:sz w:val="22"/>
          <w:lang w:val="sr-Latn-ME"/>
        </w:rPr>
        <w:t xml:space="preserve"> platinu.</w:t>
      </w:r>
    </w:p>
    <w:p w14:paraId="5A9AC550" w14:textId="77777777" w:rsidR="000A26D9" w:rsidRPr="00B35A22" w:rsidRDefault="000A26D9" w:rsidP="00B35A22">
      <w:pPr>
        <w:pStyle w:val="Header"/>
        <w:widowControl w:val="0"/>
        <w:tabs>
          <w:tab w:val="left" w:pos="284"/>
        </w:tabs>
        <w:jc w:val="both"/>
        <w:rPr>
          <w:sz w:val="22"/>
          <w:lang w:val="sr-Latn-ME"/>
        </w:rPr>
      </w:pPr>
      <w:r w:rsidRPr="00B35A22">
        <w:rPr>
          <w:sz w:val="22"/>
          <w:lang w:val="sr-Latn-ME"/>
        </w:rPr>
        <w:lastRenderedPageBreak/>
        <w:t xml:space="preserve">U kohorti 1 119 pacijenata je liječeno atezolizumabom u dozi od 1200 mg koji se primjenjivao intravenskom infuzijom svake 3 nedjelje do progresije bolesti. Medijana uzrasta iznosila je 73 godine. Većina pacijenata bili su muškarci (81%) i većina je bolesnika bila bijele rase (91%).   </w:t>
      </w:r>
    </w:p>
    <w:p w14:paraId="07C8F9BF" w14:textId="0AF6F47E" w:rsidR="000A26D9" w:rsidRPr="00B35A22" w:rsidRDefault="000A26D9" w:rsidP="00B35A22">
      <w:pPr>
        <w:widowControl w:val="0"/>
        <w:tabs>
          <w:tab w:val="left" w:pos="540"/>
          <w:tab w:val="left" w:pos="569"/>
        </w:tabs>
        <w:jc w:val="both"/>
        <w:rPr>
          <w:sz w:val="22"/>
          <w:lang w:val="sr-Latn-ME"/>
        </w:rPr>
      </w:pPr>
      <w:r w:rsidRPr="00B35A22">
        <w:rPr>
          <w:sz w:val="22"/>
          <w:lang w:val="sr-Latn-ME"/>
        </w:rPr>
        <w:t>Kohorta 1 uključivala je 45 pacijenata (38%) s funkcionalnim ECOG statusom 0, 50 pacijenata (42%) sa funkcionalnim ECOG statusom 1 i 24 pacijenta (20%) sa funkcionalnim ECOG statusom 2, 35 pacijenata (29%)</w:t>
      </w:r>
      <w:r w:rsidR="00B70546" w:rsidRPr="00B35A22">
        <w:rPr>
          <w:sz w:val="22"/>
          <w:lang w:val="sr-Latn-ME"/>
        </w:rPr>
        <w:t xml:space="preserve"> </w:t>
      </w:r>
      <w:r w:rsidRPr="00B35A22">
        <w:rPr>
          <w:sz w:val="22"/>
          <w:lang w:val="sr-Latn-ME"/>
        </w:rPr>
        <w:t xml:space="preserve">bez Bajorinovih faktora rizika (funkcionalni ECOG status ≥ 2 i visceralne metastaze), 66 pacijenata (56%) sa jednim Bajorinovim faktorom rizika i 18 pacijenata (15%) sa dva Bajorinova faktora rizika, 84 pacijenta (71%) sa oštećenjem bubrežne funkcije (eng. </w:t>
      </w:r>
      <w:r w:rsidRPr="00B35A22">
        <w:rPr>
          <w:i/>
          <w:sz w:val="22"/>
          <w:lang w:val="sr-Latn-ME"/>
        </w:rPr>
        <w:t>glomerular filtration rate</w:t>
      </w:r>
      <w:r w:rsidRPr="00B35A22">
        <w:rPr>
          <w:sz w:val="22"/>
          <w:lang w:val="sr-Latn-ME"/>
        </w:rPr>
        <w:t>, GFR &lt; 60 ml/min) i 25 pacijenata (21%) sa metastazama jetre.</w:t>
      </w:r>
    </w:p>
    <w:p w14:paraId="4421BC79" w14:textId="77777777" w:rsidR="000A26D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 xml:space="preserve">Primarni cilj kliničke studije za efikasnost u Kohorti 1 bila je potvrđena stopa objektivnog odgovora (ORR) prema ocjeni nezavisnog ocjenjivačkog tijela na osnovu verzije 1.1 RECIST kriterijuma. </w:t>
      </w:r>
    </w:p>
    <w:p w14:paraId="5D484E9D" w14:textId="77777777" w:rsidR="000A26D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 xml:space="preserve">Primarna analiza sprovedena je kada su svi pacijenti imali najmanje 24 nedjelje praćenja. Medijana trajanja liječenja iznosila je 15,0 nedjelja, dok je medijana praćenja preživljavanja iznosila 8,5 mjeseci kod svih uključenih pacijenata. Zabilježene su klinički relevantne stope ORR-a prema ocjeni nezavisnog ocjenjivačkog tijela na osnovu verzije 1.1 RECIST kriterijuma; međutim, kada se one uporede sa unaprijed specifikovanom kontrolnom stopom odgovora iz prethodnih ispitivanja od 10%, vidljivo je da nije postignuta statistička značajnost za primarni cilj kliničke studije. Potvrđen ORR prema ocjeni nezavisnog ocjenjivačkog tijela na osnovu verzije 1.1 RECIST kriterijuma iznosio je 21,9% (95% CI: 9,3; 40,0) kod pacijenata sa ekspresijom PD-L1 ≥ 5%, 18,8% (95% CI: 10,9; 29,0) kod pacijenata sa ekspresijom PD-L1 ≥ 1% te 19,3% (95% CI: 12,7; 27,6) kod svih uključenih pacijenata. Medijana trajanja odgovora nije dostignuta ni u jednoj od podgrupa prema ekspresiji PD-L1 niti u grupi svih uključenih pacijenata. Podaci za OS nijesu bili zreli, a odnos događaja i pacijenata iznosio je približno 40%. Medijana OS-a za sve podgrupe pacijenata (ekspresija PD-L1 ≥ 5% i ≥ 1%) i za sve uključene pacijente iznosila je 10,6 mjeseci.  </w:t>
      </w:r>
    </w:p>
    <w:p w14:paraId="7E18F620" w14:textId="75B09BBF" w:rsidR="0029319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 xml:space="preserve">Sprovedena je analiza ažuriranih podataka, uz medijanu praćenja preživljavanja za Kohortu 1 od 17,2 mjeseca, a rezultati su sažeto prikazani u Tabeli </w:t>
      </w:r>
      <w:r w:rsidR="00E14959" w:rsidRPr="00B35A22">
        <w:rPr>
          <w:sz w:val="22"/>
          <w:lang w:val="sr-Latn-ME"/>
        </w:rPr>
        <w:t>5</w:t>
      </w:r>
      <w:r w:rsidRPr="00B35A22">
        <w:rPr>
          <w:sz w:val="22"/>
          <w:lang w:val="sr-Latn-ME"/>
        </w:rPr>
        <w:t xml:space="preserve">. Medijana trajanja odgovora nije </w:t>
      </w:r>
      <w:r w:rsidR="001E30FA" w:rsidRPr="00B35A22">
        <w:rPr>
          <w:sz w:val="22"/>
          <w:lang w:val="sr-Latn-ME"/>
        </w:rPr>
        <w:t>postignuta</w:t>
      </w:r>
      <w:r w:rsidRPr="00B35A22">
        <w:rPr>
          <w:sz w:val="22"/>
          <w:lang w:val="sr-Latn-ME"/>
        </w:rPr>
        <w:t xml:space="preserve"> ni u jednoj od podgrupa prema ekspresiji PD-L1 niti u grupi svih uključenih pacijenata.</w:t>
      </w:r>
    </w:p>
    <w:p w14:paraId="30D22C19" w14:textId="77777777" w:rsidR="000A26D9" w:rsidRPr="00B35A22" w:rsidRDefault="000A26D9" w:rsidP="00B35A22">
      <w:pPr>
        <w:widowControl w:val="0"/>
        <w:tabs>
          <w:tab w:val="left" w:pos="284"/>
          <w:tab w:val="center" w:pos="4320"/>
          <w:tab w:val="right" w:pos="8640"/>
        </w:tabs>
        <w:jc w:val="both"/>
        <w:rPr>
          <w:sz w:val="22"/>
          <w:lang w:val="sr-Latn-ME"/>
        </w:rPr>
      </w:pPr>
    </w:p>
    <w:p w14:paraId="09F2850A" w14:textId="00961507" w:rsidR="000A26D9" w:rsidRPr="00B35A22" w:rsidRDefault="000A26D9" w:rsidP="00B35A22">
      <w:pPr>
        <w:widowControl w:val="0"/>
        <w:tabs>
          <w:tab w:val="left" w:pos="284"/>
          <w:tab w:val="center" w:pos="4320"/>
          <w:tab w:val="right" w:pos="8640"/>
        </w:tabs>
        <w:jc w:val="both"/>
        <w:rPr>
          <w:b/>
          <w:sz w:val="22"/>
          <w:lang w:val="sr-Latn-ME"/>
        </w:rPr>
      </w:pPr>
      <w:r w:rsidRPr="00B35A22">
        <w:rPr>
          <w:sz w:val="22"/>
          <w:lang w:val="sr-Latn-ME"/>
        </w:rPr>
        <w:t xml:space="preserve"> </w:t>
      </w:r>
      <w:r w:rsidRPr="00B35A22">
        <w:rPr>
          <w:b/>
          <w:sz w:val="22"/>
          <w:lang w:val="sr-Latn-ME"/>
        </w:rPr>
        <w:t xml:space="preserve">Tabela </w:t>
      </w:r>
      <w:r w:rsidR="00E14959" w:rsidRPr="00B35A22">
        <w:rPr>
          <w:b/>
          <w:sz w:val="22"/>
          <w:lang w:val="sr-Latn-ME"/>
        </w:rPr>
        <w:t>5</w:t>
      </w:r>
      <w:r w:rsidRPr="00B35A22">
        <w:rPr>
          <w:b/>
          <w:sz w:val="22"/>
          <w:lang w:val="sr-Latn-ME"/>
        </w:rPr>
        <w:t>: Sažetak ažuriranih rezultata za efikasnost u Kohorti 1 iz ispitivanja IMvigor210</w:t>
      </w:r>
    </w:p>
    <w:tbl>
      <w:tblPr>
        <w:tblW w:w="4964" w:type="pct"/>
        <w:tblInd w:w="58" w:type="dxa"/>
        <w:tblLayout w:type="fixed"/>
        <w:tblCellMar>
          <w:left w:w="57" w:type="dxa"/>
          <w:right w:w="57" w:type="dxa"/>
        </w:tblCellMar>
        <w:tblLook w:val="0000" w:firstRow="0" w:lastRow="0" w:firstColumn="0" w:lastColumn="0" w:noHBand="0" w:noVBand="0"/>
      </w:tblPr>
      <w:tblGrid>
        <w:gridCol w:w="4230"/>
        <w:gridCol w:w="1555"/>
        <w:gridCol w:w="1493"/>
        <w:gridCol w:w="1720"/>
      </w:tblGrid>
      <w:tr w:rsidR="000A26D9" w:rsidRPr="00B35A22" w14:paraId="0A5F3FB6" w14:textId="77777777" w:rsidTr="0065270B">
        <w:trPr>
          <w:tblHeader/>
        </w:trPr>
        <w:tc>
          <w:tcPr>
            <w:tcW w:w="4235" w:type="dxa"/>
            <w:tcBorders>
              <w:top w:val="single" w:sz="4" w:space="0" w:color="auto"/>
              <w:left w:val="single" w:sz="4" w:space="0" w:color="auto"/>
              <w:bottom w:val="single" w:sz="4" w:space="0" w:color="auto"/>
            </w:tcBorders>
            <w:vAlign w:val="bottom"/>
          </w:tcPr>
          <w:p w14:paraId="37E68ED3" w14:textId="77777777" w:rsidR="000A26D9" w:rsidRPr="00B35A22" w:rsidRDefault="000A26D9" w:rsidP="00B35A22">
            <w:pPr>
              <w:widowControl w:val="0"/>
              <w:spacing w:beforeLines="20" w:before="48" w:afterLines="20" w:after="48"/>
              <w:jc w:val="both"/>
              <w:rPr>
                <w:b/>
                <w:sz w:val="20"/>
                <w:lang w:val="sr-Latn-ME"/>
              </w:rPr>
            </w:pPr>
            <w:r w:rsidRPr="00B35A22">
              <w:rPr>
                <w:b/>
                <w:sz w:val="20"/>
                <w:lang w:val="sr-Latn-ME"/>
              </w:rPr>
              <w:t>Ciljevi za efikasnost</w:t>
            </w:r>
          </w:p>
        </w:tc>
        <w:tc>
          <w:tcPr>
            <w:tcW w:w="1557" w:type="dxa"/>
            <w:tcBorders>
              <w:top w:val="single" w:sz="4" w:space="0" w:color="auto"/>
              <w:bottom w:val="single" w:sz="4" w:space="0" w:color="auto"/>
            </w:tcBorders>
          </w:tcPr>
          <w:p w14:paraId="2302055A" w14:textId="77777777" w:rsidR="000A26D9" w:rsidRPr="00B35A22" w:rsidRDefault="000A26D9" w:rsidP="00B35A22">
            <w:pPr>
              <w:widowControl w:val="0"/>
              <w:spacing w:beforeLines="20" w:before="48" w:afterLines="20" w:after="48"/>
              <w:jc w:val="center"/>
              <w:rPr>
                <w:b/>
                <w:sz w:val="20"/>
                <w:lang w:val="sr-Latn-ME"/>
              </w:rPr>
            </w:pPr>
            <w:r w:rsidRPr="00B35A22">
              <w:rPr>
                <w:b/>
                <w:sz w:val="20"/>
                <w:lang w:val="sr-Latn-ME"/>
              </w:rPr>
              <w:t>Ekspresija PD</w:t>
            </w:r>
            <w:r w:rsidRPr="00B35A22">
              <w:rPr>
                <w:b/>
                <w:sz w:val="20"/>
                <w:lang w:val="sr-Latn-ME"/>
              </w:rPr>
              <w:noBreakHyphen/>
              <w:t>L1 na imunim ćelijama koje infiltriraju tumor</w:t>
            </w:r>
          </w:p>
          <w:p w14:paraId="1F94193A" w14:textId="77777777" w:rsidR="000A26D9" w:rsidRPr="00B35A22" w:rsidRDefault="000A26D9" w:rsidP="00B35A22">
            <w:pPr>
              <w:widowControl w:val="0"/>
              <w:spacing w:beforeLines="20" w:before="48" w:afterLines="20" w:after="48"/>
              <w:jc w:val="center"/>
              <w:rPr>
                <w:b/>
                <w:sz w:val="20"/>
                <w:lang w:val="sr-Latn-ME"/>
              </w:rPr>
            </w:pPr>
            <w:r w:rsidRPr="00B35A22">
              <w:rPr>
                <w:b/>
                <w:sz w:val="20"/>
                <w:lang w:val="sr-Latn-ME"/>
              </w:rPr>
              <w:t>≥ 5%</w:t>
            </w:r>
          </w:p>
        </w:tc>
        <w:tc>
          <w:tcPr>
            <w:tcW w:w="1495" w:type="dxa"/>
            <w:tcBorders>
              <w:top w:val="single" w:sz="4" w:space="0" w:color="auto"/>
              <w:bottom w:val="single" w:sz="4" w:space="0" w:color="auto"/>
            </w:tcBorders>
            <w:vAlign w:val="center"/>
          </w:tcPr>
          <w:p w14:paraId="0F987D25" w14:textId="5F70033C" w:rsidR="000A26D9" w:rsidRPr="00B35A22" w:rsidRDefault="000A26D9" w:rsidP="00B35A22">
            <w:pPr>
              <w:widowControl w:val="0"/>
              <w:spacing w:beforeLines="20" w:before="48" w:afterLines="20" w:after="48"/>
              <w:jc w:val="center"/>
              <w:rPr>
                <w:b/>
                <w:sz w:val="20"/>
                <w:lang w:val="sr-Latn-ME"/>
              </w:rPr>
            </w:pPr>
            <w:r w:rsidRPr="00B35A22">
              <w:rPr>
                <w:b/>
                <w:sz w:val="20"/>
                <w:lang w:val="sr-Latn-ME"/>
              </w:rPr>
              <w:t>Ekspresija PD</w:t>
            </w:r>
            <w:r w:rsidRPr="00B35A22">
              <w:rPr>
                <w:b/>
                <w:sz w:val="20"/>
                <w:lang w:val="sr-Latn-ME"/>
              </w:rPr>
              <w:noBreakHyphen/>
              <w:t>L1 na imunim ćelijama koje infiltriraju tumor</w:t>
            </w:r>
          </w:p>
          <w:p w14:paraId="6805BB52" w14:textId="77777777" w:rsidR="000A26D9" w:rsidRPr="00B35A22" w:rsidRDefault="000A26D9" w:rsidP="00B35A22">
            <w:pPr>
              <w:widowControl w:val="0"/>
              <w:spacing w:beforeLines="20" w:before="48" w:afterLines="20" w:after="48"/>
              <w:jc w:val="center"/>
              <w:rPr>
                <w:b/>
                <w:sz w:val="20"/>
                <w:lang w:val="sr-Latn-ME"/>
              </w:rPr>
            </w:pPr>
            <w:r w:rsidRPr="00B35A22">
              <w:rPr>
                <w:b/>
                <w:sz w:val="20"/>
                <w:lang w:val="sr-Latn-ME"/>
              </w:rPr>
              <w:t>≥ 1%</w:t>
            </w:r>
          </w:p>
        </w:tc>
        <w:tc>
          <w:tcPr>
            <w:tcW w:w="1722" w:type="dxa"/>
            <w:tcBorders>
              <w:top w:val="single" w:sz="4" w:space="0" w:color="auto"/>
              <w:bottom w:val="single" w:sz="4" w:space="0" w:color="auto"/>
              <w:right w:val="single" w:sz="4" w:space="0" w:color="auto"/>
            </w:tcBorders>
            <w:vAlign w:val="center"/>
          </w:tcPr>
          <w:p w14:paraId="3EF0328C" w14:textId="77777777" w:rsidR="000A26D9" w:rsidRPr="00B35A22" w:rsidRDefault="000A26D9" w:rsidP="00B35A22">
            <w:pPr>
              <w:widowControl w:val="0"/>
              <w:spacing w:beforeLines="20" w:before="48" w:afterLines="20" w:after="48"/>
              <w:jc w:val="center"/>
              <w:rPr>
                <w:b/>
                <w:sz w:val="20"/>
                <w:lang w:val="sr-Latn-ME"/>
              </w:rPr>
            </w:pPr>
          </w:p>
          <w:p w14:paraId="1FD00512" w14:textId="77777777" w:rsidR="000A26D9" w:rsidRPr="00B35A22" w:rsidRDefault="000A26D9" w:rsidP="00B35A22">
            <w:pPr>
              <w:widowControl w:val="0"/>
              <w:spacing w:beforeLines="20" w:before="48" w:afterLines="20" w:after="48"/>
              <w:jc w:val="center"/>
              <w:rPr>
                <w:b/>
                <w:sz w:val="20"/>
                <w:lang w:val="sr-Latn-ME"/>
              </w:rPr>
            </w:pPr>
            <w:r w:rsidRPr="00B35A22">
              <w:rPr>
                <w:b/>
                <w:sz w:val="20"/>
                <w:lang w:val="sr-Latn-ME"/>
              </w:rPr>
              <w:t>Svi uključeni pacijenti</w:t>
            </w:r>
          </w:p>
        </w:tc>
      </w:tr>
      <w:tr w:rsidR="000A26D9" w:rsidRPr="00B35A22" w14:paraId="1E699D4E" w14:textId="77777777" w:rsidTr="0065270B">
        <w:tc>
          <w:tcPr>
            <w:tcW w:w="4235" w:type="dxa"/>
            <w:tcBorders>
              <w:top w:val="single" w:sz="4" w:space="0" w:color="auto"/>
              <w:left w:val="single" w:sz="4" w:space="0" w:color="auto"/>
            </w:tcBorders>
          </w:tcPr>
          <w:p w14:paraId="031BD721" w14:textId="77777777" w:rsidR="000A26D9" w:rsidRPr="00B35A22" w:rsidRDefault="000A26D9" w:rsidP="00B35A22">
            <w:pPr>
              <w:widowControl w:val="0"/>
              <w:spacing w:beforeLines="20" w:before="48" w:afterLines="20" w:after="48"/>
              <w:jc w:val="both"/>
              <w:rPr>
                <w:b/>
                <w:sz w:val="20"/>
                <w:lang w:val="sr-Latn-ME"/>
              </w:rPr>
            </w:pPr>
            <w:r w:rsidRPr="00B35A22">
              <w:rPr>
                <w:b/>
                <w:i/>
                <w:sz w:val="20"/>
                <w:lang w:val="sr-Latn-ME"/>
              </w:rPr>
              <w:t>ORR (prema ocjeni nezavisnog ocjenjivačkog tijela; RECIST v1.1)</w:t>
            </w:r>
          </w:p>
        </w:tc>
        <w:tc>
          <w:tcPr>
            <w:tcW w:w="1557" w:type="dxa"/>
            <w:tcBorders>
              <w:top w:val="single" w:sz="4" w:space="0" w:color="auto"/>
            </w:tcBorders>
            <w:vAlign w:val="center"/>
          </w:tcPr>
          <w:p w14:paraId="5E18AE54"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32</w:t>
            </w:r>
          </w:p>
        </w:tc>
        <w:tc>
          <w:tcPr>
            <w:tcW w:w="1495" w:type="dxa"/>
            <w:tcBorders>
              <w:top w:val="single" w:sz="4" w:space="0" w:color="auto"/>
            </w:tcBorders>
            <w:vAlign w:val="center"/>
          </w:tcPr>
          <w:p w14:paraId="73E4C63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80</w:t>
            </w:r>
          </w:p>
        </w:tc>
        <w:tc>
          <w:tcPr>
            <w:tcW w:w="1722" w:type="dxa"/>
            <w:tcBorders>
              <w:top w:val="single" w:sz="4" w:space="0" w:color="auto"/>
              <w:right w:val="single" w:sz="4" w:space="0" w:color="auto"/>
            </w:tcBorders>
            <w:vAlign w:val="center"/>
          </w:tcPr>
          <w:p w14:paraId="2A9482C6"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119</w:t>
            </w:r>
          </w:p>
        </w:tc>
      </w:tr>
      <w:tr w:rsidR="000A26D9" w:rsidRPr="00B35A22" w14:paraId="733CF16B" w14:textId="77777777" w:rsidTr="0065270B">
        <w:tc>
          <w:tcPr>
            <w:tcW w:w="4235" w:type="dxa"/>
            <w:tcBorders>
              <w:left w:val="single" w:sz="4" w:space="0" w:color="auto"/>
            </w:tcBorders>
          </w:tcPr>
          <w:p w14:paraId="54C475BA"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Broj pacijenata sa odgovorom (%)</w:t>
            </w:r>
          </w:p>
        </w:tc>
        <w:tc>
          <w:tcPr>
            <w:tcW w:w="1557" w:type="dxa"/>
          </w:tcPr>
          <w:p w14:paraId="0FE549D9"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9 (28,1%)</w:t>
            </w:r>
          </w:p>
        </w:tc>
        <w:tc>
          <w:tcPr>
            <w:tcW w:w="1495" w:type="dxa"/>
            <w:vAlign w:val="center"/>
          </w:tcPr>
          <w:p w14:paraId="6A4EC52C"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19 (23,8%)</w:t>
            </w:r>
          </w:p>
        </w:tc>
        <w:tc>
          <w:tcPr>
            <w:tcW w:w="1722" w:type="dxa"/>
            <w:tcBorders>
              <w:right w:val="single" w:sz="4" w:space="0" w:color="auto"/>
            </w:tcBorders>
            <w:vAlign w:val="center"/>
          </w:tcPr>
          <w:p w14:paraId="6AEF23CA"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27 (22,7%)</w:t>
            </w:r>
          </w:p>
        </w:tc>
      </w:tr>
      <w:tr w:rsidR="000A26D9" w:rsidRPr="00B35A22" w14:paraId="074D01C2" w14:textId="77777777" w:rsidTr="0065270B">
        <w:tc>
          <w:tcPr>
            <w:tcW w:w="4235" w:type="dxa"/>
            <w:tcBorders>
              <w:left w:val="single" w:sz="4" w:space="0" w:color="auto"/>
              <w:bottom w:val="single" w:sz="4" w:space="0" w:color="auto"/>
            </w:tcBorders>
          </w:tcPr>
          <w:p w14:paraId="04068B96"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95% CI</w:t>
            </w:r>
          </w:p>
        </w:tc>
        <w:tc>
          <w:tcPr>
            <w:tcW w:w="1557" w:type="dxa"/>
            <w:tcBorders>
              <w:bottom w:val="single" w:sz="4" w:space="0" w:color="auto"/>
            </w:tcBorders>
          </w:tcPr>
          <w:p w14:paraId="0A25BAC2"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13,8; 46,8</w:t>
            </w:r>
          </w:p>
        </w:tc>
        <w:tc>
          <w:tcPr>
            <w:tcW w:w="1495" w:type="dxa"/>
            <w:tcBorders>
              <w:bottom w:val="single" w:sz="4" w:space="0" w:color="auto"/>
            </w:tcBorders>
          </w:tcPr>
          <w:p w14:paraId="647A5FF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15,0; 34,6</w:t>
            </w:r>
          </w:p>
        </w:tc>
        <w:tc>
          <w:tcPr>
            <w:tcW w:w="1722" w:type="dxa"/>
            <w:tcBorders>
              <w:bottom w:val="single" w:sz="4" w:space="0" w:color="auto"/>
              <w:right w:val="single" w:sz="4" w:space="0" w:color="auto"/>
            </w:tcBorders>
          </w:tcPr>
          <w:p w14:paraId="45C08F79"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15,5; 31,3</w:t>
            </w:r>
          </w:p>
        </w:tc>
      </w:tr>
      <w:tr w:rsidR="000A26D9" w:rsidRPr="00B35A22" w14:paraId="6CDB658B" w14:textId="77777777" w:rsidTr="0065270B">
        <w:tc>
          <w:tcPr>
            <w:tcW w:w="4235" w:type="dxa"/>
            <w:tcBorders>
              <w:left w:val="single" w:sz="4" w:space="0" w:color="auto"/>
            </w:tcBorders>
          </w:tcPr>
          <w:p w14:paraId="30491910"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Broj pacijenata sa potpunim odgovorom (%)</w:t>
            </w:r>
          </w:p>
          <w:p w14:paraId="7F534D61"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95% CI</w:t>
            </w:r>
          </w:p>
        </w:tc>
        <w:tc>
          <w:tcPr>
            <w:tcW w:w="1557" w:type="dxa"/>
            <w:vAlign w:val="center"/>
          </w:tcPr>
          <w:p w14:paraId="39CC88E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4 (12,5%)</w:t>
            </w:r>
          </w:p>
          <w:p w14:paraId="76AC2FAC"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(3,5; 29,0)</w:t>
            </w:r>
          </w:p>
        </w:tc>
        <w:tc>
          <w:tcPr>
            <w:tcW w:w="1495" w:type="dxa"/>
            <w:vAlign w:val="center"/>
          </w:tcPr>
          <w:p w14:paraId="46ADD710"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8 (10,0%)</w:t>
            </w:r>
          </w:p>
          <w:p w14:paraId="16206B2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(4,4; 18,8)</w:t>
            </w:r>
          </w:p>
        </w:tc>
        <w:tc>
          <w:tcPr>
            <w:tcW w:w="1722" w:type="dxa"/>
            <w:tcBorders>
              <w:right w:val="single" w:sz="4" w:space="0" w:color="auto"/>
            </w:tcBorders>
            <w:vAlign w:val="center"/>
          </w:tcPr>
          <w:p w14:paraId="74BAEDE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11 (9,2%)</w:t>
            </w:r>
          </w:p>
          <w:p w14:paraId="424504F1"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(4,7; 15,9)</w:t>
            </w:r>
          </w:p>
        </w:tc>
      </w:tr>
      <w:tr w:rsidR="000A26D9" w:rsidRPr="00B35A22" w14:paraId="1C58D76D" w14:textId="77777777" w:rsidTr="0065270B">
        <w:tc>
          <w:tcPr>
            <w:tcW w:w="4235" w:type="dxa"/>
            <w:tcBorders>
              <w:left w:val="single" w:sz="4" w:space="0" w:color="auto"/>
            </w:tcBorders>
          </w:tcPr>
          <w:p w14:paraId="37D37717" w14:textId="22ADFBC8"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Broj pacijenata sa djel</w:t>
            </w:r>
            <w:r w:rsidR="001E30FA" w:rsidRPr="00B35A22">
              <w:rPr>
                <w:sz w:val="20"/>
                <w:lang w:val="sr-Latn-ME"/>
              </w:rPr>
              <w:t>i</w:t>
            </w:r>
            <w:r w:rsidRPr="00B35A22">
              <w:rPr>
                <w:sz w:val="20"/>
                <w:lang w:val="sr-Latn-ME"/>
              </w:rPr>
              <w:t>mičnim odgovorom (%)</w:t>
            </w:r>
          </w:p>
          <w:p w14:paraId="468C6EEB"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95% CI</w:t>
            </w:r>
          </w:p>
        </w:tc>
        <w:tc>
          <w:tcPr>
            <w:tcW w:w="1557" w:type="dxa"/>
            <w:vAlign w:val="center"/>
          </w:tcPr>
          <w:p w14:paraId="148804BE"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 (15,6%)</w:t>
            </w:r>
          </w:p>
          <w:p w14:paraId="412A988F"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(5,3; 32,8)</w:t>
            </w:r>
          </w:p>
        </w:tc>
        <w:tc>
          <w:tcPr>
            <w:tcW w:w="1495" w:type="dxa"/>
            <w:vAlign w:val="center"/>
          </w:tcPr>
          <w:p w14:paraId="1A2B6DE2"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11 (13,8%)</w:t>
            </w:r>
          </w:p>
          <w:p w14:paraId="0F2338F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(7,1; 23,3)</w:t>
            </w:r>
          </w:p>
        </w:tc>
        <w:tc>
          <w:tcPr>
            <w:tcW w:w="1722" w:type="dxa"/>
            <w:tcBorders>
              <w:right w:val="single" w:sz="4" w:space="0" w:color="auto"/>
            </w:tcBorders>
            <w:vAlign w:val="center"/>
          </w:tcPr>
          <w:p w14:paraId="554D289B"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16 (13,4%)</w:t>
            </w:r>
          </w:p>
          <w:p w14:paraId="0C1BAA16"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(7,9; 20,9)</w:t>
            </w:r>
          </w:p>
        </w:tc>
      </w:tr>
      <w:tr w:rsidR="000A26D9" w:rsidRPr="00B35A22" w14:paraId="1E35C4B0" w14:textId="77777777" w:rsidTr="0065270B">
        <w:tc>
          <w:tcPr>
            <w:tcW w:w="4235" w:type="dxa"/>
            <w:tcBorders>
              <w:top w:val="single" w:sz="4" w:space="0" w:color="auto"/>
              <w:left w:val="single" w:sz="4" w:space="0" w:color="auto"/>
            </w:tcBorders>
          </w:tcPr>
          <w:p w14:paraId="174D2460" w14:textId="77777777" w:rsidR="000A26D9" w:rsidRPr="00B35A22" w:rsidRDefault="000A26D9" w:rsidP="00B35A22">
            <w:pPr>
              <w:widowControl w:val="0"/>
              <w:spacing w:beforeLines="20" w:before="48" w:afterLines="20" w:after="48"/>
              <w:jc w:val="both"/>
              <w:rPr>
                <w:b/>
                <w:i/>
                <w:sz w:val="20"/>
                <w:lang w:val="sr-Latn-ME"/>
              </w:rPr>
            </w:pPr>
            <w:r w:rsidRPr="00B35A22">
              <w:rPr>
                <w:b/>
                <w:i/>
                <w:sz w:val="20"/>
                <w:lang w:val="sr-Latn-ME"/>
              </w:rPr>
              <w:t>Trajanje odgovora (prema ocjeni nezavisnog ocjenjivačkog tijela; RECIST v1.1)</w:t>
            </w:r>
          </w:p>
        </w:tc>
        <w:tc>
          <w:tcPr>
            <w:tcW w:w="1557" w:type="dxa"/>
            <w:tcBorders>
              <w:top w:val="single" w:sz="4" w:space="0" w:color="auto"/>
            </w:tcBorders>
          </w:tcPr>
          <w:p w14:paraId="05793E10"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9</w:t>
            </w:r>
          </w:p>
        </w:tc>
        <w:tc>
          <w:tcPr>
            <w:tcW w:w="1495" w:type="dxa"/>
            <w:tcBorders>
              <w:top w:val="single" w:sz="4" w:space="0" w:color="auto"/>
            </w:tcBorders>
            <w:vAlign w:val="center"/>
          </w:tcPr>
          <w:p w14:paraId="174E8E5B" w14:textId="4375E406" w:rsidR="000A26D9" w:rsidRPr="00B35A22" w:rsidRDefault="000A26D9" w:rsidP="00B35A22">
            <w:pPr>
              <w:widowControl w:val="0"/>
              <w:spacing w:beforeLines="20" w:before="48" w:afterLines="20" w:after="48"/>
              <w:jc w:val="both"/>
              <w:rPr>
                <w:sz w:val="20"/>
                <w:lang w:val="sr-Latn-ME"/>
              </w:rPr>
            </w:pPr>
            <w:r w:rsidRPr="00B35A22">
              <w:rPr>
                <w:sz w:val="20"/>
                <w:lang w:val="sr-Latn-ME"/>
              </w:rPr>
              <w:t>n = 19</w:t>
            </w:r>
          </w:p>
        </w:tc>
        <w:tc>
          <w:tcPr>
            <w:tcW w:w="1722" w:type="dxa"/>
            <w:tcBorders>
              <w:top w:val="single" w:sz="4" w:space="0" w:color="auto"/>
              <w:right w:val="single" w:sz="4" w:space="0" w:color="auto"/>
            </w:tcBorders>
            <w:vAlign w:val="center"/>
          </w:tcPr>
          <w:p w14:paraId="3BB808C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27</w:t>
            </w:r>
          </w:p>
        </w:tc>
      </w:tr>
      <w:tr w:rsidR="000A26D9" w:rsidRPr="00B35A22" w14:paraId="41B46BDB" w14:textId="77777777" w:rsidTr="0065270B">
        <w:tc>
          <w:tcPr>
            <w:tcW w:w="4235" w:type="dxa"/>
            <w:tcBorders>
              <w:left w:val="single" w:sz="4" w:space="0" w:color="auto"/>
            </w:tcBorders>
          </w:tcPr>
          <w:p w14:paraId="0FC75A39"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Pacijenti sa događajem (%)</w:t>
            </w:r>
          </w:p>
        </w:tc>
        <w:tc>
          <w:tcPr>
            <w:tcW w:w="1557" w:type="dxa"/>
          </w:tcPr>
          <w:p w14:paraId="6DDCFEB7"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3 (33,3%)</w:t>
            </w:r>
          </w:p>
        </w:tc>
        <w:tc>
          <w:tcPr>
            <w:tcW w:w="1495" w:type="dxa"/>
            <w:vAlign w:val="center"/>
          </w:tcPr>
          <w:p w14:paraId="5224B3A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 (26,3%)</w:t>
            </w:r>
          </w:p>
        </w:tc>
        <w:tc>
          <w:tcPr>
            <w:tcW w:w="1722" w:type="dxa"/>
            <w:tcBorders>
              <w:right w:val="single" w:sz="4" w:space="0" w:color="auto"/>
            </w:tcBorders>
            <w:vAlign w:val="center"/>
          </w:tcPr>
          <w:p w14:paraId="650D1390"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8 (29,6%)</w:t>
            </w:r>
          </w:p>
        </w:tc>
      </w:tr>
      <w:tr w:rsidR="000A26D9" w:rsidRPr="00B35A22" w14:paraId="18629EEA" w14:textId="77777777" w:rsidTr="0065270B">
        <w:tc>
          <w:tcPr>
            <w:tcW w:w="4235" w:type="dxa"/>
            <w:tcBorders>
              <w:left w:val="single" w:sz="4" w:space="0" w:color="auto"/>
            </w:tcBorders>
          </w:tcPr>
          <w:p w14:paraId="419A83A8"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Medijana (mjeseci) (95% CI)</w:t>
            </w:r>
          </w:p>
        </w:tc>
        <w:tc>
          <w:tcPr>
            <w:tcW w:w="1557" w:type="dxa"/>
          </w:tcPr>
          <w:p w14:paraId="5FB9885D" w14:textId="77777777" w:rsidR="000A26D9" w:rsidRPr="00B35A22" w:rsidRDefault="000A26D9" w:rsidP="00B35A22">
            <w:pPr>
              <w:widowControl w:val="0"/>
              <w:spacing w:beforeLines="20" w:before="48" w:afterLines="20" w:after="48"/>
              <w:jc w:val="both"/>
              <w:rPr>
                <w:rFonts w:ascii="Arial" w:hAnsi="Arial"/>
                <w:b/>
                <w:sz w:val="20"/>
                <w:lang w:val="sr-Latn-ME"/>
              </w:rPr>
            </w:pPr>
            <w:r w:rsidRPr="00B35A22">
              <w:rPr>
                <w:sz w:val="20"/>
                <w:lang w:val="sr-Latn-ME"/>
              </w:rPr>
              <w:t>NP (11,1; NP)</w:t>
            </w:r>
          </w:p>
        </w:tc>
        <w:tc>
          <w:tcPr>
            <w:tcW w:w="1495" w:type="dxa"/>
            <w:vAlign w:val="center"/>
          </w:tcPr>
          <w:p w14:paraId="6BB14ACC" w14:textId="77777777" w:rsidR="000A26D9" w:rsidRPr="00B35A22" w:rsidRDefault="000A26D9" w:rsidP="00B35A22">
            <w:pPr>
              <w:widowControl w:val="0"/>
              <w:spacing w:beforeLines="20" w:before="48" w:afterLines="20" w:after="48"/>
              <w:jc w:val="both"/>
              <w:rPr>
                <w:rFonts w:ascii="Arial" w:hAnsi="Arial"/>
                <w:b/>
                <w:sz w:val="20"/>
                <w:lang w:val="sr-Latn-ME"/>
              </w:rPr>
            </w:pPr>
            <w:r w:rsidRPr="00B35A22">
              <w:rPr>
                <w:sz w:val="20"/>
                <w:lang w:val="sr-Latn-ME"/>
              </w:rPr>
              <w:t>NP (NP)</w:t>
            </w:r>
          </w:p>
        </w:tc>
        <w:tc>
          <w:tcPr>
            <w:tcW w:w="1722" w:type="dxa"/>
            <w:tcBorders>
              <w:right w:val="single" w:sz="4" w:space="0" w:color="auto"/>
            </w:tcBorders>
            <w:vAlign w:val="center"/>
          </w:tcPr>
          <w:p w14:paraId="0B8F6D59" w14:textId="77777777" w:rsidR="000A26D9" w:rsidRPr="00B35A22" w:rsidRDefault="000A26D9" w:rsidP="00B35A22">
            <w:pPr>
              <w:widowControl w:val="0"/>
              <w:spacing w:beforeLines="20" w:before="48" w:afterLines="20" w:after="48"/>
              <w:jc w:val="both"/>
              <w:rPr>
                <w:rFonts w:ascii="Arial" w:hAnsi="Arial"/>
                <w:b/>
                <w:sz w:val="20"/>
                <w:lang w:val="sr-Latn-ME"/>
              </w:rPr>
            </w:pPr>
            <w:r w:rsidRPr="00B35A22">
              <w:rPr>
                <w:sz w:val="20"/>
                <w:lang w:val="sr-Latn-ME"/>
              </w:rPr>
              <w:t>NP (14,1; NP)</w:t>
            </w:r>
          </w:p>
        </w:tc>
      </w:tr>
      <w:tr w:rsidR="000A26D9" w:rsidRPr="00B35A22" w14:paraId="63291B81" w14:textId="77777777" w:rsidTr="0065270B">
        <w:tc>
          <w:tcPr>
            <w:tcW w:w="4235" w:type="dxa"/>
            <w:tcBorders>
              <w:top w:val="single" w:sz="4" w:space="0" w:color="auto"/>
              <w:left w:val="single" w:sz="4" w:space="0" w:color="auto"/>
            </w:tcBorders>
          </w:tcPr>
          <w:p w14:paraId="1A773799" w14:textId="77777777" w:rsidR="000A26D9" w:rsidRPr="00B35A22" w:rsidRDefault="000A26D9" w:rsidP="00B35A22">
            <w:pPr>
              <w:widowControl w:val="0"/>
              <w:spacing w:beforeLines="20" w:before="48" w:afterLines="20" w:after="48"/>
              <w:jc w:val="both"/>
              <w:rPr>
                <w:b/>
                <w:i/>
                <w:sz w:val="20"/>
                <w:lang w:val="sr-Latn-ME"/>
              </w:rPr>
            </w:pPr>
            <w:r w:rsidRPr="00B35A22">
              <w:rPr>
                <w:b/>
                <w:i/>
                <w:sz w:val="20"/>
                <w:lang w:val="sr-Latn-ME"/>
              </w:rPr>
              <w:t>PFS (prema ocjeni nezavisnog ocjenjivačkog tijela; RECIST v1.1)</w:t>
            </w:r>
          </w:p>
        </w:tc>
        <w:tc>
          <w:tcPr>
            <w:tcW w:w="1557" w:type="dxa"/>
            <w:tcBorders>
              <w:top w:val="single" w:sz="4" w:space="0" w:color="auto"/>
            </w:tcBorders>
          </w:tcPr>
          <w:p w14:paraId="6A9CB216"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32</w:t>
            </w:r>
          </w:p>
        </w:tc>
        <w:tc>
          <w:tcPr>
            <w:tcW w:w="1495" w:type="dxa"/>
            <w:tcBorders>
              <w:top w:val="single" w:sz="4" w:space="0" w:color="auto"/>
            </w:tcBorders>
            <w:vAlign w:val="center"/>
          </w:tcPr>
          <w:p w14:paraId="1868D71A"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80</w:t>
            </w:r>
          </w:p>
        </w:tc>
        <w:tc>
          <w:tcPr>
            <w:tcW w:w="1722" w:type="dxa"/>
            <w:tcBorders>
              <w:top w:val="single" w:sz="4" w:space="0" w:color="auto"/>
              <w:right w:val="single" w:sz="4" w:space="0" w:color="auto"/>
            </w:tcBorders>
            <w:vAlign w:val="center"/>
          </w:tcPr>
          <w:p w14:paraId="0910C38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119</w:t>
            </w:r>
          </w:p>
        </w:tc>
      </w:tr>
      <w:tr w:rsidR="000A26D9" w:rsidRPr="00B35A22" w14:paraId="2B1C7A6C" w14:textId="77777777" w:rsidTr="0065270B">
        <w:tc>
          <w:tcPr>
            <w:tcW w:w="4235" w:type="dxa"/>
            <w:tcBorders>
              <w:left w:val="single" w:sz="4" w:space="0" w:color="auto"/>
            </w:tcBorders>
          </w:tcPr>
          <w:p w14:paraId="3B11166E"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Pacijenti sa događajem (%)</w:t>
            </w:r>
          </w:p>
        </w:tc>
        <w:tc>
          <w:tcPr>
            <w:tcW w:w="1557" w:type="dxa"/>
          </w:tcPr>
          <w:p w14:paraId="19964963"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24 (75,0%)</w:t>
            </w:r>
          </w:p>
        </w:tc>
        <w:tc>
          <w:tcPr>
            <w:tcW w:w="1495" w:type="dxa"/>
            <w:vAlign w:val="center"/>
          </w:tcPr>
          <w:p w14:paraId="358A231F"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59 (73,8%)</w:t>
            </w:r>
          </w:p>
        </w:tc>
        <w:tc>
          <w:tcPr>
            <w:tcW w:w="1722" w:type="dxa"/>
            <w:tcBorders>
              <w:right w:val="single" w:sz="4" w:space="0" w:color="auto"/>
            </w:tcBorders>
            <w:vAlign w:val="center"/>
          </w:tcPr>
          <w:p w14:paraId="0F72330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88 (73,9%)</w:t>
            </w:r>
          </w:p>
        </w:tc>
      </w:tr>
      <w:tr w:rsidR="000A26D9" w:rsidRPr="00B35A22" w14:paraId="05651459" w14:textId="77777777" w:rsidTr="0065270B">
        <w:tc>
          <w:tcPr>
            <w:tcW w:w="4235" w:type="dxa"/>
            <w:tcBorders>
              <w:left w:val="single" w:sz="4" w:space="0" w:color="auto"/>
            </w:tcBorders>
          </w:tcPr>
          <w:p w14:paraId="7E9143C4"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Medijana (mjeseci) (95% CI)</w:t>
            </w:r>
          </w:p>
        </w:tc>
        <w:tc>
          <w:tcPr>
            <w:tcW w:w="1557" w:type="dxa"/>
          </w:tcPr>
          <w:p w14:paraId="25E1C1CC"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4,1 (2,3; 11,8)</w:t>
            </w:r>
          </w:p>
        </w:tc>
        <w:tc>
          <w:tcPr>
            <w:tcW w:w="1495" w:type="dxa"/>
            <w:vAlign w:val="center"/>
          </w:tcPr>
          <w:p w14:paraId="60D471DE"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2,9 (2,1; 5,4)</w:t>
            </w:r>
          </w:p>
        </w:tc>
        <w:tc>
          <w:tcPr>
            <w:tcW w:w="1722" w:type="dxa"/>
            <w:tcBorders>
              <w:right w:val="single" w:sz="4" w:space="0" w:color="auto"/>
            </w:tcBorders>
            <w:vAlign w:val="center"/>
          </w:tcPr>
          <w:p w14:paraId="51214BC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2,7 (2,1; 4,2)</w:t>
            </w:r>
          </w:p>
        </w:tc>
      </w:tr>
      <w:tr w:rsidR="000A26D9" w:rsidRPr="00B35A22" w14:paraId="77465A05" w14:textId="77777777" w:rsidTr="0065270B">
        <w:tc>
          <w:tcPr>
            <w:tcW w:w="4235" w:type="dxa"/>
            <w:tcBorders>
              <w:top w:val="single" w:sz="4" w:space="0" w:color="auto"/>
              <w:left w:val="single" w:sz="4" w:space="0" w:color="auto"/>
            </w:tcBorders>
          </w:tcPr>
          <w:p w14:paraId="11CA41E6" w14:textId="77777777" w:rsidR="000A26D9" w:rsidRPr="00B35A22" w:rsidRDefault="000A26D9" w:rsidP="00B35A22">
            <w:pPr>
              <w:widowControl w:val="0"/>
              <w:spacing w:beforeLines="20" w:before="48" w:afterLines="20" w:after="48"/>
              <w:jc w:val="both"/>
              <w:rPr>
                <w:b/>
                <w:i/>
                <w:sz w:val="20"/>
                <w:lang w:val="sr-Latn-ME"/>
              </w:rPr>
            </w:pPr>
            <w:r w:rsidRPr="00B35A22">
              <w:rPr>
                <w:b/>
                <w:i/>
                <w:sz w:val="20"/>
                <w:lang w:val="sr-Latn-ME"/>
              </w:rPr>
              <w:t>OS</w:t>
            </w:r>
          </w:p>
        </w:tc>
        <w:tc>
          <w:tcPr>
            <w:tcW w:w="1557" w:type="dxa"/>
            <w:tcBorders>
              <w:top w:val="single" w:sz="4" w:space="0" w:color="auto"/>
            </w:tcBorders>
          </w:tcPr>
          <w:p w14:paraId="174EC470"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32</w:t>
            </w:r>
          </w:p>
        </w:tc>
        <w:tc>
          <w:tcPr>
            <w:tcW w:w="1495" w:type="dxa"/>
            <w:tcBorders>
              <w:top w:val="single" w:sz="4" w:space="0" w:color="auto"/>
            </w:tcBorders>
            <w:vAlign w:val="center"/>
          </w:tcPr>
          <w:p w14:paraId="43D2B2C9"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80</w:t>
            </w:r>
          </w:p>
        </w:tc>
        <w:tc>
          <w:tcPr>
            <w:tcW w:w="1722" w:type="dxa"/>
            <w:tcBorders>
              <w:top w:val="single" w:sz="4" w:space="0" w:color="auto"/>
              <w:right w:val="single" w:sz="4" w:space="0" w:color="auto"/>
            </w:tcBorders>
            <w:vAlign w:val="center"/>
          </w:tcPr>
          <w:p w14:paraId="0521A868"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n = 119</w:t>
            </w:r>
          </w:p>
        </w:tc>
      </w:tr>
      <w:tr w:rsidR="000A26D9" w:rsidRPr="00B35A22" w14:paraId="04068B5E" w14:textId="77777777" w:rsidTr="0065270B">
        <w:tc>
          <w:tcPr>
            <w:tcW w:w="4235" w:type="dxa"/>
            <w:tcBorders>
              <w:left w:val="single" w:sz="4" w:space="0" w:color="auto"/>
            </w:tcBorders>
          </w:tcPr>
          <w:p w14:paraId="60F87384"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Pacijenti sa događajem (%)</w:t>
            </w:r>
          </w:p>
        </w:tc>
        <w:tc>
          <w:tcPr>
            <w:tcW w:w="1557" w:type="dxa"/>
          </w:tcPr>
          <w:p w14:paraId="367478FA"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18 (56,3%)</w:t>
            </w:r>
          </w:p>
        </w:tc>
        <w:tc>
          <w:tcPr>
            <w:tcW w:w="1495" w:type="dxa"/>
            <w:vAlign w:val="center"/>
          </w:tcPr>
          <w:p w14:paraId="2D51E97C"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42 (52,5%)</w:t>
            </w:r>
          </w:p>
        </w:tc>
        <w:tc>
          <w:tcPr>
            <w:tcW w:w="1722" w:type="dxa"/>
            <w:tcBorders>
              <w:right w:val="single" w:sz="4" w:space="0" w:color="auto"/>
            </w:tcBorders>
            <w:vAlign w:val="center"/>
          </w:tcPr>
          <w:p w14:paraId="3A770BA5"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59 (49,6%)</w:t>
            </w:r>
          </w:p>
        </w:tc>
      </w:tr>
      <w:tr w:rsidR="000A26D9" w:rsidRPr="00B35A22" w14:paraId="77A0D86C" w14:textId="77777777" w:rsidTr="0065270B">
        <w:tc>
          <w:tcPr>
            <w:tcW w:w="4235" w:type="dxa"/>
            <w:tcBorders>
              <w:left w:val="single" w:sz="4" w:space="0" w:color="auto"/>
            </w:tcBorders>
          </w:tcPr>
          <w:p w14:paraId="0A1D4123"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t>Medijana (mjeseci) (95% CI)</w:t>
            </w:r>
          </w:p>
        </w:tc>
        <w:tc>
          <w:tcPr>
            <w:tcW w:w="1557" w:type="dxa"/>
          </w:tcPr>
          <w:p w14:paraId="1F5880BB"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12,3 (6,0; NP)</w:t>
            </w:r>
          </w:p>
        </w:tc>
        <w:tc>
          <w:tcPr>
            <w:tcW w:w="1495" w:type="dxa"/>
            <w:vAlign w:val="center"/>
          </w:tcPr>
          <w:p w14:paraId="214F556F"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14,1 (9,2; NP)</w:t>
            </w:r>
          </w:p>
        </w:tc>
        <w:tc>
          <w:tcPr>
            <w:tcW w:w="1722" w:type="dxa"/>
            <w:tcBorders>
              <w:right w:val="single" w:sz="4" w:space="0" w:color="auto"/>
            </w:tcBorders>
            <w:vAlign w:val="center"/>
          </w:tcPr>
          <w:p w14:paraId="7B8D5272"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15,9 (10,4; NP)</w:t>
            </w:r>
          </w:p>
        </w:tc>
      </w:tr>
      <w:tr w:rsidR="000A26D9" w:rsidRPr="00B35A22" w14:paraId="2EC17CB9" w14:textId="77777777" w:rsidTr="0065270B">
        <w:trPr>
          <w:trHeight w:val="144"/>
        </w:trPr>
        <w:tc>
          <w:tcPr>
            <w:tcW w:w="4235" w:type="dxa"/>
            <w:tcBorders>
              <w:left w:val="single" w:sz="4" w:space="0" w:color="auto"/>
              <w:bottom w:val="single" w:sz="4" w:space="0" w:color="auto"/>
            </w:tcBorders>
          </w:tcPr>
          <w:p w14:paraId="709B8E8F" w14:textId="77777777" w:rsidR="000A26D9" w:rsidRPr="00B35A22" w:rsidRDefault="000A26D9" w:rsidP="00B35A22">
            <w:pPr>
              <w:widowControl w:val="0"/>
              <w:spacing w:beforeLines="20" w:before="48" w:afterLines="20" w:after="48"/>
              <w:ind w:left="288"/>
              <w:jc w:val="both"/>
              <w:rPr>
                <w:sz w:val="20"/>
                <w:lang w:val="sr-Latn-ME"/>
              </w:rPr>
            </w:pPr>
            <w:r w:rsidRPr="00B35A22">
              <w:rPr>
                <w:sz w:val="20"/>
                <w:lang w:val="sr-Latn-ME"/>
              </w:rPr>
              <w:lastRenderedPageBreak/>
              <w:t>Stopa 1</w:t>
            </w:r>
            <w:r w:rsidRPr="00B35A22">
              <w:rPr>
                <w:sz w:val="20"/>
                <w:lang w:val="sr-Latn-ME"/>
              </w:rPr>
              <w:noBreakHyphen/>
              <w:t>godišnjeg OS</w:t>
            </w:r>
            <w:r w:rsidRPr="00B35A22">
              <w:rPr>
                <w:sz w:val="20"/>
                <w:lang w:val="sr-Latn-ME"/>
              </w:rPr>
              <w:noBreakHyphen/>
              <w:t>a (%)</w:t>
            </w:r>
          </w:p>
        </w:tc>
        <w:tc>
          <w:tcPr>
            <w:tcW w:w="1557" w:type="dxa"/>
            <w:tcBorders>
              <w:bottom w:val="single" w:sz="4" w:space="0" w:color="auto"/>
            </w:tcBorders>
          </w:tcPr>
          <w:p w14:paraId="1AB8F060"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52,4%</w:t>
            </w:r>
          </w:p>
        </w:tc>
        <w:tc>
          <w:tcPr>
            <w:tcW w:w="1495" w:type="dxa"/>
            <w:tcBorders>
              <w:bottom w:val="single" w:sz="4" w:space="0" w:color="auto"/>
            </w:tcBorders>
          </w:tcPr>
          <w:p w14:paraId="43EA400F"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54,8%</w:t>
            </w:r>
          </w:p>
        </w:tc>
        <w:tc>
          <w:tcPr>
            <w:tcW w:w="1722" w:type="dxa"/>
            <w:tcBorders>
              <w:bottom w:val="single" w:sz="4" w:space="0" w:color="auto"/>
              <w:right w:val="single" w:sz="4" w:space="0" w:color="auto"/>
            </w:tcBorders>
          </w:tcPr>
          <w:p w14:paraId="0CA8473C" w14:textId="77777777" w:rsidR="000A26D9" w:rsidRPr="00B35A22" w:rsidRDefault="000A26D9" w:rsidP="00B35A22">
            <w:pPr>
              <w:widowControl w:val="0"/>
              <w:spacing w:beforeLines="20" w:before="48" w:afterLines="20" w:after="48"/>
              <w:jc w:val="both"/>
              <w:rPr>
                <w:sz w:val="20"/>
                <w:lang w:val="sr-Latn-ME"/>
              </w:rPr>
            </w:pPr>
            <w:r w:rsidRPr="00B35A22">
              <w:rPr>
                <w:sz w:val="20"/>
                <w:lang w:val="sr-Latn-ME"/>
              </w:rPr>
              <w:t>57,2%</w:t>
            </w:r>
          </w:p>
        </w:tc>
      </w:tr>
    </w:tbl>
    <w:p w14:paraId="4FDA9A53" w14:textId="07A0F343" w:rsidR="000A26D9" w:rsidRPr="00B35A22" w:rsidRDefault="000A26D9" w:rsidP="00B35A22">
      <w:pPr>
        <w:widowControl w:val="0"/>
        <w:tabs>
          <w:tab w:val="left" w:pos="284"/>
          <w:tab w:val="center" w:pos="4320"/>
          <w:tab w:val="right" w:pos="8640"/>
        </w:tabs>
        <w:jc w:val="both"/>
        <w:rPr>
          <w:sz w:val="18"/>
          <w:lang w:val="sr-Latn-ME"/>
        </w:rPr>
      </w:pPr>
      <w:r w:rsidRPr="00B35A22">
        <w:rPr>
          <w:sz w:val="18"/>
          <w:lang w:val="sr-Latn-ME"/>
        </w:rPr>
        <w:t>CI = interval pouzdanosti; NP = ne može se procijeniti; ORR = stopa objektivnog odgovora; OS = ukupno preživljavanje; PFS = preživljavanje bez progresije bolesti; RECIST v1.1 = verzija 1.1 Kriterijuma za ocjenu odgovora kod solidnih tumora</w:t>
      </w:r>
    </w:p>
    <w:p w14:paraId="105F492F" w14:textId="77777777" w:rsidR="000A26D9" w:rsidRPr="00B35A22" w:rsidRDefault="000A26D9" w:rsidP="00B35A22">
      <w:pPr>
        <w:widowControl w:val="0"/>
        <w:tabs>
          <w:tab w:val="left" w:pos="284"/>
          <w:tab w:val="center" w:pos="4320"/>
          <w:tab w:val="right" w:pos="8640"/>
        </w:tabs>
        <w:jc w:val="both"/>
        <w:rPr>
          <w:sz w:val="22"/>
          <w:lang w:val="sr-Latn-ME"/>
        </w:rPr>
      </w:pPr>
    </w:p>
    <w:p w14:paraId="6DB9CB90" w14:textId="64E46675" w:rsidR="007F5599" w:rsidRPr="00B35A22" w:rsidRDefault="007F5599" w:rsidP="00B35A22">
      <w:pPr>
        <w:widowControl w:val="0"/>
        <w:jc w:val="both"/>
        <w:rPr>
          <w:sz w:val="22"/>
          <w:lang w:val="sr-Latn-ME"/>
        </w:rPr>
      </w:pPr>
      <w:r w:rsidRPr="00B35A22">
        <w:rPr>
          <w:sz w:val="22"/>
          <w:lang w:val="sr-Latn-ME"/>
        </w:rPr>
        <w:t xml:space="preserve">U vrijeme konačne analize za kohortu 1, pacijenti su imali </w:t>
      </w:r>
      <w:r w:rsidR="003A5E30" w:rsidRPr="00B35A22">
        <w:rPr>
          <w:sz w:val="22"/>
          <w:lang w:val="sr-Latn-ME"/>
        </w:rPr>
        <w:t>medijanu</w:t>
      </w:r>
      <w:r w:rsidRPr="00B35A22">
        <w:rPr>
          <w:sz w:val="22"/>
          <w:lang w:val="sr-Latn-ME"/>
        </w:rPr>
        <w:t xml:space="preserve"> praćenja preživljavanja od 96,4 mjeseca. Medijana OS je bila 12,3 mjeseca (95% CI: 6,0, 49,8) kod pacijenata sa ekspresijom PD L1 ≥ 5% (pacijenata koji su uključeni u terapijsku indikaciju).</w:t>
      </w:r>
    </w:p>
    <w:p w14:paraId="43DE5A0B" w14:textId="77777777" w:rsidR="007F5599" w:rsidRPr="00B35A22" w:rsidRDefault="007F5599" w:rsidP="00B35A22">
      <w:pPr>
        <w:widowControl w:val="0"/>
        <w:tabs>
          <w:tab w:val="left" w:pos="284"/>
          <w:tab w:val="center" w:pos="4320"/>
          <w:tab w:val="right" w:pos="8640"/>
        </w:tabs>
        <w:jc w:val="both"/>
        <w:rPr>
          <w:sz w:val="22"/>
          <w:lang w:val="sr-Latn-ME"/>
        </w:rPr>
      </w:pPr>
    </w:p>
    <w:p w14:paraId="32873A2F" w14:textId="5B4D69BD" w:rsidR="000A26D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Primarni ciljevi kliničke studije za efikasnost u Kohorti 2 bili su potvrđeni ORR prema ocjeni nezavisnog ocjenjivačkog tijela na osnovu verzije 1.1 RECIST kriterijuma te ORR prema ocjeni ispitivača na osnovu modifikovanih RECIST kriterijuma (mRECIST). Kohorta 2 uključivala je 310 pacijenata koji su liječeni atezolizumabom u dozi od 1200 mg primijenjenim intravenskom infuzijom svake 3 nedjelje do gubitka kliničke koristi. Primarna analiza Kohorte 2 sprovedena je kada su svi pacijenti imali najmanje 24 nedjelje praćenja. Ispitivanje je postiglo ob</w:t>
      </w:r>
      <w:r w:rsidR="001E30FA" w:rsidRPr="00B35A22">
        <w:rPr>
          <w:sz w:val="22"/>
          <w:lang w:val="sr-Latn-ME"/>
        </w:rPr>
        <w:t>i</w:t>
      </w:r>
      <w:r w:rsidRPr="00B35A22">
        <w:rPr>
          <w:sz w:val="22"/>
          <w:lang w:val="sr-Latn-ME"/>
        </w:rPr>
        <w:t xml:space="preserve">je primarne mjere ishoda u svim podgrupama u Kohorti 2, pokazujući statistički značajne stope ORR-a prema ocjeni nezavisnog ocjenjivačkog tijela na osnovu verzije 1.1 RECIST kriterijuma i prema ocjeni ispitivača na osnovu modifikovanih RECIST kriterijuma u poređenju sa unaprijed specifikovanom kontrolnom stopom odgovora iz prethodnih ispitivanja od 10%. </w:t>
      </w:r>
    </w:p>
    <w:p w14:paraId="08CFFA10" w14:textId="71D7E55C" w:rsidR="000A26D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 xml:space="preserve">Za </w:t>
      </w:r>
      <w:r w:rsidR="001E30FA" w:rsidRPr="00B35A22">
        <w:rPr>
          <w:sz w:val="22"/>
          <w:lang w:val="sr-Latn-ME"/>
        </w:rPr>
        <w:t>K</w:t>
      </w:r>
      <w:r w:rsidRPr="00B35A22">
        <w:rPr>
          <w:sz w:val="22"/>
          <w:lang w:val="sr-Latn-ME"/>
        </w:rPr>
        <w:t xml:space="preserve">ohortu 2 sprovedena je i analiza uz medijanu praćenja preživljavanja od 21,1 mjeseca. Potvrđen ORR prema ocjeni nezavisnog ocjenjivačkog tijela na osnovu verzije 1.1 RECIST kriterijuma iznosio je 28,0% (95% CI: 19,5; 37,9) kod pacijenata sa ekspresijom PD-L1 ≥ 5%, 19,3% (95% CI: 14,2; 25,4) kod pacijenata sa ekspresijom PD- L1 ≥ 1% te 15,8% (95% CI: 11,9; 20,4) kod svih uključenih pacijenata. Potvrđen ORR prema ocjeni ispitivača na osnovu modifikovanih RECIST kriterijuma iznosio je 29,0% (95% CI: 20,4; 38,9) kod pacijenata sa ekspresijom PD-L1 ≥ 5%, 23,7% (95% CI: 18,1; 30,1) u bolesnika s ekspresijom PD-L1 ≥ 1% te 19,7% (95% CI: 15,4; 24,6) kod svih uključenih pacijenata. Stopa potpunog odgovora prema ocjeni nezavisnog ocjenjivačkog tijela na osnovu verzije 1.1 RECIST kriterijuma u populaciji svih uključenih pacijenata iznosila je 6,1% (95% CI: 3,7; 9,4). U </w:t>
      </w:r>
      <w:r w:rsidR="007E677E" w:rsidRPr="00B35A22">
        <w:rPr>
          <w:sz w:val="22"/>
          <w:lang w:val="sr-Latn-ME"/>
        </w:rPr>
        <w:t>K</w:t>
      </w:r>
      <w:r w:rsidRPr="00B35A22">
        <w:rPr>
          <w:sz w:val="22"/>
          <w:lang w:val="sr-Latn-ME"/>
        </w:rPr>
        <w:t xml:space="preserve">ohorti 2 medijana trajanja odgovora nije dostignuta ni u jednoj od unaprijed određenih podgrupa prema ekspresiji PD-L1 niti u populaciji svih uključenih pacijenata, ali je dostignut kod pacijenata sa ekspresijom PD-L1 &lt; 1% (13,3 mjeseca; 95% CI: 4,2; NP). Stopa OS-a </w:t>
      </w:r>
      <w:r w:rsidR="00D261B6" w:rsidRPr="00B35A22">
        <w:rPr>
          <w:sz w:val="22"/>
          <w:lang w:val="sr-Latn-ME"/>
        </w:rPr>
        <w:t xml:space="preserve">nakon </w:t>
      </w:r>
      <w:r w:rsidRPr="00B35A22">
        <w:rPr>
          <w:sz w:val="22"/>
          <w:lang w:val="sr-Latn-ME"/>
        </w:rPr>
        <w:t>12 mjeseci u populaciji svih uključenih pacijenata iznosila je 37%.</w:t>
      </w:r>
    </w:p>
    <w:p w14:paraId="5A451FCF" w14:textId="1B799230" w:rsidR="007F5599" w:rsidRPr="00B35A22" w:rsidRDefault="007F5599" w:rsidP="00B35A22">
      <w:pPr>
        <w:widowControl w:val="0"/>
        <w:jc w:val="both"/>
        <w:rPr>
          <w:sz w:val="22"/>
          <w:lang w:val="sr-Latn-ME"/>
        </w:rPr>
      </w:pPr>
      <w:r w:rsidRPr="00B35A22">
        <w:rPr>
          <w:sz w:val="22"/>
          <w:lang w:val="sr-Latn-ME"/>
        </w:rPr>
        <w:t xml:space="preserve">U vrijeme konačne analize za kohortu 2, pacijenti su imali </w:t>
      </w:r>
      <w:r w:rsidR="008B7DB8" w:rsidRPr="00B35A22">
        <w:rPr>
          <w:sz w:val="22"/>
          <w:lang w:val="sr-Latn-ME"/>
        </w:rPr>
        <w:t>medijanu</w:t>
      </w:r>
      <w:r w:rsidRPr="00B35A22">
        <w:rPr>
          <w:sz w:val="22"/>
          <w:lang w:val="sr-Latn-ME"/>
        </w:rPr>
        <w:t xml:space="preserve"> praćenja preživljavanja od 46,2 mjeseca. Medijana OS je bila 11,9 mjeseci (95% CI: 9,0, 22,8) kod pacijenata sa ekspresijom PD L1 ≥ 5%, 9,0 mjeseci (95% CI: 7,1, 11,1) kod pacijenata sa ekspresijom PD L1 ≥ 1%, i 7,9 mjeseci (95 % CI: 6,7, 9,3) kod svih uključenih pacijenata.</w:t>
      </w:r>
    </w:p>
    <w:p w14:paraId="75BAE4C1" w14:textId="77777777" w:rsidR="00D261B6" w:rsidRPr="00B35A22" w:rsidRDefault="00D261B6" w:rsidP="00B35A22">
      <w:pPr>
        <w:widowControl w:val="0"/>
        <w:tabs>
          <w:tab w:val="left" w:pos="284"/>
          <w:tab w:val="center" w:pos="4320"/>
          <w:tab w:val="right" w:pos="8640"/>
        </w:tabs>
        <w:jc w:val="both"/>
        <w:rPr>
          <w:sz w:val="22"/>
          <w:lang w:val="sr-Latn-ME"/>
        </w:rPr>
      </w:pPr>
    </w:p>
    <w:p w14:paraId="2DB8FB40" w14:textId="48CDCE7E" w:rsidR="000A26D9" w:rsidRPr="00B35A22" w:rsidRDefault="000A26D9" w:rsidP="00B35A22">
      <w:pPr>
        <w:widowControl w:val="0"/>
        <w:tabs>
          <w:tab w:val="left" w:pos="284"/>
          <w:tab w:val="center" w:pos="4320"/>
          <w:tab w:val="right" w:pos="8640"/>
        </w:tabs>
        <w:jc w:val="both"/>
        <w:rPr>
          <w:i/>
          <w:sz w:val="22"/>
          <w:lang w:val="sr-Latn-ME"/>
        </w:rPr>
      </w:pPr>
      <w:r w:rsidRPr="00B35A22">
        <w:rPr>
          <w:i/>
          <w:sz w:val="22"/>
          <w:lang w:val="sr-Latn-ME"/>
        </w:rPr>
        <w:t xml:space="preserve">IMvigor130 (WO30070): </w:t>
      </w:r>
      <w:r w:rsidR="00D5115F" w:rsidRPr="00B35A22">
        <w:rPr>
          <w:i/>
          <w:sz w:val="22"/>
          <w:lang w:val="sr-Latn-ME"/>
        </w:rPr>
        <w:t>I</w:t>
      </w:r>
      <w:r w:rsidRPr="00B35A22">
        <w:rPr>
          <w:i/>
          <w:sz w:val="22"/>
          <w:lang w:val="sr-Latn-ME"/>
        </w:rPr>
        <w:t>spitivanje faze III u kojem se atezolizumab ocjenjivao u monoterapiji i u kombinaciji s hemoterapijom baziranoj na platini kod pacijenata s neliječenim lokalno uznapredovalim ili metastatskim urotelijalnim karcinomom</w:t>
      </w:r>
    </w:p>
    <w:p w14:paraId="2CFC3883" w14:textId="5EAF248E" w:rsidR="00D261B6" w:rsidRPr="00B35A22" w:rsidRDefault="00D261B6" w:rsidP="00B35A22">
      <w:pPr>
        <w:widowControl w:val="0"/>
        <w:tabs>
          <w:tab w:val="left" w:pos="284"/>
          <w:tab w:val="center" w:pos="4320"/>
          <w:tab w:val="right" w:pos="8640"/>
        </w:tabs>
        <w:jc w:val="both"/>
        <w:rPr>
          <w:i/>
          <w:sz w:val="22"/>
          <w:u w:val="single"/>
          <w:lang w:val="sr-Latn-ME"/>
        </w:rPr>
      </w:pPr>
    </w:p>
    <w:p w14:paraId="15E70278" w14:textId="2C5B6C06" w:rsidR="00D5115F" w:rsidRPr="00B35A22" w:rsidRDefault="00D5115F" w:rsidP="00B35A22">
      <w:pPr>
        <w:widowControl w:val="0"/>
        <w:jc w:val="both"/>
        <w:rPr>
          <w:lang w:val="sr-Latn-ME"/>
        </w:rPr>
      </w:pPr>
      <w:r w:rsidRPr="00B35A22">
        <w:rPr>
          <w:lang w:val="sr-Latn-ME"/>
        </w:rPr>
        <w:t>Multicentrično, randomizirano, placebom kontrolisano, d</w:t>
      </w:r>
      <w:r w:rsidR="00060797" w:rsidRPr="00B35A22">
        <w:rPr>
          <w:lang w:val="sr-Latn-ME"/>
        </w:rPr>
        <w:t>j</w:t>
      </w:r>
      <w:r w:rsidRPr="00B35A22">
        <w:rPr>
          <w:lang w:val="sr-Latn-ME"/>
        </w:rPr>
        <w:t>elimično slijepo (samo grupe A i C) ispitivanje faze III (IMvigor130) sprovedeno je radi procjene efikasnosti i bezbjednosti atezolizumaba + kombinovane hemioterapije zasnovane na platini (tj. cisplatin ili karboplatin sa gemcitabinom) (grupa A) ili atezolizumaba u monoterapiji (grupa B, otvorena grupa) u odnosu na placebo + kombinovanu hemioterapiju zasnovanu na platini (grupa C) kod pacijenata sa lokalno uznapredovalim ili metastatskim UC</w:t>
      </w:r>
      <w:r w:rsidRPr="00B35A22">
        <w:rPr>
          <w:lang w:val="sr-Latn-ME"/>
        </w:rPr>
        <w:noBreakHyphen/>
        <w:t xml:space="preserve">om koji prethodno nijesu primili sistemsko liječenje za metastatsku bolest. Koprimarne mjere ishoda za efikasnost bile su preživljavanje bez progresije bolesti (PFS) prema procjeni istraživača u grupi A u odnosu na grupu C te ukupno preživljavanje (OS) u grupi A u odnosu na grupu C, a zatim i u grupi B u odnosu na grupu C, analizirano hijerarhijski. U poređenju grupe A u odnosu na grupu C ukupno preživljavanje nije bilo statistički značajno pa se stoga nije moglo sprovesti dalje formalno </w:t>
      </w:r>
      <w:r w:rsidRPr="00B35A22">
        <w:rPr>
          <w:lang w:val="sr-Latn-ME"/>
        </w:rPr>
        <w:lastRenderedPageBreak/>
        <w:t>testiranje u skladu sa unapr</w:t>
      </w:r>
      <w:r w:rsidR="00060797" w:rsidRPr="00B35A22">
        <w:rPr>
          <w:lang w:val="sr-Latn-ME"/>
        </w:rPr>
        <w:t>ij</w:t>
      </w:r>
      <w:r w:rsidRPr="00B35A22">
        <w:rPr>
          <w:lang w:val="sr-Latn-ME"/>
        </w:rPr>
        <w:t>ed definisanim redosl</w:t>
      </w:r>
      <w:r w:rsidR="00D24471" w:rsidRPr="00B35A22">
        <w:rPr>
          <w:lang w:val="sr-Latn-ME"/>
        </w:rPr>
        <w:t>j</w:t>
      </w:r>
      <w:r w:rsidRPr="00B35A22">
        <w:rPr>
          <w:lang w:val="sr-Latn-ME"/>
        </w:rPr>
        <w:t xml:space="preserve">edom hijerarhijskog testiranja.   </w:t>
      </w:r>
    </w:p>
    <w:p w14:paraId="001A4FBB" w14:textId="0F017185" w:rsidR="00D5115F" w:rsidRPr="00B35A22" w:rsidRDefault="00D5115F" w:rsidP="00B35A22">
      <w:pPr>
        <w:widowControl w:val="0"/>
        <w:tabs>
          <w:tab w:val="left" w:pos="284"/>
          <w:tab w:val="center" w:pos="4320"/>
          <w:tab w:val="right" w:pos="8640"/>
        </w:tabs>
        <w:jc w:val="both"/>
        <w:rPr>
          <w:i/>
          <w:sz w:val="22"/>
          <w:u w:val="single"/>
          <w:lang w:val="sr-Latn-ME"/>
        </w:rPr>
      </w:pPr>
    </w:p>
    <w:p w14:paraId="2C8B8C02" w14:textId="662E007A" w:rsidR="000A26D9" w:rsidRPr="00B35A22" w:rsidRDefault="000A26D9" w:rsidP="00B35A22">
      <w:pPr>
        <w:widowControl w:val="0"/>
        <w:tabs>
          <w:tab w:val="left" w:pos="284"/>
          <w:tab w:val="center" w:pos="4320"/>
          <w:tab w:val="right" w:pos="8640"/>
        </w:tabs>
        <w:jc w:val="both"/>
        <w:rPr>
          <w:sz w:val="22"/>
          <w:lang w:val="sr-Latn-ME"/>
        </w:rPr>
      </w:pPr>
      <w:r w:rsidRPr="00B35A22">
        <w:rPr>
          <w:sz w:val="22"/>
          <w:lang w:val="sr-Latn-ME"/>
        </w:rPr>
        <w:t>Na osnovu preporuke nezavisne komisije za praćenje podataka nakon rane ocjene podataka o preživljavanju, uključivanje pacijenata čiji su tumori pokazivali nizak nivo ekspresije PD-L1 (manje od 5% imunih ćelija s pozitivnom PD-L1 ekspresijom pri imunohistohemijskom bojenju</w:t>
      </w:r>
      <w:r w:rsidR="00D5115F" w:rsidRPr="00B35A22">
        <w:rPr>
          <w:sz w:val="22"/>
          <w:lang w:val="sr-Latn-ME"/>
        </w:rPr>
        <w:t xml:space="preserve"> k</w:t>
      </w:r>
      <w:r w:rsidR="00D5115F" w:rsidRPr="00B35A22">
        <w:rPr>
          <w:lang w:val="sr-Latn-ME"/>
        </w:rPr>
        <w:t>oristeći VENTANA PD</w:t>
      </w:r>
      <w:r w:rsidR="00D5115F" w:rsidRPr="00B35A22">
        <w:rPr>
          <w:lang w:val="sr-Latn-ME"/>
        </w:rPr>
        <w:noBreakHyphen/>
        <w:t>L1 [SP142] test</w:t>
      </w:r>
      <w:r w:rsidRPr="00B35A22">
        <w:rPr>
          <w:sz w:val="22"/>
          <w:lang w:val="sr-Latn-ME"/>
        </w:rPr>
        <w:t>) u grup</w:t>
      </w:r>
      <w:r w:rsidR="007E677E" w:rsidRPr="00B35A22">
        <w:rPr>
          <w:sz w:val="22"/>
          <w:lang w:val="sr-Latn-ME"/>
        </w:rPr>
        <w:t>i</w:t>
      </w:r>
      <w:r w:rsidRPr="00B35A22">
        <w:rPr>
          <w:sz w:val="22"/>
          <w:lang w:val="sr-Latn-ME"/>
        </w:rPr>
        <w:t xml:space="preserve"> koja je primala monoterapiju atezolizumabom prekinuto je nakon što je </w:t>
      </w:r>
      <w:r w:rsidR="007E677E" w:rsidRPr="00B35A22">
        <w:rPr>
          <w:sz w:val="22"/>
          <w:lang w:val="sr-Latn-ME"/>
        </w:rPr>
        <w:t>primijećeno</w:t>
      </w:r>
      <w:r w:rsidRPr="00B35A22">
        <w:rPr>
          <w:sz w:val="22"/>
          <w:lang w:val="sr-Latn-ME"/>
        </w:rPr>
        <w:t xml:space="preserve"> smanjenje ukupnog preživljavanja u toj podgrupi</w:t>
      </w:r>
      <w:r w:rsidR="00D5115F" w:rsidRPr="00B35A22">
        <w:rPr>
          <w:sz w:val="22"/>
          <w:lang w:val="sr-Latn-ME"/>
        </w:rPr>
        <w:t xml:space="preserve"> </w:t>
      </w:r>
      <w:r w:rsidR="00D5115F" w:rsidRPr="00B35A22">
        <w:rPr>
          <w:lang w:val="sr-Latn-ME"/>
        </w:rPr>
        <w:t>pri neplaniranoj ranoj analizi. Međutim, to se dogodilo nakon što je velika većina pacijenata već bila uključena u tu podgrupu.</w:t>
      </w:r>
    </w:p>
    <w:p w14:paraId="008706B1" w14:textId="75CD8193" w:rsidR="000A26D9" w:rsidRPr="00B35A22" w:rsidRDefault="000A26D9" w:rsidP="00B35A22">
      <w:pPr>
        <w:widowControl w:val="0"/>
        <w:tabs>
          <w:tab w:val="left" w:pos="284"/>
          <w:tab w:val="center" w:pos="4320"/>
          <w:tab w:val="right" w:pos="8640"/>
        </w:tabs>
        <w:jc w:val="both"/>
        <w:rPr>
          <w:sz w:val="22"/>
          <w:u w:val="single"/>
          <w:lang w:val="sr-Latn-ME"/>
        </w:rPr>
      </w:pPr>
    </w:p>
    <w:p w14:paraId="20D553D2" w14:textId="4D001A16" w:rsidR="00D5115F" w:rsidRPr="00B35A22" w:rsidRDefault="00D5115F" w:rsidP="00B35A22">
      <w:pPr>
        <w:widowControl w:val="0"/>
        <w:jc w:val="both"/>
        <w:rPr>
          <w:lang w:val="sr-Latn-ME"/>
        </w:rPr>
      </w:pPr>
      <w:r w:rsidRPr="00B35A22">
        <w:rPr>
          <w:lang w:val="sr-Latn-ME"/>
        </w:rPr>
        <w:t>Od 719 pacijenata uključenih u grupu liječenu atezolizumabom u monoterapiji (n=360) i onu liječenu samo hemioterapijom (n=359), 50 odnosno 43 pacijenata nijesu bili pogodni za liječenje cisplatinom prema Galskyjevim kriterijumima i imali su tumore sa visokim nivoom ekspresije PD</w:t>
      </w:r>
      <w:r w:rsidRPr="00B35A22">
        <w:rPr>
          <w:lang w:val="sr-Latn-ME"/>
        </w:rPr>
        <w:noBreakHyphen/>
        <w:t>L1 (≥ 5% imunskih ćelija sa pozitivnom PD</w:t>
      </w:r>
      <w:r w:rsidRPr="00B35A22">
        <w:rPr>
          <w:lang w:val="sr-Latn-ME"/>
        </w:rPr>
        <w:noBreakHyphen/>
        <w:t>L1 ekspresijom pri imunohistohemijskom bojenju koristeći VENTANA PD</w:t>
      </w:r>
      <w:r w:rsidRPr="00B35A22">
        <w:rPr>
          <w:lang w:val="sr-Latn-ME"/>
        </w:rPr>
        <w:noBreakHyphen/>
        <w:t>L1 [SP142] test). U eksploratornoj analizi sprovedenoj u toj podgrupi pacijenata, nestratifikovani HR za OS iznosio je 0,56 (95% CI: 0,34; 0,91). Medijana OS</w:t>
      </w:r>
      <w:r w:rsidRPr="00B35A22">
        <w:rPr>
          <w:lang w:val="sr-Latn-ME"/>
        </w:rPr>
        <w:noBreakHyphen/>
        <w:t xml:space="preserve">a iznosila je 18,6 mjeseci (95% CI: 14,0; 49,4) u grupi koja je primala atezolizumab u monoterapiji u odnosu na 10,0 mjeseci (95% CI: 7,4; 18,1) u grupi koja je primala samo hemioterapiju (vidjeti Sliku 2). </w:t>
      </w:r>
    </w:p>
    <w:p w14:paraId="67F0CD73" w14:textId="39EFAEA8" w:rsidR="00D5115F" w:rsidRPr="00B35A22" w:rsidRDefault="00D5115F" w:rsidP="00B35A22">
      <w:pPr>
        <w:widowControl w:val="0"/>
        <w:tabs>
          <w:tab w:val="left" w:pos="284"/>
          <w:tab w:val="center" w:pos="4320"/>
          <w:tab w:val="right" w:pos="8640"/>
        </w:tabs>
        <w:jc w:val="both"/>
        <w:rPr>
          <w:sz w:val="22"/>
          <w:u w:val="single"/>
          <w:lang w:val="sr-Latn-ME"/>
        </w:rPr>
      </w:pPr>
    </w:p>
    <w:p w14:paraId="17310FCF" w14:textId="6AAD63F1" w:rsidR="00D5115F" w:rsidRPr="00B35A22" w:rsidRDefault="00D5115F" w:rsidP="00B35A22">
      <w:pPr>
        <w:widowControl w:val="0"/>
        <w:spacing w:line="280" w:lineRule="atLeast"/>
        <w:rPr>
          <w:b/>
          <w:lang w:val="sr-Latn-ME"/>
        </w:rPr>
      </w:pPr>
      <w:r w:rsidRPr="00B35A22">
        <w:rPr>
          <w:b/>
          <w:lang w:val="sr-Latn-ME"/>
        </w:rPr>
        <w:t xml:space="preserve">Slika 2: </w:t>
      </w:r>
      <w:r w:rsidRPr="00B35A22">
        <w:rPr>
          <w:b/>
          <w:i/>
          <w:lang w:val="sr-Latn-ME"/>
        </w:rPr>
        <w:t>Kaplan</w:t>
      </w:r>
      <w:r w:rsidRPr="00B35A22">
        <w:rPr>
          <w:b/>
          <w:i/>
          <w:lang w:val="sr-Latn-ME"/>
        </w:rPr>
        <w:noBreakHyphen/>
        <w:t>Meier</w:t>
      </w:r>
      <w:r w:rsidRPr="00B35A22">
        <w:rPr>
          <w:b/>
          <w:lang w:val="sr-Latn-ME"/>
        </w:rPr>
        <w:t>-ova kriva ukupnog preživljavanja kod pacijenata koji nijesu bili pogodni za liječenje cisplatinom a čiji su tumori pokazivali visok nivo ekspresije PD-L1 (grupa B u odnosu na grupu C)</w:t>
      </w:r>
    </w:p>
    <w:p w14:paraId="3B0C28F1" w14:textId="5BB59E84" w:rsidR="00D5115F" w:rsidRPr="00B35A22" w:rsidRDefault="00D5115F" w:rsidP="00B35A22">
      <w:pPr>
        <w:widowControl w:val="0"/>
        <w:tabs>
          <w:tab w:val="left" w:pos="284"/>
          <w:tab w:val="center" w:pos="4320"/>
          <w:tab w:val="right" w:pos="8640"/>
        </w:tabs>
        <w:jc w:val="both"/>
        <w:rPr>
          <w:sz w:val="22"/>
          <w:u w:val="single"/>
          <w:lang w:val="sr-Latn-ME"/>
        </w:rPr>
      </w:pPr>
      <w:r w:rsidRPr="00B35A22">
        <w:rPr>
          <w:bCs/>
          <w:sz w:val="22"/>
          <w:szCs w:val="22"/>
          <w:u w:val="single"/>
          <w:lang w:val="sr-Latn-ME" w:eastAsia="sr-Latn-ME"/>
        </w:rPr>
        <w:drawing>
          <wp:inline distT="0" distB="0" distL="0" distR="0" wp14:anchorId="618F04F1" wp14:editId="3D3C608F">
            <wp:extent cx="5768975" cy="27368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975" cy="2736850"/>
                    </a:xfrm>
                    <a:prstGeom prst="rect">
                      <a:avLst/>
                    </a:prstGeom>
                  </pic:spPr>
                </pic:pic>
              </a:graphicData>
            </a:graphic>
          </wp:inline>
        </w:drawing>
      </w:r>
    </w:p>
    <w:p w14:paraId="5F9B8036" w14:textId="4E666422" w:rsidR="00D6787D" w:rsidRPr="00B35A22" w:rsidRDefault="000A26D9" w:rsidP="00B35A22">
      <w:pPr>
        <w:widowControl w:val="0"/>
        <w:tabs>
          <w:tab w:val="left" w:pos="284"/>
          <w:tab w:val="center" w:pos="4320"/>
          <w:tab w:val="right" w:pos="8640"/>
        </w:tabs>
        <w:jc w:val="both"/>
        <w:rPr>
          <w:i/>
          <w:sz w:val="22"/>
          <w:u w:val="single"/>
          <w:lang w:val="sr-Latn-ME"/>
        </w:rPr>
      </w:pPr>
      <w:r w:rsidRPr="00B35A22">
        <w:rPr>
          <w:i/>
          <w:sz w:val="22"/>
          <w:u w:val="single"/>
          <w:lang w:val="sr-Latn-ME"/>
        </w:rPr>
        <w:t xml:space="preserve">Nesitnoćelijski karcinom pluća </w:t>
      </w:r>
    </w:p>
    <w:p w14:paraId="56510267" w14:textId="77777777" w:rsidR="00C04A89" w:rsidRPr="00B35A22" w:rsidRDefault="00C04A89" w:rsidP="00B35A22">
      <w:pPr>
        <w:widowControl w:val="0"/>
        <w:tabs>
          <w:tab w:val="left" w:pos="284"/>
          <w:tab w:val="center" w:pos="4320"/>
          <w:tab w:val="right" w:pos="8640"/>
        </w:tabs>
        <w:jc w:val="both"/>
        <w:rPr>
          <w:i/>
          <w:sz w:val="22"/>
          <w:u w:val="single"/>
          <w:lang w:val="sr-Latn-ME"/>
        </w:rPr>
      </w:pPr>
    </w:p>
    <w:p w14:paraId="76BA2B35" w14:textId="77777777" w:rsidR="00D52D7D" w:rsidRPr="00B35A22" w:rsidRDefault="00D52D7D" w:rsidP="00B35A22">
      <w:pPr>
        <w:widowControl w:val="0"/>
        <w:jc w:val="both"/>
        <w:rPr>
          <w:sz w:val="22"/>
          <w:lang w:val="sr-Latn-ME"/>
        </w:rPr>
      </w:pPr>
      <w:r w:rsidRPr="00B35A22">
        <w:rPr>
          <w:i/>
          <w:color w:val="000000"/>
          <w:sz w:val="22"/>
          <w:lang w:val="sr-Latn-ME"/>
        </w:rPr>
        <w:t>Adjuvantno liječenje NSCLC</w:t>
      </w:r>
      <w:r w:rsidRPr="00B35A22">
        <w:rPr>
          <w:i/>
          <w:color w:val="000000"/>
          <w:sz w:val="22"/>
          <w:lang w:val="sr-Latn-ME"/>
        </w:rPr>
        <w:noBreakHyphen/>
        <w:t>a u ranom stadijumu</w:t>
      </w:r>
    </w:p>
    <w:p w14:paraId="5F1895A0" w14:textId="77777777" w:rsidR="00D52D7D" w:rsidRPr="00B35A22" w:rsidRDefault="00D52D7D" w:rsidP="00B35A22">
      <w:pPr>
        <w:widowControl w:val="0"/>
        <w:jc w:val="both"/>
        <w:rPr>
          <w:sz w:val="22"/>
          <w:lang w:val="sr-Latn-ME"/>
        </w:rPr>
      </w:pPr>
    </w:p>
    <w:p w14:paraId="4D310140" w14:textId="77777777" w:rsidR="00D52D7D" w:rsidRPr="00B35A22" w:rsidRDefault="00D52D7D" w:rsidP="00B35A22">
      <w:pPr>
        <w:widowControl w:val="0"/>
        <w:jc w:val="both"/>
        <w:rPr>
          <w:sz w:val="22"/>
          <w:lang w:val="sr-Latn-ME"/>
        </w:rPr>
      </w:pPr>
      <w:r w:rsidRPr="00B35A22">
        <w:rPr>
          <w:i/>
          <w:color w:val="000000"/>
          <w:sz w:val="22"/>
          <w:lang w:val="sr-Latn-ME"/>
        </w:rPr>
        <w:t>IMpower010 (GO29527): randomizovano ispitivanje faze III kod pacijenata sa reseciranim NSCLC</w:t>
      </w:r>
      <w:r w:rsidRPr="00B35A22">
        <w:rPr>
          <w:i/>
          <w:color w:val="000000"/>
          <w:sz w:val="22"/>
          <w:lang w:val="sr-Latn-ME"/>
        </w:rPr>
        <w:noBreakHyphen/>
        <w:t>om nakon hemioterapije zasnovane na cisplatini</w:t>
      </w:r>
    </w:p>
    <w:p w14:paraId="6C09E431" w14:textId="77777777" w:rsidR="00D52D7D" w:rsidRPr="00B35A22" w:rsidRDefault="00D52D7D" w:rsidP="00B35A22">
      <w:pPr>
        <w:widowControl w:val="0"/>
        <w:jc w:val="both"/>
        <w:rPr>
          <w:sz w:val="22"/>
          <w:lang w:val="sr-Latn-ME"/>
        </w:rPr>
      </w:pPr>
    </w:p>
    <w:p w14:paraId="528413E0" w14:textId="72048144" w:rsidR="00D52D7D" w:rsidRPr="00B35A22" w:rsidRDefault="00D52D7D" w:rsidP="00B35A22">
      <w:pPr>
        <w:widowControl w:val="0"/>
        <w:jc w:val="both"/>
        <w:rPr>
          <w:color w:val="000000"/>
          <w:sz w:val="22"/>
          <w:lang w:val="sr-Latn-ME"/>
        </w:rPr>
      </w:pPr>
      <w:r w:rsidRPr="00B35A22">
        <w:rPr>
          <w:sz w:val="22"/>
          <w:lang w:val="sr-Latn-ME"/>
        </w:rPr>
        <w:t xml:space="preserve">Ispitivanje </w:t>
      </w:r>
      <w:r w:rsidRPr="00B35A22">
        <w:rPr>
          <w:color w:val="000000"/>
          <w:sz w:val="22"/>
          <w:lang w:val="sr-Latn-ME"/>
        </w:rPr>
        <w:t xml:space="preserve">GO29527 </w:t>
      </w:r>
      <w:r w:rsidRPr="00B35A22">
        <w:rPr>
          <w:sz w:val="22"/>
          <w:lang w:val="sr-Latn-ME"/>
        </w:rPr>
        <w:t xml:space="preserve">(IMpower010) bilo je otvoreno, </w:t>
      </w:r>
      <w:r w:rsidRPr="00B35A22">
        <w:rPr>
          <w:color w:val="000000"/>
          <w:sz w:val="22"/>
          <w:lang w:val="sr-Latn-ME"/>
        </w:rPr>
        <w:t xml:space="preserve">multicentrično, </w:t>
      </w:r>
      <w:r w:rsidRPr="00B35A22">
        <w:rPr>
          <w:sz w:val="22"/>
          <w:lang w:val="sr-Latn-ME"/>
        </w:rPr>
        <w:t xml:space="preserve">randomizovano ispitivanje faze III sprovedeno radi procjene efikasnosti i bezbjednosti atezolizumaba </w:t>
      </w:r>
      <w:r w:rsidRPr="00B35A22">
        <w:rPr>
          <w:color w:val="000000"/>
          <w:sz w:val="22"/>
          <w:lang w:val="sr-Latn-ME"/>
        </w:rPr>
        <w:t>u adjuvantnom liječenju pacijenata sa NSCLC</w:t>
      </w:r>
      <w:r w:rsidRPr="00B35A22">
        <w:rPr>
          <w:color w:val="000000"/>
          <w:sz w:val="22"/>
          <w:lang w:val="sr-Latn-ME"/>
        </w:rPr>
        <w:noBreakHyphen/>
        <w:t>om stadijuma IB (tumori veličine ≥ 4 cm) </w:t>
      </w:r>
      <w:r w:rsidRPr="00B35A22">
        <w:rPr>
          <w:color w:val="000000"/>
          <w:sz w:val="22"/>
          <w:lang w:val="sr-Latn-ME"/>
        </w:rPr>
        <w:noBreakHyphen/>
        <w:t> IIIA (prema 7. izdanju klasifikacijskog sistema Unije za međunarodnu kontrolu raka/Američk</w:t>
      </w:r>
      <w:r w:rsidR="00024781" w:rsidRPr="00B35A22">
        <w:rPr>
          <w:color w:val="000000"/>
          <w:sz w:val="22"/>
          <w:lang w:val="sr-Latn-ME"/>
        </w:rPr>
        <w:t>e</w:t>
      </w:r>
      <w:r w:rsidRPr="00B35A22">
        <w:rPr>
          <w:color w:val="000000"/>
          <w:sz w:val="22"/>
          <w:lang w:val="sr-Latn-ME"/>
        </w:rPr>
        <w:t xml:space="preserve"> zajedničk</w:t>
      </w:r>
      <w:r w:rsidR="00024781" w:rsidRPr="00B35A22">
        <w:rPr>
          <w:color w:val="000000"/>
          <w:sz w:val="22"/>
          <w:lang w:val="sr-Latn-ME"/>
        </w:rPr>
        <w:t>e</w:t>
      </w:r>
      <w:r w:rsidRPr="00B35A22">
        <w:rPr>
          <w:color w:val="000000"/>
          <w:sz w:val="22"/>
          <w:lang w:val="sr-Latn-ME"/>
        </w:rPr>
        <w:t xml:space="preserve"> </w:t>
      </w:r>
      <w:r w:rsidR="00024781" w:rsidRPr="00B35A22">
        <w:rPr>
          <w:color w:val="000000"/>
          <w:sz w:val="22"/>
          <w:lang w:val="sr-Latn-ME"/>
        </w:rPr>
        <w:t>komisije</w:t>
      </w:r>
      <w:r w:rsidRPr="00B35A22">
        <w:rPr>
          <w:color w:val="000000"/>
          <w:sz w:val="22"/>
          <w:lang w:val="sr-Latn-ME"/>
        </w:rPr>
        <w:t xml:space="preserve"> za rak). </w:t>
      </w:r>
    </w:p>
    <w:p w14:paraId="2FFB5DC1" w14:textId="77777777" w:rsidR="00D52D7D" w:rsidRPr="00B35A22" w:rsidRDefault="00D52D7D" w:rsidP="00B35A22">
      <w:pPr>
        <w:widowControl w:val="0"/>
        <w:jc w:val="both"/>
        <w:rPr>
          <w:color w:val="000000"/>
          <w:sz w:val="22"/>
          <w:lang w:val="sr-Latn-ME"/>
        </w:rPr>
      </w:pPr>
    </w:p>
    <w:p w14:paraId="594885BC" w14:textId="77777777" w:rsidR="00D52D7D" w:rsidRPr="00B35A22" w:rsidRDefault="00D52D7D" w:rsidP="00B35A22">
      <w:pPr>
        <w:widowControl w:val="0"/>
        <w:jc w:val="both"/>
        <w:rPr>
          <w:sz w:val="22"/>
          <w:lang w:val="sr-Latn-ME"/>
        </w:rPr>
      </w:pPr>
      <w:r w:rsidRPr="00B35A22">
        <w:rPr>
          <w:sz w:val="22"/>
          <w:lang w:val="sr-Latn-ME"/>
        </w:rPr>
        <w:t>Za odabir pacijenata sa visokim rizikom od recidiva koji su obuhvaćeni ovom terapijskom indikacijom i koji odražavaju populaciju sa bolešću stadijuma II </w:t>
      </w:r>
      <w:r w:rsidRPr="00B35A22">
        <w:rPr>
          <w:sz w:val="22"/>
          <w:lang w:val="sr-Latn-ME"/>
        </w:rPr>
        <w:noBreakHyphen/>
        <w:t xml:space="preserve"> IIIA prema 7. izdanju klasifikacijskog sistema koriste se sljedeći kriterijumi: </w:t>
      </w:r>
    </w:p>
    <w:p w14:paraId="4E3F6838" w14:textId="77777777" w:rsidR="00D52D7D" w:rsidRPr="00B35A22" w:rsidRDefault="00D52D7D" w:rsidP="00B35A22">
      <w:pPr>
        <w:widowControl w:val="0"/>
        <w:jc w:val="both"/>
        <w:rPr>
          <w:sz w:val="22"/>
          <w:lang w:val="sr-Latn-ME"/>
        </w:rPr>
      </w:pPr>
    </w:p>
    <w:p w14:paraId="718E0DE6" w14:textId="3FE7BA53" w:rsidR="00D52D7D" w:rsidRPr="00B35A22" w:rsidRDefault="00D52D7D" w:rsidP="00B35A22">
      <w:pPr>
        <w:widowControl w:val="0"/>
        <w:jc w:val="both"/>
        <w:rPr>
          <w:sz w:val="22"/>
          <w:lang w:val="sr-Latn-ME"/>
        </w:rPr>
      </w:pPr>
      <w:r w:rsidRPr="00B35A22">
        <w:rPr>
          <w:sz w:val="22"/>
          <w:lang w:val="sr-Latn-ME"/>
        </w:rPr>
        <w:t xml:space="preserve">Tumori veličine ≥ 5 cm; ili tumori bilo koje veličine praćeni statusom N1 ili N2; ili tumori koji prodiru </w:t>
      </w:r>
      <w:r w:rsidRPr="00B35A22">
        <w:rPr>
          <w:sz w:val="22"/>
          <w:lang w:val="sr-Latn-ME"/>
        </w:rPr>
        <w:lastRenderedPageBreak/>
        <w:t>u strukture grudnog koša (direktna invazija parijetalne pleure, zida grudnog koša, dijafragme, freničnog nerva, medijastinalne pleure, parijetalnog perikarda, medijastinuma, srca, velikih krvnih sudova, traheje, povratnog grkljanskog nerva, jednjaka, pršljenova, grebena); ili tumori koji zahvataju glavnu bronhiju &lt; 2 cm distalno od grebena, ali ne zahvataju sam greben; ili tumori koji su praćeni atelektazom ili opstruktivnim pneumonitisom cijelih pluća; ili tumori sa zasebnim čvorom</w:t>
      </w:r>
      <w:r w:rsidR="00D24471" w:rsidRPr="00B35A22">
        <w:rPr>
          <w:sz w:val="22"/>
          <w:lang w:val="sr-Latn-ME"/>
        </w:rPr>
        <w:t xml:space="preserve"> </w:t>
      </w:r>
      <w:r w:rsidRPr="00B35A22">
        <w:rPr>
          <w:sz w:val="22"/>
          <w:lang w:val="sr-Latn-ME"/>
        </w:rPr>
        <w:t xml:space="preserve">(vima) u istom režnju ili različitom ipsilateralnom režnju od primarnog tumora. </w:t>
      </w:r>
    </w:p>
    <w:p w14:paraId="71B81D6C" w14:textId="77777777" w:rsidR="00D52D7D" w:rsidRPr="00B35A22" w:rsidRDefault="00D52D7D" w:rsidP="00B35A22">
      <w:pPr>
        <w:widowControl w:val="0"/>
        <w:jc w:val="both"/>
        <w:rPr>
          <w:sz w:val="22"/>
          <w:lang w:val="sr-Latn-ME"/>
        </w:rPr>
      </w:pPr>
    </w:p>
    <w:p w14:paraId="3F4DB597" w14:textId="77777777" w:rsidR="00D52D7D" w:rsidRPr="00B35A22" w:rsidRDefault="00D52D7D" w:rsidP="00B35A22">
      <w:pPr>
        <w:widowControl w:val="0"/>
        <w:jc w:val="both"/>
        <w:rPr>
          <w:color w:val="000000"/>
          <w:sz w:val="22"/>
          <w:lang w:val="sr-Latn-ME"/>
        </w:rPr>
      </w:pPr>
      <w:r w:rsidRPr="00B35A22">
        <w:rPr>
          <w:sz w:val="22"/>
          <w:lang w:val="sr-Latn-ME"/>
        </w:rPr>
        <w:t>U ispitivanje nijesu bili uključeni pacijenti koji su imali status N2 uz tumorsku invaziju medijastinuma, srca, velikih krvnih sudova, traheje, povratnog grkljanskog nerva, jednjaka, pršljenova ili grebena, ili zasebne tumorske čvorove u različitom ipsilateralnom režnju.</w:t>
      </w:r>
    </w:p>
    <w:p w14:paraId="233C375A" w14:textId="77777777" w:rsidR="00D52D7D" w:rsidRPr="00B35A22" w:rsidRDefault="00D52D7D" w:rsidP="00B35A22">
      <w:pPr>
        <w:widowControl w:val="0"/>
        <w:jc w:val="both"/>
        <w:rPr>
          <w:color w:val="000000"/>
          <w:sz w:val="22"/>
          <w:lang w:val="sr-Latn-ME"/>
        </w:rPr>
      </w:pPr>
    </w:p>
    <w:p w14:paraId="582434D6" w14:textId="77777777" w:rsidR="00D52D7D" w:rsidRPr="00B35A22" w:rsidRDefault="00D52D7D" w:rsidP="00B35A22">
      <w:pPr>
        <w:widowControl w:val="0"/>
        <w:jc w:val="both"/>
        <w:rPr>
          <w:sz w:val="22"/>
          <w:lang w:val="sr-Latn-ME"/>
        </w:rPr>
      </w:pPr>
      <w:r w:rsidRPr="00B35A22">
        <w:rPr>
          <w:color w:val="000000"/>
          <w:sz w:val="22"/>
          <w:lang w:val="sr-Latn-ME"/>
        </w:rPr>
        <w:t>Ukupno je 1280 uključenih pacijenata podvrgnuto potpunoj resekciji tumora i bilo pogodno za primanje do 4 ciklusa hemioterapije zasnovane na cisplatini. Hemioterapijski protokoli zasnovani na cisplatini opisani su u Tabeli 6.</w:t>
      </w:r>
    </w:p>
    <w:p w14:paraId="000BD7FA" w14:textId="77777777" w:rsidR="00D52D7D" w:rsidRPr="00B35A22" w:rsidRDefault="00D52D7D" w:rsidP="00B35A22">
      <w:pPr>
        <w:widowControl w:val="0"/>
        <w:jc w:val="both"/>
        <w:rPr>
          <w:i/>
          <w:sz w:val="22"/>
          <w:u w:val="single"/>
          <w:lang w:val="sr-Latn-ME"/>
        </w:rPr>
      </w:pPr>
    </w:p>
    <w:p w14:paraId="61694A51" w14:textId="3378F428" w:rsidR="00D52D7D" w:rsidRPr="00B35A22" w:rsidRDefault="00A544A5" w:rsidP="00B35A22">
      <w:pPr>
        <w:widowControl w:val="0"/>
        <w:jc w:val="both"/>
        <w:rPr>
          <w:sz w:val="22"/>
          <w:lang w:val="sr-Latn-ME"/>
        </w:rPr>
      </w:pPr>
      <w:r w:rsidRPr="00B35A22">
        <w:rPr>
          <w:b/>
          <w:color w:val="000000"/>
          <w:sz w:val="22"/>
          <w:lang w:val="sr-Latn-ME"/>
        </w:rPr>
        <w:t>Tab</w:t>
      </w:r>
      <w:r w:rsidR="00D52D7D" w:rsidRPr="00B35A22">
        <w:rPr>
          <w:b/>
          <w:color w:val="000000"/>
          <w:sz w:val="22"/>
          <w:lang w:val="sr-Latn-ME"/>
        </w:rPr>
        <w:t>ela 6: Adjuvantni hemioterapijski protokoli (IMpower010)</w:t>
      </w:r>
    </w:p>
    <w:p w14:paraId="1F54DD9F" w14:textId="77777777" w:rsidR="00D52D7D" w:rsidRPr="00B35A22" w:rsidRDefault="00D52D7D" w:rsidP="00B35A22">
      <w:pPr>
        <w:widowControl w:val="0"/>
        <w:jc w:val="both"/>
        <w:rPr>
          <w:sz w:val="22"/>
          <w:lang w:val="sr-Latn-ME"/>
        </w:rPr>
      </w:pPr>
      <w:r w:rsidRPr="00B35A22">
        <w:rPr>
          <w:color w:val="000000"/>
          <w:sz w:val="22"/>
          <w:lang w:val="sr-Latn-ME"/>
        </w:rPr>
        <w:t> </w:t>
      </w:r>
    </w:p>
    <w:tbl>
      <w:tblPr>
        <w:tblW w:w="0" w:type="auto"/>
        <w:tblLook w:val="04A0" w:firstRow="1" w:lastRow="0" w:firstColumn="1" w:lastColumn="0" w:noHBand="0" w:noVBand="1"/>
      </w:tblPr>
      <w:tblGrid>
        <w:gridCol w:w="3539"/>
        <w:gridCol w:w="5522"/>
      </w:tblGrid>
      <w:tr w:rsidR="00D52D7D" w:rsidRPr="00B35A22" w14:paraId="0B617401" w14:textId="77777777" w:rsidTr="0065270B">
        <w:trPr>
          <w:cantSplit/>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6D5DC" w14:textId="77777777" w:rsidR="00D52D7D" w:rsidRPr="00B35A22" w:rsidRDefault="00D52D7D" w:rsidP="00B35A22">
            <w:pPr>
              <w:widowControl w:val="0"/>
              <w:jc w:val="both"/>
              <w:rPr>
                <w:sz w:val="22"/>
                <w:szCs w:val="22"/>
                <w:lang w:val="sr-Latn-ME" w:eastAsia="en-GB"/>
              </w:rPr>
            </w:pPr>
            <w:r w:rsidRPr="00B35A22">
              <w:rPr>
                <w:b/>
                <w:bCs/>
                <w:color w:val="000000"/>
                <w:sz w:val="22"/>
                <w:szCs w:val="22"/>
                <w:lang w:val="sr-Latn-ME" w:eastAsia="en-GB"/>
              </w:rPr>
              <w:t>Adjuvantna hemioterapija zasnovana na cisplatini: </w:t>
            </w:r>
          </w:p>
          <w:p w14:paraId="08071C23" w14:textId="77777777" w:rsidR="00D52D7D" w:rsidRPr="00B35A22" w:rsidRDefault="00D52D7D" w:rsidP="00B35A22">
            <w:pPr>
              <w:widowControl w:val="0"/>
              <w:jc w:val="both"/>
              <w:rPr>
                <w:sz w:val="22"/>
                <w:szCs w:val="22"/>
                <w:lang w:val="sr-Latn-ME" w:eastAsia="en-GB"/>
              </w:rPr>
            </w:pPr>
            <w:r w:rsidRPr="00B35A22">
              <w:rPr>
                <w:color w:val="000000"/>
                <w:sz w:val="22"/>
                <w:szCs w:val="22"/>
                <w:lang w:val="sr-Latn-ME" w:eastAsia="en-GB"/>
              </w:rPr>
              <w:t>cisplatin 75 mg/m</w:t>
            </w:r>
            <w:r w:rsidRPr="00B35A22">
              <w:rPr>
                <w:color w:val="000000"/>
                <w:sz w:val="22"/>
                <w:szCs w:val="22"/>
                <w:vertAlign w:val="superscript"/>
                <w:lang w:val="sr-Latn-ME" w:eastAsia="en-GB"/>
              </w:rPr>
              <w:t>2</w:t>
            </w:r>
            <w:r w:rsidRPr="00B35A22">
              <w:rPr>
                <w:color w:val="000000"/>
                <w:sz w:val="22"/>
                <w:szCs w:val="22"/>
                <w:lang w:val="sr-Latn-ME" w:eastAsia="en-GB"/>
              </w:rPr>
              <w:t xml:space="preserve"> intravenski 1. dana svakog 21</w:t>
            </w:r>
            <w:r w:rsidRPr="00B35A22">
              <w:rPr>
                <w:color w:val="000000"/>
                <w:sz w:val="22"/>
                <w:szCs w:val="22"/>
                <w:lang w:val="sr-Latn-ME" w:eastAsia="en-GB"/>
              </w:rPr>
              <w:noBreakHyphen/>
              <w:t>dnevnog ciklusa u kombinaciji sa jednim od sljedećih terapijskih protokola</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CF1B92" w14:textId="77777777" w:rsidR="00D52D7D" w:rsidRPr="00B35A22" w:rsidRDefault="00D52D7D" w:rsidP="00B35A22">
            <w:pPr>
              <w:widowControl w:val="0"/>
              <w:jc w:val="both"/>
              <w:rPr>
                <w:sz w:val="22"/>
                <w:szCs w:val="22"/>
                <w:lang w:val="sr-Latn-ME" w:eastAsia="en-GB"/>
              </w:rPr>
            </w:pPr>
            <w:r w:rsidRPr="00B35A22">
              <w:rPr>
                <w:color w:val="000000"/>
                <w:sz w:val="22"/>
                <w:szCs w:val="22"/>
                <w:lang w:val="sr-Latn-ME" w:eastAsia="en-GB"/>
              </w:rPr>
              <w:t>vinorelbin 30 mg/m</w:t>
            </w:r>
            <w:r w:rsidRPr="00B35A22">
              <w:rPr>
                <w:color w:val="000000"/>
                <w:sz w:val="22"/>
                <w:szCs w:val="22"/>
                <w:vertAlign w:val="superscript"/>
                <w:lang w:val="sr-Latn-ME" w:eastAsia="en-GB"/>
              </w:rPr>
              <w:t>2</w:t>
            </w:r>
            <w:r w:rsidRPr="00B35A22">
              <w:rPr>
                <w:color w:val="000000"/>
                <w:sz w:val="22"/>
                <w:szCs w:val="22"/>
                <w:lang w:val="sr-Latn-ME" w:eastAsia="en-GB"/>
              </w:rPr>
              <w:t xml:space="preserve"> intravenski 1. i 8. dana</w:t>
            </w:r>
          </w:p>
        </w:tc>
      </w:tr>
      <w:tr w:rsidR="00D52D7D" w:rsidRPr="00B35A22" w14:paraId="303439CA" w14:textId="77777777" w:rsidTr="0065270B">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BF42D" w14:textId="77777777" w:rsidR="00D52D7D" w:rsidRPr="00B35A22" w:rsidRDefault="00D52D7D" w:rsidP="00B35A22">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C32376" w14:textId="77777777" w:rsidR="00D52D7D" w:rsidRPr="00B35A22" w:rsidRDefault="00D52D7D" w:rsidP="00B35A22">
            <w:pPr>
              <w:widowControl w:val="0"/>
              <w:jc w:val="both"/>
              <w:rPr>
                <w:sz w:val="22"/>
                <w:szCs w:val="22"/>
                <w:lang w:val="sr-Latn-ME" w:eastAsia="en-GB"/>
              </w:rPr>
            </w:pPr>
            <w:r w:rsidRPr="00B35A22">
              <w:rPr>
                <w:color w:val="000000"/>
                <w:sz w:val="22"/>
                <w:szCs w:val="22"/>
                <w:lang w:val="sr-Latn-ME" w:eastAsia="en-GB"/>
              </w:rPr>
              <w:t>docetaksel 75 mg/m</w:t>
            </w:r>
            <w:r w:rsidRPr="00B35A22">
              <w:rPr>
                <w:color w:val="000000"/>
                <w:sz w:val="22"/>
                <w:szCs w:val="22"/>
                <w:vertAlign w:val="superscript"/>
                <w:lang w:val="sr-Latn-ME" w:eastAsia="en-GB"/>
              </w:rPr>
              <w:t xml:space="preserve">2 </w:t>
            </w:r>
            <w:r w:rsidRPr="00B35A22">
              <w:rPr>
                <w:color w:val="000000"/>
                <w:sz w:val="22"/>
                <w:szCs w:val="22"/>
                <w:lang w:val="sr-Latn-ME" w:eastAsia="en-GB"/>
              </w:rPr>
              <w:t>intravenski 1. dana</w:t>
            </w:r>
          </w:p>
        </w:tc>
      </w:tr>
      <w:tr w:rsidR="00D52D7D" w:rsidRPr="00B35A22" w14:paraId="129A221F" w14:textId="77777777" w:rsidTr="0065270B">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99BEA4" w14:textId="77777777" w:rsidR="00D52D7D" w:rsidRPr="00B35A22" w:rsidRDefault="00D52D7D" w:rsidP="00B35A22">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3385A0" w14:textId="77777777" w:rsidR="00D52D7D" w:rsidRPr="00B35A22" w:rsidRDefault="00D52D7D" w:rsidP="00B35A22">
            <w:pPr>
              <w:widowControl w:val="0"/>
              <w:jc w:val="both"/>
              <w:rPr>
                <w:sz w:val="22"/>
                <w:szCs w:val="22"/>
                <w:lang w:val="sr-Latn-ME" w:eastAsia="en-GB"/>
              </w:rPr>
            </w:pPr>
            <w:r w:rsidRPr="00B35A22">
              <w:rPr>
                <w:color w:val="000000"/>
                <w:sz w:val="22"/>
                <w:szCs w:val="22"/>
                <w:lang w:val="sr-Latn-ME" w:eastAsia="en-GB"/>
              </w:rPr>
              <w:t>gemcitabin 1250 mg/m</w:t>
            </w:r>
            <w:r w:rsidRPr="00B35A22">
              <w:rPr>
                <w:color w:val="000000"/>
                <w:sz w:val="22"/>
                <w:szCs w:val="22"/>
                <w:vertAlign w:val="superscript"/>
                <w:lang w:val="sr-Latn-ME" w:eastAsia="en-GB"/>
              </w:rPr>
              <w:t>2</w:t>
            </w:r>
            <w:r w:rsidRPr="00B35A22">
              <w:rPr>
                <w:color w:val="000000"/>
                <w:sz w:val="22"/>
                <w:szCs w:val="22"/>
                <w:lang w:val="sr-Latn-ME" w:eastAsia="en-GB"/>
              </w:rPr>
              <w:t xml:space="preserve"> intravenski 1. i 8. dana</w:t>
            </w:r>
          </w:p>
        </w:tc>
      </w:tr>
      <w:tr w:rsidR="00D52D7D" w:rsidRPr="00B35A22" w14:paraId="2E5204B8" w14:textId="77777777" w:rsidTr="0065270B">
        <w:trPr>
          <w:cantSplit/>
          <w:trHeight w:val="4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BAE51" w14:textId="77777777" w:rsidR="00D52D7D" w:rsidRPr="00B35A22" w:rsidRDefault="00D52D7D" w:rsidP="00B35A22">
            <w:pPr>
              <w:widowControl w:val="0"/>
              <w:rPr>
                <w:sz w:val="22"/>
                <w:szCs w:val="22"/>
                <w:lang w:val="sr-Latn-ME"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B35F6" w14:textId="77777777" w:rsidR="00D52D7D" w:rsidRPr="00B35A22" w:rsidRDefault="00D52D7D" w:rsidP="00B35A22">
            <w:pPr>
              <w:widowControl w:val="0"/>
              <w:jc w:val="both"/>
              <w:rPr>
                <w:sz w:val="22"/>
                <w:szCs w:val="22"/>
                <w:lang w:val="sr-Latn-ME" w:eastAsia="en-GB"/>
              </w:rPr>
            </w:pPr>
            <w:r w:rsidRPr="00B35A22">
              <w:rPr>
                <w:color w:val="000000"/>
                <w:sz w:val="22"/>
                <w:szCs w:val="22"/>
                <w:lang w:val="sr-Latn-ME" w:eastAsia="en-GB"/>
              </w:rPr>
              <w:t>pemetreksed 500 mg/m</w:t>
            </w:r>
            <w:r w:rsidRPr="00B35A22">
              <w:rPr>
                <w:color w:val="000000"/>
                <w:sz w:val="22"/>
                <w:szCs w:val="22"/>
                <w:vertAlign w:val="superscript"/>
                <w:lang w:val="sr-Latn-ME" w:eastAsia="en-GB"/>
              </w:rPr>
              <w:t xml:space="preserve">2 </w:t>
            </w:r>
            <w:r w:rsidRPr="00B35A22">
              <w:rPr>
                <w:color w:val="000000"/>
                <w:sz w:val="22"/>
                <w:szCs w:val="22"/>
                <w:lang w:val="sr-Latn-ME" w:eastAsia="en-GB"/>
              </w:rPr>
              <w:t>intravenski 1. dana (neskvamozni karcinom)</w:t>
            </w:r>
          </w:p>
        </w:tc>
      </w:tr>
    </w:tbl>
    <w:p w14:paraId="1B8BE555" w14:textId="77777777" w:rsidR="00D52D7D" w:rsidRPr="00B35A22" w:rsidRDefault="00D52D7D" w:rsidP="00B35A22">
      <w:pPr>
        <w:widowControl w:val="0"/>
        <w:jc w:val="both"/>
        <w:rPr>
          <w:sz w:val="22"/>
          <w:lang w:val="sr-Latn-ME"/>
        </w:rPr>
      </w:pPr>
    </w:p>
    <w:p w14:paraId="60E9A33A" w14:textId="34366C31" w:rsidR="00D52D7D" w:rsidRPr="00B35A22" w:rsidRDefault="00D52D7D" w:rsidP="00B35A22">
      <w:pPr>
        <w:widowControl w:val="0"/>
        <w:jc w:val="both"/>
        <w:rPr>
          <w:color w:val="0000FF"/>
          <w:sz w:val="22"/>
          <w:lang w:val="sr-Latn-ME"/>
        </w:rPr>
      </w:pPr>
      <w:r w:rsidRPr="00B35A22">
        <w:rPr>
          <w:sz w:val="22"/>
          <w:lang w:val="sr-Latn-ME"/>
        </w:rPr>
        <w:t>Nakon završetka hemioterapije zasnovane na cisplatini (do 4 ciklusa), ukupno 1005 pacijenata bilo je randomizovano u odnosu 1:1 za primanje atezolizumaba (grupa A) ili najbolje potporne njege (grupa B).</w:t>
      </w:r>
      <w:r w:rsidRPr="00B35A22">
        <w:rPr>
          <w:color w:val="0000FF"/>
          <w:sz w:val="22"/>
          <w:lang w:val="sr-Latn-ME"/>
        </w:rPr>
        <w:t xml:space="preserve"> </w:t>
      </w:r>
      <w:r w:rsidRPr="00B35A22">
        <w:rPr>
          <w:sz w:val="22"/>
          <w:lang w:val="sr-Latn-ME"/>
        </w:rPr>
        <w:t>Atezolizumab se prim</w:t>
      </w:r>
      <w:r w:rsidR="00024781" w:rsidRPr="00B35A22">
        <w:rPr>
          <w:sz w:val="22"/>
          <w:lang w:val="sr-Latn-ME"/>
        </w:rPr>
        <w:t>j</w:t>
      </w:r>
      <w:r w:rsidRPr="00B35A22">
        <w:rPr>
          <w:sz w:val="22"/>
          <w:lang w:val="sr-Latn-ME"/>
        </w:rPr>
        <w:t>enjivao u fiksnoj dozi od 1200 mg i.v. infuzijom svake 3 nedjelje tokom 16 ciklusa, osim ako nije došlo do recidiva bolesti ili pojave neprihvatljive toksičnosti. Randomizacija je bila stratifikovana prema polu, stadijumu bolesti, histološkom tipu i ekspresiji PD</w:t>
      </w:r>
      <w:r w:rsidRPr="00B35A22">
        <w:rPr>
          <w:sz w:val="22"/>
          <w:lang w:val="sr-Latn-ME"/>
        </w:rPr>
        <w:noBreakHyphen/>
        <w:t>L1.</w:t>
      </w:r>
      <w:r w:rsidRPr="00B35A22">
        <w:rPr>
          <w:color w:val="0000FF"/>
          <w:sz w:val="22"/>
          <w:lang w:val="sr-Latn-ME"/>
        </w:rPr>
        <w:t xml:space="preserve"> </w:t>
      </w:r>
    </w:p>
    <w:p w14:paraId="7E27CE7E" w14:textId="77777777" w:rsidR="00D52D7D" w:rsidRPr="00B35A22" w:rsidRDefault="00D52D7D" w:rsidP="00B35A22">
      <w:pPr>
        <w:widowControl w:val="0"/>
        <w:jc w:val="both"/>
        <w:rPr>
          <w:color w:val="0000FF"/>
          <w:sz w:val="22"/>
          <w:lang w:val="sr-Latn-ME"/>
        </w:rPr>
      </w:pPr>
    </w:p>
    <w:p w14:paraId="5829C397" w14:textId="01C63452" w:rsidR="00D52D7D" w:rsidRPr="00B35A22" w:rsidRDefault="00D52D7D" w:rsidP="00B35A22">
      <w:pPr>
        <w:widowControl w:val="0"/>
        <w:jc w:val="both"/>
        <w:rPr>
          <w:sz w:val="22"/>
          <w:lang w:val="sr-Latn-ME"/>
        </w:rPr>
      </w:pPr>
      <w:r w:rsidRPr="00B35A22">
        <w:rPr>
          <w:sz w:val="22"/>
          <w:lang w:val="sr-Latn-ME"/>
        </w:rPr>
        <w:t>Pacijenti nijesu bili uključeni u ispitivanje ako su imali aut</w:t>
      </w:r>
      <w:r w:rsidR="00024781" w:rsidRPr="00B35A22">
        <w:rPr>
          <w:sz w:val="22"/>
          <w:lang w:val="sr-Latn-ME"/>
        </w:rPr>
        <w:t>oimun</w:t>
      </w:r>
      <w:r w:rsidRPr="00B35A22">
        <w:rPr>
          <w:sz w:val="22"/>
          <w:lang w:val="sr-Latn-ME"/>
        </w:rPr>
        <w:t xml:space="preserve">u bolest u anamnezi; ako su primili živu, atenuisanu vakcinu u roku od 28 dana prije randomizacije; ako su primili sistemske imunostimulatore u roku od 4 nedjelje ili sistemske imunosupresive u roku od 2 nedjelje prije randomizacije. Procjene tumorskog odgovora sprovodile su se na početku randomizacijske faze, a zatim svaka 4 mjeseca tokom prvih godinu dana nakon 1. dana 1. ciklusa. Nakon toga su se sprovodile svakih 6 mjeseci do 5. godine, a zatim jednom godišnje. </w:t>
      </w:r>
    </w:p>
    <w:p w14:paraId="55414F98" w14:textId="7DD4252E" w:rsidR="00D52D7D" w:rsidRPr="00B35A22" w:rsidRDefault="00D52D7D" w:rsidP="00B35A22">
      <w:pPr>
        <w:widowControl w:val="0"/>
        <w:jc w:val="both"/>
        <w:rPr>
          <w:sz w:val="22"/>
          <w:lang w:val="sr-Latn-ME"/>
        </w:rPr>
      </w:pPr>
      <w:r w:rsidRPr="00B35A22">
        <w:rPr>
          <w:sz w:val="22"/>
          <w:lang w:val="sr-Latn-ME"/>
        </w:rPr>
        <w:br/>
        <w:t>Demografske i početne karakteristike bolesti u ITT populaciji bile su dobro ujednačene između liječenih grupa. Medijana uzrasta iznosila je 62 godine (raspon: 26 </w:t>
      </w:r>
      <w:r w:rsidRPr="00B35A22">
        <w:rPr>
          <w:sz w:val="22"/>
          <w:lang w:val="sr-Latn-ME"/>
        </w:rPr>
        <w:noBreakHyphen/>
        <w:t> 84), a 67% pacijenata bili su muškarci. Većina pacijenata bili su b</w:t>
      </w:r>
      <w:r w:rsidR="00024781" w:rsidRPr="00B35A22">
        <w:rPr>
          <w:sz w:val="22"/>
          <w:lang w:val="sr-Latn-ME"/>
        </w:rPr>
        <w:t>i</w:t>
      </w:r>
      <w:r w:rsidRPr="00B35A22">
        <w:rPr>
          <w:sz w:val="22"/>
          <w:lang w:val="sr-Latn-ME"/>
        </w:rPr>
        <w:t>jelci (73%), a njih 24% bili su Azijci. Većina pacijenata bili su aktivni ili bivši pušači (78%), a početni funkcionalni ECOG status pacijenta iznosio je 0 (55%) ili 1 (44%). Sveukupno je 12% pacijenata imalo bolest stadijuma IB, njih 47% imalo je bolest stadijuma II, a njih 41% bolest stadijuma IIIA. Procenat pacijenata čiji su tumori pokazivali nivo ekspresije PD</w:t>
      </w:r>
      <w:r w:rsidRPr="00B35A22">
        <w:rPr>
          <w:sz w:val="22"/>
          <w:lang w:val="sr-Latn-ME"/>
        </w:rPr>
        <w:noBreakHyphen/>
        <w:t>L1 na tumorskim ćelijama ≥ 1% odnosno ≥ 50%, što je utvrđeno testom VENTANA PD</w:t>
      </w:r>
      <w:r w:rsidRPr="00B35A22">
        <w:rPr>
          <w:sz w:val="22"/>
          <w:lang w:val="sr-Latn-ME"/>
        </w:rPr>
        <w:noBreakHyphen/>
        <w:t xml:space="preserve">L1 (SP263), iznosio je 55% odnosno 26%. </w:t>
      </w:r>
    </w:p>
    <w:p w14:paraId="45976EF5" w14:textId="77777777" w:rsidR="00D52D7D" w:rsidRPr="00B35A22" w:rsidRDefault="00D52D7D" w:rsidP="00B35A22">
      <w:pPr>
        <w:widowControl w:val="0"/>
        <w:jc w:val="both"/>
        <w:rPr>
          <w:color w:val="000000"/>
          <w:sz w:val="22"/>
          <w:shd w:val="clear" w:color="auto" w:fill="FFFF00"/>
          <w:lang w:val="sr-Latn-ME"/>
        </w:rPr>
      </w:pPr>
    </w:p>
    <w:p w14:paraId="5D8886B1" w14:textId="5141CA95" w:rsidR="00D52D7D" w:rsidRPr="00B35A22" w:rsidRDefault="00D52D7D" w:rsidP="00B35A22">
      <w:pPr>
        <w:widowControl w:val="0"/>
        <w:jc w:val="both"/>
        <w:rPr>
          <w:sz w:val="22"/>
          <w:lang w:val="sr-Latn-ME"/>
        </w:rPr>
      </w:pPr>
      <w:r w:rsidRPr="00B35A22">
        <w:rPr>
          <w:color w:val="000000"/>
          <w:sz w:val="22"/>
          <w:lang w:val="sr-Latn-ME"/>
        </w:rPr>
        <w:t xml:space="preserve">Primarna mjera ishoda za efikasnost bila je preživljavanje bez znakova bolesti (engl. </w:t>
      </w:r>
      <w:r w:rsidRPr="00B35A22">
        <w:rPr>
          <w:i/>
          <w:color w:val="000000"/>
          <w:sz w:val="22"/>
          <w:lang w:val="sr-Latn-ME"/>
        </w:rPr>
        <w:t xml:space="preserve">disease-free survival, </w:t>
      </w:r>
      <w:r w:rsidRPr="00B35A22">
        <w:rPr>
          <w:color w:val="000000"/>
          <w:sz w:val="22"/>
          <w:lang w:val="sr-Latn-ME"/>
        </w:rPr>
        <w:t>DFS) prema procjeni istraživača. DFS se definisao kao vrijeme od datuma randomizacije do datuma nastupa bilo kojeg od sledećih događaja: prvog dokumentovanog recidiva bolesti, novog primarnog NSCLC</w:t>
      </w:r>
      <w:r w:rsidRPr="00B35A22">
        <w:rPr>
          <w:color w:val="000000"/>
          <w:sz w:val="22"/>
          <w:lang w:val="sr-Latn-ME"/>
        </w:rPr>
        <w:noBreakHyphen/>
        <w:t>a ili smrti zbog bilo kog uzroka, što god je nastupilo prvo</w:t>
      </w:r>
      <w:r w:rsidRPr="00B35A22">
        <w:rPr>
          <w:sz w:val="22"/>
          <w:lang w:val="sr-Latn-ME"/>
        </w:rPr>
        <w:t>. Primarni cilj za efikasnost bio je oc</w:t>
      </w:r>
      <w:r w:rsidR="00024781" w:rsidRPr="00B35A22">
        <w:rPr>
          <w:sz w:val="22"/>
          <w:lang w:val="sr-Latn-ME"/>
        </w:rPr>
        <w:t>ij</w:t>
      </w:r>
      <w:r w:rsidRPr="00B35A22">
        <w:rPr>
          <w:sz w:val="22"/>
          <w:lang w:val="sr-Latn-ME"/>
        </w:rPr>
        <w:t>eniti DFS u populaciji pacijenata sa nivoom ekspresije PD</w:t>
      </w:r>
      <w:r w:rsidRPr="00B35A22">
        <w:rPr>
          <w:sz w:val="22"/>
          <w:lang w:val="sr-Latn-ME"/>
        </w:rPr>
        <w:noBreakHyphen/>
        <w:t>L1 ≥ 1% na tumor</w:t>
      </w:r>
      <w:r w:rsidR="00024781" w:rsidRPr="00B35A22">
        <w:rPr>
          <w:sz w:val="22"/>
          <w:lang w:val="sr-Latn-ME"/>
        </w:rPr>
        <w:t>skim ćelijama i bolešću stadiju</w:t>
      </w:r>
      <w:r w:rsidRPr="00B35A22">
        <w:rPr>
          <w:sz w:val="22"/>
          <w:lang w:val="sr-Latn-ME"/>
        </w:rPr>
        <w:t>m</w:t>
      </w:r>
      <w:r w:rsidR="00024781" w:rsidRPr="00B35A22">
        <w:rPr>
          <w:sz w:val="22"/>
          <w:lang w:val="sr-Latn-ME"/>
        </w:rPr>
        <w:t>a</w:t>
      </w:r>
      <w:r w:rsidRPr="00B35A22">
        <w:rPr>
          <w:sz w:val="22"/>
          <w:lang w:val="sr-Latn-ME"/>
        </w:rPr>
        <w:t xml:space="preserve"> II </w:t>
      </w:r>
      <w:r w:rsidRPr="00B35A22">
        <w:rPr>
          <w:sz w:val="22"/>
          <w:lang w:val="sr-Latn-ME"/>
        </w:rPr>
        <w:noBreakHyphen/>
        <w:t> IIIA. Ključni sekundarni ciljevi za efikasnost bili su ocijeniti DFS u populaciji pacijenata sa nivoom ekspresije PD</w:t>
      </w:r>
      <w:r w:rsidRPr="00B35A22">
        <w:rPr>
          <w:sz w:val="22"/>
          <w:lang w:val="sr-Latn-ME"/>
        </w:rPr>
        <w:noBreakHyphen/>
        <w:t>L1 ≥ 50% na tumorskim ćelijama i bolešću stadijuma II </w:t>
      </w:r>
      <w:r w:rsidRPr="00B35A22">
        <w:rPr>
          <w:sz w:val="22"/>
          <w:lang w:val="sr-Latn-ME"/>
        </w:rPr>
        <w:noBreakHyphen/>
        <w:t> IIIA te ukupno preživljavanje (OS) u ITT populaciji.</w:t>
      </w:r>
    </w:p>
    <w:p w14:paraId="59A41E66" w14:textId="668DC394" w:rsidR="00D52D7D" w:rsidRPr="00B35A22" w:rsidRDefault="00D52D7D" w:rsidP="00B35A22">
      <w:pPr>
        <w:widowControl w:val="0"/>
        <w:jc w:val="both"/>
        <w:rPr>
          <w:sz w:val="22"/>
          <w:lang w:val="sr-Latn-ME"/>
        </w:rPr>
      </w:pPr>
    </w:p>
    <w:p w14:paraId="26E57BB2" w14:textId="7581E2F8" w:rsidR="0074557B" w:rsidRPr="00B35A22" w:rsidRDefault="0074557B" w:rsidP="00B35A22">
      <w:pPr>
        <w:widowControl w:val="0"/>
        <w:jc w:val="both"/>
        <w:rPr>
          <w:sz w:val="22"/>
          <w:lang w:val="sr-Latn-ME"/>
        </w:rPr>
      </w:pPr>
      <w:r w:rsidRPr="00B35A22">
        <w:rPr>
          <w:sz w:val="22"/>
          <w:lang w:val="sr-Latn-ME"/>
        </w:rPr>
        <w:t>U trenutku sprovođenja interim analize DFS</w:t>
      </w:r>
      <w:r w:rsidRPr="00B35A22">
        <w:rPr>
          <w:sz w:val="22"/>
          <w:lang w:val="sr-Latn-ME"/>
        </w:rPr>
        <w:noBreakHyphen/>
        <w:t>a postignuta je primarna mjera ishoda u ispitivanju. U analizi pacijenata sa nivoom ekspresije PD</w:t>
      </w:r>
      <w:r w:rsidRPr="00B35A22">
        <w:rPr>
          <w:sz w:val="22"/>
          <w:lang w:val="sr-Latn-ME"/>
        </w:rPr>
        <w:noBreakHyphen/>
        <w:t>L1 ≥ 50% na tumorskim ćelijama i bolešću stadijuma II </w:t>
      </w:r>
      <w:r w:rsidRPr="00B35A22">
        <w:rPr>
          <w:sz w:val="22"/>
          <w:lang w:val="sr-Latn-ME"/>
        </w:rPr>
        <w:noBreakHyphen/>
        <w:t xml:space="preserve"> IIIA koji nijesu imali EGFR mutacije ni izmjene u redosljedu baza u genu ALK (n = 209), </w:t>
      </w:r>
      <w:r w:rsidRPr="00B35A22">
        <w:rPr>
          <w:sz w:val="22"/>
          <w:lang w:val="sr-Latn-ME"/>
        </w:rPr>
        <w:lastRenderedPageBreak/>
        <w:t>primijećeno je poboljšanje DFS</w:t>
      </w:r>
      <w:r w:rsidRPr="00B35A22">
        <w:rPr>
          <w:sz w:val="22"/>
          <w:lang w:val="sr-Latn-ME"/>
        </w:rPr>
        <w:noBreakHyphen/>
        <w:t xml:space="preserve">a u grupi liječenoj atezolizumabom u odnosu na onu koja je primala najbolju potpornu njegu. </w:t>
      </w:r>
    </w:p>
    <w:p w14:paraId="082F10B1" w14:textId="1EB6C7D6" w:rsidR="00D52D7D" w:rsidRPr="00B35A22" w:rsidRDefault="003D374D" w:rsidP="00B35A22">
      <w:pPr>
        <w:widowControl w:val="0"/>
        <w:jc w:val="both"/>
        <w:rPr>
          <w:sz w:val="22"/>
          <w:lang w:val="sr-Latn-ME"/>
        </w:rPr>
      </w:pPr>
      <w:r w:rsidRPr="00B35A22">
        <w:rPr>
          <w:sz w:val="22"/>
          <w:szCs w:val="22"/>
          <w:lang w:val="sr-Latn-ME"/>
        </w:rPr>
        <w:t>Rezultati su bili dosljedni u trenutku sprovođenja završne analize DFS-a uz medijanu trajanja praćenja od 65 mjeseci.</w:t>
      </w:r>
    </w:p>
    <w:p w14:paraId="109FFD6B" w14:textId="77777777" w:rsidR="00D52D7D" w:rsidRPr="00B35A22" w:rsidRDefault="00D52D7D" w:rsidP="00B35A22">
      <w:pPr>
        <w:widowControl w:val="0"/>
        <w:jc w:val="both"/>
        <w:rPr>
          <w:sz w:val="22"/>
          <w:lang w:val="sr-Latn-ME"/>
        </w:rPr>
      </w:pPr>
    </w:p>
    <w:p w14:paraId="64C99E4D" w14:textId="5743DBA3" w:rsidR="00D52D7D" w:rsidRPr="00B35A22" w:rsidRDefault="00D52D7D" w:rsidP="00B35A22">
      <w:pPr>
        <w:widowControl w:val="0"/>
        <w:jc w:val="both"/>
        <w:rPr>
          <w:sz w:val="22"/>
          <w:lang w:val="sr-Latn-ME"/>
        </w:rPr>
      </w:pPr>
      <w:r w:rsidRPr="00B35A22">
        <w:rPr>
          <w:color w:val="000000"/>
          <w:sz w:val="22"/>
          <w:lang w:val="sr-Latn-ME"/>
        </w:rPr>
        <w:t xml:space="preserve">Ključni rezultati za efikasnost </w:t>
      </w:r>
      <w:r w:rsidR="003D374D" w:rsidRPr="00B35A22">
        <w:rPr>
          <w:color w:val="000000"/>
          <w:sz w:val="22"/>
          <w:szCs w:val="22"/>
          <w:lang w:val="sr-Latn-ME" w:eastAsia="en-GB"/>
        </w:rPr>
        <w:t xml:space="preserve">DFS-a i OS-a </w:t>
      </w:r>
      <w:r w:rsidRPr="00B35A22">
        <w:rPr>
          <w:color w:val="000000"/>
          <w:sz w:val="22"/>
          <w:lang w:val="sr-Latn-ME"/>
        </w:rPr>
        <w:t xml:space="preserve">u populaciji pacijenata sa nivoom ekspresije </w:t>
      </w:r>
      <w:r w:rsidRPr="00B35A22">
        <w:rPr>
          <w:sz w:val="22"/>
          <w:lang w:val="sr-Latn-ME"/>
        </w:rPr>
        <w:t>PD</w:t>
      </w:r>
      <w:r w:rsidRPr="00B35A22">
        <w:rPr>
          <w:sz w:val="22"/>
          <w:lang w:val="sr-Latn-ME"/>
        </w:rPr>
        <w:noBreakHyphen/>
        <w:t>L1 ≥ 50% na tumorskim ćelijama i bolešću stadijuma II </w:t>
      </w:r>
      <w:r w:rsidRPr="00B35A22">
        <w:rPr>
          <w:sz w:val="22"/>
          <w:lang w:val="sr-Latn-ME"/>
        </w:rPr>
        <w:noBreakHyphen/>
        <w:t> IIIA koji nijesu imali EGFR mutacije ni izmjene u redosljedu baza u genu ALK</w:t>
      </w:r>
      <w:r w:rsidRPr="00B35A22">
        <w:rPr>
          <w:color w:val="000000"/>
          <w:sz w:val="22"/>
          <w:lang w:val="sr-Latn-ME"/>
        </w:rPr>
        <w:t xml:space="preserve"> sažeto su prikazani u Tabeli 7. Kaplan-Meier-ova kriva DFS</w:t>
      </w:r>
      <w:r w:rsidRPr="00B35A22">
        <w:rPr>
          <w:color w:val="000000"/>
          <w:sz w:val="22"/>
          <w:lang w:val="sr-Latn-ME"/>
        </w:rPr>
        <w:noBreakHyphen/>
        <w:t>a prikazana je na Slici </w:t>
      </w:r>
      <w:r w:rsidR="00D5115F" w:rsidRPr="00B35A22">
        <w:rPr>
          <w:color w:val="000000"/>
          <w:sz w:val="22"/>
          <w:lang w:val="sr-Latn-ME"/>
        </w:rPr>
        <w:t>3</w:t>
      </w:r>
      <w:r w:rsidRPr="00B35A22">
        <w:rPr>
          <w:color w:val="000000"/>
          <w:sz w:val="22"/>
          <w:lang w:val="sr-Latn-ME"/>
        </w:rPr>
        <w:t>. </w:t>
      </w:r>
    </w:p>
    <w:p w14:paraId="25CAE52A" w14:textId="77777777" w:rsidR="00D52D7D" w:rsidRPr="00B35A22" w:rsidRDefault="00D52D7D" w:rsidP="00B35A22">
      <w:pPr>
        <w:widowControl w:val="0"/>
        <w:jc w:val="both"/>
        <w:rPr>
          <w:sz w:val="22"/>
          <w:lang w:val="sr-Latn-ME"/>
        </w:rPr>
      </w:pPr>
    </w:p>
    <w:p w14:paraId="73C63307" w14:textId="74885BF6" w:rsidR="00D52D7D" w:rsidRPr="00B35A22" w:rsidRDefault="00D52D7D" w:rsidP="00B35A22">
      <w:pPr>
        <w:widowControl w:val="0"/>
        <w:jc w:val="both"/>
        <w:rPr>
          <w:b/>
          <w:color w:val="000000"/>
          <w:sz w:val="22"/>
          <w:lang w:val="sr-Latn-ME"/>
        </w:rPr>
      </w:pPr>
      <w:r w:rsidRPr="00B35A22">
        <w:rPr>
          <w:b/>
          <w:color w:val="000000"/>
          <w:sz w:val="22"/>
          <w:lang w:val="sr-Latn-ME"/>
        </w:rPr>
        <w:t>Tab</w:t>
      </w:r>
      <w:r w:rsidR="00A544A5" w:rsidRPr="00B35A22">
        <w:rPr>
          <w:b/>
          <w:color w:val="000000"/>
          <w:sz w:val="22"/>
          <w:lang w:val="sr-Latn-ME"/>
        </w:rPr>
        <w:t>ela</w:t>
      </w:r>
      <w:r w:rsidRPr="00B35A22">
        <w:rPr>
          <w:b/>
          <w:color w:val="000000"/>
          <w:sz w:val="22"/>
          <w:lang w:val="sr-Latn-ME"/>
        </w:rPr>
        <w:t> 7: Sažetak rezultata za efikasnost u populaciji pacijenata sa nivoom ekspresije PD</w:t>
      </w:r>
      <w:r w:rsidRPr="00B35A22">
        <w:rPr>
          <w:b/>
          <w:color w:val="000000"/>
          <w:sz w:val="22"/>
          <w:lang w:val="sr-Latn-ME"/>
        </w:rPr>
        <w:noBreakHyphen/>
        <w:t>L1 ≥ 50% na tumorskim ćelijama i bolešću stadijuma II </w:t>
      </w:r>
      <w:r w:rsidRPr="00B35A22">
        <w:rPr>
          <w:b/>
          <w:color w:val="000000"/>
          <w:sz w:val="22"/>
          <w:lang w:val="sr-Latn-ME"/>
        </w:rPr>
        <w:noBreakHyphen/>
        <w:t> IIIA koji ni</w:t>
      </w:r>
      <w:r w:rsidR="00024781" w:rsidRPr="00B35A22">
        <w:rPr>
          <w:b/>
          <w:color w:val="000000"/>
          <w:sz w:val="22"/>
          <w:lang w:val="sr-Latn-ME"/>
        </w:rPr>
        <w:t>je</w:t>
      </w:r>
      <w:r w:rsidRPr="00B35A22">
        <w:rPr>
          <w:b/>
          <w:color w:val="000000"/>
          <w:sz w:val="22"/>
          <w:lang w:val="sr-Latn-ME"/>
        </w:rPr>
        <w:t>su imali EGFR mutacije ni izmjene u redosl</w:t>
      </w:r>
      <w:r w:rsidR="00A84530" w:rsidRPr="00B35A22">
        <w:rPr>
          <w:b/>
          <w:color w:val="000000"/>
          <w:sz w:val="22"/>
          <w:lang w:val="sr-Latn-ME"/>
        </w:rPr>
        <w:t>j</w:t>
      </w:r>
      <w:r w:rsidRPr="00B35A22">
        <w:rPr>
          <w:b/>
          <w:color w:val="000000"/>
          <w:sz w:val="22"/>
          <w:lang w:val="sr-Latn-ME"/>
        </w:rPr>
        <w:t>edu baza u genu ALK (IMpower010)</w:t>
      </w:r>
    </w:p>
    <w:p w14:paraId="6E81556F" w14:textId="77777777" w:rsidR="00A84530" w:rsidRPr="00B35A22" w:rsidRDefault="00A84530" w:rsidP="00B35A22">
      <w:pPr>
        <w:widowControl w:val="0"/>
        <w:jc w:val="both"/>
        <w:rPr>
          <w:b/>
          <w:color w:val="000000"/>
          <w:sz w:val="22"/>
          <w:lang w:val="sr-Latn-ME"/>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01"/>
        <w:gridCol w:w="2197"/>
        <w:gridCol w:w="134"/>
        <w:gridCol w:w="2331"/>
      </w:tblGrid>
      <w:tr w:rsidR="00A84530" w:rsidRPr="00B35A22" w14:paraId="77A9AB3E" w14:textId="77777777" w:rsidTr="00B35A22">
        <w:trPr>
          <w:trHeight w:hRule="exact" w:val="593"/>
          <w:tblHeader/>
        </w:trPr>
        <w:tc>
          <w:tcPr>
            <w:tcW w:w="2428" w:type="pct"/>
            <w:tcBorders>
              <w:top w:val="single" w:sz="4" w:space="0" w:color="auto"/>
              <w:bottom w:val="single" w:sz="4" w:space="0" w:color="auto"/>
            </w:tcBorders>
            <w:shd w:val="clear" w:color="auto" w:fill="auto"/>
          </w:tcPr>
          <w:p w14:paraId="07EA4770" w14:textId="7F7DABDB" w:rsidR="00A84530" w:rsidRPr="00B35A22" w:rsidRDefault="00A84530" w:rsidP="00B35A22">
            <w:pPr>
              <w:widowControl w:val="0"/>
              <w:jc w:val="both"/>
              <w:rPr>
                <w:b/>
                <w:sz w:val="22"/>
                <w:lang w:val="sr-Latn-ME"/>
              </w:rPr>
            </w:pPr>
            <w:r w:rsidRPr="00B35A22">
              <w:rPr>
                <w:b/>
                <w:sz w:val="22"/>
                <w:szCs w:val="22"/>
                <w:lang w:val="sr-Latn-ME" w:eastAsia="sr-Latn-ME"/>
              </w:rPr>
              <w:t>Mjera ishoda za efikasnost</w:t>
            </w:r>
          </w:p>
        </w:tc>
        <w:tc>
          <w:tcPr>
            <w:tcW w:w="1212" w:type="pct"/>
            <w:tcBorders>
              <w:top w:val="single" w:sz="4" w:space="0" w:color="auto"/>
              <w:bottom w:val="single" w:sz="4" w:space="0" w:color="auto"/>
            </w:tcBorders>
            <w:shd w:val="clear" w:color="auto" w:fill="auto"/>
          </w:tcPr>
          <w:p w14:paraId="45D91E49" w14:textId="77777777" w:rsidR="00A84530" w:rsidRPr="00B35A22" w:rsidRDefault="00A84530" w:rsidP="00B35A22">
            <w:pPr>
              <w:widowControl w:val="0"/>
              <w:jc w:val="center"/>
              <w:rPr>
                <w:b/>
                <w:sz w:val="22"/>
                <w:szCs w:val="22"/>
                <w:lang w:val="sr-Latn-ME" w:eastAsia="sr-Latn-ME"/>
              </w:rPr>
            </w:pPr>
            <w:r w:rsidRPr="00B35A22">
              <w:rPr>
                <w:b/>
                <w:sz w:val="22"/>
                <w:szCs w:val="22"/>
                <w:lang w:val="sr-Latn-ME" w:eastAsia="sr-Latn-ME"/>
              </w:rPr>
              <w:t>Grupa A</w:t>
            </w:r>
          </w:p>
          <w:p w14:paraId="79E47B11" w14:textId="356BA3B2" w:rsidR="00A84530" w:rsidRPr="00B35A22" w:rsidRDefault="00A84530" w:rsidP="00B35A22">
            <w:pPr>
              <w:widowControl w:val="0"/>
              <w:jc w:val="center"/>
              <w:rPr>
                <w:sz w:val="22"/>
                <w:lang w:val="sr-Latn-ME"/>
              </w:rPr>
            </w:pPr>
            <w:r w:rsidRPr="00B35A22">
              <w:rPr>
                <w:sz w:val="22"/>
                <w:szCs w:val="22"/>
                <w:lang w:val="sr-Latn-ME" w:eastAsia="sr-Latn-ME"/>
              </w:rPr>
              <w:t>(atezolizumab)</w:t>
            </w:r>
          </w:p>
        </w:tc>
        <w:tc>
          <w:tcPr>
            <w:tcW w:w="1360" w:type="pct"/>
            <w:gridSpan w:val="2"/>
            <w:tcBorders>
              <w:top w:val="single" w:sz="4" w:space="0" w:color="auto"/>
              <w:bottom w:val="single" w:sz="4" w:space="0" w:color="auto"/>
            </w:tcBorders>
            <w:shd w:val="clear" w:color="auto" w:fill="auto"/>
          </w:tcPr>
          <w:p w14:paraId="01829B22" w14:textId="77777777" w:rsidR="00A84530" w:rsidRPr="00B35A22" w:rsidRDefault="00A84530" w:rsidP="00B35A22">
            <w:pPr>
              <w:widowControl w:val="0"/>
              <w:jc w:val="center"/>
              <w:rPr>
                <w:b/>
                <w:sz w:val="22"/>
                <w:szCs w:val="22"/>
                <w:lang w:val="sr-Latn-ME" w:eastAsia="sr-Latn-ME"/>
              </w:rPr>
            </w:pPr>
            <w:r w:rsidRPr="00B35A22">
              <w:rPr>
                <w:b/>
                <w:sz w:val="22"/>
                <w:szCs w:val="22"/>
                <w:lang w:val="sr-Latn-ME" w:eastAsia="sr-Latn-ME"/>
              </w:rPr>
              <w:t>Grupa B</w:t>
            </w:r>
          </w:p>
          <w:p w14:paraId="6616117C" w14:textId="0A862073" w:rsidR="00A84530" w:rsidRPr="00B35A22" w:rsidRDefault="00A84530" w:rsidP="00B35A22">
            <w:pPr>
              <w:widowControl w:val="0"/>
              <w:jc w:val="center"/>
              <w:rPr>
                <w:b/>
                <w:sz w:val="22"/>
                <w:lang w:val="sr-Latn-ME"/>
              </w:rPr>
            </w:pPr>
            <w:r w:rsidRPr="00B35A22">
              <w:rPr>
                <w:sz w:val="22"/>
                <w:szCs w:val="22"/>
                <w:lang w:val="sr-Latn-ME" w:eastAsia="sr-Latn-ME"/>
              </w:rPr>
              <w:t>(najbolja potporna njega)</w:t>
            </w:r>
          </w:p>
        </w:tc>
      </w:tr>
      <w:tr w:rsidR="00A84530" w:rsidRPr="00B35A22" w14:paraId="213C4852" w14:textId="77777777" w:rsidTr="00B35A22">
        <w:trPr>
          <w:trHeight w:hRule="exact" w:val="340"/>
        </w:trPr>
        <w:tc>
          <w:tcPr>
            <w:tcW w:w="2428" w:type="pct"/>
            <w:tcBorders>
              <w:top w:val="single" w:sz="4" w:space="0" w:color="auto"/>
              <w:bottom w:val="single" w:sz="4" w:space="0" w:color="auto"/>
            </w:tcBorders>
          </w:tcPr>
          <w:p w14:paraId="431B6AA0" w14:textId="3E8F7768" w:rsidR="00A84530" w:rsidRPr="00B35A22" w:rsidRDefault="00A84530" w:rsidP="00B35A22">
            <w:pPr>
              <w:widowControl w:val="0"/>
              <w:jc w:val="both"/>
              <w:rPr>
                <w:b/>
                <w:i/>
                <w:sz w:val="22"/>
                <w:lang w:val="sr-Latn-ME"/>
              </w:rPr>
            </w:pPr>
            <w:r w:rsidRPr="00B35A22">
              <w:rPr>
                <w:b/>
                <w:i/>
                <w:sz w:val="22"/>
                <w:szCs w:val="22"/>
                <w:lang w:val="sr-Latn-ME" w:eastAsia="sr-Latn-ME"/>
              </w:rPr>
              <w:t>DFS prema procjeni istraživača</w:t>
            </w:r>
          </w:p>
        </w:tc>
        <w:tc>
          <w:tcPr>
            <w:tcW w:w="1212" w:type="pct"/>
            <w:tcBorders>
              <w:top w:val="single" w:sz="4" w:space="0" w:color="auto"/>
              <w:bottom w:val="single" w:sz="4" w:space="0" w:color="auto"/>
            </w:tcBorders>
          </w:tcPr>
          <w:p w14:paraId="7C4D8BA4" w14:textId="77777777" w:rsidR="00A84530" w:rsidRPr="00B35A22" w:rsidRDefault="00A84530" w:rsidP="00B35A22">
            <w:pPr>
              <w:widowControl w:val="0"/>
              <w:jc w:val="center"/>
              <w:rPr>
                <w:sz w:val="22"/>
                <w:szCs w:val="22"/>
                <w:lang w:val="sr-Latn-ME" w:eastAsia="sr-Latn-ME"/>
              </w:rPr>
            </w:pPr>
            <w:r w:rsidRPr="00B35A22">
              <w:rPr>
                <w:sz w:val="22"/>
                <w:szCs w:val="22"/>
                <w:lang w:val="sr-Latn-ME" w:eastAsia="sr-Latn-ME"/>
              </w:rPr>
              <w:t>n = 106</w:t>
            </w:r>
          </w:p>
          <w:p w14:paraId="727EB878" w14:textId="77777777" w:rsidR="00A84530" w:rsidRPr="00B35A22" w:rsidRDefault="00A84530" w:rsidP="00B35A22">
            <w:pPr>
              <w:widowControl w:val="0"/>
              <w:jc w:val="center"/>
              <w:rPr>
                <w:sz w:val="22"/>
                <w:lang w:val="sr-Latn-ME"/>
              </w:rPr>
            </w:pPr>
          </w:p>
        </w:tc>
        <w:tc>
          <w:tcPr>
            <w:tcW w:w="1360" w:type="pct"/>
            <w:gridSpan w:val="2"/>
            <w:tcBorders>
              <w:top w:val="single" w:sz="4" w:space="0" w:color="auto"/>
              <w:bottom w:val="single" w:sz="4" w:space="0" w:color="auto"/>
            </w:tcBorders>
          </w:tcPr>
          <w:p w14:paraId="19861002" w14:textId="77777777" w:rsidR="00A84530" w:rsidRPr="00B35A22" w:rsidRDefault="00A84530" w:rsidP="00B35A22">
            <w:pPr>
              <w:widowControl w:val="0"/>
              <w:jc w:val="center"/>
              <w:rPr>
                <w:sz w:val="22"/>
                <w:szCs w:val="22"/>
                <w:lang w:val="sr-Latn-ME" w:eastAsia="sr-Latn-ME"/>
              </w:rPr>
            </w:pPr>
            <w:r w:rsidRPr="00B35A22">
              <w:rPr>
                <w:sz w:val="22"/>
                <w:szCs w:val="22"/>
                <w:lang w:val="sr-Latn-ME" w:eastAsia="sr-Latn-ME"/>
              </w:rPr>
              <w:t>n = 103</w:t>
            </w:r>
          </w:p>
          <w:p w14:paraId="4855DE41" w14:textId="77777777" w:rsidR="00A84530" w:rsidRPr="00B35A22" w:rsidRDefault="00A84530" w:rsidP="00B35A22">
            <w:pPr>
              <w:widowControl w:val="0"/>
              <w:jc w:val="center"/>
              <w:rPr>
                <w:sz w:val="22"/>
                <w:lang w:val="sr-Latn-ME"/>
              </w:rPr>
            </w:pPr>
          </w:p>
        </w:tc>
      </w:tr>
      <w:tr w:rsidR="00A84530" w:rsidRPr="00B35A22" w14:paraId="0CE8351D" w14:textId="77777777" w:rsidTr="00B35A22">
        <w:trPr>
          <w:trHeight w:hRule="exact" w:val="340"/>
        </w:trPr>
        <w:tc>
          <w:tcPr>
            <w:tcW w:w="2428" w:type="pct"/>
            <w:tcBorders>
              <w:top w:val="single" w:sz="4" w:space="0" w:color="auto"/>
            </w:tcBorders>
          </w:tcPr>
          <w:p w14:paraId="20AF4111" w14:textId="65CB961F" w:rsidR="00A84530" w:rsidRPr="00B35A22" w:rsidRDefault="00A84530" w:rsidP="00B35A22">
            <w:pPr>
              <w:widowControl w:val="0"/>
              <w:jc w:val="both"/>
              <w:rPr>
                <w:sz w:val="22"/>
                <w:lang w:val="sr-Latn-ME"/>
              </w:rPr>
            </w:pPr>
            <w:r w:rsidRPr="00B35A22">
              <w:rPr>
                <w:sz w:val="22"/>
                <w:szCs w:val="22"/>
                <w:lang w:val="sr-Latn-ME" w:eastAsia="sr-Latn-ME"/>
              </w:rPr>
              <w:t xml:space="preserve">Broj događaja (%) </w:t>
            </w:r>
          </w:p>
        </w:tc>
        <w:tc>
          <w:tcPr>
            <w:tcW w:w="1212" w:type="pct"/>
            <w:tcBorders>
              <w:top w:val="single" w:sz="4" w:space="0" w:color="auto"/>
            </w:tcBorders>
          </w:tcPr>
          <w:p w14:paraId="7E5FE364" w14:textId="2EE51438" w:rsidR="00A84530" w:rsidRPr="00B35A22" w:rsidRDefault="00A84530" w:rsidP="00B35A22">
            <w:pPr>
              <w:widowControl w:val="0"/>
              <w:jc w:val="center"/>
              <w:rPr>
                <w:sz w:val="22"/>
                <w:lang w:val="sr-Latn-ME"/>
              </w:rPr>
            </w:pPr>
            <w:r w:rsidRPr="00B35A22">
              <w:rPr>
                <w:sz w:val="22"/>
                <w:szCs w:val="22"/>
                <w:lang w:val="sr-Latn-ME" w:eastAsia="sr-Latn-ME"/>
              </w:rPr>
              <w:t>34 (32,1%)</w:t>
            </w:r>
          </w:p>
        </w:tc>
        <w:tc>
          <w:tcPr>
            <w:tcW w:w="1360" w:type="pct"/>
            <w:gridSpan w:val="2"/>
            <w:tcBorders>
              <w:top w:val="single" w:sz="4" w:space="0" w:color="auto"/>
            </w:tcBorders>
          </w:tcPr>
          <w:p w14:paraId="773B4FC2" w14:textId="77777777" w:rsidR="00A84530" w:rsidRPr="00B35A22" w:rsidRDefault="00A84530" w:rsidP="00B35A22">
            <w:pPr>
              <w:widowControl w:val="0"/>
              <w:jc w:val="center"/>
              <w:rPr>
                <w:sz w:val="22"/>
                <w:szCs w:val="22"/>
                <w:lang w:val="sr-Latn-ME" w:eastAsia="sr-Latn-ME"/>
              </w:rPr>
            </w:pPr>
            <w:r w:rsidRPr="00B35A22">
              <w:rPr>
                <w:sz w:val="22"/>
                <w:szCs w:val="22"/>
                <w:lang w:val="sr-Latn-ME" w:eastAsia="sr-Latn-ME"/>
              </w:rPr>
              <w:t>55 (53,4%)</w:t>
            </w:r>
          </w:p>
          <w:p w14:paraId="7D5A5127" w14:textId="77777777" w:rsidR="00A84530" w:rsidRPr="00B35A22" w:rsidRDefault="00A84530" w:rsidP="00B35A22">
            <w:pPr>
              <w:widowControl w:val="0"/>
              <w:jc w:val="center"/>
              <w:rPr>
                <w:sz w:val="22"/>
                <w:lang w:val="sr-Latn-ME"/>
              </w:rPr>
            </w:pPr>
          </w:p>
        </w:tc>
      </w:tr>
      <w:tr w:rsidR="00A84530" w:rsidRPr="00B35A22" w14:paraId="577AE9FE" w14:textId="77777777" w:rsidTr="00B35A22">
        <w:trPr>
          <w:trHeight w:hRule="exact" w:val="340"/>
        </w:trPr>
        <w:tc>
          <w:tcPr>
            <w:tcW w:w="2428" w:type="pct"/>
          </w:tcPr>
          <w:p w14:paraId="16A124EF" w14:textId="1113698C" w:rsidR="00A84530" w:rsidRPr="00B35A22" w:rsidRDefault="00A84530" w:rsidP="00B35A22">
            <w:pPr>
              <w:widowControl w:val="0"/>
              <w:jc w:val="both"/>
              <w:rPr>
                <w:sz w:val="22"/>
                <w:lang w:val="sr-Latn-ME"/>
              </w:rPr>
            </w:pPr>
            <w:r w:rsidRPr="00B35A22">
              <w:rPr>
                <w:sz w:val="22"/>
                <w:szCs w:val="22"/>
                <w:lang w:val="sr-Latn-ME" w:eastAsia="sr-Latn-ME"/>
              </w:rPr>
              <w:t>Medijana trajanja DFS</w:t>
            </w:r>
            <w:r w:rsidRPr="00B35A22">
              <w:rPr>
                <w:sz w:val="22"/>
                <w:szCs w:val="22"/>
                <w:lang w:val="sr-Latn-ME" w:eastAsia="sr-Latn-ME"/>
              </w:rPr>
              <w:noBreakHyphen/>
              <w:t>a (mjeseci)</w:t>
            </w:r>
          </w:p>
        </w:tc>
        <w:tc>
          <w:tcPr>
            <w:tcW w:w="1212" w:type="pct"/>
          </w:tcPr>
          <w:p w14:paraId="3F12A63D" w14:textId="091A855C" w:rsidR="00A84530" w:rsidRPr="00B35A22" w:rsidRDefault="00A84530" w:rsidP="00B35A22">
            <w:pPr>
              <w:widowControl w:val="0"/>
              <w:jc w:val="center"/>
              <w:rPr>
                <w:sz w:val="22"/>
                <w:lang w:val="sr-Latn-ME"/>
              </w:rPr>
            </w:pPr>
            <w:r w:rsidRPr="00B35A22">
              <w:rPr>
                <w:sz w:val="22"/>
                <w:szCs w:val="22"/>
                <w:lang w:val="sr-Latn-ME" w:eastAsia="sr-Latn-ME"/>
              </w:rPr>
              <w:t>NP</w:t>
            </w:r>
          </w:p>
        </w:tc>
        <w:tc>
          <w:tcPr>
            <w:tcW w:w="1360" w:type="pct"/>
            <w:gridSpan w:val="2"/>
          </w:tcPr>
          <w:p w14:paraId="49803B97" w14:textId="563FAD7A" w:rsidR="00A84530" w:rsidRPr="00B35A22" w:rsidRDefault="00A84530" w:rsidP="00B35A22">
            <w:pPr>
              <w:widowControl w:val="0"/>
              <w:jc w:val="center"/>
              <w:rPr>
                <w:sz w:val="22"/>
                <w:lang w:val="sr-Latn-ME"/>
              </w:rPr>
            </w:pPr>
            <w:r w:rsidRPr="00B35A22">
              <w:rPr>
                <w:sz w:val="22"/>
                <w:szCs w:val="22"/>
                <w:lang w:val="sr-Latn-ME" w:eastAsia="sr-Latn-ME"/>
              </w:rPr>
              <w:t>42,9</w:t>
            </w:r>
          </w:p>
        </w:tc>
      </w:tr>
      <w:tr w:rsidR="00A84530" w:rsidRPr="00B35A22" w14:paraId="5977147E" w14:textId="77777777" w:rsidTr="00B35A22">
        <w:trPr>
          <w:trHeight w:hRule="exact" w:val="340"/>
        </w:trPr>
        <w:tc>
          <w:tcPr>
            <w:tcW w:w="2428" w:type="pct"/>
          </w:tcPr>
          <w:p w14:paraId="216FA2D2" w14:textId="6411AF73" w:rsidR="00A84530" w:rsidRPr="00B35A22" w:rsidRDefault="00A84530" w:rsidP="00B35A22">
            <w:pPr>
              <w:widowControl w:val="0"/>
              <w:jc w:val="both"/>
              <w:rPr>
                <w:sz w:val="22"/>
                <w:lang w:val="sr-Latn-ME"/>
              </w:rPr>
            </w:pPr>
            <w:r w:rsidRPr="00B35A22">
              <w:rPr>
                <w:sz w:val="22"/>
                <w:szCs w:val="22"/>
                <w:lang w:val="sr-Latn-ME" w:eastAsia="sr-Latn-ME"/>
              </w:rPr>
              <w:t>95% CI</w:t>
            </w:r>
          </w:p>
        </w:tc>
        <w:tc>
          <w:tcPr>
            <w:tcW w:w="1212" w:type="pct"/>
          </w:tcPr>
          <w:p w14:paraId="52C61B32" w14:textId="5D3946F6" w:rsidR="00A84530" w:rsidRPr="00B35A22" w:rsidRDefault="00A84530" w:rsidP="00B35A22">
            <w:pPr>
              <w:widowControl w:val="0"/>
              <w:jc w:val="center"/>
              <w:rPr>
                <w:sz w:val="22"/>
                <w:lang w:val="sr-Latn-ME"/>
              </w:rPr>
            </w:pPr>
            <w:r w:rsidRPr="00B35A22">
              <w:rPr>
                <w:sz w:val="22"/>
                <w:szCs w:val="22"/>
                <w:lang w:val="sr-Latn-ME" w:eastAsia="sr-Latn-ME"/>
              </w:rPr>
              <w:t>(NP)</w:t>
            </w:r>
          </w:p>
        </w:tc>
        <w:tc>
          <w:tcPr>
            <w:tcW w:w="1360" w:type="pct"/>
            <w:gridSpan w:val="2"/>
          </w:tcPr>
          <w:p w14:paraId="150E1CE4" w14:textId="1504F09F" w:rsidR="00A84530" w:rsidRPr="00B35A22" w:rsidRDefault="00A84530" w:rsidP="00B35A22">
            <w:pPr>
              <w:widowControl w:val="0"/>
              <w:jc w:val="center"/>
              <w:rPr>
                <w:sz w:val="22"/>
                <w:lang w:val="sr-Latn-ME"/>
              </w:rPr>
            </w:pPr>
            <w:r w:rsidRPr="00B35A22">
              <w:rPr>
                <w:sz w:val="22"/>
                <w:szCs w:val="22"/>
                <w:lang w:val="sr-Latn-ME" w:eastAsia="sr-Latn-ME"/>
              </w:rPr>
              <w:t>(32,0; NP)</w:t>
            </w:r>
          </w:p>
        </w:tc>
      </w:tr>
      <w:tr w:rsidR="00A84530" w:rsidRPr="00B35A22" w14:paraId="7C61FAB2" w14:textId="77777777" w:rsidTr="00B35A22">
        <w:trPr>
          <w:trHeight w:hRule="exact" w:val="340"/>
        </w:trPr>
        <w:tc>
          <w:tcPr>
            <w:tcW w:w="2428" w:type="pct"/>
            <w:tcBorders>
              <w:bottom w:val="single" w:sz="4" w:space="0" w:color="auto"/>
            </w:tcBorders>
          </w:tcPr>
          <w:p w14:paraId="485A126B" w14:textId="41CABC79" w:rsidR="00A84530" w:rsidRPr="00B35A22" w:rsidRDefault="00A84530" w:rsidP="00B35A22">
            <w:pPr>
              <w:widowControl w:val="0"/>
              <w:jc w:val="both"/>
              <w:rPr>
                <w:sz w:val="22"/>
                <w:lang w:val="sr-Latn-ME"/>
              </w:rPr>
            </w:pPr>
            <w:r w:rsidRPr="00B35A22">
              <w:rPr>
                <w:sz w:val="22"/>
                <w:szCs w:val="22"/>
                <w:lang w:val="sr-Latn-ME" w:eastAsia="sr-Latn-ME"/>
              </w:rPr>
              <w:t>Stratifikovan odnos rizika (95% CI)</w:t>
            </w:r>
          </w:p>
        </w:tc>
        <w:tc>
          <w:tcPr>
            <w:tcW w:w="2572" w:type="pct"/>
            <w:gridSpan w:val="3"/>
            <w:tcBorders>
              <w:bottom w:val="single" w:sz="4" w:space="0" w:color="auto"/>
            </w:tcBorders>
          </w:tcPr>
          <w:p w14:paraId="42817B3F" w14:textId="28D8E113" w:rsidR="00A84530" w:rsidRPr="00B35A22" w:rsidRDefault="00A84530" w:rsidP="00B35A22">
            <w:pPr>
              <w:widowControl w:val="0"/>
              <w:jc w:val="center"/>
              <w:rPr>
                <w:sz w:val="22"/>
                <w:lang w:val="sr-Latn-ME"/>
              </w:rPr>
            </w:pPr>
            <w:r w:rsidRPr="00B35A22">
              <w:rPr>
                <w:sz w:val="22"/>
                <w:szCs w:val="22"/>
                <w:lang w:val="sr-Latn-ME" w:eastAsia="sr-Latn-ME"/>
              </w:rPr>
              <w:t>0,52 (0,33; 0,80)</w:t>
            </w:r>
          </w:p>
        </w:tc>
      </w:tr>
      <w:tr w:rsidR="00A84530" w:rsidRPr="00B35A22" w14:paraId="607C5F3C" w14:textId="77777777" w:rsidTr="00B35A22">
        <w:trPr>
          <w:trHeight w:hRule="exact" w:val="340"/>
        </w:trPr>
        <w:tc>
          <w:tcPr>
            <w:tcW w:w="2428" w:type="pct"/>
            <w:tcBorders>
              <w:top w:val="single" w:sz="4" w:space="0" w:color="auto"/>
              <w:bottom w:val="single" w:sz="4" w:space="0" w:color="auto"/>
            </w:tcBorders>
          </w:tcPr>
          <w:p w14:paraId="55DB848F" w14:textId="77777777" w:rsidR="00A84530" w:rsidRPr="00B35A22" w:rsidRDefault="00A84530" w:rsidP="00B35A22">
            <w:pPr>
              <w:widowControl w:val="0"/>
              <w:jc w:val="both"/>
              <w:rPr>
                <w:sz w:val="22"/>
                <w:lang w:val="sr-Latn-ME"/>
              </w:rPr>
            </w:pPr>
            <w:r w:rsidRPr="00B35A22">
              <w:rPr>
                <w:b/>
                <w:i/>
                <w:sz w:val="22"/>
                <w:lang w:val="sr-Latn-ME"/>
              </w:rPr>
              <w:t>OS</w:t>
            </w:r>
            <w:r w:rsidRPr="00B35A22">
              <w:rPr>
                <w:b/>
                <w:i/>
                <w:sz w:val="22"/>
                <w:vertAlign w:val="superscript"/>
                <w:lang w:val="sr-Latn-ME"/>
              </w:rPr>
              <w:t>*</w:t>
            </w:r>
          </w:p>
        </w:tc>
        <w:tc>
          <w:tcPr>
            <w:tcW w:w="1286" w:type="pct"/>
            <w:gridSpan w:val="2"/>
            <w:tcBorders>
              <w:top w:val="single" w:sz="4" w:space="0" w:color="auto"/>
              <w:bottom w:val="single" w:sz="4" w:space="0" w:color="auto"/>
            </w:tcBorders>
          </w:tcPr>
          <w:p w14:paraId="61795291" w14:textId="77777777" w:rsidR="00A84530" w:rsidRPr="00B35A22" w:rsidRDefault="00A84530" w:rsidP="00B35A22">
            <w:pPr>
              <w:widowControl w:val="0"/>
              <w:jc w:val="center"/>
              <w:rPr>
                <w:sz w:val="22"/>
                <w:lang w:val="sr-Latn-ME"/>
              </w:rPr>
            </w:pPr>
            <w:r w:rsidRPr="00B35A22">
              <w:rPr>
                <w:sz w:val="22"/>
                <w:lang w:val="sr-Latn-ME"/>
              </w:rPr>
              <w:t>n=106</w:t>
            </w:r>
          </w:p>
        </w:tc>
        <w:tc>
          <w:tcPr>
            <w:tcW w:w="1286" w:type="pct"/>
            <w:tcBorders>
              <w:top w:val="single" w:sz="4" w:space="0" w:color="auto"/>
              <w:bottom w:val="single" w:sz="4" w:space="0" w:color="auto"/>
            </w:tcBorders>
          </w:tcPr>
          <w:p w14:paraId="06615EBE" w14:textId="77777777" w:rsidR="00A84530" w:rsidRPr="00B35A22" w:rsidRDefault="00A84530" w:rsidP="00B35A22">
            <w:pPr>
              <w:widowControl w:val="0"/>
              <w:jc w:val="center"/>
              <w:rPr>
                <w:sz w:val="22"/>
                <w:lang w:val="sr-Latn-ME"/>
              </w:rPr>
            </w:pPr>
            <w:r w:rsidRPr="00B35A22">
              <w:rPr>
                <w:sz w:val="22"/>
                <w:lang w:val="sr-Latn-ME"/>
              </w:rPr>
              <w:t>n=103</w:t>
            </w:r>
          </w:p>
        </w:tc>
      </w:tr>
      <w:tr w:rsidR="00A84530" w:rsidRPr="00B35A22" w14:paraId="61D42DED" w14:textId="77777777" w:rsidTr="00B35A22">
        <w:trPr>
          <w:trHeight w:hRule="exact" w:val="340"/>
        </w:trPr>
        <w:tc>
          <w:tcPr>
            <w:tcW w:w="2428" w:type="pct"/>
            <w:tcBorders>
              <w:top w:val="single" w:sz="4" w:space="0" w:color="auto"/>
              <w:bottom w:val="nil"/>
            </w:tcBorders>
          </w:tcPr>
          <w:p w14:paraId="1E5E7430" w14:textId="273F7642" w:rsidR="00A84530" w:rsidRPr="00B35A22" w:rsidRDefault="00A84530" w:rsidP="00B35A22">
            <w:pPr>
              <w:widowControl w:val="0"/>
              <w:jc w:val="both"/>
              <w:rPr>
                <w:sz w:val="22"/>
                <w:lang w:val="sr-Latn-ME"/>
              </w:rPr>
            </w:pPr>
            <w:r w:rsidRPr="00B35A22">
              <w:rPr>
                <w:sz w:val="22"/>
                <w:lang w:val="sr-Latn-ME"/>
              </w:rPr>
              <w:t xml:space="preserve">Broj događaja (%) </w:t>
            </w:r>
          </w:p>
        </w:tc>
        <w:tc>
          <w:tcPr>
            <w:tcW w:w="1286" w:type="pct"/>
            <w:gridSpan w:val="2"/>
            <w:tcBorders>
              <w:top w:val="single" w:sz="4" w:space="0" w:color="auto"/>
              <w:bottom w:val="nil"/>
            </w:tcBorders>
          </w:tcPr>
          <w:p w14:paraId="289C24CA" w14:textId="77777777" w:rsidR="00A84530" w:rsidRPr="00B35A22" w:rsidRDefault="00A84530" w:rsidP="00B35A22">
            <w:pPr>
              <w:widowControl w:val="0"/>
              <w:jc w:val="center"/>
              <w:rPr>
                <w:sz w:val="22"/>
                <w:lang w:val="sr-Latn-ME"/>
              </w:rPr>
            </w:pPr>
            <w:r w:rsidRPr="00B35A22">
              <w:rPr>
                <w:sz w:val="22"/>
                <w:lang w:val="sr-Latn-ME"/>
              </w:rPr>
              <w:t>22 (20.8%)</w:t>
            </w:r>
          </w:p>
        </w:tc>
        <w:tc>
          <w:tcPr>
            <w:tcW w:w="1286" w:type="pct"/>
            <w:tcBorders>
              <w:top w:val="single" w:sz="4" w:space="0" w:color="auto"/>
              <w:bottom w:val="nil"/>
            </w:tcBorders>
          </w:tcPr>
          <w:p w14:paraId="093C1A93" w14:textId="77777777" w:rsidR="00A84530" w:rsidRPr="00B35A22" w:rsidRDefault="00A84530" w:rsidP="00B35A22">
            <w:pPr>
              <w:widowControl w:val="0"/>
              <w:jc w:val="center"/>
              <w:rPr>
                <w:sz w:val="22"/>
                <w:lang w:val="sr-Latn-ME"/>
              </w:rPr>
            </w:pPr>
            <w:r w:rsidRPr="00B35A22">
              <w:rPr>
                <w:sz w:val="22"/>
                <w:lang w:val="sr-Latn-ME"/>
              </w:rPr>
              <w:t>41 (39.8%)</w:t>
            </w:r>
          </w:p>
        </w:tc>
      </w:tr>
      <w:tr w:rsidR="00A84530" w:rsidRPr="00B35A22" w14:paraId="574465FF" w14:textId="77777777" w:rsidTr="00B35A22">
        <w:trPr>
          <w:trHeight w:hRule="exact" w:val="340"/>
        </w:trPr>
        <w:tc>
          <w:tcPr>
            <w:tcW w:w="2428" w:type="pct"/>
            <w:tcBorders>
              <w:top w:val="nil"/>
            </w:tcBorders>
          </w:tcPr>
          <w:p w14:paraId="23F2C39A" w14:textId="5028E923" w:rsidR="00A84530" w:rsidRPr="00B35A22" w:rsidRDefault="00A84530" w:rsidP="00B35A22">
            <w:pPr>
              <w:widowControl w:val="0"/>
              <w:jc w:val="both"/>
              <w:rPr>
                <w:sz w:val="22"/>
                <w:lang w:val="sr-Latn-ME"/>
              </w:rPr>
            </w:pPr>
            <w:r w:rsidRPr="00B35A22">
              <w:rPr>
                <w:sz w:val="22"/>
                <w:lang w:val="sr-Latn-ME"/>
              </w:rPr>
              <w:t>Medijana trajanja OS-a (mjeseci)</w:t>
            </w:r>
          </w:p>
          <w:p w14:paraId="3346B101" w14:textId="77777777" w:rsidR="00A84530" w:rsidRPr="00B35A22" w:rsidRDefault="00A84530" w:rsidP="00B35A22">
            <w:pPr>
              <w:widowControl w:val="0"/>
              <w:jc w:val="both"/>
              <w:rPr>
                <w:sz w:val="22"/>
                <w:lang w:val="sr-Latn-ME"/>
              </w:rPr>
            </w:pPr>
          </w:p>
        </w:tc>
        <w:tc>
          <w:tcPr>
            <w:tcW w:w="1286" w:type="pct"/>
            <w:gridSpan w:val="2"/>
            <w:tcBorders>
              <w:top w:val="nil"/>
            </w:tcBorders>
          </w:tcPr>
          <w:p w14:paraId="3A0146D6" w14:textId="0F871321" w:rsidR="00A84530" w:rsidRPr="00B35A22" w:rsidRDefault="00A84530" w:rsidP="00B35A22">
            <w:pPr>
              <w:widowControl w:val="0"/>
              <w:jc w:val="center"/>
              <w:rPr>
                <w:sz w:val="22"/>
                <w:lang w:val="sr-Latn-ME"/>
              </w:rPr>
            </w:pPr>
            <w:r w:rsidRPr="00B35A22">
              <w:rPr>
                <w:sz w:val="22"/>
                <w:lang w:val="sr-Latn-ME"/>
              </w:rPr>
              <w:t>NP</w:t>
            </w:r>
          </w:p>
        </w:tc>
        <w:tc>
          <w:tcPr>
            <w:tcW w:w="1286" w:type="pct"/>
            <w:tcBorders>
              <w:top w:val="nil"/>
            </w:tcBorders>
          </w:tcPr>
          <w:p w14:paraId="5E07408E" w14:textId="1769B660" w:rsidR="00A84530" w:rsidRPr="00B35A22" w:rsidRDefault="00A84530" w:rsidP="00B35A22">
            <w:pPr>
              <w:widowControl w:val="0"/>
              <w:jc w:val="center"/>
              <w:rPr>
                <w:sz w:val="22"/>
                <w:lang w:val="sr-Latn-ME"/>
              </w:rPr>
            </w:pPr>
            <w:r w:rsidRPr="00B35A22">
              <w:rPr>
                <w:sz w:val="22"/>
                <w:lang w:val="sr-Latn-ME"/>
              </w:rPr>
              <w:t>87.1</w:t>
            </w:r>
          </w:p>
        </w:tc>
      </w:tr>
      <w:tr w:rsidR="00A84530" w:rsidRPr="00B35A22" w14:paraId="12D3C504" w14:textId="77777777" w:rsidTr="00B35A22">
        <w:trPr>
          <w:trHeight w:hRule="exact" w:val="340"/>
        </w:trPr>
        <w:tc>
          <w:tcPr>
            <w:tcW w:w="2428" w:type="pct"/>
          </w:tcPr>
          <w:p w14:paraId="7609BC61" w14:textId="77777777" w:rsidR="00A84530" w:rsidRPr="00B35A22" w:rsidRDefault="00A84530" w:rsidP="00B35A22">
            <w:pPr>
              <w:widowControl w:val="0"/>
              <w:jc w:val="both"/>
              <w:rPr>
                <w:sz w:val="22"/>
                <w:lang w:val="sr-Latn-ME"/>
              </w:rPr>
            </w:pPr>
            <w:r w:rsidRPr="00B35A22">
              <w:rPr>
                <w:sz w:val="22"/>
                <w:lang w:val="sr-Latn-ME"/>
              </w:rPr>
              <w:t>95% CI</w:t>
            </w:r>
          </w:p>
        </w:tc>
        <w:tc>
          <w:tcPr>
            <w:tcW w:w="1286" w:type="pct"/>
            <w:gridSpan w:val="2"/>
          </w:tcPr>
          <w:p w14:paraId="6E8CBFC9" w14:textId="43B18AE3" w:rsidR="00A84530" w:rsidRPr="00B35A22" w:rsidRDefault="00A84530" w:rsidP="00B35A22">
            <w:pPr>
              <w:widowControl w:val="0"/>
              <w:jc w:val="center"/>
              <w:rPr>
                <w:sz w:val="22"/>
                <w:lang w:val="sr-Latn-ME"/>
              </w:rPr>
            </w:pPr>
            <w:r w:rsidRPr="00B35A22">
              <w:rPr>
                <w:sz w:val="22"/>
                <w:lang w:val="sr-Latn-ME"/>
              </w:rPr>
              <w:t>(NP)</w:t>
            </w:r>
          </w:p>
        </w:tc>
        <w:tc>
          <w:tcPr>
            <w:tcW w:w="1286" w:type="pct"/>
          </w:tcPr>
          <w:p w14:paraId="28A66740" w14:textId="3F862CE8" w:rsidR="00A84530" w:rsidRPr="00B35A22" w:rsidRDefault="00A84530" w:rsidP="00B35A22">
            <w:pPr>
              <w:widowControl w:val="0"/>
              <w:jc w:val="center"/>
              <w:rPr>
                <w:sz w:val="22"/>
                <w:lang w:val="sr-Latn-ME"/>
              </w:rPr>
            </w:pPr>
            <w:r w:rsidRPr="00B35A22">
              <w:rPr>
                <w:sz w:val="22"/>
                <w:lang w:val="sr-Latn-ME"/>
              </w:rPr>
              <w:t>(72.0, NP)</w:t>
            </w:r>
          </w:p>
        </w:tc>
      </w:tr>
      <w:tr w:rsidR="00A84530" w:rsidRPr="00B35A22" w14:paraId="3B670199" w14:textId="77777777" w:rsidTr="00B35A22">
        <w:trPr>
          <w:trHeight w:hRule="exact" w:val="340"/>
        </w:trPr>
        <w:tc>
          <w:tcPr>
            <w:tcW w:w="2428" w:type="pct"/>
          </w:tcPr>
          <w:p w14:paraId="6139D7DC" w14:textId="2E05776E" w:rsidR="00A84530" w:rsidRPr="00B35A22" w:rsidRDefault="00A84530" w:rsidP="00B35A22">
            <w:pPr>
              <w:widowControl w:val="0"/>
              <w:jc w:val="both"/>
              <w:rPr>
                <w:sz w:val="22"/>
                <w:lang w:val="sr-Latn-ME"/>
              </w:rPr>
            </w:pPr>
            <w:r w:rsidRPr="00B35A22">
              <w:rPr>
                <w:sz w:val="22"/>
                <w:lang w:val="sr-Latn-ME"/>
              </w:rPr>
              <w:t>Stratifikovani odnos rizika (95% CI)</w:t>
            </w:r>
          </w:p>
        </w:tc>
        <w:tc>
          <w:tcPr>
            <w:tcW w:w="2572" w:type="pct"/>
            <w:gridSpan w:val="3"/>
          </w:tcPr>
          <w:p w14:paraId="031AEF9D" w14:textId="77777777" w:rsidR="00A84530" w:rsidRPr="00B35A22" w:rsidRDefault="00A84530" w:rsidP="00B35A22">
            <w:pPr>
              <w:widowControl w:val="0"/>
              <w:jc w:val="center"/>
              <w:rPr>
                <w:sz w:val="22"/>
                <w:lang w:val="sr-Latn-ME"/>
              </w:rPr>
            </w:pPr>
            <w:r w:rsidRPr="00B35A22">
              <w:rPr>
                <w:sz w:val="22"/>
                <w:lang w:val="sr-Latn-ME"/>
              </w:rPr>
              <w:t>0.47 (0.28, 0.80)</w:t>
            </w:r>
          </w:p>
        </w:tc>
      </w:tr>
    </w:tbl>
    <w:p w14:paraId="2FE9E7D2" w14:textId="0B5D7F02" w:rsidR="00D52D7D" w:rsidRPr="00B35A22" w:rsidRDefault="00D52D7D" w:rsidP="00B35A22">
      <w:pPr>
        <w:widowControl w:val="0"/>
        <w:jc w:val="both"/>
        <w:rPr>
          <w:color w:val="000000"/>
          <w:sz w:val="20"/>
          <w:szCs w:val="20"/>
          <w:lang w:val="sr-Latn-ME"/>
        </w:rPr>
      </w:pPr>
      <w:r w:rsidRPr="00B35A22">
        <w:rPr>
          <w:color w:val="000000"/>
          <w:sz w:val="20"/>
          <w:szCs w:val="20"/>
          <w:lang w:val="sr-Latn-ME"/>
        </w:rPr>
        <w:t>DFS = preživljavanje bez znakova bolesti; CI = interval pouzdanosti; NP = ne može se procijeniti</w:t>
      </w:r>
    </w:p>
    <w:p w14:paraId="3A626DCB" w14:textId="77777777" w:rsidR="003D374D" w:rsidRPr="00B35A22" w:rsidRDefault="003D374D" w:rsidP="00B35A22">
      <w:pPr>
        <w:pStyle w:val="Paragraph"/>
        <w:widowControl w:val="0"/>
        <w:spacing w:after="0" w:line="0" w:lineRule="atLeast"/>
        <w:rPr>
          <w:rFonts w:ascii="Times New Roman" w:hAnsi="Times New Roman"/>
          <w:sz w:val="20"/>
        </w:rPr>
      </w:pPr>
      <w:r w:rsidRPr="00B35A22">
        <w:rPr>
          <w:rFonts w:ascii="Times New Roman" w:hAnsi="Times New Roman"/>
          <w:sz w:val="20"/>
        </w:rPr>
        <w:t>* Analiza ažuriranih podataka za DFS i OS u trenutku prekida prikupljanja kliničkih podataka 26. januara 2024.</w:t>
      </w:r>
    </w:p>
    <w:p w14:paraId="6D1AD19F" w14:textId="77777777" w:rsidR="003D374D" w:rsidRPr="00B35A22" w:rsidRDefault="003D374D" w:rsidP="00B35A22">
      <w:pPr>
        <w:widowControl w:val="0"/>
        <w:rPr>
          <w:sz w:val="20"/>
          <w:szCs w:val="20"/>
          <w:lang w:val="sr-Latn-ME" w:eastAsia="en-GB"/>
        </w:rPr>
      </w:pPr>
      <w:r w:rsidRPr="00B35A22">
        <w:rPr>
          <w:sz w:val="20"/>
          <w:szCs w:val="20"/>
          <w:lang w:val="sr-Latn-ME"/>
        </w:rPr>
        <w:t>ǂ Stratifikovano prema stadijumu bolesti, polu i histološkom tipu.</w:t>
      </w:r>
    </w:p>
    <w:p w14:paraId="3B6F3E8D" w14:textId="77777777" w:rsidR="00D52D7D" w:rsidRPr="00B35A22" w:rsidRDefault="00D52D7D" w:rsidP="00B35A22">
      <w:pPr>
        <w:widowControl w:val="0"/>
        <w:jc w:val="both"/>
        <w:rPr>
          <w:b/>
          <w:sz w:val="22"/>
          <w:u w:val="single"/>
          <w:lang w:val="sr-Latn-ME"/>
        </w:rPr>
      </w:pPr>
    </w:p>
    <w:p w14:paraId="35BF8A34" w14:textId="2F93853A" w:rsidR="00D52D7D" w:rsidRPr="00B35A22" w:rsidRDefault="00D52D7D" w:rsidP="00B35A22">
      <w:pPr>
        <w:widowControl w:val="0"/>
        <w:jc w:val="both"/>
        <w:rPr>
          <w:b/>
          <w:sz w:val="22"/>
          <w:lang w:val="sr-Latn-ME"/>
        </w:rPr>
      </w:pPr>
      <w:r w:rsidRPr="00B35A22">
        <w:rPr>
          <w:b/>
          <w:sz w:val="22"/>
          <w:lang w:val="sr-Latn-ME"/>
        </w:rPr>
        <w:t>Slika </w:t>
      </w:r>
      <w:r w:rsidR="00D5115F" w:rsidRPr="00B35A22">
        <w:rPr>
          <w:b/>
          <w:sz w:val="22"/>
          <w:lang w:val="sr-Latn-ME"/>
        </w:rPr>
        <w:t>3</w:t>
      </w:r>
      <w:r w:rsidRPr="00B35A22">
        <w:rPr>
          <w:b/>
          <w:sz w:val="22"/>
          <w:lang w:val="sr-Latn-ME"/>
        </w:rPr>
        <w:t xml:space="preserve">: </w:t>
      </w:r>
      <w:r w:rsidRPr="00B35A22">
        <w:rPr>
          <w:b/>
          <w:i/>
          <w:sz w:val="22"/>
          <w:lang w:val="sr-Latn-ME"/>
        </w:rPr>
        <w:t>Kaplan-Meier</w:t>
      </w:r>
      <w:r w:rsidRPr="00B35A22">
        <w:rPr>
          <w:b/>
          <w:sz w:val="22"/>
          <w:lang w:val="sr-Latn-ME"/>
        </w:rPr>
        <w:t xml:space="preserve">-ova kriva preživljavanja bez znakova bolesti u populaciji pacijenata </w:t>
      </w:r>
      <w:r w:rsidRPr="00B35A22">
        <w:rPr>
          <w:b/>
          <w:color w:val="000000"/>
          <w:sz w:val="22"/>
          <w:lang w:val="sr-Latn-ME"/>
        </w:rPr>
        <w:t>sa nivoom ekspresije PD</w:t>
      </w:r>
      <w:r w:rsidRPr="00B35A22">
        <w:rPr>
          <w:b/>
          <w:color w:val="000000"/>
          <w:sz w:val="22"/>
          <w:lang w:val="sr-Latn-ME"/>
        </w:rPr>
        <w:noBreakHyphen/>
        <w:t>L1 ≥ 50% na tumorskim sćelijama i bolešću stadijuma II </w:t>
      </w:r>
      <w:r w:rsidRPr="00B35A22">
        <w:rPr>
          <w:b/>
          <w:color w:val="000000"/>
          <w:sz w:val="22"/>
          <w:lang w:val="sr-Latn-ME"/>
        </w:rPr>
        <w:noBreakHyphen/>
        <w:t> IIIA koji nijesu imali EGFR mutacije ni izmjene u redosl</w:t>
      </w:r>
      <w:r w:rsidR="00024781" w:rsidRPr="00B35A22">
        <w:rPr>
          <w:b/>
          <w:color w:val="000000"/>
          <w:sz w:val="22"/>
          <w:lang w:val="sr-Latn-ME"/>
        </w:rPr>
        <w:t>j</w:t>
      </w:r>
      <w:r w:rsidRPr="00B35A22">
        <w:rPr>
          <w:b/>
          <w:color w:val="000000"/>
          <w:sz w:val="22"/>
          <w:lang w:val="sr-Latn-ME"/>
        </w:rPr>
        <w:t>edu baza u genu ALK</w:t>
      </w:r>
      <w:r w:rsidRPr="00B35A22">
        <w:rPr>
          <w:b/>
          <w:sz w:val="22"/>
          <w:lang w:val="sr-Latn-ME"/>
        </w:rPr>
        <w:t xml:space="preserve"> (IMpower010)</w:t>
      </w:r>
    </w:p>
    <w:p w14:paraId="0B87B20E" w14:textId="77777777" w:rsidR="00B35A22" w:rsidRDefault="007A26BC" w:rsidP="00B35A22">
      <w:pPr>
        <w:widowControl w:val="0"/>
        <w:jc w:val="both"/>
        <w:rPr>
          <w:color w:val="000000"/>
          <w:sz w:val="22"/>
          <w:lang w:val="sr-Latn-ME"/>
        </w:rPr>
      </w:pPr>
      <w:r w:rsidRPr="00B35A22">
        <w:rPr>
          <w:color w:val="000000"/>
          <w:sz w:val="22"/>
          <w:lang w:val="sr-Latn-ME"/>
        </w:rPr>
        <w:br/>
      </w:r>
      <w:r w:rsidRPr="00B35A22">
        <w:rPr>
          <w:color w:val="000000"/>
          <w:sz w:val="22"/>
          <w:szCs w:val="22"/>
          <w:lang w:val="sr-Latn-ME" w:eastAsia="sr-Latn-ME"/>
        </w:rPr>
        <w:drawing>
          <wp:inline distT="0" distB="0" distL="0" distR="0" wp14:anchorId="2E5340AE" wp14:editId="2ADA0271">
            <wp:extent cx="576072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27" b="6101"/>
                    <a:stretch/>
                  </pic:blipFill>
                  <pic:spPr bwMode="auto">
                    <a:xfrm>
                      <a:off x="0" y="0"/>
                      <a:ext cx="5761355" cy="3353170"/>
                    </a:xfrm>
                    <a:prstGeom prst="rect">
                      <a:avLst/>
                    </a:prstGeom>
                    <a:ln>
                      <a:noFill/>
                    </a:ln>
                    <a:extLst>
                      <a:ext uri="{53640926-AAD7-44D8-BBD7-CCE9431645EC}">
                        <a14:shadowObscured xmlns:a14="http://schemas.microsoft.com/office/drawing/2010/main"/>
                      </a:ext>
                    </a:extLst>
                  </pic:spPr>
                </pic:pic>
              </a:graphicData>
            </a:graphic>
          </wp:inline>
        </w:drawing>
      </w:r>
      <w:r w:rsidRPr="00B35A22">
        <w:rPr>
          <w:color w:val="000000"/>
          <w:sz w:val="22"/>
          <w:lang w:val="sr-Latn-ME"/>
        </w:rPr>
        <w:br/>
      </w:r>
    </w:p>
    <w:p w14:paraId="005EEAC5" w14:textId="1147D374" w:rsidR="00CC0E4C" w:rsidRPr="00B35A22" w:rsidRDefault="00CC0E4C" w:rsidP="00B35A22">
      <w:pPr>
        <w:widowControl w:val="0"/>
        <w:jc w:val="both"/>
        <w:rPr>
          <w:color w:val="000000"/>
          <w:sz w:val="22"/>
          <w:lang w:val="sr-Latn-ME"/>
        </w:rPr>
      </w:pPr>
      <w:r w:rsidRPr="00B35A22">
        <w:rPr>
          <w:color w:val="000000"/>
          <w:sz w:val="22"/>
          <w:lang w:val="sr-Latn-ME"/>
        </w:rPr>
        <w:t>Poboljšanje DFS</w:t>
      </w:r>
      <w:r w:rsidRPr="00B35A22">
        <w:rPr>
          <w:color w:val="000000"/>
          <w:sz w:val="22"/>
          <w:lang w:val="sr-Latn-ME"/>
        </w:rPr>
        <w:noBreakHyphen/>
        <w:t>a primijećeno u grupi liječenoj atezolizumabom u odnosu na onu koja je primala najbolju potpornu njegu dosljedno je zabilježeno u većini unaprijed specifikovanih podgrupa unutar populacije pacijenata sa nivoom ekspresije PD</w:t>
      </w:r>
      <w:r w:rsidRPr="00B35A22">
        <w:rPr>
          <w:color w:val="000000"/>
          <w:sz w:val="22"/>
          <w:lang w:val="sr-Latn-ME"/>
        </w:rPr>
        <w:noBreakHyphen/>
        <w:t>L1 ≥ 50% na tumorskim ćelijama i bolešću stadijuma II </w:t>
      </w:r>
      <w:r w:rsidRPr="00B35A22">
        <w:rPr>
          <w:color w:val="000000"/>
          <w:sz w:val="22"/>
          <w:lang w:val="sr-Latn-ME"/>
        </w:rPr>
        <w:noBreakHyphen/>
        <w:t xml:space="preserve"> IIIA koji nijesu imali </w:t>
      </w:r>
      <w:r w:rsidRPr="00B35A22">
        <w:rPr>
          <w:sz w:val="22"/>
          <w:lang w:val="sr-Latn-ME"/>
        </w:rPr>
        <w:t xml:space="preserve">EGFR </w:t>
      </w:r>
      <w:r w:rsidRPr="00B35A22">
        <w:rPr>
          <w:color w:val="000000"/>
          <w:sz w:val="22"/>
          <w:lang w:val="sr-Latn-ME"/>
        </w:rPr>
        <w:t>mutacije ni izmjene u redosljedu baza u genu ALK</w:t>
      </w:r>
      <w:r w:rsidRPr="00B35A22">
        <w:rPr>
          <w:sz w:val="22"/>
          <w:lang w:val="sr-Latn-ME"/>
        </w:rPr>
        <w:t>, uključujući i pacijente sa neskvamoznim NSCLC</w:t>
      </w:r>
      <w:r w:rsidRPr="00B35A22">
        <w:rPr>
          <w:sz w:val="22"/>
          <w:lang w:val="sr-Latn-ME"/>
        </w:rPr>
        <w:noBreakHyphen/>
        <w:t>om (nestratifikovan HR: 0,40; 95% CI: 0,23; 0,70; medijana DFS</w:t>
      </w:r>
      <w:r w:rsidRPr="00B35A22">
        <w:rPr>
          <w:sz w:val="22"/>
          <w:lang w:val="sr-Latn-ME"/>
        </w:rPr>
        <w:noBreakHyphen/>
        <w:t>a: NP naspram 36,8 mjeseci) i one sa skvamoznim NSCLC</w:t>
      </w:r>
      <w:r w:rsidRPr="00B35A22">
        <w:rPr>
          <w:sz w:val="22"/>
          <w:lang w:val="sr-Latn-ME"/>
        </w:rPr>
        <w:noBreakHyphen/>
        <w:t>om (nestratifikovan HR: 0,67; 95% CI: 0,34; 1,32; medijana DFS</w:t>
      </w:r>
      <w:r w:rsidRPr="00B35A22">
        <w:rPr>
          <w:sz w:val="22"/>
          <w:lang w:val="sr-Latn-ME"/>
        </w:rPr>
        <w:noBreakHyphen/>
        <w:t xml:space="preserve">a </w:t>
      </w:r>
      <w:r w:rsidRPr="00B35A22">
        <w:rPr>
          <w:sz w:val="22"/>
          <w:szCs w:val="22"/>
          <w:lang w:val="sr-Latn-ME"/>
        </w:rPr>
        <w:t>nije se mogla procijeniti</w:t>
      </w:r>
      <w:r w:rsidRPr="00B35A22">
        <w:rPr>
          <w:sz w:val="22"/>
          <w:lang w:val="sr-Latn-ME"/>
        </w:rPr>
        <w:t>).</w:t>
      </w:r>
      <w:r w:rsidRPr="00B35A22">
        <w:rPr>
          <w:color w:val="000000"/>
          <w:sz w:val="22"/>
          <w:lang w:val="sr-Latn-ME"/>
        </w:rPr>
        <w:t> </w:t>
      </w:r>
    </w:p>
    <w:p w14:paraId="324D79A7" w14:textId="1353F1AA" w:rsidR="00D52D7D" w:rsidRPr="00B35A22" w:rsidRDefault="00D52D7D" w:rsidP="00B35A22">
      <w:pPr>
        <w:widowControl w:val="0"/>
        <w:rPr>
          <w:sz w:val="22"/>
          <w:lang w:val="sr-Latn-ME"/>
        </w:rPr>
      </w:pPr>
    </w:p>
    <w:p w14:paraId="7DD8D28D" w14:textId="0AA94A69" w:rsidR="00C04A89" w:rsidRPr="00B35A22" w:rsidRDefault="00C04A89" w:rsidP="00B35A22">
      <w:pPr>
        <w:widowControl w:val="0"/>
        <w:tabs>
          <w:tab w:val="left" w:pos="284"/>
        </w:tabs>
        <w:jc w:val="both"/>
        <w:rPr>
          <w:i/>
          <w:sz w:val="22"/>
          <w:lang w:val="sr-Latn-ME"/>
        </w:rPr>
      </w:pPr>
      <w:r w:rsidRPr="00B35A22">
        <w:rPr>
          <w:i/>
          <w:sz w:val="22"/>
          <w:lang w:val="sr-Latn-ME"/>
        </w:rPr>
        <w:t xml:space="preserve">Prva linija liječenja </w:t>
      </w:r>
      <w:r w:rsidR="00A57F3E" w:rsidRPr="00B35A22">
        <w:rPr>
          <w:i/>
          <w:sz w:val="22"/>
          <w:lang w:val="sr-Latn-ME"/>
        </w:rPr>
        <w:t>uznapredovalog</w:t>
      </w:r>
      <w:r w:rsidR="00D52D7D" w:rsidRPr="00B35A22">
        <w:rPr>
          <w:i/>
          <w:sz w:val="22"/>
          <w:lang w:val="sr-Latn-ME"/>
        </w:rPr>
        <w:t xml:space="preserve"> </w:t>
      </w:r>
      <w:r w:rsidR="009F3636" w:rsidRPr="00B35A22">
        <w:rPr>
          <w:i/>
          <w:sz w:val="22"/>
          <w:lang w:val="sr-Latn-ME"/>
        </w:rPr>
        <w:t>NSCLC-a</w:t>
      </w:r>
    </w:p>
    <w:p w14:paraId="02126B34" w14:textId="77777777" w:rsidR="00C04A89" w:rsidRPr="00B35A22" w:rsidRDefault="00C04A89" w:rsidP="00B35A22">
      <w:pPr>
        <w:widowControl w:val="0"/>
        <w:tabs>
          <w:tab w:val="left" w:pos="284"/>
        </w:tabs>
        <w:jc w:val="both"/>
        <w:rPr>
          <w:i/>
          <w:sz w:val="22"/>
          <w:lang w:val="sr-Latn-ME"/>
        </w:rPr>
      </w:pPr>
    </w:p>
    <w:p w14:paraId="17A766A9" w14:textId="676D3846" w:rsidR="00C04A89" w:rsidRPr="00B35A22" w:rsidRDefault="00C04A89" w:rsidP="00B35A22">
      <w:pPr>
        <w:widowControl w:val="0"/>
        <w:tabs>
          <w:tab w:val="left" w:pos="284"/>
        </w:tabs>
        <w:jc w:val="both"/>
        <w:rPr>
          <w:i/>
          <w:sz w:val="22"/>
          <w:lang w:val="sr-Latn-ME"/>
        </w:rPr>
      </w:pPr>
      <w:r w:rsidRPr="00B35A22">
        <w:rPr>
          <w:i/>
          <w:sz w:val="22"/>
          <w:lang w:val="sr-Latn-ME"/>
        </w:rPr>
        <w:t>IMpower150 (GO29436): Randomizovano ispitivanje faze III sprovedeno kod pacijenata sa metastatskim neskvamoznim NSCLC</w:t>
      </w:r>
      <w:r w:rsidRPr="00B35A22">
        <w:rPr>
          <w:i/>
          <w:sz w:val="22"/>
          <w:lang w:val="sr-Latn-ME"/>
        </w:rPr>
        <w:noBreakHyphen/>
        <w:t>om koji prethodno ni</w:t>
      </w:r>
      <w:r w:rsidR="00E955CA" w:rsidRPr="00B35A22">
        <w:rPr>
          <w:i/>
          <w:sz w:val="22"/>
          <w:lang w:val="sr-Latn-ME"/>
        </w:rPr>
        <w:t>je</w:t>
      </w:r>
      <w:r w:rsidRPr="00B35A22">
        <w:rPr>
          <w:i/>
          <w:sz w:val="22"/>
          <w:lang w:val="sr-Latn-ME"/>
        </w:rPr>
        <w:t>su primali hemioterapiju, u kombinaciji sa paklitakselom i karboplatinom, uz bevacizumab ili bez njega.</w:t>
      </w:r>
    </w:p>
    <w:p w14:paraId="0C1A20CA" w14:textId="77777777" w:rsidR="00C04A89" w:rsidRPr="00B35A22" w:rsidRDefault="00C04A89" w:rsidP="00B35A22">
      <w:pPr>
        <w:widowControl w:val="0"/>
        <w:tabs>
          <w:tab w:val="left" w:pos="284"/>
        </w:tabs>
        <w:jc w:val="both"/>
        <w:rPr>
          <w:sz w:val="22"/>
          <w:lang w:val="sr-Latn-ME"/>
        </w:rPr>
      </w:pPr>
    </w:p>
    <w:p w14:paraId="6168A31F" w14:textId="58BD8C4A" w:rsidR="00C04A89" w:rsidRPr="00B35A22" w:rsidRDefault="00C04A89" w:rsidP="00B35A22">
      <w:pPr>
        <w:widowControl w:val="0"/>
        <w:tabs>
          <w:tab w:val="left" w:pos="284"/>
        </w:tabs>
        <w:jc w:val="both"/>
        <w:rPr>
          <w:sz w:val="22"/>
          <w:lang w:val="sr-Latn-ME"/>
        </w:rPr>
      </w:pPr>
      <w:r w:rsidRPr="00B35A22">
        <w:rPr>
          <w:sz w:val="22"/>
          <w:lang w:val="sr-Latn-ME"/>
        </w:rPr>
        <w:t>Ispitivanje IMpower150 bilo je otvoreno, multicentrično, internacionalno, randomizovano ispitivanje faze III, sprovedeno radi proc</w:t>
      </w:r>
      <w:r w:rsidR="00E955CA" w:rsidRPr="00B35A22">
        <w:rPr>
          <w:sz w:val="22"/>
          <w:lang w:val="sr-Latn-ME"/>
        </w:rPr>
        <w:t>j</w:t>
      </w:r>
      <w:r w:rsidRPr="00B35A22">
        <w:rPr>
          <w:sz w:val="22"/>
          <w:lang w:val="sr-Latn-ME"/>
        </w:rPr>
        <w:t>ene efikasnosti i bezb</w:t>
      </w:r>
      <w:r w:rsidR="007E677E" w:rsidRPr="00B35A22">
        <w:rPr>
          <w:sz w:val="22"/>
          <w:lang w:val="sr-Latn-ME"/>
        </w:rPr>
        <w:t>j</w:t>
      </w:r>
      <w:r w:rsidRPr="00B35A22">
        <w:rPr>
          <w:sz w:val="22"/>
          <w:lang w:val="sr-Latn-ME"/>
        </w:rPr>
        <w:t>ednosti atezolizumaba u kombinaciji sa paklitakselom i karboplatinom, uz bevacizumab ili bez njega, kod pacijenata sa metastatskim neskvamoznim NSCLC</w:t>
      </w:r>
      <w:r w:rsidRPr="00B35A22">
        <w:rPr>
          <w:sz w:val="22"/>
          <w:lang w:val="sr-Latn-ME"/>
        </w:rPr>
        <w:noBreakHyphen/>
        <w:t>om koji prethodno ni</w:t>
      </w:r>
      <w:r w:rsidR="00E955CA" w:rsidRPr="00B35A22">
        <w:rPr>
          <w:sz w:val="22"/>
          <w:lang w:val="sr-Latn-ME"/>
        </w:rPr>
        <w:t>je</w:t>
      </w:r>
      <w:r w:rsidRPr="00B35A22">
        <w:rPr>
          <w:sz w:val="22"/>
          <w:lang w:val="sr-Latn-ME"/>
        </w:rPr>
        <w:t>su primali hemioterapiju.</w:t>
      </w:r>
    </w:p>
    <w:p w14:paraId="0646CFE1" w14:textId="77777777" w:rsidR="00C04A89" w:rsidRPr="00B35A22" w:rsidRDefault="00C04A89" w:rsidP="00B35A22">
      <w:pPr>
        <w:widowControl w:val="0"/>
        <w:tabs>
          <w:tab w:val="left" w:pos="284"/>
        </w:tabs>
        <w:jc w:val="both"/>
        <w:rPr>
          <w:sz w:val="22"/>
          <w:lang w:val="sr-Latn-ME"/>
        </w:rPr>
      </w:pPr>
    </w:p>
    <w:p w14:paraId="65A1A8A1" w14:textId="799891AB" w:rsidR="00C04A89" w:rsidRPr="00B35A22" w:rsidRDefault="00C04A89" w:rsidP="00B35A22">
      <w:pPr>
        <w:widowControl w:val="0"/>
        <w:tabs>
          <w:tab w:val="left" w:pos="284"/>
        </w:tabs>
        <w:jc w:val="both"/>
        <w:rPr>
          <w:sz w:val="22"/>
          <w:lang w:val="sr-Latn-ME"/>
        </w:rPr>
      </w:pPr>
      <w:r w:rsidRPr="00B35A22">
        <w:rPr>
          <w:sz w:val="22"/>
          <w:lang w:val="sr-Latn-ME"/>
        </w:rPr>
        <w:t>U ispitivanje ni</w:t>
      </w:r>
      <w:r w:rsidR="007E677E" w:rsidRPr="00B35A22">
        <w:rPr>
          <w:sz w:val="22"/>
          <w:lang w:val="sr-Latn-ME"/>
        </w:rPr>
        <w:t>je</w:t>
      </w:r>
      <w:r w:rsidRPr="00B35A22">
        <w:rPr>
          <w:sz w:val="22"/>
          <w:lang w:val="sr-Latn-ME"/>
        </w:rPr>
        <w:t>su bili uključeni pacijenti koji su imali autoimunu bolest u anamnezi, koji su primili živu atenuisanu vakcinu unutar 28 dana pr</w:t>
      </w:r>
      <w:r w:rsidR="007E677E" w:rsidRPr="00B35A22">
        <w:rPr>
          <w:sz w:val="22"/>
          <w:lang w:val="sr-Latn-ME"/>
        </w:rPr>
        <w:t>ij</w:t>
      </w:r>
      <w:r w:rsidRPr="00B35A22">
        <w:rPr>
          <w:sz w:val="22"/>
          <w:lang w:val="sr-Latn-ME"/>
        </w:rPr>
        <w:t>e randomizacije, koji su primili sistemske imunostimulanse tokom 4 ned</w:t>
      </w:r>
      <w:r w:rsidR="00E955CA" w:rsidRPr="00B35A22">
        <w:rPr>
          <w:sz w:val="22"/>
          <w:lang w:val="sr-Latn-ME"/>
        </w:rPr>
        <w:t>j</w:t>
      </w:r>
      <w:r w:rsidRPr="00B35A22">
        <w:rPr>
          <w:sz w:val="22"/>
          <w:lang w:val="sr-Latn-ME"/>
        </w:rPr>
        <w:t>elje ili sistemske imunosupresive tokom 2 ned</w:t>
      </w:r>
      <w:r w:rsidR="00E955CA" w:rsidRPr="00B35A22">
        <w:rPr>
          <w:sz w:val="22"/>
          <w:lang w:val="sr-Latn-ME"/>
        </w:rPr>
        <w:t>j</w:t>
      </w:r>
      <w:r w:rsidRPr="00B35A22">
        <w:rPr>
          <w:sz w:val="22"/>
          <w:lang w:val="sr-Latn-ME"/>
        </w:rPr>
        <w:t>elje pr</w:t>
      </w:r>
      <w:r w:rsidR="007E677E" w:rsidRPr="00B35A22">
        <w:rPr>
          <w:sz w:val="22"/>
          <w:lang w:val="sr-Latn-ME"/>
        </w:rPr>
        <w:t>ij</w:t>
      </w:r>
      <w:r w:rsidRPr="00B35A22">
        <w:rPr>
          <w:sz w:val="22"/>
          <w:lang w:val="sr-Latn-ME"/>
        </w:rPr>
        <w:t>e randomizacije, koji su imali aktivne ili nel</w:t>
      </w:r>
      <w:r w:rsidR="00042108" w:rsidRPr="00B35A22">
        <w:rPr>
          <w:sz w:val="22"/>
          <w:lang w:val="sr-Latn-ME"/>
        </w:rPr>
        <w:t>ij</w:t>
      </w:r>
      <w:r w:rsidRPr="00B35A22">
        <w:rPr>
          <w:sz w:val="22"/>
          <w:lang w:val="sr-Latn-ME"/>
        </w:rPr>
        <w:t>ečene metastaze u centralnom nervnom sistemu (CNS), kao ni oni koji su imali jasnu infiltraciju tumora u velike torakalne krvne sudove ili jasnu kavitaciju plućnih lezija, vidljive na snimcima. Proc</w:t>
      </w:r>
      <w:r w:rsidR="00E955CA" w:rsidRPr="00B35A22">
        <w:rPr>
          <w:sz w:val="22"/>
          <w:lang w:val="sr-Latn-ME"/>
        </w:rPr>
        <w:t>j</w:t>
      </w:r>
      <w:r w:rsidRPr="00B35A22">
        <w:rPr>
          <w:sz w:val="22"/>
          <w:lang w:val="sr-Latn-ME"/>
        </w:rPr>
        <w:t>ene tumorskog odgovora sprovodile su se na svakih 6 ned</w:t>
      </w:r>
      <w:r w:rsidR="00E955CA" w:rsidRPr="00B35A22">
        <w:rPr>
          <w:sz w:val="22"/>
          <w:lang w:val="sr-Latn-ME"/>
        </w:rPr>
        <w:t>j</w:t>
      </w:r>
      <w:r w:rsidRPr="00B35A22">
        <w:rPr>
          <w:sz w:val="22"/>
          <w:lang w:val="sr-Latn-ME"/>
        </w:rPr>
        <w:t>elja tokom prvih 48 ned</w:t>
      </w:r>
      <w:r w:rsidR="00E955CA" w:rsidRPr="00B35A22">
        <w:rPr>
          <w:sz w:val="22"/>
          <w:lang w:val="sr-Latn-ME"/>
        </w:rPr>
        <w:t>j</w:t>
      </w:r>
      <w:r w:rsidRPr="00B35A22">
        <w:rPr>
          <w:sz w:val="22"/>
          <w:lang w:val="sr-Latn-ME"/>
        </w:rPr>
        <w:t>elja nakon 1. dana 1. ciklusa, a zatim na svakih 9 ned</w:t>
      </w:r>
      <w:r w:rsidR="00E955CA" w:rsidRPr="00B35A22">
        <w:rPr>
          <w:sz w:val="22"/>
          <w:lang w:val="sr-Latn-ME"/>
        </w:rPr>
        <w:t>j</w:t>
      </w:r>
      <w:r w:rsidRPr="00B35A22">
        <w:rPr>
          <w:sz w:val="22"/>
          <w:lang w:val="sr-Latn-ME"/>
        </w:rPr>
        <w:t>elja. Uzorci tumora oc</w:t>
      </w:r>
      <w:r w:rsidR="002D3D9A" w:rsidRPr="00B35A22">
        <w:rPr>
          <w:sz w:val="22"/>
          <w:lang w:val="sr-Latn-ME"/>
        </w:rPr>
        <w:t>j</w:t>
      </w:r>
      <w:r w:rsidRPr="00B35A22">
        <w:rPr>
          <w:sz w:val="22"/>
          <w:lang w:val="sr-Latn-ME"/>
        </w:rPr>
        <w:t>enjivali su se kako bi se utvrdila PD</w:t>
      </w:r>
      <w:r w:rsidRPr="00B35A22">
        <w:rPr>
          <w:sz w:val="22"/>
          <w:lang w:val="sr-Latn-ME"/>
        </w:rPr>
        <w:noBreakHyphen/>
        <w:t xml:space="preserve">L1 ekspresija na tumorskim ćelijama (engl. </w:t>
      </w:r>
      <w:r w:rsidRPr="00B35A22">
        <w:rPr>
          <w:i/>
          <w:sz w:val="22"/>
          <w:lang w:val="sr-Latn-ME"/>
        </w:rPr>
        <w:t>tumour cells</w:t>
      </w:r>
      <w:r w:rsidRPr="00B35A22">
        <w:rPr>
          <w:sz w:val="22"/>
          <w:lang w:val="sr-Latn-ME"/>
        </w:rPr>
        <w:t xml:space="preserve">, TC) i ćelijama imunskog sistema koje se infiltriraju u tumor (engl. </w:t>
      </w:r>
      <w:r w:rsidRPr="00B35A22">
        <w:rPr>
          <w:i/>
          <w:sz w:val="22"/>
          <w:lang w:val="sr-Latn-ME"/>
        </w:rPr>
        <w:t>tumour</w:t>
      </w:r>
      <w:r w:rsidRPr="00B35A22">
        <w:rPr>
          <w:i/>
          <w:sz w:val="22"/>
          <w:lang w:val="sr-Latn-ME"/>
        </w:rPr>
        <w:noBreakHyphen/>
        <w:t>infiltrating immune cells</w:t>
      </w:r>
      <w:r w:rsidRPr="00B35A22">
        <w:rPr>
          <w:sz w:val="22"/>
          <w:lang w:val="sr-Latn-ME"/>
        </w:rPr>
        <w:t>, IC), a dobijeni rezultati su se koristili za definisanje podgrupa pacijenata prema PD</w:t>
      </w:r>
      <w:r w:rsidRPr="00B35A22">
        <w:rPr>
          <w:sz w:val="22"/>
          <w:lang w:val="sr-Latn-ME"/>
        </w:rPr>
        <w:noBreakHyphen/>
        <w:t xml:space="preserve">L1 ekspresiji za analize opisane u nastavku. </w:t>
      </w:r>
    </w:p>
    <w:p w14:paraId="05CF03AE" w14:textId="77777777" w:rsidR="00C04A89" w:rsidRPr="00B35A22" w:rsidRDefault="00C04A89" w:rsidP="00B35A22">
      <w:pPr>
        <w:widowControl w:val="0"/>
        <w:tabs>
          <w:tab w:val="left" w:pos="284"/>
        </w:tabs>
        <w:jc w:val="both"/>
        <w:rPr>
          <w:sz w:val="22"/>
          <w:lang w:val="sr-Latn-ME"/>
        </w:rPr>
      </w:pPr>
    </w:p>
    <w:p w14:paraId="71CCDFDB" w14:textId="43C14855" w:rsidR="00C04A89" w:rsidRPr="00B35A22" w:rsidRDefault="00C04A89" w:rsidP="00B35A22">
      <w:pPr>
        <w:widowControl w:val="0"/>
        <w:tabs>
          <w:tab w:val="left" w:pos="284"/>
        </w:tabs>
        <w:jc w:val="both"/>
        <w:rPr>
          <w:sz w:val="22"/>
          <w:lang w:val="sr-Latn-ME"/>
        </w:rPr>
      </w:pPr>
      <w:r w:rsidRPr="00B35A22">
        <w:rPr>
          <w:sz w:val="22"/>
          <w:lang w:val="sr-Latn-ME"/>
        </w:rPr>
        <w:t>Ukupno su bila uključena 1202 pacijenta, koja su randomizovana (1:1:1) da primaju jedan od terapijskih protokola opisanih u Tabeli </w:t>
      </w:r>
      <w:r w:rsidR="00D52D7D" w:rsidRPr="00B35A22">
        <w:rPr>
          <w:sz w:val="22"/>
          <w:lang w:val="sr-Latn-ME"/>
        </w:rPr>
        <w:t>8</w:t>
      </w:r>
      <w:r w:rsidRPr="00B35A22">
        <w:rPr>
          <w:sz w:val="22"/>
          <w:lang w:val="sr-Latn-ME"/>
        </w:rPr>
        <w:t xml:space="preserve">. Randomizacija je bila stratifikovana prema polu, prisutnosti jetrenih metastaza i tumorskoj PD-L1 ekspresiji na tumorskim ćelijama i ćelijama imunskog sistema koje se infiltriraju u tumor. </w:t>
      </w:r>
    </w:p>
    <w:p w14:paraId="5BB4D6DC" w14:textId="77777777" w:rsidR="00C04A89" w:rsidRPr="00B35A22" w:rsidRDefault="00C04A89" w:rsidP="00B35A22">
      <w:pPr>
        <w:widowControl w:val="0"/>
        <w:tabs>
          <w:tab w:val="left" w:pos="284"/>
        </w:tabs>
        <w:jc w:val="both"/>
        <w:rPr>
          <w:sz w:val="22"/>
          <w:lang w:val="sr-Latn-ME"/>
        </w:rPr>
      </w:pPr>
      <w:r w:rsidRPr="00B35A22">
        <w:rPr>
          <w:sz w:val="22"/>
          <w:lang w:val="sr-Latn-ME"/>
        </w:rPr>
        <w:t xml:space="preserve"> </w:t>
      </w:r>
    </w:p>
    <w:p w14:paraId="43A38AF7" w14:textId="65CB4765" w:rsidR="00C04A89" w:rsidRPr="00B35A22" w:rsidRDefault="00C04A89" w:rsidP="00B35A22">
      <w:pPr>
        <w:widowControl w:val="0"/>
        <w:tabs>
          <w:tab w:val="left" w:pos="284"/>
        </w:tabs>
        <w:jc w:val="both"/>
        <w:rPr>
          <w:i/>
          <w:sz w:val="22"/>
          <w:u w:val="single"/>
          <w:lang w:val="sr-Latn-ME"/>
        </w:rPr>
      </w:pPr>
      <w:r w:rsidRPr="00B35A22">
        <w:rPr>
          <w:b/>
          <w:sz w:val="22"/>
          <w:lang w:val="sr-Latn-ME"/>
        </w:rPr>
        <w:t xml:space="preserve">Tabela </w:t>
      </w:r>
      <w:r w:rsidR="00D52D7D" w:rsidRPr="00B35A22">
        <w:rPr>
          <w:b/>
          <w:sz w:val="22"/>
          <w:lang w:val="sr-Latn-ME"/>
        </w:rPr>
        <w:t>8</w:t>
      </w:r>
      <w:r w:rsidRPr="00B35A22">
        <w:rPr>
          <w:b/>
          <w:sz w:val="22"/>
          <w:lang w:val="sr-Latn-ME"/>
        </w:rPr>
        <w:t>: Intravenski terapijski protokoli (IMpower150)</w:t>
      </w:r>
      <w:r w:rsidRPr="00B35A22">
        <w:rPr>
          <w:i/>
          <w:sz w:val="22"/>
          <w:u w:val="single"/>
          <w:lang w:val="sr-Latn-ME"/>
        </w:rPr>
        <w:t xml:space="preserve"> </w:t>
      </w:r>
    </w:p>
    <w:p w14:paraId="741705C9" w14:textId="77777777" w:rsidR="00C04A89" w:rsidRPr="00B35A22" w:rsidRDefault="00C04A89" w:rsidP="00B35A22">
      <w:pPr>
        <w:widowControl w:val="0"/>
        <w:tabs>
          <w:tab w:val="left" w:pos="284"/>
        </w:tabs>
        <w:jc w:val="both"/>
        <w:rPr>
          <w:sz w:val="22"/>
          <w:u w:val="single"/>
          <w:lang w:val="sr-Latn-ME"/>
        </w:rPr>
      </w:pPr>
    </w:p>
    <w:tbl>
      <w:tblPr>
        <w:tblW w:w="0" w:type="auto"/>
        <w:tblLook w:val="04A0" w:firstRow="1" w:lastRow="0" w:firstColumn="1" w:lastColumn="0" w:noHBand="0" w:noVBand="1"/>
      </w:tblPr>
      <w:tblGrid>
        <w:gridCol w:w="1458"/>
        <w:gridCol w:w="4680"/>
        <w:gridCol w:w="2718"/>
      </w:tblGrid>
      <w:tr w:rsidR="00C04A89" w:rsidRPr="00B35A22" w14:paraId="3EEDC1B1" w14:textId="77777777" w:rsidTr="00140AA2">
        <w:tc>
          <w:tcPr>
            <w:tcW w:w="1458" w:type="dxa"/>
          </w:tcPr>
          <w:p w14:paraId="3245EAFA" w14:textId="77777777" w:rsidR="00C04A89" w:rsidRPr="00B35A22" w:rsidRDefault="00C04A89" w:rsidP="00B35A22">
            <w:pPr>
              <w:widowControl w:val="0"/>
              <w:tabs>
                <w:tab w:val="left" w:pos="284"/>
              </w:tabs>
              <w:jc w:val="both"/>
              <w:rPr>
                <w:b/>
                <w:sz w:val="22"/>
                <w:lang w:val="sr-Latn-ME"/>
              </w:rPr>
            </w:pPr>
            <w:r w:rsidRPr="00B35A22">
              <w:rPr>
                <w:b/>
                <w:sz w:val="22"/>
                <w:lang w:val="sr-Latn-ME"/>
              </w:rPr>
              <w:t>Terapijski protokol</w:t>
            </w:r>
          </w:p>
        </w:tc>
        <w:tc>
          <w:tcPr>
            <w:tcW w:w="4680" w:type="dxa"/>
          </w:tcPr>
          <w:p w14:paraId="3F545582" w14:textId="4FBE4B62" w:rsidR="00C04A89" w:rsidRPr="00B35A22" w:rsidRDefault="00C04A89" w:rsidP="00B35A22">
            <w:pPr>
              <w:widowControl w:val="0"/>
              <w:tabs>
                <w:tab w:val="left" w:pos="284"/>
              </w:tabs>
              <w:jc w:val="both"/>
              <w:rPr>
                <w:b/>
                <w:sz w:val="22"/>
                <w:lang w:val="sr-Latn-ME"/>
              </w:rPr>
            </w:pPr>
            <w:r w:rsidRPr="00B35A22">
              <w:rPr>
                <w:b/>
                <w:sz w:val="22"/>
                <w:lang w:val="sr-Latn-ME"/>
              </w:rPr>
              <w:t>Uvodno l</w:t>
            </w:r>
            <w:r w:rsidR="00E955CA" w:rsidRPr="00B35A22">
              <w:rPr>
                <w:b/>
                <w:sz w:val="22"/>
                <w:lang w:val="sr-Latn-ME"/>
              </w:rPr>
              <w:t>ij</w:t>
            </w:r>
            <w:r w:rsidRPr="00B35A22">
              <w:rPr>
                <w:b/>
                <w:sz w:val="22"/>
                <w:lang w:val="sr-Latn-ME"/>
              </w:rPr>
              <w:t>ečenje</w:t>
            </w:r>
          </w:p>
          <w:p w14:paraId="21612A27" w14:textId="77777777" w:rsidR="00C04A89" w:rsidRPr="00B35A22" w:rsidRDefault="00C04A89" w:rsidP="00B35A22">
            <w:pPr>
              <w:widowControl w:val="0"/>
              <w:tabs>
                <w:tab w:val="left" w:pos="284"/>
              </w:tabs>
              <w:jc w:val="both"/>
              <w:rPr>
                <w:b/>
                <w:sz w:val="22"/>
                <w:lang w:val="sr-Latn-ME"/>
              </w:rPr>
            </w:pPr>
            <w:r w:rsidRPr="00B35A22">
              <w:rPr>
                <w:b/>
                <w:sz w:val="22"/>
                <w:lang w:val="sr-Latn-ME"/>
              </w:rPr>
              <w:t>(četiri ili šest 21</w:t>
            </w:r>
            <w:r w:rsidRPr="00B35A22">
              <w:rPr>
                <w:b/>
                <w:sz w:val="22"/>
                <w:lang w:val="sr-Latn-ME"/>
              </w:rPr>
              <w:noBreakHyphen/>
              <w:t>dnevnih ciklusa)</w:t>
            </w:r>
          </w:p>
        </w:tc>
        <w:tc>
          <w:tcPr>
            <w:tcW w:w="2718" w:type="dxa"/>
          </w:tcPr>
          <w:p w14:paraId="279AF06A" w14:textId="77777777" w:rsidR="00C04A89" w:rsidRPr="00B35A22" w:rsidRDefault="00C04A89" w:rsidP="00B35A22">
            <w:pPr>
              <w:widowControl w:val="0"/>
              <w:tabs>
                <w:tab w:val="left" w:pos="284"/>
              </w:tabs>
              <w:jc w:val="both"/>
              <w:rPr>
                <w:b/>
                <w:sz w:val="22"/>
                <w:lang w:val="sr-Latn-ME"/>
              </w:rPr>
            </w:pPr>
            <w:r w:rsidRPr="00B35A22">
              <w:rPr>
                <w:b/>
                <w:sz w:val="22"/>
                <w:lang w:val="sr-Latn-ME"/>
              </w:rPr>
              <w:t>Terapija održavanja</w:t>
            </w:r>
          </w:p>
          <w:p w14:paraId="7E05C89A" w14:textId="77777777" w:rsidR="00C04A89" w:rsidRPr="00B35A22" w:rsidRDefault="00C04A89" w:rsidP="00B35A22">
            <w:pPr>
              <w:widowControl w:val="0"/>
              <w:tabs>
                <w:tab w:val="left" w:pos="284"/>
              </w:tabs>
              <w:jc w:val="both"/>
              <w:rPr>
                <w:b/>
                <w:sz w:val="22"/>
                <w:lang w:val="sr-Latn-ME"/>
              </w:rPr>
            </w:pPr>
            <w:r w:rsidRPr="00B35A22">
              <w:rPr>
                <w:b/>
                <w:sz w:val="22"/>
                <w:lang w:val="sr-Latn-ME"/>
              </w:rPr>
              <w:t>(21</w:t>
            </w:r>
            <w:r w:rsidRPr="00B35A22">
              <w:rPr>
                <w:b/>
                <w:sz w:val="22"/>
                <w:lang w:val="sr-Latn-ME"/>
              </w:rPr>
              <w:noBreakHyphen/>
              <w:t>dnevni ciklusi)</w:t>
            </w:r>
          </w:p>
        </w:tc>
      </w:tr>
      <w:tr w:rsidR="00C04A89" w:rsidRPr="00B35A22" w14:paraId="3CA8C53B" w14:textId="77777777" w:rsidTr="00140AA2">
        <w:tc>
          <w:tcPr>
            <w:tcW w:w="1458" w:type="dxa"/>
          </w:tcPr>
          <w:p w14:paraId="68B884CE" w14:textId="77777777" w:rsidR="00C04A89" w:rsidRPr="00B35A22" w:rsidRDefault="00C04A89" w:rsidP="00B35A22">
            <w:pPr>
              <w:widowControl w:val="0"/>
              <w:tabs>
                <w:tab w:val="left" w:pos="284"/>
              </w:tabs>
              <w:jc w:val="both"/>
              <w:rPr>
                <w:sz w:val="22"/>
                <w:lang w:val="sr-Latn-ME"/>
              </w:rPr>
            </w:pPr>
            <w:r w:rsidRPr="00B35A22">
              <w:rPr>
                <w:sz w:val="22"/>
                <w:lang w:val="sr-Latn-ME"/>
              </w:rPr>
              <w:t>A</w:t>
            </w:r>
          </w:p>
          <w:p w14:paraId="422C85FB" w14:textId="626334C8" w:rsidR="002D3D9A" w:rsidRPr="00B35A22" w:rsidRDefault="002D3D9A" w:rsidP="00B35A22">
            <w:pPr>
              <w:widowControl w:val="0"/>
              <w:tabs>
                <w:tab w:val="left" w:pos="284"/>
              </w:tabs>
              <w:jc w:val="both"/>
              <w:rPr>
                <w:sz w:val="22"/>
                <w:lang w:val="sr-Latn-ME"/>
              </w:rPr>
            </w:pPr>
          </w:p>
        </w:tc>
        <w:tc>
          <w:tcPr>
            <w:tcW w:w="4680" w:type="dxa"/>
          </w:tcPr>
          <w:p w14:paraId="411CD07D" w14:textId="77777777" w:rsidR="00C04A89" w:rsidRPr="00B35A22" w:rsidRDefault="00C04A89" w:rsidP="00B35A22">
            <w:pPr>
              <w:widowControl w:val="0"/>
              <w:tabs>
                <w:tab w:val="left" w:pos="284"/>
              </w:tabs>
              <w:jc w:val="both"/>
              <w:rPr>
                <w:sz w:val="22"/>
                <w:lang w:val="sr-Latn-ME"/>
              </w:rPr>
            </w:pPr>
            <w:r w:rsidRPr="00B35A22">
              <w:rPr>
                <w:sz w:val="22"/>
                <w:lang w:val="sr-Latn-ME"/>
              </w:rPr>
              <w:t>Atezolizumab</w:t>
            </w:r>
            <w:r w:rsidRPr="00B35A22">
              <w:rPr>
                <w:sz w:val="22"/>
                <w:vertAlign w:val="superscript"/>
                <w:lang w:val="sr-Latn-ME"/>
              </w:rPr>
              <w:t>a</w:t>
            </w:r>
            <w:r w:rsidRPr="00B35A22">
              <w:rPr>
                <w:sz w:val="22"/>
                <w:lang w:val="sr-Latn-ME"/>
              </w:rPr>
              <w:t xml:space="preserve"> (1200 mg) + paklitaksel (200 mg/m</w:t>
            </w:r>
            <w:r w:rsidRPr="00B35A22">
              <w:rPr>
                <w:sz w:val="22"/>
                <w:vertAlign w:val="superscript"/>
                <w:lang w:val="sr-Latn-ME"/>
              </w:rPr>
              <w:t>2</w:t>
            </w:r>
            <w:r w:rsidRPr="00B35A22">
              <w:rPr>
                <w:sz w:val="22"/>
                <w:lang w:val="sr-Latn-ME"/>
              </w:rPr>
              <w:t>)</w:t>
            </w:r>
            <w:r w:rsidRPr="00B35A22">
              <w:rPr>
                <w:sz w:val="22"/>
                <w:vertAlign w:val="superscript"/>
                <w:lang w:val="sr-Latn-ME"/>
              </w:rPr>
              <w:t>b,c</w:t>
            </w:r>
            <w:r w:rsidRPr="00B35A22">
              <w:rPr>
                <w:sz w:val="22"/>
                <w:lang w:val="sr-Latn-ME"/>
              </w:rPr>
              <w:t xml:space="preserve"> + karboplatin</w:t>
            </w:r>
            <w:r w:rsidRPr="00B35A22">
              <w:rPr>
                <w:sz w:val="22"/>
                <w:vertAlign w:val="superscript"/>
                <w:lang w:val="sr-Latn-ME"/>
              </w:rPr>
              <w:t>c</w:t>
            </w:r>
            <w:r w:rsidRPr="00B35A22">
              <w:rPr>
                <w:sz w:val="22"/>
                <w:lang w:val="sr-Latn-ME"/>
              </w:rPr>
              <w:t xml:space="preserve"> (AUC 6)</w:t>
            </w:r>
          </w:p>
        </w:tc>
        <w:tc>
          <w:tcPr>
            <w:tcW w:w="2718" w:type="dxa"/>
          </w:tcPr>
          <w:p w14:paraId="0977313E" w14:textId="77777777" w:rsidR="00C04A89" w:rsidRPr="00B35A22" w:rsidRDefault="00C04A89" w:rsidP="00B35A22">
            <w:pPr>
              <w:widowControl w:val="0"/>
              <w:tabs>
                <w:tab w:val="left" w:pos="284"/>
              </w:tabs>
              <w:jc w:val="both"/>
              <w:rPr>
                <w:sz w:val="22"/>
                <w:lang w:val="sr-Latn-ME"/>
              </w:rPr>
            </w:pPr>
            <w:r w:rsidRPr="00B35A22">
              <w:rPr>
                <w:sz w:val="22"/>
                <w:lang w:val="sr-Latn-ME"/>
              </w:rPr>
              <w:t>Atezolizumab</w:t>
            </w:r>
            <w:r w:rsidRPr="00B35A22">
              <w:rPr>
                <w:sz w:val="22"/>
                <w:vertAlign w:val="superscript"/>
                <w:lang w:val="sr-Latn-ME"/>
              </w:rPr>
              <w:t>a</w:t>
            </w:r>
            <w:r w:rsidRPr="00B35A22">
              <w:rPr>
                <w:sz w:val="22"/>
                <w:lang w:val="sr-Latn-ME"/>
              </w:rPr>
              <w:t xml:space="preserve"> (1200 mg)</w:t>
            </w:r>
          </w:p>
        </w:tc>
      </w:tr>
      <w:tr w:rsidR="00C04A89" w:rsidRPr="00B35A22" w14:paraId="716E4248" w14:textId="77777777" w:rsidTr="00140AA2">
        <w:tc>
          <w:tcPr>
            <w:tcW w:w="1458" w:type="dxa"/>
          </w:tcPr>
          <w:p w14:paraId="31A33AA2" w14:textId="77777777" w:rsidR="00C04A89" w:rsidRPr="00B35A22" w:rsidRDefault="00C04A89" w:rsidP="00B35A22">
            <w:pPr>
              <w:widowControl w:val="0"/>
              <w:tabs>
                <w:tab w:val="left" w:pos="284"/>
              </w:tabs>
              <w:jc w:val="both"/>
              <w:rPr>
                <w:sz w:val="22"/>
                <w:lang w:val="sr-Latn-ME"/>
              </w:rPr>
            </w:pPr>
            <w:r w:rsidRPr="00B35A22">
              <w:rPr>
                <w:sz w:val="22"/>
                <w:lang w:val="sr-Latn-ME"/>
              </w:rPr>
              <w:t>B</w:t>
            </w:r>
          </w:p>
        </w:tc>
        <w:tc>
          <w:tcPr>
            <w:tcW w:w="4680" w:type="dxa"/>
          </w:tcPr>
          <w:p w14:paraId="5E0D164B" w14:textId="3D03E57D" w:rsidR="00C04A89" w:rsidRPr="00B35A22" w:rsidRDefault="00C04A89" w:rsidP="00B35A22">
            <w:pPr>
              <w:widowControl w:val="0"/>
              <w:tabs>
                <w:tab w:val="left" w:pos="284"/>
              </w:tabs>
              <w:jc w:val="both"/>
              <w:rPr>
                <w:sz w:val="22"/>
                <w:lang w:val="sr-Latn-ME"/>
              </w:rPr>
            </w:pPr>
            <w:r w:rsidRPr="00B35A22">
              <w:rPr>
                <w:sz w:val="22"/>
                <w:lang w:val="sr-Latn-ME"/>
              </w:rPr>
              <w:t>Atezolizumab</w:t>
            </w:r>
            <w:r w:rsidRPr="00B35A22">
              <w:rPr>
                <w:sz w:val="22"/>
                <w:vertAlign w:val="superscript"/>
                <w:lang w:val="sr-Latn-ME"/>
              </w:rPr>
              <w:t>a</w:t>
            </w:r>
            <w:r w:rsidRPr="00B35A22">
              <w:rPr>
                <w:sz w:val="22"/>
                <w:lang w:val="sr-Latn-ME"/>
              </w:rPr>
              <w:t xml:space="preserve"> (1200 mg) + bevacizumab</w:t>
            </w:r>
            <w:r w:rsidRPr="00B35A22">
              <w:rPr>
                <w:sz w:val="22"/>
                <w:vertAlign w:val="superscript"/>
                <w:lang w:val="sr-Latn-ME"/>
              </w:rPr>
              <w:t>d</w:t>
            </w:r>
            <w:r w:rsidRPr="00B35A22">
              <w:rPr>
                <w:sz w:val="22"/>
                <w:lang w:val="sr-Latn-ME"/>
              </w:rPr>
              <w:t xml:space="preserve"> (15 mg/kg</w:t>
            </w:r>
            <w:r w:rsidR="008C4A4D" w:rsidRPr="00B35A22">
              <w:rPr>
                <w:sz w:val="22"/>
                <w:lang w:val="sr-Latn-ME"/>
              </w:rPr>
              <w:t xml:space="preserve"> t</w:t>
            </w:r>
            <w:r w:rsidR="002D3D9A" w:rsidRPr="00B35A22">
              <w:rPr>
                <w:sz w:val="22"/>
                <w:lang w:val="sr-Latn-ME"/>
              </w:rPr>
              <w:t>j</w:t>
            </w:r>
            <w:r w:rsidR="008C4A4D" w:rsidRPr="00B35A22">
              <w:rPr>
                <w:sz w:val="22"/>
                <w:lang w:val="sr-Latn-ME"/>
              </w:rPr>
              <w:t>elesne mase</w:t>
            </w:r>
            <w:r w:rsidRPr="00B35A22">
              <w:rPr>
                <w:sz w:val="22"/>
                <w:lang w:val="sr-Latn-ME"/>
              </w:rPr>
              <w:t>) + paklitaksel (200 mg/m</w:t>
            </w:r>
            <w:r w:rsidRPr="00B35A22">
              <w:rPr>
                <w:sz w:val="22"/>
                <w:vertAlign w:val="superscript"/>
                <w:lang w:val="sr-Latn-ME"/>
              </w:rPr>
              <w:t>2</w:t>
            </w:r>
            <w:r w:rsidRPr="00B35A22">
              <w:rPr>
                <w:sz w:val="22"/>
                <w:lang w:val="sr-Latn-ME"/>
              </w:rPr>
              <w:t>)</w:t>
            </w:r>
            <w:r w:rsidRPr="00B35A22">
              <w:rPr>
                <w:sz w:val="22"/>
                <w:vertAlign w:val="superscript"/>
                <w:lang w:val="sr-Latn-ME"/>
              </w:rPr>
              <w:t>b,c</w:t>
            </w:r>
            <w:r w:rsidRPr="00B35A22">
              <w:rPr>
                <w:sz w:val="22"/>
                <w:lang w:val="sr-Latn-ME"/>
              </w:rPr>
              <w:t xml:space="preserve"> + karboplatin</w:t>
            </w:r>
            <w:r w:rsidRPr="00B35A22">
              <w:rPr>
                <w:sz w:val="22"/>
                <w:vertAlign w:val="superscript"/>
                <w:lang w:val="sr-Latn-ME"/>
              </w:rPr>
              <w:t>c</w:t>
            </w:r>
            <w:r w:rsidRPr="00B35A22">
              <w:rPr>
                <w:sz w:val="22"/>
                <w:lang w:val="sr-Latn-ME"/>
              </w:rPr>
              <w:t xml:space="preserve"> (AUC 6)</w:t>
            </w:r>
          </w:p>
        </w:tc>
        <w:tc>
          <w:tcPr>
            <w:tcW w:w="2718" w:type="dxa"/>
          </w:tcPr>
          <w:p w14:paraId="371D12FD" w14:textId="22D06CA5" w:rsidR="00C04A89" w:rsidRPr="00B35A22" w:rsidRDefault="00C04A89" w:rsidP="00B35A22">
            <w:pPr>
              <w:widowControl w:val="0"/>
              <w:tabs>
                <w:tab w:val="left" w:pos="284"/>
              </w:tabs>
              <w:jc w:val="both"/>
              <w:rPr>
                <w:sz w:val="22"/>
                <w:lang w:val="sr-Latn-ME"/>
              </w:rPr>
            </w:pPr>
            <w:r w:rsidRPr="00B35A22">
              <w:rPr>
                <w:sz w:val="22"/>
                <w:lang w:val="sr-Latn-ME"/>
              </w:rPr>
              <w:t>Atezolizumab</w:t>
            </w:r>
            <w:r w:rsidRPr="00B35A22">
              <w:rPr>
                <w:sz w:val="22"/>
                <w:vertAlign w:val="superscript"/>
                <w:lang w:val="sr-Latn-ME"/>
              </w:rPr>
              <w:t>a</w:t>
            </w:r>
            <w:r w:rsidRPr="00B35A22">
              <w:rPr>
                <w:sz w:val="22"/>
                <w:lang w:val="sr-Latn-ME"/>
              </w:rPr>
              <w:t xml:space="preserve"> (1200 mg) + bevacizumab</w:t>
            </w:r>
            <w:r w:rsidRPr="00B35A22">
              <w:rPr>
                <w:sz w:val="22"/>
                <w:vertAlign w:val="superscript"/>
                <w:lang w:val="sr-Latn-ME"/>
              </w:rPr>
              <w:t>d</w:t>
            </w:r>
            <w:r w:rsidRPr="00B35A22">
              <w:rPr>
                <w:sz w:val="22"/>
                <w:lang w:val="sr-Latn-ME"/>
              </w:rPr>
              <w:t xml:space="preserve"> (15 mg/kg</w:t>
            </w:r>
            <w:r w:rsidR="008C4A4D" w:rsidRPr="00B35A22">
              <w:rPr>
                <w:sz w:val="22"/>
                <w:lang w:val="sr-Latn-ME"/>
              </w:rPr>
              <w:t xml:space="preserve"> t</w:t>
            </w:r>
            <w:r w:rsidR="002D3D9A" w:rsidRPr="00B35A22">
              <w:rPr>
                <w:sz w:val="22"/>
                <w:lang w:val="sr-Latn-ME"/>
              </w:rPr>
              <w:t>j</w:t>
            </w:r>
            <w:r w:rsidR="008C4A4D" w:rsidRPr="00B35A22">
              <w:rPr>
                <w:sz w:val="22"/>
                <w:lang w:val="sr-Latn-ME"/>
              </w:rPr>
              <w:t>elesne mase</w:t>
            </w:r>
            <w:r w:rsidRPr="00B35A22">
              <w:rPr>
                <w:sz w:val="22"/>
                <w:lang w:val="sr-Latn-ME"/>
              </w:rPr>
              <w:t>)</w:t>
            </w:r>
          </w:p>
        </w:tc>
      </w:tr>
      <w:tr w:rsidR="00C04A89" w:rsidRPr="00B35A22" w14:paraId="2CCFBAE2" w14:textId="77777777" w:rsidTr="00140AA2">
        <w:tc>
          <w:tcPr>
            <w:tcW w:w="1458" w:type="dxa"/>
          </w:tcPr>
          <w:p w14:paraId="2DF1C436" w14:textId="77777777" w:rsidR="00C04A89" w:rsidRPr="00B35A22" w:rsidRDefault="00C04A89" w:rsidP="00B35A22">
            <w:pPr>
              <w:widowControl w:val="0"/>
              <w:tabs>
                <w:tab w:val="left" w:pos="284"/>
              </w:tabs>
              <w:jc w:val="both"/>
              <w:rPr>
                <w:sz w:val="22"/>
                <w:lang w:val="sr-Latn-ME"/>
              </w:rPr>
            </w:pPr>
            <w:r w:rsidRPr="00B35A22">
              <w:rPr>
                <w:sz w:val="22"/>
                <w:lang w:val="sr-Latn-ME"/>
              </w:rPr>
              <w:t>C</w:t>
            </w:r>
          </w:p>
        </w:tc>
        <w:tc>
          <w:tcPr>
            <w:tcW w:w="4680" w:type="dxa"/>
          </w:tcPr>
          <w:p w14:paraId="2F010F6E" w14:textId="4655412D" w:rsidR="00C04A89" w:rsidRPr="00B35A22" w:rsidRDefault="00C04A89" w:rsidP="00B35A22">
            <w:pPr>
              <w:widowControl w:val="0"/>
              <w:tabs>
                <w:tab w:val="left" w:pos="284"/>
              </w:tabs>
              <w:jc w:val="both"/>
              <w:rPr>
                <w:sz w:val="22"/>
                <w:lang w:val="sr-Latn-ME"/>
              </w:rPr>
            </w:pPr>
            <w:r w:rsidRPr="00B35A22">
              <w:rPr>
                <w:sz w:val="22"/>
                <w:lang w:val="sr-Latn-ME"/>
              </w:rPr>
              <w:t>Bevacizumab</w:t>
            </w:r>
            <w:r w:rsidRPr="00B35A22">
              <w:rPr>
                <w:sz w:val="22"/>
                <w:vertAlign w:val="superscript"/>
                <w:lang w:val="sr-Latn-ME"/>
              </w:rPr>
              <w:t>d</w:t>
            </w:r>
            <w:r w:rsidRPr="00B35A22">
              <w:rPr>
                <w:sz w:val="22"/>
                <w:lang w:val="sr-Latn-ME"/>
              </w:rPr>
              <w:t xml:space="preserve"> (15 mg/kg</w:t>
            </w:r>
            <w:r w:rsidR="008C4A4D" w:rsidRPr="00B35A22">
              <w:rPr>
                <w:sz w:val="22"/>
                <w:lang w:val="sr-Latn-ME"/>
              </w:rPr>
              <w:t xml:space="preserve"> t</w:t>
            </w:r>
            <w:r w:rsidR="002D3D9A" w:rsidRPr="00B35A22">
              <w:rPr>
                <w:sz w:val="22"/>
                <w:lang w:val="sr-Latn-ME"/>
              </w:rPr>
              <w:t>j</w:t>
            </w:r>
            <w:r w:rsidR="008C4A4D" w:rsidRPr="00B35A22">
              <w:rPr>
                <w:sz w:val="22"/>
                <w:lang w:val="sr-Latn-ME"/>
              </w:rPr>
              <w:t>elesne mase</w:t>
            </w:r>
            <w:r w:rsidRPr="00B35A22">
              <w:rPr>
                <w:sz w:val="22"/>
                <w:lang w:val="sr-Latn-ME"/>
              </w:rPr>
              <w:t>) + paklitaksel (200 mg/m</w:t>
            </w:r>
            <w:r w:rsidRPr="00B35A22">
              <w:rPr>
                <w:sz w:val="22"/>
                <w:vertAlign w:val="superscript"/>
                <w:lang w:val="sr-Latn-ME"/>
              </w:rPr>
              <w:t>2</w:t>
            </w:r>
            <w:r w:rsidRPr="00B35A22">
              <w:rPr>
                <w:sz w:val="22"/>
                <w:lang w:val="sr-Latn-ME"/>
              </w:rPr>
              <w:t>)</w:t>
            </w:r>
            <w:r w:rsidRPr="00B35A22">
              <w:rPr>
                <w:sz w:val="22"/>
                <w:vertAlign w:val="superscript"/>
                <w:lang w:val="sr-Latn-ME"/>
              </w:rPr>
              <w:t>b,c</w:t>
            </w:r>
            <w:r w:rsidRPr="00B35A22">
              <w:rPr>
                <w:sz w:val="22"/>
                <w:lang w:val="sr-Latn-ME"/>
              </w:rPr>
              <w:t xml:space="preserve"> + karboplatin</w:t>
            </w:r>
            <w:r w:rsidRPr="00B35A22">
              <w:rPr>
                <w:sz w:val="22"/>
                <w:vertAlign w:val="superscript"/>
                <w:lang w:val="sr-Latn-ME"/>
              </w:rPr>
              <w:t>c</w:t>
            </w:r>
            <w:r w:rsidRPr="00B35A22">
              <w:rPr>
                <w:sz w:val="22"/>
                <w:lang w:val="sr-Latn-ME"/>
              </w:rPr>
              <w:t xml:space="preserve"> (AUC 6)</w:t>
            </w:r>
          </w:p>
        </w:tc>
        <w:tc>
          <w:tcPr>
            <w:tcW w:w="2718" w:type="dxa"/>
          </w:tcPr>
          <w:p w14:paraId="56B9B132" w14:textId="77779535" w:rsidR="00C04A89" w:rsidRPr="00B35A22" w:rsidRDefault="00C04A89" w:rsidP="00B35A22">
            <w:pPr>
              <w:widowControl w:val="0"/>
              <w:tabs>
                <w:tab w:val="left" w:pos="284"/>
              </w:tabs>
              <w:jc w:val="both"/>
              <w:rPr>
                <w:sz w:val="22"/>
                <w:lang w:val="sr-Latn-ME"/>
              </w:rPr>
            </w:pPr>
            <w:r w:rsidRPr="00B35A22">
              <w:rPr>
                <w:sz w:val="22"/>
                <w:lang w:val="sr-Latn-ME"/>
              </w:rPr>
              <w:t>Bevacizumab</w:t>
            </w:r>
            <w:r w:rsidRPr="00B35A22">
              <w:rPr>
                <w:sz w:val="22"/>
                <w:vertAlign w:val="superscript"/>
                <w:lang w:val="sr-Latn-ME"/>
              </w:rPr>
              <w:t>d</w:t>
            </w:r>
            <w:r w:rsidRPr="00B35A22">
              <w:rPr>
                <w:sz w:val="22"/>
                <w:lang w:val="sr-Latn-ME"/>
              </w:rPr>
              <w:t xml:space="preserve"> (15 mg/kg</w:t>
            </w:r>
            <w:r w:rsidR="008C4A4D" w:rsidRPr="00B35A22">
              <w:rPr>
                <w:sz w:val="22"/>
                <w:lang w:val="sr-Latn-ME"/>
              </w:rPr>
              <w:t xml:space="preserve"> t</w:t>
            </w:r>
            <w:r w:rsidR="002D3D9A" w:rsidRPr="00B35A22">
              <w:rPr>
                <w:sz w:val="22"/>
                <w:lang w:val="sr-Latn-ME"/>
              </w:rPr>
              <w:t>j</w:t>
            </w:r>
            <w:r w:rsidR="008C4A4D" w:rsidRPr="00B35A22">
              <w:rPr>
                <w:sz w:val="22"/>
                <w:lang w:val="sr-Latn-ME"/>
              </w:rPr>
              <w:t>elesne mase</w:t>
            </w:r>
            <w:r w:rsidRPr="00B35A22">
              <w:rPr>
                <w:sz w:val="22"/>
                <w:lang w:val="sr-Latn-ME"/>
              </w:rPr>
              <w:t>)</w:t>
            </w:r>
          </w:p>
        </w:tc>
      </w:tr>
    </w:tbl>
    <w:p w14:paraId="38414346" w14:textId="5F879ADE" w:rsidR="00C04A89" w:rsidRPr="00B35A22" w:rsidRDefault="00C04A89" w:rsidP="00B35A22">
      <w:pPr>
        <w:widowControl w:val="0"/>
        <w:tabs>
          <w:tab w:val="left" w:pos="284"/>
        </w:tabs>
        <w:jc w:val="both"/>
        <w:rPr>
          <w:sz w:val="18"/>
          <w:lang w:val="sr-Latn-ME"/>
        </w:rPr>
      </w:pPr>
      <w:r w:rsidRPr="00B35A22">
        <w:rPr>
          <w:sz w:val="18"/>
          <w:vertAlign w:val="superscript"/>
          <w:lang w:val="sr-Latn-ME"/>
        </w:rPr>
        <w:t xml:space="preserve">a </w:t>
      </w:r>
      <w:r w:rsidRPr="00B35A22">
        <w:rPr>
          <w:sz w:val="18"/>
          <w:lang w:val="sr-Latn-ME"/>
        </w:rPr>
        <w:t>Atezolizumab se prim</w:t>
      </w:r>
      <w:r w:rsidR="00E955CA" w:rsidRPr="00B35A22">
        <w:rPr>
          <w:sz w:val="18"/>
          <w:lang w:val="sr-Latn-ME"/>
        </w:rPr>
        <w:t>j</w:t>
      </w:r>
      <w:r w:rsidRPr="00B35A22">
        <w:rPr>
          <w:sz w:val="18"/>
          <w:lang w:val="sr-Latn-ME"/>
        </w:rPr>
        <w:t>enjuje do gubitka kliničke koristi prema oc</w:t>
      </w:r>
      <w:r w:rsidR="00E955CA" w:rsidRPr="00B35A22">
        <w:rPr>
          <w:sz w:val="18"/>
          <w:lang w:val="sr-Latn-ME"/>
        </w:rPr>
        <w:t>j</w:t>
      </w:r>
      <w:r w:rsidRPr="00B35A22">
        <w:rPr>
          <w:sz w:val="18"/>
          <w:lang w:val="sr-Latn-ME"/>
        </w:rPr>
        <w:t>eni ispitivača</w:t>
      </w:r>
    </w:p>
    <w:p w14:paraId="3ABE9FBC" w14:textId="14843F24" w:rsidR="00C04A89" w:rsidRPr="00B35A22" w:rsidRDefault="00C04A89" w:rsidP="00B35A22">
      <w:pPr>
        <w:widowControl w:val="0"/>
        <w:tabs>
          <w:tab w:val="left" w:pos="284"/>
        </w:tabs>
        <w:jc w:val="both"/>
        <w:rPr>
          <w:sz w:val="18"/>
          <w:lang w:val="sr-Latn-ME"/>
        </w:rPr>
      </w:pPr>
      <w:r w:rsidRPr="00B35A22">
        <w:rPr>
          <w:sz w:val="18"/>
          <w:vertAlign w:val="superscript"/>
          <w:lang w:val="sr-Latn-ME"/>
        </w:rPr>
        <w:t>b</w:t>
      </w:r>
      <w:r w:rsidRPr="00B35A22">
        <w:rPr>
          <w:sz w:val="18"/>
          <w:lang w:val="sr-Latn-ME"/>
        </w:rPr>
        <w:t xml:space="preserve"> Početna doza paklitaksela za </w:t>
      </w:r>
      <w:r w:rsidR="002D3D9A" w:rsidRPr="00B35A22">
        <w:rPr>
          <w:sz w:val="18"/>
          <w:lang w:val="sr-Latn-ME"/>
        </w:rPr>
        <w:t>pacijente</w:t>
      </w:r>
      <w:r w:rsidRPr="00B35A22">
        <w:rPr>
          <w:sz w:val="18"/>
          <w:lang w:val="sr-Latn-ME"/>
        </w:rPr>
        <w:t xml:space="preserve"> azijskog porekla/etničke pripadnosti iznosila je 175 mg/m</w:t>
      </w:r>
      <w:r w:rsidRPr="00B35A22">
        <w:rPr>
          <w:sz w:val="18"/>
          <w:vertAlign w:val="superscript"/>
          <w:lang w:val="sr-Latn-ME"/>
        </w:rPr>
        <w:t>2</w:t>
      </w:r>
      <w:r w:rsidRPr="00B35A22">
        <w:rPr>
          <w:sz w:val="18"/>
          <w:lang w:val="sr-Latn-ME"/>
        </w:rPr>
        <w:t xml:space="preserve"> zbog većeg ukupnog nivoa hematoloških toksičnosti kod pacijenata iz azijskih zemalja u odnosu na </w:t>
      </w:r>
      <w:r w:rsidR="003E771E" w:rsidRPr="00B35A22">
        <w:rPr>
          <w:sz w:val="18"/>
          <w:lang w:val="sr-Latn-ME"/>
        </w:rPr>
        <w:t>pacije</w:t>
      </w:r>
      <w:r w:rsidRPr="00B35A22">
        <w:rPr>
          <w:sz w:val="18"/>
          <w:lang w:val="sr-Latn-ME"/>
        </w:rPr>
        <w:t>nte iz ostalih zemalja</w:t>
      </w:r>
    </w:p>
    <w:p w14:paraId="3E02B7D4" w14:textId="3076FAE1" w:rsidR="00C04A89" w:rsidRPr="00B35A22" w:rsidRDefault="00C04A89" w:rsidP="00B35A22">
      <w:pPr>
        <w:widowControl w:val="0"/>
        <w:tabs>
          <w:tab w:val="left" w:pos="284"/>
        </w:tabs>
        <w:jc w:val="both"/>
        <w:rPr>
          <w:sz w:val="18"/>
          <w:lang w:val="sr-Latn-ME"/>
        </w:rPr>
      </w:pPr>
      <w:r w:rsidRPr="00B35A22">
        <w:rPr>
          <w:sz w:val="18"/>
          <w:vertAlign w:val="superscript"/>
          <w:lang w:val="sr-Latn-ME"/>
        </w:rPr>
        <w:t xml:space="preserve">c </w:t>
      </w:r>
      <w:r w:rsidRPr="00B35A22">
        <w:rPr>
          <w:sz w:val="18"/>
          <w:lang w:val="sr-Latn-ME"/>
        </w:rPr>
        <w:t>Paklitaksel i karboplatin prim</w:t>
      </w:r>
      <w:r w:rsidR="003E771E" w:rsidRPr="00B35A22">
        <w:rPr>
          <w:sz w:val="18"/>
          <w:lang w:val="sr-Latn-ME"/>
        </w:rPr>
        <w:t>j</w:t>
      </w:r>
      <w:r w:rsidRPr="00B35A22">
        <w:rPr>
          <w:sz w:val="18"/>
          <w:lang w:val="sr-Latn-ME"/>
        </w:rPr>
        <w:t>enjuju se dok se ne završi 4 ili 6 ciklusa l</w:t>
      </w:r>
      <w:r w:rsidR="002D3D9A" w:rsidRPr="00B35A22">
        <w:rPr>
          <w:sz w:val="18"/>
          <w:lang w:val="sr-Latn-ME"/>
        </w:rPr>
        <w:t>ij</w:t>
      </w:r>
      <w:r w:rsidRPr="00B35A22">
        <w:rPr>
          <w:sz w:val="18"/>
          <w:lang w:val="sr-Latn-ME"/>
        </w:rPr>
        <w:t>ečenja ili do progresije bolesti ili pojave neprihvatljive toksičnosti, šta god nastupi pr</w:t>
      </w:r>
      <w:r w:rsidR="002D3D9A" w:rsidRPr="00B35A22">
        <w:rPr>
          <w:sz w:val="18"/>
          <w:lang w:val="sr-Latn-ME"/>
        </w:rPr>
        <w:t>ij</w:t>
      </w:r>
      <w:r w:rsidRPr="00B35A22">
        <w:rPr>
          <w:sz w:val="18"/>
          <w:lang w:val="sr-Latn-ME"/>
        </w:rPr>
        <w:t>e.</w:t>
      </w:r>
    </w:p>
    <w:p w14:paraId="09531344" w14:textId="37814C28" w:rsidR="00C04A89" w:rsidRPr="00B35A22" w:rsidRDefault="00C04A89" w:rsidP="00B35A22">
      <w:pPr>
        <w:widowControl w:val="0"/>
        <w:tabs>
          <w:tab w:val="left" w:pos="284"/>
        </w:tabs>
        <w:jc w:val="both"/>
        <w:rPr>
          <w:sz w:val="22"/>
          <w:lang w:val="sr-Latn-ME"/>
        </w:rPr>
      </w:pPr>
      <w:r w:rsidRPr="00B35A22">
        <w:rPr>
          <w:sz w:val="18"/>
          <w:vertAlign w:val="superscript"/>
          <w:lang w:val="sr-Latn-ME"/>
        </w:rPr>
        <w:t xml:space="preserve">d. </w:t>
      </w:r>
      <w:r w:rsidRPr="00B35A22">
        <w:rPr>
          <w:sz w:val="18"/>
          <w:lang w:val="sr-Latn-ME"/>
        </w:rPr>
        <w:t>Bevacizumab se prim</w:t>
      </w:r>
      <w:r w:rsidR="003E771E" w:rsidRPr="00B35A22">
        <w:rPr>
          <w:sz w:val="18"/>
          <w:lang w:val="sr-Latn-ME"/>
        </w:rPr>
        <w:t>j</w:t>
      </w:r>
      <w:r w:rsidRPr="00B35A22">
        <w:rPr>
          <w:sz w:val="18"/>
          <w:lang w:val="sr-Latn-ME"/>
        </w:rPr>
        <w:t>enjuje do progresije bolesti ili pojave neprihvatljive toksičnosti</w:t>
      </w:r>
    </w:p>
    <w:p w14:paraId="5316C39C" w14:textId="77777777" w:rsidR="00C04A89" w:rsidRPr="00B35A22" w:rsidRDefault="00C04A89" w:rsidP="00B35A22">
      <w:pPr>
        <w:widowControl w:val="0"/>
        <w:tabs>
          <w:tab w:val="left" w:pos="284"/>
        </w:tabs>
        <w:jc w:val="both"/>
        <w:rPr>
          <w:sz w:val="22"/>
          <w:lang w:val="sr-Latn-ME"/>
        </w:rPr>
      </w:pPr>
    </w:p>
    <w:p w14:paraId="2B5B2272" w14:textId="7C088DE4" w:rsidR="00C04A89" w:rsidRPr="00B35A22" w:rsidRDefault="00C04A89" w:rsidP="00B35A22">
      <w:pPr>
        <w:widowControl w:val="0"/>
        <w:tabs>
          <w:tab w:val="left" w:pos="284"/>
        </w:tabs>
        <w:jc w:val="both"/>
        <w:rPr>
          <w:sz w:val="22"/>
          <w:lang w:val="sr-Latn-ME"/>
        </w:rPr>
      </w:pPr>
      <w:r w:rsidRPr="00B35A22">
        <w:rPr>
          <w:sz w:val="22"/>
          <w:lang w:val="sr-Latn-ME"/>
        </w:rPr>
        <w:t>Demografske i početne karakteristike bolesti u ispitivanoj populaciji bile su dobro ujednačene između l</w:t>
      </w:r>
      <w:r w:rsidR="00042108" w:rsidRPr="00B35A22">
        <w:rPr>
          <w:sz w:val="22"/>
          <w:lang w:val="sr-Latn-ME"/>
        </w:rPr>
        <w:t>ij</w:t>
      </w:r>
      <w:r w:rsidRPr="00B35A22">
        <w:rPr>
          <w:sz w:val="22"/>
          <w:lang w:val="sr-Latn-ME"/>
        </w:rPr>
        <w:t>ečenih grupa. Medijana starosti iznosila je 63 godine (raspon: 31 – 90), a 60% pacijenata bili su muškarci. Većina pacijenata bila je b</w:t>
      </w:r>
      <w:r w:rsidR="003E771E" w:rsidRPr="00B35A22">
        <w:rPr>
          <w:sz w:val="22"/>
          <w:lang w:val="sr-Latn-ME"/>
        </w:rPr>
        <w:t>ij</w:t>
      </w:r>
      <w:r w:rsidRPr="00B35A22">
        <w:rPr>
          <w:sz w:val="22"/>
          <w:lang w:val="sr-Latn-ME"/>
        </w:rPr>
        <w:t>ele rase (82%). Približno 10% pacijenata imalo je poznatu EGFR mutaciju, 4% ih je imalo poznate prom</w:t>
      </w:r>
      <w:r w:rsidR="002D3D9A" w:rsidRPr="00B35A22">
        <w:rPr>
          <w:sz w:val="22"/>
          <w:lang w:val="sr-Latn-ME"/>
        </w:rPr>
        <w:t>j</w:t>
      </w:r>
      <w:r w:rsidRPr="00B35A22">
        <w:rPr>
          <w:sz w:val="22"/>
          <w:lang w:val="sr-Latn-ME"/>
        </w:rPr>
        <w:t>ene u redosl</w:t>
      </w:r>
      <w:r w:rsidR="002D3D9A" w:rsidRPr="00B35A22">
        <w:rPr>
          <w:sz w:val="22"/>
          <w:lang w:val="sr-Latn-ME"/>
        </w:rPr>
        <w:t>j</w:t>
      </w:r>
      <w:r w:rsidRPr="00B35A22">
        <w:rPr>
          <w:sz w:val="22"/>
          <w:lang w:val="sr-Latn-ME"/>
        </w:rPr>
        <w:t xml:space="preserve">edu baza u genu ALK, 14% pacijenata imalo je jetrene metastaze na početku ispitivanja, a većina pacijenata bili su aktivni ili bivši pušači (80%). Početni funkcionalni ECOG status iznosio je 0 (43%) ili 1 (57%). Pedeset i jedan posto (51%) pacijenata </w:t>
      </w:r>
      <w:r w:rsidRPr="00B35A22">
        <w:rPr>
          <w:sz w:val="22"/>
          <w:lang w:val="sr-Latn-ME"/>
        </w:rPr>
        <w:lastRenderedPageBreak/>
        <w:t>imalo je PD</w:t>
      </w:r>
      <w:r w:rsidRPr="00B35A22">
        <w:rPr>
          <w:sz w:val="22"/>
          <w:lang w:val="sr-Latn-ME"/>
        </w:rPr>
        <w:noBreakHyphen/>
        <w:t>L1 ekspresiju ≥ 1% na tumorskim ćelijama ili ≥ 1% na ćelijama imunskog sistema koje se infiltriraju u tumor, dok je 49% bolesnika imalo tumorsku PD</w:t>
      </w:r>
      <w:r w:rsidRPr="00B35A22">
        <w:rPr>
          <w:sz w:val="22"/>
          <w:lang w:val="sr-Latn-ME"/>
        </w:rPr>
        <w:noBreakHyphen/>
        <w:t xml:space="preserve">L1 ekspresiju &lt; 1% na tumorskim ćelijama i &lt; 1% na ćelijama imunskog sistema koje se infiltriraju u tumor. </w:t>
      </w:r>
    </w:p>
    <w:p w14:paraId="62454308" w14:textId="77777777" w:rsidR="00C04A89" w:rsidRPr="00B35A22" w:rsidRDefault="00C04A89" w:rsidP="00B35A22">
      <w:pPr>
        <w:widowControl w:val="0"/>
        <w:tabs>
          <w:tab w:val="left" w:pos="284"/>
        </w:tabs>
        <w:jc w:val="both"/>
        <w:rPr>
          <w:sz w:val="22"/>
          <w:lang w:val="sr-Latn-ME"/>
        </w:rPr>
      </w:pPr>
    </w:p>
    <w:p w14:paraId="16297F06" w14:textId="3681CAE4" w:rsidR="00C04A89" w:rsidRPr="00B35A22" w:rsidRDefault="00C04A89" w:rsidP="00B35A22">
      <w:pPr>
        <w:widowControl w:val="0"/>
        <w:tabs>
          <w:tab w:val="left" w:pos="284"/>
        </w:tabs>
        <w:jc w:val="both"/>
        <w:rPr>
          <w:sz w:val="22"/>
          <w:lang w:val="sr-Latn-ME"/>
        </w:rPr>
      </w:pPr>
      <w:r w:rsidRPr="00B35A22">
        <w:rPr>
          <w:sz w:val="22"/>
          <w:lang w:val="sr-Latn-ME"/>
        </w:rPr>
        <w:t>U trenutku sprovođenja završne analize podataka za PFS, medijana praćenja pacijenata iznosila je 15,3 m</w:t>
      </w:r>
      <w:r w:rsidR="002D3D9A" w:rsidRPr="00B35A22">
        <w:rPr>
          <w:sz w:val="22"/>
          <w:lang w:val="sr-Latn-ME"/>
        </w:rPr>
        <w:t>j</w:t>
      </w:r>
      <w:r w:rsidRPr="00B35A22">
        <w:rPr>
          <w:sz w:val="22"/>
          <w:lang w:val="sr-Latn-ME"/>
        </w:rPr>
        <w:t>eseci. U ITT populaciji, uključujući pacijente sa EGFR mutacijama ili prom</w:t>
      </w:r>
      <w:r w:rsidR="00042108" w:rsidRPr="00B35A22">
        <w:rPr>
          <w:sz w:val="22"/>
          <w:lang w:val="sr-Latn-ME"/>
        </w:rPr>
        <w:t>j</w:t>
      </w:r>
      <w:r w:rsidRPr="00B35A22">
        <w:rPr>
          <w:sz w:val="22"/>
          <w:lang w:val="sr-Latn-ME"/>
        </w:rPr>
        <w:t>enama u redosl</w:t>
      </w:r>
      <w:r w:rsidR="00042108" w:rsidRPr="00B35A22">
        <w:rPr>
          <w:sz w:val="22"/>
          <w:lang w:val="sr-Latn-ME"/>
        </w:rPr>
        <w:t>j</w:t>
      </w:r>
      <w:r w:rsidRPr="00B35A22">
        <w:rPr>
          <w:sz w:val="22"/>
          <w:lang w:val="sr-Latn-ME"/>
        </w:rPr>
        <w:t>edu baza u genu ALK koji je prethodno trebalo da primaju inhibitore tirozin kinaze. Zab</w:t>
      </w:r>
      <w:r w:rsidR="00042108" w:rsidRPr="00B35A22">
        <w:rPr>
          <w:sz w:val="22"/>
          <w:lang w:val="sr-Latn-ME"/>
        </w:rPr>
        <w:t>ilj</w:t>
      </w:r>
      <w:r w:rsidRPr="00B35A22">
        <w:rPr>
          <w:sz w:val="22"/>
          <w:lang w:val="sr-Latn-ME"/>
        </w:rPr>
        <w:t>eženo je klinički značajno produženje PFS</w:t>
      </w:r>
      <w:r w:rsidRPr="00B35A22">
        <w:rPr>
          <w:sz w:val="22"/>
          <w:lang w:val="sr-Latn-ME"/>
        </w:rPr>
        <w:noBreakHyphen/>
        <w:t>a u grupi B u odnosu na grupu C (HR: 0,61; 95% CI: 0,52; 0,72; medijana PFS</w:t>
      </w:r>
      <w:r w:rsidRPr="00B35A22">
        <w:rPr>
          <w:sz w:val="22"/>
          <w:lang w:val="sr-Latn-ME"/>
        </w:rPr>
        <w:noBreakHyphen/>
        <w:t>a: 8,3 naspram 6,8 m</w:t>
      </w:r>
      <w:r w:rsidR="003E771E" w:rsidRPr="00B35A22">
        <w:rPr>
          <w:sz w:val="22"/>
          <w:lang w:val="sr-Latn-ME"/>
        </w:rPr>
        <w:t>j</w:t>
      </w:r>
      <w:r w:rsidRPr="00B35A22">
        <w:rPr>
          <w:sz w:val="22"/>
          <w:lang w:val="sr-Latn-ME"/>
        </w:rPr>
        <w:t xml:space="preserve">eseci).  </w:t>
      </w:r>
    </w:p>
    <w:p w14:paraId="50FAB8FC" w14:textId="77777777" w:rsidR="00C04A89" w:rsidRPr="00B35A22" w:rsidRDefault="00C04A89" w:rsidP="00B35A22">
      <w:pPr>
        <w:widowControl w:val="0"/>
        <w:tabs>
          <w:tab w:val="left" w:pos="284"/>
        </w:tabs>
        <w:jc w:val="both"/>
        <w:rPr>
          <w:sz w:val="22"/>
          <w:lang w:val="sr-Latn-ME"/>
        </w:rPr>
      </w:pPr>
    </w:p>
    <w:p w14:paraId="3D97710A" w14:textId="0193ABBB" w:rsidR="00C04A89" w:rsidRPr="00B35A22" w:rsidRDefault="00C04A89" w:rsidP="00B35A22">
      <w:pPr>
        <w:widowControl w:val="0"/>
        <w:tabs>
          <w:tab w:val="left" w:pos="284"/>
        </w:tabs>
        <w:jc w:val="both"/>
        <w:rPr>
          <w:sz w:val="22"/>
          <w:lang w:val="sr-Latn-ME"/>
        </w:rPr>
      </w:pPr>
      <w:r w:rsidRPr="00B35A22">
        <w:rPr>
          <w:sz w:val="22"/>
          <w:lang w:val="sr-Latn-ME"/>
        </w:rPr>
        <w:t>U trenutku sprovođenja interim analize podataka za OS, medijana praćenja pacijenata iznosila je 19,7 m</w:t>
      </w:r>
      <w:r w:rsidR="003E771E" w:rsidRPr="00B35A22">
        <w:rPr>
          <w:sz w:val="22"/>
          <w:lang w:val="sr-Latn-ME"/>
        </w:rPr>
        <w:t>j</w:t>
      </w:r>
      <w:r w:rsidRPr="00B35A22">
        <w:rPr>
          <w:sz w:val="22"/>
          <w:lang w:val="sr-Latn-ME"/>
        </w:rPr>
        <w:t>eseci. Ključni rezultati te analize, kao i analize ažuriranih podataka za PFS u ITT populaciji, sažeto su prikazani u Tabelama </w:t>
      </w:r>
      <w:r w:rsidR="00D52D7D" w:rsidRPr="00B35A22">
        <w:rPr>
          <w:sz w:val="22"/>
          <w:lang w:val="sr-Latn-ME"/>
        </w:rPr>
        <w:t>9 i 10</w:t>
      </w:r>
      <w:r w:rsidRPr="00B35A22">
        <w:rPr>
          <w:sz w:val="22"/>
          <w:lang w:val="sr-Latn-ME"/>
        </w:rPr>
        <w:t xml:space="preserve">. </w:t>
      </w:r>
      <w:r w:rsidRPr="00B35A22">
        <w:rPr>
          <w:i/>
          <w:sz w:val="22"/>
          <w:lang w:val="sr-Latn-ME"/>
        </w:rPr>
        <w:t>Kaplan</w:t>
      </w:r>
      <w:r w:rsidRPr="00B35A22">
        <w:rPr>
          <w:i/>
          <w:sz w:val="22"/>
          <w:lang w:val="sr-Latn-ME"/>
        </w:rPr>
        <w:noBreakHyphen/>
        <w:t>Meier</w:t>
      </w:r>
      <w:r w:rsidRPr="00B35A22">
        <w:rPr>
          <w:sz w:val="22"/>
          <w:lang w:val="sr-Latn-ME"/>
        </w:rPr>
        <w:t>-ova kriva OS</w:t>
      </w:r>
      <w:r w:rsidRPr="00B35A22">
        <w:rPr>
          <w:sz w:val="22"/>
          <w:lang w:val="sr-Latn-ME"/>
        </w:rPr>
        <w:noBreakHyphen/>
        <w:t>a u ITT po</w:t>
      </w:r>
      <w:r w:rsidR="00D52D7D" w:rsidRPr="00B35A22">
        <w:rPr>
          <w:sz w:val="22"/>
          <w:lang w:val="sr-Latn-ME"/>
        </w:rPr>
        <w:t>pulaciji prikazana je na Slici </w:t>
      </w:r>
      <w:r w:rsidR="00D5115F" w:rsidRPr="00B35A22">
        <w:rPr>
          <w:sz w:val="22"/>
          <w:lang w:val="sr-Latn-ME"/>
        </w:rPr>
        <w:t>4</w:t>
      </w:r>
      <w:r w:rsidRPr="00B35A22">
        <w:rPr>
          <w:sz w:val="22"/>
          <w:lang w:val="sr-Latn-ME"/>
        </w:rPr>
        <w:t>. Slika </w:t>
      </w:r>
      <w:r w:rsidR="00D5115F" w:rsidRPr="00B35A22">
        <w:rPr>
          <w:sz w:val="22"/>
          <w:lang w:val="sr-Latn-ME"/>
        </w:rPr>
        <w:t xml:space="preserve">5 </w:t>
      </w:r>
      <w:r w:rsidRPr="00B35A22">
        <w:rPr>
          <w:sz w:val="22"/>
          <w:lang w:val="sr-Latn-ME"/>
        </w:rPr>
        <w:t>sažeto prikazuje rezultate za OS u ITT populaciji i podgrupama prema PD</w:t>
      </w:r>
      <w:r w:rsidRPr="00B35A22">
        <w:rPr>
          <w:sz w:val="22"/>
          <w:lang w:val="sr-Latn-ME"/>
        </w:rPr>
        <w:noBreakHyphen/>
        <w:t>L1 ekspresiji. Na Slikama </w:t>
      </w:r>
      <w:r w:rsidR="00D5115F" w:rsidRPr="00B35A22">
        <w:rPr>
          <w:sz w:val="22"/>
          <w:lang w:val="sr-Latn-ME"/>
        </w:rPr>
        <w:t xml:space="preserve">6 </w:t>
      </w:r>
      <w:r w:rsidRPr="00B35A22">
        <w:rPr>
          <w:sz w:val="22"/>
          <w:lang w:val="sr-Latn-ME"/>
        </w:rPr>
        <w:t>i </w:t>
      </w:r>
      <w:r w:rsidR="00D5115F" w:rsidRPr="00B35A22">
        <w:rPr>
          <w:sz w:val="22"/>
          <w:lang w:val="sr-Latn-ME"/>
        </w:rPr>
        <w:t xml:space="preserve">7 </w:t>
      </w:r>
      <w:r w:rsidRPr="00B35A22">
        <w:rPr>
          <w:sz w:val="22"/>
          <w:lang w:val="sr-Latn-ME"/>
        </w:rPr>
        <w:t>prikazani su i ažurirani rezultati za PFS</w:t>
      </w:r>
      <w:r w:rsidRPr="00B35A22">
        <w:rPr>
          <w:color w:val="FF0000"/>
          <w:sz w:val="22"/>
          <w:lang w:val="sr-Latn-ME"/>
        </w:rPr>
        <w:t>.</w:t>
      </w:r>
      <w:r w:rsidRPr="00B35A22">
        <w:rPr>
          <w:sz w:val="22"/>
          <w:lang w:val="sr-Latn-ME"/>
        </w:rPr>
        <w:t xml:space="preserve"> </w:t>
      </w:r>
    </w:p>
    <w:p w14:paraId="7697D02E" w14:textId="77777777" w:rsidR="00D52D7D" w:rsidRPr="00B35A22" w:rsidRDefault="00D52D7D" w:rsidP="00B35A22">
      <w:pPr>
        <w:widowControl w:val="0"/>
        <w:tabs>
          <w:tab w:val="left" w:pos="284"/>
        </w:tabs>
        <w:jc w:val="both"/>
        <w:rPr>
          <w:sz w:val="22"/>
          <w:lang w:val="sr-Latn-ME"/>
        </w:rPr>
      </w:pPr>
    </w:p>
    <w:p w14:paraId="75D87022" w14:textId="5621CFE8" w:rsidR="00C04A89" w:rsidRPr="00B35A22" w:rsidRDefault="00C04A89" w:rsidP="00B35A22">
      <w:pPr>
        <w:widowControl w:val="0"/>
        <w:tabs>
          <w:tab w:val="left" w:pos="284"/>
        </w:tabs>
        <w:jc w:val="both"/>
        <w:rPr>
          <w:i/>
          <w:sz w:val="22"/>
          <w:u w:val="single"/>
          <w:lang w:val="sr-Latn-ME"/>
        </w:rPr>
      </w:pPr>
      <w:r w:rsidRPr="00B35A22">
        <w:rPr>
          <w:rFonts w:eastAsia="Calibri"/>
          <w:b/>
          <w:sz w:val="22"/>
          <w:lang w:val="sr-Latn-ME"/>
        </w:rPr>
        <w:t>Tabela </w:t>
      </w:r>
      <w:r w:rsidR="00D52D7D" w:rsidRPr="00B35A22">
        <w:rPr>
          <w:rFonts w:eastAsia="Calibri"/>
          <w:b/>
          <w:sz w:val="22"/>
          <w:lang w:val="sr-Latn-ME"/>
        </w:rPr>
        <w:t>9</w:t>
      </w:r>
      <w:r w:rsidRPr="00B35A22">
        <w:rPr>
          <w:rFonts w:eastAsia="Calibri"/>
          <w:b/>
          <w:sz w:val="22"/>
          <w:lang w:val="sr-Latn-ME"/>
        </w:rPr>
        <w:t>: Sažetak ažuriranih rezultata za efikasnost u ITT populaciji (IMpower150)</w:t>
      </w:r>
    </w:p>
    <w:p w14:paraId="0B52D0F3" w14:textId="77777777" w:rsidR="00C04A89" w:rsidRPr="00B35A22" w:rsidRDefault="00C04A89" w:rsidP="00B35A22">
      <w:pPr>
        <w:widowControl w:val="0"/>
        <w:tabs>
          <w:tab w:val="left" w:pos="284"/>
        </w:tabs>
        <w:jc w:val="both"/>
        <w:rPr>
          <w:sz w:val="22"/>
          <w:lang w:val="sr-Latn-ME"/>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248"/>
        <w:gridCol w:w="2195"/>
        <w:gridCol w:w="2195"/>
        <w:gridCol w:w="1425"/>
      </w:tblGrid>
      <w:tr w:rsidR="00CC0044" w:rsidRPr="00B35A22" w14:paraId="3847324B" w14:textId="77777777" w:rsidTr="00140AA2">
        <w:trPr>
          <w:tblHeader/>
        </w:trPr>
        <w:tc>
          <w:tcPr>
            <w:tcW w:w="1792" w:type="pct"/>
            <w:tcBorders>
              <w:top w:val="single" w:sz="4" w:space="0" w:color="auto"/>
              <w:bottom w:val="single" w:sz="4" w:space="0" w:color="auto"/>
            </w:tcBorders>
            <w:shd w:val="clear" w:color="auto" w:fill="FFFFFF"/>
          </w:tcPr>
          <w:p w14:paraId="0326B2DA" w14:textId="583BA904" w:rsidR="00C04A89" w:rsidRPr="00B35A22" w:rsidRDefault="00C04A89" w:rsidP="00B35A22">
            <w:pPr>
              <w:widowControl w:val="0"/>
              <w:tabs>
                <w:tab w:val="left" w:pos="284"/>
              </w:tabs>
              <w:jc w:val="both"/>
              <w:rPr>
                <w:b/>
                <w:sz w:val="20"/>
                <w:lang w:val="sr-Latn-ME"/>
              </w:rPr>
            </w:pPr>
            <w:r w:rsidRPr="00B35A22">
              <w:rPr>
                <w:b/>
                <w:sz w:val="20"/>
                <w:lang w:val="sr-Latn-ME"/>
              </w:rPr>
              <w:t>M</w:t>
            </w:r>
            <w:r w:rsidR="00042108" w:rsidRPr="00B35A22">
              <w:rPr>
                <w:b/>
                <w:sz w:val="20"/>
                <w:lang w:val="sr-Latn-ME"/>
              </w:rPr>
              <w:t>j</w:t>
            </w:r>
            <w:r w:rsidRPr="00B35A22">
              <w:rPr>
                <w:b/>
                <w:sz w:val="20"/>
                <w:lang w:val="sr-Latn-ME"/>
              </w:rPr>
              <w:t>era ishoda za efikasnost</w:t>
            </w:r>
          </w:p>
        </w:tc>
        <w:tc>
          <w:tcPr>
            <w:tcW w:w="1211" w:type="pct"/>
            <w:tcBorders>
              <w:top w:val="single" w:sz="4" w:space="0" w:color="auto"/>
              <w:bottom w:val="single" w:sz="4" w:space="0" w:color="auto"/>
            </w:tcBorders>
            <w:shd w:val="clear" w:color="auto" w:fill="FFFFFF"/>
          </w:tcPr>
          <w:p w14:paraId="7EA80DFD" w14:textId="77777777" w:rsidR="00C04A89" w:rsidRPr="00B35A22" w:rsidRDefault="00C04A89" w:rsidP="00B35A22">
            <w:pPr>
              <w:widowControl w:val="0"/>
              <w:tabs>
                <w:tab w:val="left" w:pos="284"/>
              </w:tabs>
              <w:jc w:val="both"/>
              <w:rPr>
                <w:b/>
                <w:sz w:val="20"/>
                <w:lang w:val="sr-Latn-ME"/>
              </w:rPr>
            </w:pPr>
            <w:r w:rsidRPr="00B35A22">
              <w:rPr>
                <w:b/>
                <w:sz w:val="20"/>
                <w:lang w:val="sr-Latn-ME"/>
              </w:rPr>
              <w:t>Grupa A</w:t>
            </w:r>
          </w:p>
          <w:p w14:paraId="102D96FB" w14:textId="4F702C59" w:rsidR="00C04A89" w:rsidRPr="00B35A22" w:rsidRDefault="00C04A89" w:rsidP="00B35A22">
            <w:pPr>
              <w:widowControl w:val="0"/>
              <w:tabs>
                <w:tab w:val="left" w:pos="284"/>
              </w:tabs>
              <w:ind w:right="662"/>
              <w:jc w:val="both"/>
              <w:rPr>
                <w:b/>
                <w:sz w:val="20"/>
                <w:lang w:val="sr-Latn-ME"/>
              </w:rPr>
            </w:pPr>
            <w:r w:rsidRPr="00B35A22">
              <w:rPr>
                <w:b/>
                <w:sz w:val="20"/>
                <w:lang w:val="sr-Latn-ME"/>
              </w:rPr>
              <w:t>(atezolizumab</w:t>
            </w:r>
            <w:r w:rsidR="00C96C24" w:rsidRPr="00B35A22">
              <w:rPr>
                <w:b/>
                <w:sz w:val="20"/>
                <w:lang w:val="sr-Latn-ME"/>
              </w:rPr>
              <w:t xml:space="preserve"> </w:t>
            </w:r>
            <w:r w:rsidRPr="00B35A22">
              <w:rPr>
                <w:b/>
                <w:sz w:val="20"/>
                <w:lang w:val="sr-Latn-ME"/>
              </w:rPr>
              <w:t>+ paklitaksel</w:t>
            </w:r>
            <w:r w:rsidR="00C96C24" w:rsidRPr="00B35A22">
              <w:rPr>
                <w:b/>
                <w:sz w:val="20"/>
                <w:lang w:val="sr-Latn-ME"/>
              </w:rPr>
              <w:t xml:space="preserve"> </w:t>
            </w:r>
            <w:r w:rsidRPr="00B35A22">
              <w:rPr>
                <w:b/>
                <w:sz w:val="20"/>
                <w:lang w:val="sr-Latn-ME"/>
              </w:rPr>
              <w:t xml:space="preserve">+ karboplatin) </w:t>
            </w:r>
          </w:p>
        </w:tc>
        <w:tc>
          <w:tcPr>
            <w:tcW w:w="1211" w:type="pct"/>
            <w:tcBorders>
              <w:top w:val="single" w:sz="4" w:space="0" w:color="auto"/>
              <w:bottom w:val="single" w:sz="4" w:space="0" w:color="auto"/>
            </w:tcBorders>
            <w:shd w:val="clear" w:color="auto" w:fill="FFFFFF"/>
          </w:tcPr>
          <w:p w14:paraId="4005CD29" w14:textId="77777777" w:rsidR="00C04A89" w:rsidRPr="00B35A22" w:rsidRDefault="00C04A89" w:rsidP="00B35A22">
            <w:pPr>
              <w:widowControl w:val="0"/>
              <w:tabs>
                <w:tab w:val="left" w:pos="284"/>
              </w:tabs>
              <w:jc w:val="both"/>
              <w:rPr>
                <w:b/>
                <w:sz w:val="20"/>
                <w:lang w:val="sr-Latn-ME"/>
              </w:rPr>
            </w:pPr>
            <w:r w:rsidRPr="00B35A22">
              <w:rPr>
                <w:b/>
                <w:sz w:val="20"/>
                <w:lang w:val="sr-Latn-ME"/>
              </w:rPr>
              <w:t>Grupa B</w:t>
            </w:r>
          </w:p>
          <w:p w14:paraId="399C7DA7" w14:textId="77777777" w:rsidR="00C04A89" w:rsidRPr="00B35A22" w:rsidRDefault="00C04A89" w:rsidP="00B35A22">
            <w:pPr>
              <w:widowControl w:val="0"/>
              <w:tabs>
                <w:tab w:val="left" w:pos="284"/>
              </w:tabs>
              <w:ind w:right="599"/>
              <w:jc w:val="both"/>
              <w:rPr>
                <w:b/>
                <w:sz w:val="20"/>
                <w:lang w:val="sr-Latn-ME"/>
              </w:rPr>
            </w:pPr>
            <w:r w:rsidRPr="00B35A22">
              <w:rPr>
                <w:b/>
                <w:sz w:val="20"/>
                <w:lang w:val="sr-Latn-ME"/>
              </w:rPr>
              <w:t>(atezolizumab + bevacizumab + paklitaksel + karboplatin)</w:t>
            </w:r>
          </w:p>
        </w:tc>
        <w:tc>
          <w:tcPr>
            <w:tcW w:w="786" w:type="pct"/>
            <w:tcBorders>
              <w:top w:val="single" w:sz="4" w:space="0" w:color="auto"/>
              <w:bottom w:val="single" w:sz="4" w:space="0" w:color="auto"/>
            </w:tcBorders>
            <w:shd w:val="clear" w:color="auto" w:fill="FFFFFF"/>
          </w:tcPr>
          <w:p w14:paraId="438D4EC1" w14:textId="77777777" w:rsidR="00C04A89" w:rsidRPr="00B35A22" w:rsidRDefault="00C04A89" w:rsidP="00B35A22">
            <w:pPr>
              <w:widowControl w:val="0"/>
              <w:tabs>
                <w:tab w:val="left" w:pos="284"/>
              </w:tabs>
              <w:jc w:val="both"/>
              <w:rPr>
                <w:b/>
                <w:sz w:val="20"/>
                <w:lang w:val="sr-Latn-ME"/>
              </w:rPr>
            </w:pPr>
            <w:r w:rsidRPr="00B35A22">
              <w:rPr>
                <w:b/>
                <w:sz w:val="20"/>
                <w:lang w:val="sr-Latn-ME"/>
              </w:rPr>
              <w:t>Grupa C</w:t>
            </w:r>
          </w:p>
          <w:p w14:paraId="1F1308D9" w14:textId="77777777" w:rsidR="00C04A89" w:rsidRPr="00B35A22" w:rsidRDefault="00C04A89" w:rsidP="00B35A22">
            <w:pPr>
              <w:widowControl w:val="0"/>
              <w:tabs>
                <w:tab w:val="left" w:pos="284"/>
              </w:tabs>
              <w:ind w:left="-100"/>
              <w:jc w:val="both"/>
              <w:rPr>
                <w:b/>
                <w:sz w:val="20"/>
                <w:lang w:val="sr-Latn-ME"/>
              </w:rPr>
            </w:pPr>
            <w:r w:rsidRPr="00B35A22">
              <w:rPr>
                <w:b/>
                <w:sz w:val="20"/>
                <w:lang w:val="sr-Latn-ME"/>
              </w:rPr>
              <w:t>(bevacizumab + paklitaksel + karboplatin)</w:t>
            </w:r>
          </w:p>
        </w:tc>
      </w:tr>
      <w:tr w:rsidR="00CC0044" w:rsidRPr="00B35A22" w14:paraId="177F9BC4" w14:textId="77777777" w:rsidTr="00140AA2">
        <w:trPr>
          <w:tblHeader/>
        </w:trPr>
        <w:tc>
          <w:tcPr>
            <w:tcW w:w="1792" w:type="pct"/>
            <w:tcBorders>
              <w:top w:val="single" w:sz="4" w:space="0" w:color="auto"/>
              <w:bottom w:val="single" w:sz="4" w:space="0" w:color="auto"/>
            </w:tcBorders>
            <w:shd w:val="clear" w:color="auto" w:fill="FFFFFF"/>
          </w:tcPr>
          <w:p w14:paraId="1E612956" w14:textId="1F4F7687" w:rsidR="00C04A89" w:rsidRPr="00B35A22" w:rsidRDefault="00C04A89" w:rsidP="00B35A22">
            <w:pPr>
              <w:widowControl w:val="0"/>
              <w:tabs>
                <w:tab w:val="left" w:pos="284"/>
              </w:tabs>
              <w:jc w:val="both"/>
              <w:rPr>
                <w:b/>
                <w:sz w:val="20"/>
                <w:lang w:val="sr-Latn-ME"/>
              </w:rPr>
            </w:pPr>
            <w:r w:rsidRPr="00B35A22">
              <w:rPr>
                <w:b/>
                <w:sz w:val="20"/>
                <w:lang w:val="sr-Latn-ME"/>
              </w:rPr>
              <w:t>Sekundarne m</w:t>
            </w:r>
            <w:r w:rsidR="00042108" w:rsidRPr="00B35A22">
              <w:rPr>
                <w:b/>
                <w:sz w:val="20"/>
                <w:lang w:val="sr-Latn-ME"/>
              </w:rPr>
              <w:t>j</w:t>
            </w:r>
            <w:r w:rsidRPr="00B35A22">
              <w:rPr>
                <w:b/>
                <w:sz w:val="20"/>
                <w:lang w:val="sr-Latn-ME"/>
              </w:rPr>
              <w:t>ere ishoda</w:t>
            </w:r>
            <w:r w:rsidRPr="00B35A22">
              <w:rPr>
                <w:b/>
                <w:sz w:val="20"/>
                <w:vertAlign w:val="superscript"/>
                <w:lang w:val="sr-Latn-ME"/>
              </w:rPr>
              <w:t>#</w:t>
            </w:r>
          </w:p>
        </w:tc>
        <w:tc>
          <w:tcPr>
            <w:tcW w:w="1211" w:type="pct"/>
            <w:tcBorders>
              <w:top w:val="single" w:sz="4" w:space="0" w:color="auto"/>
              <w:bottom w:val="single" w:sz="4" w:space="0" w:color="auto"/>
            </w:tcBorders>
            <w:shd w:val="clear" w:color="auto" w:fill="FFFFFF"/>
          </w:tcPr>
          <w:p w14:paraId="107B83AA" w14:textId="77777777" w:rsidR="00C04A89" w:rsidRPr="00B35A22" w:rsidRDefault="00C04A89" w:rsidP="00B35A22">
            <w:pPr>
              <w:widowControl w:val="0"/>
              <w:tabs>
                <w:tab w:val="left" w:pos="284"/>
              </w:tabs>
              <w:jc w:val="both"/>
              <w:rPr>
                <w:b/>
                <w:sz w:val="20"/>
                <w:lang w:val="sr-Latn-ME"/>
              </w:rPr>
            </w:pPr>
          </w:p>
        </w:tc>
        <w:tc>
          <w:tcPr>
            <w:tcW w:w="1211" w:type="pct"/>
            <w:tcBorders>
              <w:top w:val="single" w:sz="4" w:space="0" w:color="auto"/>
              <w:bottom w:val="single" w:sz="4" w:space="0" w:color="auto"/>
            </w:tcBorders>
            <w:shd w:val="clear" w:color="auto" w:fill="FFFFFF"/>
          </w:tcPr>
          <w:p w14:paraId="6D76C5CE" w14:textId="77777777" w:rsidR="00C04A89" w:rsidRPr="00B35A22" w:rsidRDefault="00C04A89" w:rsidP="00B35A22">
            <w:pPr>
              <w:widowControl w:val="0"/>
              <w:tabs>
                <w:tab w:val="left" w:pos="284"/>
              </w:tabs>
              <w:jc w:val="both"/>
              <w:rPr>
                <w:b/>
                <w:sz w:val="20"/>
                <w:lang w:val="sr-Latn-ME"/>
              </w:rPr>
            </w:pPr>
          </w:p>
        </w:tc>
        <w:tc>
          <w:tcPr>
            <w:tcW w:w="786" w:type="pct"/>
            <w:tcBorders>
              <w:top w:val="single" w:sz="4" w:space="0" w:color="auto"/>
              <w:bottom w:val="single" w:sz="4" w:space="0" w:color="auto"/>
            </w:tcBorders>
            <w:shd w:val="clear" w:color="auto" w:fill="FFFFFF"/>
          </w:tcPr>
          <w:p w14:paraId="008F60C2" w14:textId="77777777" w:rsidR="00C04A89" w:rsidRPr="00B35A22" w:rsidRDefault="00C04A89" w:rsidP="00B35A22">
            <w:pPr>
              <w:widowControl w:val="0"/>
              <w:tabs>
                <w:tab w:val="left" w:pos="284"/>
              </w:tabs>
              <w:jc w:val="both"/>
              <w:rPr>
                <w:b/>
                <w:sz w:val="20"/>
                <w:lang w:val="sr-Latn-ME"/>
              </w:rPr>
            </w:pPr>
          </w:p>
        </w:tc>
      </w:tr>
      <w:tr w:rsidR="00C04A89" w:rsidRPr="00B35A22" w14:paraId="602E53DB" w14:textId="77777777" w:rsidTr="0065270B">
        <w:tc>
          <w:tcPr>
            <w:tcW w:w="1792" w:type="pct"/>
            <w:tcBorders>
              <w:top w:val="single" w:sz="4" w:space="0" w:color="auto"/>
            </w:tcBorders>
            <w:shd w:val="clear" w:color="auto" w:fill="auto"/>
          </w:tcPr>
          <w:p w14:paraId="158764E8" w14:textId="32DCD24F" w:rsidR="00C04A89" w:rsidRPr="00B35A22" w:rsidRDefault="00C04A89" w:rsidP="00B35A22">
            <w:pPr>
              <w:widowControl w:val="0"/>
              <w:tabs>
                <w:tab w:val="left" w:pos="284"/>
              </w:tabs>
              <w:jc w:val="both"/>
              <w:rPr>
                <w:b/>
                <w:i/>
                <w:sz w:val="20"/>
                <w:vertAlign w:val="superscript"/>
                <w:lang w:val="sr-Latn-ME"/>
              </w:rPr>
            </w:pPr>
            <w:r w:rsidRPr="00B35A22">
              <w:rPr>
                <w:b/>
                <w:i/>
                <w:sz w:val="20"/>
                <w:lang w:val="sr-Latn-ME"/>
              </w:rPr>
              <w:t>PFS prema oc</w:t>
            </w:r>
            <w:r w:rsidR="00042108" w:rsidRPr="00B35A22">
              <w:rPr>
                <w:b/>
                <w:i/>
                <w:sz w:val="20"/>
                <w:lang w:val="sr-Latn-ME"/>
              </w:rPr>
              <w:t>j</w:t>
            </w:r>
            <w:r w:rsidRPr="00B35A22">
              <w:rPr>
                <w:b/>
                <w:i/>
                <w:sz w:val="20"/>
                <w:lang w:val="sr-Latn-ME"/>
              </w:rPr>
              <w:t>eni istraživača (RECIST v1.1)*</w:t>
            </w:r>
          </w:p>
        </w:tc>
        <w:tc>
          <w:tcPr>
            <w:tcW w:w="1211" w:type="pct"/>
            <w:tcBorders>
              <w:top w:val="single" w:sz="4" w:space="0" w:color="auto"/>
            </w:tcBorders>
          </w:tcPr>
          <w:p w14:paraId="0636C7D4" w14:textId="77777777" w:rsidR="00C04A89" w:rsidRPr="00B35A22" w:rsidRDefault="00C04A89" w:rsidP="00B35A22">
            <w:pPr>
              <w:widowControl w:val="0"/>
              <w:tabs>
                <w:tab w:val="left" w:pos="284"/>
              </w:tabs>
              <w:jc w:val="center"/>
              <w:rPr>
                <w:sz w:val="20"/>
                <w:lang w:val="sr-Latn-ME"/>
              </w:rPr>
            </w:pPr>
            <w:r w:rsidRPr="00B35A22">
              <w:rPr>
                <w:sz w:val="20"/>
                <w:lang w:val="sr-Latn-ME"/>
              </w:rPr>
              <w:t>n = 402</w:t>
            </w:r>
          </w:p>
        </w:tc>
        <w:tc>
          <w:tcPr>
            <w:tcW w:w="1211" w:type="pct"/>
            <w:tcBorders>
              <w:top w:val="single" w:sz="4" w:space="0" w:color="auto"/>
            </w:tcBorders>
            <w:shd w:val="clear" w:color="auto" w:fill="auto"/>
          </w:tcPr>
          <w:p w14:paraId="7E9CB9EF" w14:textId="77777777" w:rsidR="00C04A89" w:rsidRPr="00B35A22" w:rsidRDefault="00C04A89" w:rsidP="00B35A22">
            <w:pPr>
              <w:widowControl w:val="0"/>
              <w:tabs>
                <w:tab w:val="left" w:pos="284"/>
              </w:tabs>
              <w:jc w:val="center"/>
              <w:rPr>
                <w:sz w:val="20"/>
                <w:lang w:val="sr-Latn-ME"/>
              </w:rPr>
            </w:pPr>
            <w:r w:rsidRPr="00B35A22">
              <w:rPr>
                <w:sz w:val="20"/>
                <w:lang w:val="sr-Latn-ME"/>
              </w:rPr>
              <w:t>n = 400</w:t>
            </w:r>
          </w:p>
        </w:tc>
        <w:tc>
          <w:tcPr>
            <w:tcW w:w="786" w:type="pct"/>
            <w:tcBorders>
              <w:top w:val="single" w:sz="4" w:space="0" w:color="auto"/>
            </w:tcBorders>
            <w:shd w:val="clear" w:color="auto" w:fill="auto"/>
          </w:tcPr>
          <w:p w14:paraId="5D960AEF" w14:textId="77777777" w:rsidR="00C04A89" w:rsidRPr="00B35A22" w:rsidRDefault="00C04A89" w:rsidP="00B35A22">
            <w:pPr>
              <w:widowControl w:val="0"/>
              <w:tabs>
                <w:tab w:val="left" w:pos="284"/>
              </w:tabs>
              <w:jc w:val="center"/>
              <w:rPr>
                <w:sz w:val="20"/>
                <w:lang w:val="sr-Latn-ME"/>
              </w:rPr>
            </w:pPr>
            <w:r w:rsidRPr="00B35A22">
              <w:rPr>
                <w:sz w:val="20"/>
                <w:lang w:val="sr-Latn-ME"/>
              </w:rPr>
              <w:t>n = 400</w:t>
            </w:r>
          </w:p>
        </w:tc>
      </w:tr>
      <w:tr w:rsidR="00C04A89" w:rsidRPr="00B35A22" w14:paraId="42B1474C" w14:textId="77777777" w:rsidTr="0065270B">
        <w:tc>
          <w:tcPr>
            <w:tcW w:w="1792" w:type="pct"/>
            <w:shd w:val="clear" w:color="auto" w:fill="auto"/>
          </w:tcPr>
          <w:p w14:paraId="6C53DB03" w14:textId="77777777" w:rsidR="00C04A89" w:rsidRPr="00B35A22" w:rsidRDefault="00C04A89" w:rsidP="00B35A22">
            <w:pPr>
              <w:widowControl w:val="0"/>
              <w:tabs>
                <w:tab w:val="left" w:pos="284"/>
              </w:tabs>
              <w:jc w:val="both"/>
              <w:rPr>
                <w:sz w:val="20"/>
                <w:lang w:val="sr-Latn-ME"/>
              </w:rPr>
            </w:pPr>
            <w:r w:rsidRPr="00B35A22">
              <w:rPr>
                <w:sz w:val="20"/>
                <w:lang w:val="sr-Latn-ME"/>
              </w:rPr>
              <w:t>Broj događaja (%)</w:t>
            </w:r>
          </w:p>
        </w:tc>
        <w:tc>
          <w:tcPr>
            <w:tcW w:w="1211" w:type="pct"/>
          </w:tcPr>
          <w:p w14:paraId="6805F5DA" w14:textId="77777777" w:rsidR="00C04A89" w:rsidRPr="00B35A22" w:rsidRDefault="00C04A89" w:rsidP="00B35A22">
            <w:pPr>
              <w:widowControl w:val="0"/>
              <w:tabs>
                <w:tab w:val="left" w:pos="284"/>
              </w:tabs>
              <w:jc w:val="center"/>
              <w:rPr>
                <w:sz w:val="20"/>
                <w:lang w:val="sr-Latn-ME"/>
              </w:rPr>
            </w:pPr>
            <w:r w:rsidRPr="00B35A22">
              <w:rPr>
                <w:sz w:val="20"/>
                <w:lang w:val="sr-Latn-ME"/>
              </w:rPr>
              <w:t>330 (82,1%)</w:t>
            </w:r>
          </w:p>
        </w:tc>
        <w:tc>
          <w:tcPr>
            <w:tcW w:w="1211" w:type="pct"/>
            <w:shd w:val="clear" w:color="auto" w:fill="auto"/>
          </w:tcPr>
          <w:p w14:paraId="47B59E76" w14:textId="77777777" w:rsidR="00C04A89" w:rsidRPr="00B35A22" w:rsidRDefault="00C04A89" w:rsidP="00B35A22">
            <w:pPr>
              <w:widowControl w:val="0"/>
              <w:tabs>
                <w:tab w:val="left" w:pos="284"/>
              </w:tabs>
              <w:jc w:val="center"/>
              <w:rPr>
                <w:sz w:val="20"/>
                <w:lang w:val="sr-Latn-ME"/>
              </w:rPr>
            </w:pPr>
            <w:r w:rsidRPr="00B35A22">
              <w:rPr>
                <w:sz w:val="20"/>
                <w:lang w:val="sr-Latn-ME"/>
              </w:rPr>
              <w:t>291 (72,8%)</w:t>
            </w:r>
          </w:p>
        </w:tc>
        <w:tc>
          <w:tcPr>
            <w:tcW w:w="786" w:type="pct"/>
            <w:shd w:val="clear" w:color="auto" w:fill="auto"/>
          </w:tcPr>
          <w:p w14:paraId="1D8CEEC9" w14:textId="77777777" w:rsidR="00C04A89" w:rsidRPr="00B35A22" w:rsidRDefault="00C04A89" w:rsidP="00B35A22">
            <w:pPr>
              <w:widowControl w:val="0"/>
              <w:tabs>
                <w:tab w:val="left" w:pos="284"/>
              </w:tabs>
              <w:jc w:val="center"/>
              <w:rPr>
                <w:sz w:val="20"/>
                <w:lang w:val="sr-Latn-ME"/>
              </w:rPr>
            </w:pPr>
            <w:r w:rsidRPr="00B35A22">
              <w:rPr>
                <w:sz w:val="20"/>
                <w:lang w:val="sr-Latn-ME"/>
              </w:rPr>
              <w:t>355 (88,8%)</w:t>
            </w:r>
          </w:p>
        </w:tc>
      </w:tr>
      <w:tr w:rsidR="00C04A89" w:rsidRPr="00B35A22" w14:paraId="4BA72813" w14:textId="77777777" w:rsidTr="0065270B">
        <w:tc>
          <w:tcPr>
            <w:tcW w:w="1792" w:type="pct"/>
            <w:shd w:val="clear" w:color="auto" w:fill="auto"/>
          </w:tcPr>
          <w:p w14:paraId="260903E1" w14:textId="2F24249A" w:rsidR="00C04A89" w:rsidRPr="00B35A22" w:rsidRDefault="00C04A89" w:rsidP="00B35A22">
            <w:pPr>
              <w:widowControl w:val="0"/>
              <w:tabs>
                <w:tab w:val="left" w:pos="284"/>
              </w:tabs>
              <w:jc w:val="both"/>
              <w:rPr>
                <w:sz w:val="20"/>
                <w:lang w:val="sr-Latn-ME"/>
              </w:rPr>
            </w:pPr>
            <w:r w:rsidRPr="00B35A22">
              <w:rPr>
                <w:sz w:val="20"/>
                <w:lang w:val="sr-Latn-ME"/>
              </w:rPr>
              <w:t>Medijana trajanja PFS</w:t>
            </w:r>
            <w:r w:rsidRPr="00B35A22">
              <w:rPr>
                <w:sz w:val="20"/>
                <w:lang w:val="sr-Latn-ME"/>
              </w:rPr>
              <w:noBreakHyphen/>
              <w:t>a (m</w:t>
            </w:r>
            <w:r w:rsidR="00042108" w:rsidRPr="00B35A22">
              <w:rPr>
                <w:sz w:val="20"/>
                <w:lang w:val="sr-Latn-ME"/>
              </w:rPr>
              <w:t>j</w:t>
            </w:r>
            <w:r w:rsidRPr="00B35A22">
              <w:rPr>
                <w:sz w:val="20"/>
                <w:lang w:val="sr-Latn-ME"/>
              </w:rPr>
              <w:t>eseci)</w:t>
            </w:r>
          </w:p>
        </w:tc>
        <w:tc>
          <w:tcPr>
            <w:tcW w:w="1211" w:type="pct"/>
          </w:tcPr>
          <w:p w14:paraId="42E69D57" w14:textId="77777777" w:rsidR="00C04A89" w:rsidRPr="00B35A22" w:rsidRDefault="00C04A89" w:rsidP="00B35A22">
            <w:pPr>
              <w:widowControl w:val="0"/>
              <w:tabs>
                <w:tab w:val="left" w:pos="284"/>
              </w:tabs>
              <w:jc w:val="center"/>
              <w:rPr>
                <w:sz w:val="20"/>
                <w:lang w:val="sr-Latn-ME"/>
              </w:rPr>
            </w:pPr>
            <w:r w:rsidRPr="00B35A22">
              <w:rPr>
                <w:sz w:val="20"/>
                <w:lang w:val="sr-Latn-ME"/>
              </w:rPr>
              <w:t>6,7</w:t>
            </w:r>
          </w:p>
        </w:tc>
        <w:tc>
          <w:tcPr>
            <w:tcW w:w="1211" w:type="pct"/>
            <w:shd w:val="clear" w:color="auto" w:fill="auto"/>
          </w:tcPr>
          <w:p w14:paraId="242EDAD7" w14:textId="77777777" w:rsidR="00C04A89" w:rsidRPr="00B35A22" w:rsidRDefault="00C04A89" w:rsidP="00B35A22">
            <w:pPr>
              <w:widowControl w:val="0"/>
              <w:tabs>
                <w:tab w:val="left" w:pos="284"/>
              </w:tabs>
              <w:jc w:val="center"/>
              <w:rPr>
                <w:sz w:val="20"/>
                <w:lang w:val="sr-Latn-ME"/>
              </w:rPr>
            </w:pPr>
            <w:r w:rsidRPr="00B35A22">
              <w:rPr>
                <w:sz w:val="20"/>
                <w:lang w:val="sr-Latn-ME"/>
              </w:rPr>
              <w:t>8,4</w:t>
            </w:r>
          </w:p>
        </w:tc>
        <w:tc>
          <w:tcPr>
            <w:tcW w:w="786" w:type="pct"/>
            <w:shd w:val="clear" w:color="auto" w:fill="auto"/>
          </w:tcPr>
          <w:p w14:paraId="348E217A" w14:textId="77777777" w:rsidR="00C04A89" w:rsidRPr="00B35A22" w:rsidRDefault="00C04A89" w:rsidP="00B35A22">
            <w:pPr>
              <w:widowControl w:val="0"/>
              <w:tabs>
                <w:tab w:val="left" w:pos="284"/>
              </w:tabs>
              <w:jc w:val="center"/>
              <w:rPr>
                <w:sz w:val="20"/>
                <w:lang w:val="sr-Latn-ME"/>
              </w:rPr>
            </w:pPr>
            <w:r w:rsidRPr="00B35A22">
              <w:rPr>
                <w:sz w:val="20"/>
                <w:lang w:val="sr-Latn-ME"/>
              </w:rPr>
              <w:t>6,8</w:t>
            </w:r>
          </w:p>
        </w:tc>
      </w:tr>
      <w:tr w:rsidR="00C04A89" w:rsidRPr="00B35A22" w14:paraId="605FE3B2" w14:textId="77777777" w:rsidTr="0065270B">
        <w:tc>
          <w:tcPr>
            <w:tcW w:w="1792" w:type="pct"/>
            <w:shd w:val="clear" w:color="auto" w:fill="auto"/>
          </w:tcPr>
          <w:p w14:paraId="66B94A2D" w14:textId="77777777" w:rsidR="00C04A89" w:rsidRPr="00B35A22" w:rsidRDefault="00C04A89" w:rsidP="00B35A22">
            <w:pPr>
              <w:widowControl w:val="0"/>
              <w:tabs>
                <w:tab w:val="left" w:pos="284"/>
              </w:tabs>
              <w:jc w:val="both"/>
              <w:rPr>
                <w:sz w:val="20"/>
                <w:lang w:val="sr-Latn-ME"/>
              </w:rPr>
            </w:pPr>
            <w:r w:rsidRPr="00B35A22">
              <w:rPr>
                <w:sz w:val="20"/>
                <w:lang w:val="sr-Latn-ME"/>
              </w:rPr>
              <w:t>95% CI</w:t>
            </w:r>
          </w:p>
        </w:tc>
        <w:tc>
          <w:tcPr>
            <w:tcW w:w="1211" w:type="pct"/>
          </w:tcPr>
          <w:p w14:paraId="6D5F820D" w14:textId="77777777" w:rsidR="00C04A89" w:rsidRPr="00B35A22" w:rsidRDefault="00C04A89" w:rsidP="00B35A22">
            <w:pPr>
              <w:widowControl w:val="0"/>
              <w:tabs>
                <w:tab w:val="left" w:pos="284"/>
              </w:tabs>
              <w:jc w:val="center"/>
              <w:rPr>
                <w:sz w:val="20"/>
                <w:lang w:val="sr-Latn-ME"/>
              </w:rPr>
            </w:pPr>
            <w:r w:rsidRPr="00B35A22">
              <w:rPr>
                <w:sz w:val="20"/>
                <w:lang w:val="sr-Latn-ME"/>
              </w:rPr>
              <w:t>(5,7; 6,9)</w:t>
            </w:r>
          </w:p>
        </w:tc>
        <w:tc>
          <w:tcPr>
            <w:tcW w:w="1211" w:type="pct"/>
            <w:shd w:val="clear" w:color="auto" w:fill="auto"/>
          </w:tcPr>
          <w:p w14:paraId="040D2789" w14:textId="77777777" w:rsidR="00C04A89" w:rsidRPr="00B35A22" w:rsidRDefault="00C04A89" w:rsidP="00B35A22">
            <w:pPr>
              <w:widowControl w:val="0"/>
              <w:tabs>
                <w:tab w:val="left" w:pos="284"/>
              </w:tabs>
              <w:jc w:val="center"/>
              <w:rPr>
                <w:sz w:val="20"/>
                <w:lang w:val="sr-Latn-ME"/>
              </w:rPr>
            </w:pPr>
            <w:r w:rsidRPr="00B35A22">
              <w:rPr>
                <w:sz w:val="20"/>
                <w:lang w:val="sr-Latn-ME"/>
              </w:rPr>
              <w:t>(8,0; 9,9)</w:t>
            </w:r>
          </w:p>
        </w:tc>
        <w:tc>
          <w:tcPr>
            <w:tcW w:w="786" w:type="pct"/>
            <w:shd w:val="clear" w:color="auto" w:fill="auto"/>
          </w:tcPr>
          <w:p w14:paraId="07B25B29" w14:textId="77777777" w:rsidR="00C04A89" w:rsidRPr="00B35A22" w:rsidRDefault="00C04A89" w:rsidP="00B35A22">
            <w:pPr>
              <w:widowControl w:val="0"/>
              <w:tabs>
                <w:tab w:val="left" w:pos="284"/>
              </w:tabs>
              <w:jc w:val="center"/>
              <w:rPr>
                <w:sz w:val="20"/>
                <w:lang w:val="sr-Latn-ME"/>
              </w:rPr>
            </w:pPr>
            <w:r w:rsidRPr="00B35A22">
              <w:rPr>
                <w:sz w:val="20"/>
                <w:lang w:val="sr-Latn-ME"/>
              </w:rPr>
              <w:t>(6,0; 7,0)</w:t>
            </w:r>
          </w:p>
        </w:tc>
      </w:tr>
      <w:tr w:rsidR="00C04A89" w:rsidRPr="00B35A22" w14:paraId="3CD27314" w14:textId="77777777" w:rsidTr="0065270B">
        <w:tc>
          <w:tcPr>
            <w:tcW w:w="1792" w:type="pct"/>
          </w:tcPr>
          <w:p w14:paraId="59AF1F85" w14:textId="77777777" w:rsidR="00C04A89" w:rsidRPr="00B35A22" w:rsidRDefault="00C04A89" w:rsidP="00B35A22">
            <w:pPr>
              <w:widowControl w:val="0"/>
              <w:tabs>
                <w:tab w:val="left" w:pos="284"/>
              </w:tabs>
              <w:jc w:val="both"/>
              <w:rPr>
                <w:sz w:val="20"/>
                <w:lang w:val="sr-Latn-ME"/>
              </w:rPr>
            </w:pPr>
            <w:r w:rsidRPr="00B35A22">
              <w:rPr>
                <w:sz w:val="20"/>
                <w:lang w:val="sr-Latn-ME"/>
              </w:rPr>
              <w:t xml:space="preserve">Stratifikovan koeficijent rizika </w:t>
            </w:r>
            <w:r w:rsidRPr="00B35A22">
              <w:rPr>
                <w:sz w:val="20"/>
                <w:vertAlign w:val="superscript"/>
                <w:lang w:val="sr-Latn-ME"/>
              </w:rPr>
              <w:t xml:space="preserve">‡^ </w:t>
            </w:r>
            <w:r w:rsidRPr="00B35A22">
              <w:rPr>
                <w:sz w:val="20"/>
                <w:lang w:val="sr-Latn-ME"/>
              </w:rPr>
              <w:t>(95% CI)</w:t>
            </w:r>
          </w:p>
          <w:p w14:paraId="2E5914D3" w14:textId="5FCF2AD8" w:rsidR="00C04A89" w:rsidRPr="00B35A22" w:rsidRDefault="00C04A89" w:rsidP="00B35A22">
            <w:pPr>
              <w:widowControl w:val="0"/>
              <w:tabs>
                <w:tab w:val="left" w:pos="284"/>
              </w:tabs>
              <w:jc w:val="both"/>
              <w:rPr>
                <w:sz w:val="20"/>
                <w:lang w:val="sr-Latn-ME"/>
              </w:rPr>
            </w:pPr>
            <w:r w:rsidRPr="00B35A22">
              <w:rPr>
                <w:sz w:val="20"/>
                <w:lang w:val="sr-Latn-ME"/>
              </w:rPr>
              <w:t>p</w:t>
            </w:r>
            <w:r w:rsidRPr="00B35A22">
              <w:rPr>
                <w:sz w:val="20"/>
                <w:lang w:val="sr-Latn-ME"/>
              </w:rPr>
              <w:noBreakHyphen/>
              <w:t>vr</w:t>
            </w:r>
            <w:r w:rsidR="00042108" w:rsidRPr="00B35A22">
              <w:rPr>
                <w:sz w:val="20"/>
                <w:lang w:val="sr-Latn-ME"/>
              </w:rPr>
              <w:t>ij</w:t>
            </w:r>
            <w:r w:rsidRPr="00B35A22">
              <w:rPr>
                <w:sz w:val="20"/>
                <w:lang w:val="sr-Latn-ME"/>
              </w:rPr>
              <w:t>ednost</w:t>
            </w:r>
            <w:r w:rsidRPr="00B35A22">
              <w:rPr>
                <w:sz w:val="20"/>
                <w:vertAlign w:val="superscript"/>
                <w:lang w:val="sr-Latn-ME"/>
              </w:rPr>
              <w:t>1,2</w:t>
            </w:r>
          </w:p>
        </w:tc>
        <w:tc>
          <w:tcPr>
            <w:tcW w:w="1211" w:type="pct"/>
            <w:shd w:val="clear" w:color="auto" w:fill="auto"/>
          </w:tcPr>
          <w:p w14:paraId="2A809E86" w14:textId="77777777" w:rsidR="00C04A89" w:rsidRPr="00B35A22" w:rsidRDefault="00C04A89" w:rsidP="00B35A22">
            <w:pPr>
              <w:widowControl w:val="0"/>
              <w:tabs>
                <w:tab w:val="left" w:pos="284"/>
              </w:tabs>
              <w:jc w:val="center"/>
              <w:rPr>
                <w:sz w:val="20"/>
                <w:lang w:val="sr-Latn-ME"/>
              </w:rPr>
            </w:pPr>
            <w:r w:rsidRPr="00B35A22">
              <w:rPr>
                <w:sz w:val="20"/>
                <w:lang w:val="sr-Latn-ME"/>
              </w:rPr>
              <w:t>0,91 (0,78; 1,06)</w:t>
            </w:r>
          </w:p>
          <w:p w14:paraId="234E332D" w14:textId="77777777" w:rsidR="00C04A89" w:rsidRPr="00B35A22" w:rsidRDefault="00C04A89" w:rsidP="00B35A22">
            <w:pPr>
              <w:widowControl w:val="0"/>
              <w:tabs>
                <w:tab w:val="left" w:pos="284"/>
              </w:tabs>
              <w:jc w:val="center"/>
              <w:rPr>
                <w:sz w:val="20"/>
                <w:lang w:val="sr-Latn-ME"/>
              </w:rPr>
            </w:pPr>
            <w:r w:rsidRPr="00B35A22">
              <w:rPr>
                <w:sz w:val="20"/>
                <w:lang w:val="sr-Latn-ME"/>
              </w:rPr>
              <w:t>0,2194</w:t>
            </w:r>
          </w:p>
        </w:tc>
        <w:tc>
          <w:tcPr>
            <w:tcW w:w="1211" w:type="pct"/>
            <w:shd w:val="clear" w:color="auto" w:fill="auto"/>
          </w:tcPr>
          <w:p w14:paraId="0A0E1D8B" w14:textId="77777777" w:rsidR="00C04A89" w:rsidRPr="00B35A22" w:rsidRDefault="00C04A89" w:rsidP="00B35A22">
            <w:pPr>
              <w:widowControl w:val="0"/>
              <w:tabs>
                <w:tab w:val="left" w:pos="284"/>
              </w:tabs>
              <w:jc w:val="center"/>
              <w:rPr>
                <w:sz w:val="20"/>
                <w:lang w:val="sr-Latn-ME"/>
              </w:rPr>
            </w:pPr>
            <w:r w:rsidRPr="00B35A22">
              <w:rPr>
                <w:sz w:val="20"/>
                <w:lang w:val="sr-Latn-ME"/>
              </w:rPr>
              <w:t>0,59 (0,50; 0,69)</w:t>
            </w:r>
          </w:p>
          <w:p w14:paraId="5A9008F4" w14:textId="77777777" w:rsidR="00C04A89" w:rsidRPr="00B35A22" w:rsidRDefault="00C04A89" w:rsidP="00B35A22">
            <w:pPr>
              <w:widowControl w:val="0"/>
              <w:tabs>
                <w:tab w:val="left" w:pos="284"/>
              </w:tabs>
              <w:jc w:val="center"/>
              <w:rPr>
                <w:sz w:val="20"/>
                <w:lang w:val="sr-Latn-ME"/>
              </w:rPr>
            </w:pPr>
            <w:r w:rsidRPr="00B35A22">
              <w:rPr>
                <w:sz w:val="20"/>
                <w:lang w:val="sr-Latn-ME"/>
              </w:rPr>
              <w:t>&lt; 0,0001</w:t>
            </w:r>
          </w:p>
        </w:tc>
        <w:tc>
          <w:tcPr>
            <w:tcW w:w="786" w:type="pct"/>
          </w:tcPr>
          <w:p w14:paraId="62B45FF7" w14:textId="77777777" w:rsidR="00C04A89" w:rsidRPr="00B35A22" w:rsidRDefault="00C04A89" w:rsidP="00B35A22">
            <w:pPr>
              <w:widowControl w:val="0"/>
              <w:tabs>
                <w:tab w:val="left" w:pos="284"/>
              </w:tabs>
              <w:jc w:val="center"/>
              <w:rPr>
                <w:sz w:val="22"/>
                <w:lang w:val="sr-Latn-ME"/>
              </w:rPr>
            </w:pPr>
            <w:r w:rsidRPr="00B35A22">
              <w:rPr>
                <w:sz w:val="18"/>
                <w:lang w:val="sr-Latn-ME"/>
              </w:rPr>
              <w:t>---</w:t>
            </w:r>
          </w:p>
        </w:tc>
      </w:tr>
      <w:tr w:rsidR="00C04A89" w:rsidRPr="00B35A22" w14:paraId="3AF12210" w14:textId="77777777" w:rsidTr="0065270B">
        <w:tc>
          <w:tcPr>
            <w:tcW w:w="1792" w:type="pct"/>
            <w:tcBorders>
              <w:bottom w:val="single" w:sz="4" w:space="0" w:color="auto"/>
            </w:tcBorders>
            <w:shd w:val="clear" w:color="auto" w:fill="auto"/>
          </w:tcPr>
          <w:p w14:paraId="709592C4" w14:textId="2C827EFF" w:rsidR="00C04A89" w:rsidRPr="00B35A22" w:rsidRDefault="00C04A89" w:rsidP="00B35A22">
            <w:pPr>
              <w:widowControl w:val="0"/>
              <w:tabs>
                <w:tab w:val="left" w:pos="284"/>
              </w:tabs>
              <w:jc w:val="both"/>
              <w:rPr>
                <w:sz w:val="20"/>
                <w:lang w:val="sr-Latn-ME"/>
              </w:rPr>
            </w:pPr>
            <w:r w:rsidRPr="00B35A22">
              <w:rPr>
                <w:sz w:val="20"/>
                <w:lang w:val="sr-Latn-ME"/>
              </w:rPr>
              <w:t>12</w:t>
            </w:r>
            <w:r w:rsidRPr="00B35A22">
              <w:rPr>
                <w:sz w:val="20"/>
                <w:lang w:val="sr-Latn-ME"/>
              </w:rPr>
              <w:noBreakHyphen/>
              <w:t>m</w:t>
            </w:r>
            <w:r w:rsidR="003E771E" w:rsidRPr="00B35A22">
              <w:rPr>
                <w:sz w:val="20"/>
                <w:lang w:val="sr-Latn-ME"/>
              </w:rPr>
              <w:t>j</w:t>
            </w:r>
            <w:r w:rsidRPr="00B35A22">
              <w:rPr>
                <w:sz w:val="20"/>
                <w:lang w:val="sr-Latn-ME"/>
              </w:rPr>
              <w:t>esečni PFS (%)</w:t>
            </w:r>
          </w:p>
        </w:tc>
        <w:tc>
          <w:tcPr>
            <w:tcW w:w="1211" w:type="pct"/>
            <w:tcBorders>
              <w:bottom w:val="single" w:sz="4" w:space="0" w:color="auto"/>
            </w:tcBorders>
          </w:tcPr>
          <w:p w14:paraId="352C5480" w14:textId="77777777" w:rsidR="00C04A89" w:rsidRPr="00B35A22" w:rsidRDefault="00C04A89" w:rsidP="00B35A22">
            <w:pPr>
              <w:widowControl w:val="0"/>
              <w:tabs>
                <w:tab w:val="left" w:pos="284"/>
              </w:tabs>
              <w:jc w:val="center"/>
              <w:rPr>
                <w:sz w:val="20"/>
                <w:lang w:val="sr-Latn-ME"/>
              </w:rPr>
            </w:pPr>
            <w:r w:rsidRPr="00B35A22">
              <w:rPr>
                <w:sz w:val="20"/>
                <w:lang w:val="sr-Latn-ME"/>
              </w:rPr>
              <w:t>24</w:t>
            </w:r>
          </w:p>
        </w:tc>
        <w:tc>
          <w:tcPr>
            <w:tcW w:w="1211" w:type="pct"/>
            <w:tcBorders>
              <w:bottom w:val="single" w:sz="4" w:space="0" w:color="auto"/>
            </w:tcBorders>
            <w:shd w:val="clear" w:color="auto" w:fill="auto"/>
          </w:tcPr>
          <w:p w14:paraId="00B2908A" w14:textId="77777777" w:rsidR="00C04A89" w:rsidRPr="00B35A22" w:rsidRDefault="00C04A89" w:rsidP="00B35A22">
            <w:pPr>
              <w:widowControl w:val="0"/>
              <w:tabs>
                <w:tab w:val="left" w:pos="284"/>
              </w:tabs>
              <w:jc w:val="center"/>
              <w:rPr>
                <w:sz w:val="20"/>
                <w:lang w:val="sr-Latn-ME"/>
              </w:rPr>
            </w:pPr>
            <w:r w:rsidRPr="00B35A22">
              <w:rPr>
                <w:sz w:val="20"/>
                <w:lang w:val="sr-Latn-ME"/>
              </w:rPr>
              <w:t>38</w:t>
            </w:r>
          </w:p>
        </w:tc>
        <w:tc>
          <w:tcPr>
            <w:tcW w:w="786" w:type="pct"/>
            <w:tcBorders>
              <w:bottom w:val="single" w:sz="4" w:space="0" w:color="auto"/>
            </w:tcBorders>
            <w:shd w:val="clear" w:color="auto" w:fill="auto"/>
          </w:tcPr>
          <w:p w14:paraId="5D5FB009" w14:textId="77777777" w:rsidR="00C04A89" w:rsidRPr="00B35A22" w:rsidRDefault="00C04A89" w:rsidP="00B35A22">
            <w:pPr>
              <w:widowControl w:val="0"/>
              <w:tabs>
                <w:tab w:val="left" w:pos="284"/>
              </w:tabs>
              <w:jc w:val="center"/>
              <w:rPr>
                <w:sz w:val="20"/>
                <w:lang w:val="sr-Latn-ME"/>
              </w:rPr>
            </w:pPr>
            <w:r w:rsidRPr="00B35A22">
              <w:rPr>
                <w:sz w:val="20"/>
                <w:lang w:val="sr-Latn-ME"/>
              </w:rPr>
              <w:t>20</w:t>
            </w:r>
          </w:p>
        </w:tc>
      </w:tr>
      <w:tr w:rsidR="00C04A89" w:rsidRPr="00B35A22" w14:paraId="7DF314B0" w14:textId="77777777" w:rsidTr="0065270B">
        <w:tc>
          <w:tcPr>
            <w:tcW w:w="1792" w:type="pct"/>
            <w:tcBorders>
              <w:top w:val="single" w:sz="4" w:space="0" w:color="auto"/>
              <w:bottom w:val="nil"/>
            </w:tcBorders>
            <w:shd w:val="clear" w:color="auto" w:fill="auto"/>
          </w:tcPr>
          <w:p w14:paraId="4FB4881E" w14:textId="77777777" w:rsidR="00C04A89" w:rsidRPr="00B35A22" w:rsidRDefault="00C04A89" w:rsidP="00B35A22">
            <w:pPr>
              <w:widowControl w:val="0"/>
              <w:tabs>
                <w:tab w:val="left" w:pos="284"/>
              </w:tabs>
              <w:jc w:val="both"/>
              <w:rPr>
                <w:sz w:val="20"/>
                <w:lang w:val="sr-Latn-ME"/>
              </w:rPr>
            </w:pPr>
            <w:r w:rsidRPr="00B35A22">
              <w:rPr>
                <w:b/>
                <w:i/>
                <w:sz w:val="20"/>
                <w:lang w:val="sr-Latn-ME"/>
              </w:rPr>
              <w:t>Interim analiza podataka za OS*</w:t>
            </w:r>
          </w:p>
        </w:tc>
        <w:tc>
          <w:tcPr>
            <w:tcW w:w="1211" w:type="pct"/>
            <w:tcBorders>
              <w:top w:val="single" w:sz="4" w:space="0" w:color="auto"/>
              <w:bottom w:val="nil"/>
            </w:tcBorders>
          </w:tcPr>
          <w:p w14:paraId="5BD6CB9A" w14:textId="77777777" w:rsidR="00C04A89" w:rsidRPr="00B35A22" w:rsidRDefault="00C04A89" w:rsidP="00B35A22">
            <w:pPr>
              <w:widowControl w:val="0"/>
              <w:tabs>
                <w:tab w:val="left" w:pos="284"/>
              </w:tabs>
              <w:jc w:val="center"/>
              <w:rPr>
                <w:sz w:val="20"/>
                <w:lang w:val="sr-Latn-ME"/>
              </w:rPr>
            </w:pPr>
            <w:r w:rsidRPr="00B35A22">
              <w:rPr>
                <w:sz w:val="20"/>
                <w:lang w:val="sr-Latn-ME"/>
              </w:rPr>
              <w:t>n = 402</w:t>
            </w:r>
          </w:p>
        </w:tc>
        <w:tc>
          <w:tcPr>
            <w:tcW w:w="1211" w:type="pct"/>
            <w:tcBorders>
              <w:top w:val="single" w:sz="4" w:space="0" w:color="auto"/>
              <w:bottom w:val="nil"/>
            </w:tcBorders>
            <w:shd w:val="clear" w:color="auto" w:fill="auto"/>
          </w:tcPr>
          <w:p w14:paraId="5A4DB194" w14:textId="43343642" w:rsidR="00C04A89" w:rsidRPr="00B35A22" w:rsidRDefault="00C04A89" w:rsidP="00B35A22">
            <w:pPr>
              <w:widowControl w:val="0"/>
              <w:tabs>
                <w:tab w:val="left" w:pos="284"/>
              </w:tabs>
              <w:jc w:val="center"/>
              <w:rPr>
                <w:sz w:val="20"/>
                <w:lang w:val="sr-Latn-ME"/>
              </w:rPr>
            </w:pPr>
            <w:r w:rsidRPr="00B35A22">
              <w:rPr>
                <w:sz w:val="20"/>
                <w:lang w:val="sr-Latn-ME"/>
              </w:rPr>
              <w:t>n = 400</w:t>
            </w:r>
          </w:p>
        </w:tc>
        <w:tc>
          <w:tcPr>
            <w:tcW w:w="786" w:type="pct"/>
            <w:tcBorders>
              <w:top w:val="single" w:sz="4" w:space="0" w:color="auto"/>
              <w:bottom w:val="nil"/>
            </w:tcBorders>
            <w:shd w:val="clear" w:color="auto" w:fill="auto"/>
          </w:tcPr>
          <w:p w14:paraId="71A26469" w14:textId="4512584B" w:rsidR="00C04A89" w:rsidRPr="00B35A22" w:rsidRDefault="00C04A89" w:rsidP="00B35A22">
            <w:pPr>
              <w:widowControl w:val="0"/>
              <w:tabs>
                <w:tab w:val="left" w:pos="284"/>
              </w:tabs>
              <w:jc w:val="center"/>
              <w:rPr>
                <w:sz w:val="20"/>
                <w:lang w:val="sr-Latn-ME"/>
              </w:rPr>
            </w:pPr>
            <w:r w:rsidRPr="00B35A22">
              <w:rPr>
                <w:sz w:val="20"/>
                <w:lang w:val="sr-Latn-ME"/>
              </w:rPr>
              <w:t>n = 400</w:t>
            </w:r>
          </w:p>
        </w:tc>
      </w:tr>
      <w:tr w:rsidR="00C04A89" w:rsidRPr="00B35A22" w14:paraId="00719F1E" w14:textId="77777777" w:rsidTr="0065270B">
        <w:tc>
          <w:tcPr>
            <w:tcW w:w="1792" w:type="pct"/>
            <w:shd w:val="clear" w:color="auto" w:fill="auto"/>
          </w:tcPr>
          <w:p w14:paraId="716DB093" w14:textId="77777777" w:rsidR="00C04A89" w:rsidRPr="00B35A22" w:rsidRDefault="00C04A89" w:rsidP="00B35A22">
            <w:pPr>
              <w:widowControl w:val="0"/>
              <w:tabs>
                <w:tab w:val="left" w:pos="284"/>
              </w:tabs>
              <w:jc w:val="both"/>
              <w:rPr>
                <w:sz w:val="20"/>
                <w:lang w:val="sr-Latn-ME"/>
              </w:rPr>
            </w:pPr>
            <w:r w:rsidRPr="00B35A22">
              <w:rPr>
                <w:sz w:val="20"/>
                <w:lang w:val="sr-Latn-ME"/>
              </w:rPr>
              <w:t>Broj smrtnih slučajeva (%)</w:t>
            </w:r>
          </w:p>
          <w:p w14:paraId="181BF55C" w14:textId="020DACEB" w:rsidR="00C04A89" w:rsidRPr="00B35A22" w:rsidRDefault="00C04A89" w:rsidP="00B35A22">
            <w:pPr>
              <w:widowControl w:val="0"/>
              <w:tabs>
                <w:tab w:val="left" w:pos="284"/>
              </w:tabs>
              <w:jc w:val="both"/>
              <w:rPr>
                <w:sz w:val="20"/>
                <w:lang w:val="sr-Latn-ME"/>
              </w:rPr>
            </w:pPr>
            <w:r w:rsidRPr="00B35A22">
              <w:rPr>
                <w:sz w:val="20"/>
                <w:lang w:val="sr-Latn-ME"/>
              </w:rPr>
              <w:t>Medijana vremena do događaja (m</w:t>
            </w:r>
            <w:r w:rsidR="00042108" w:rsidRPr="00B35A22">
              <w:rPr>
                <w:sz w:val="20"/>
                <w:lang w:val="sr-Latn-ME"/>
              </w:rPr>
              <w:t>j</w:t>
            </w:r>
            <w:r w:rsidRPr="00B35A22">
              <w:rPr>
                <w:sz w:val="20"/>
                <w:lang w:val="sr-Latn-ME"/>
              </w:rPr>
              <w:t>eseci)</w:t>
            </w:r>
          </w:p>
          <w:p w14:paraId="03A08AF0" w14:textId="77777777" w:rsidR="00C04A89" w:rsidRPr="00B35A22" w:rsidRDefault="00C04A89" w:rsidP="00B35A22">
            <w:pPr>
              <w:widowControl w:val="0"/>
              <w:tabs>
                <w:tab w:val="left" w:pos="284"/>
              </w:tabs>
              <w:jc w:val="both"/>
              <w:rPr>
                <w:sz w:val="20"/>
                <w:lang w:val="sr-Latn-ME"/>
              </w:rPr>
            </w:pPr>
            <w:r w:rsidRPr="00B35A22">
              <w:rPr>
                <w:sz w:val="20"/>
                <w:lang w:val="sr-Latn-ME"/>
              </w:rPr>
              <w:t>95% CI</w:t>
            </w:r>
          </w:p>
        </w:tc>
        <w:tc>
          <w:tcPr>
            <w:tcW w:w="1211" w:type="pct"/>
          </w:tcPr>
          <w:p w14:paraId="40FEDBB9" w14:textId="77777777" w:rsidR="00C04A89" w:rsidRPr="00B35A22" w:rsidRDefault="00C04A89" w:rsidP="00B35A22">
            <w:pPr>
              <w:widowControl w:val="0"/>
              <w:tabs>
                <w:tab w:val="left" w:pos="284"/>
              </w:tabs>
              <w:jc w:val="center"/>
              <w:rPr>
                <w:sz w:val="20"/>
                <w:lang w:val="sr-Latn-ME"/>
              </w:rPr>
            </w:pPr>
            <w:r w:rsidRPr="00B35A22">
              <w:rPr>
                <w:sz w:val="20"/>
                <w:lang w:val="sr-Latn-ME"/>
              </w:rPr>
              <w:t>206 (51,2%)</w:t>
            </w:r>
          </w:p>
          <w:p w14:paraId="0C402D70" w14:textId="4690661B" w:rsidR="00C04A89" w:rsidRPr="00B35A22" w:rsidRDefault="00C04A89" w:rsidP="00B35A22">
            <w:pPr>
              <w:widowControl w:val="0"/>
              <w:tabs>
                <w:tab w:val="left" w:pos="284"/>
              </w:tabs>
              <w:jc w:val="center"/>
              <w:rPr>
                <w:sz w:val="20"/>
                <w:lang w:val="sr-Latn-ME"/>
              </w:rPr>
            </w:pPr>
            <w:r w:rsidRPr="00B35A22">
              <w:rPr>
                <w:sz w:val="20"/>
                <w:lang w:val="sr-Latn-ME"/>
              </w:rPr>
              <w:t>19,5</w:t>
            </w:r>
          </w:p>
          <w:p w14:paraId="2CA9EA95" w14:textId="77777777" w:rsidR="00C96C24" w:rsidRPr="00B35A22" w:rsidRDefault="00C96C24" w:rsidP="00B35A22">
            <w:pPr>
              <w:widowControl w:val="0"/>
              <w:tabs>
                <w:tab w:val="left" w:pos="284"/>
              </w:tabs>
              <w:jc w:val="center"/>
              <w:rPr>
                <w:sz w:val="20"/>
                <w:lang w:val="sr-Latn-ME"/>
              </w:rPr>
            </w:pPr>
          </w:p>
          <w:p w14:paraId="151BE460" w14:textId="77777777" w:rsidR="00C04A89" w:rsidRPr="00B35A22" w:rsidRDefault="00C04A89" w:rsidP="00B35A22">
            <w:pPr>
              <w:widowControl w:val="0"/>
              <w:tabs>
                <w:tab w:val="left" w:pos="284"/>
              </w:tabs>
              <w:jc w:val="center"/>
              <w:rPr>
                <w:sz w:val="20"/>
                <w:lang w:val="sr-Latn-ME"/>
              </w:rPr>
            </w:pPr>
            <w:r w:rsidRPr="00B35A22">
              <w:rPr>
                <w:sz w:val="20"/>
                <w:lang w:val="sr-Latn-ME"/>
              </w:rPr>
              <w:t>(16,3; 21,3)</w:t>
            </w:r>
          </w:p>
        </w:tc>
        <w:tc>
          <w:tcPr>
            <w:tcW w:w="1211" w:type="pct"/>
            <w:shd w:val="clear" w:color="auto" w:fill="auto"/>
          </w:tcPr>
          <w:p w14:paraId="6A1503AD" w14:textId="77777777" w:rsidR="00C04A89" w:rsidRPr="00B35A22" w:rsidRDefault="00C04A89" w:rsidP="00B35A22">
            <w:pPr>
              <w:widowControl w:val="0"/>
              <w:tabs>
                <w:tab w:val="left" w:pos="284"/>
              </w:tabs>
              <w:jc w:val="center"/>
              <w:rPr>
                <w:sz w:val="20"/>
                <w:lang w:val="sr-Latn-ME"/>
              </w:rPr>
            </w:pPr>
            <w:r w:rsidRPr="00B35A22">
              <w:rPr>
                <w:sz w:val="20"/>
                <w:lang w:val="sr-Latn-ME"/>
              </w:rPr>
              <w:t>192 (48,0%)</w:t>
            </w:r>
          </w:p>
          <w:p w14:paraId="433AE4A8" w14:textId="7757788F" w:rsidR="00C04A89" w:rsidRPr="00B35A22" w:rsidRDefault="00C04A89" w:rsidP="00B35A22">
            <w:pPr>
              <w:widowControl w:val="0"/>
              <w:tabs>
                <w:tab w:val="left" w:pos="284"/>
              </w:tabs>
              <w:jc w:val="center"/>
              <w:rPr>
                <w:sz w:val="20"/>
                <w:lang w:val="sr-Latn-ME"/>
              </w:rPr>
            </w:pPr>
            <w:r w:rsidRPr="00B35A22">
              <w:rPr>
                <w:sz w:val="20"/>
                <w:lang w:val="sr-Latn-ME"/>
              </w:rPr>
              <w:t>19,8</w:t>
            </w:r>
          </w:p>
          <w:p w14:paraId="71B8EC60" w14:textId="77777777" w:rsidR="00C96C24" w:rsidRPr="00B35A22" w:rsidRDefault="00C96C24" w:rsidP="00B35A22">
            <w:pPr>
              <w:widowControl w:val="0"/>
              <w:tabs>
                <w:tab w:val="left" w:pos="284"/>
              </w:tabs>
              <w:jc w:val="center"/>
              <w:rPr>
                <w:sz w:val="20"/>
                <w:lang w:val="sr-Latn-ME"/>
              </w:rPr>
            </w:pPr>
          </w:p>
          <w:p w14:paraId="4562CE95" w14:textId="77777777" w:rsidR="00C04A89" w:rsidRPr="00B35A22" w:rsidRDefault="00C04A89" w:rsidP="00B35A22">
            <w:pPr>
              <w:widowControl w:val="0"/>
              <w:tabs>
                <w:tab w:val="left" w:pos="284"/>
              </w:tabs>
              <w:jc w:val="center"/>
              <w:rPr>
                <w:sz w:val="20"/>
                <w:lang w:val="sr-Latn-ME"/>
              </w:rPr>
            </w:pPr>
            <w:r w:rsidRPr="00B35A22">
              <w:rPr>
                <w:sz w:val="20"/>
                <w:lang w:val="sr-Latn-ME"/>
              </w:rPr>
              <w:t>(17,4; 24,2)</w:t>
            </w:r>
          </w:p>
        </w:tc>
        <w:tc>
          <w:tcPr>
            <w:tcW w:w="786" w:type="pct"/>
            <w:shd w:val="clear" w:color="auto" w:fill="auto"/>
          </w:tcPr>
          <w:p w14:paraId="7A9C03E4" w14:textId="77777777" w:rsidR="00C04A89" w:rsidRPr="00B35A22" w:rsidRDefault="00C04A89" w:rsidP="00B35A22">
            <w:pPr>
              <w:widowControl w:val="0"/>
              <w:tabs>
                <w:tab w:val="left" w:pos="284"/>
              </w:tabs>
              <w:jc w:val="center"/>
              <w:rPr>
                <w:sz w:val="20"/>
                <w:lang w:val="sr-Latn-ME"/>
              </w:rPr>
            </w:pPr>
            <w:r w:rsidRPr="00B35A22">
              <w:rPr>
                <w:sz w:val="20"/>
                <w:lang w:val="sr-Latn-ME"/>
              </w:rPr>
              <w:t>230 (57,5%)</w:t>
            </w:r>
          </w:p>
          <w:p w14:paraId="4E4E32E5" w14:textId="3CCD621E" w:rsidR="00C04A89" w:rsidRPr="00B35A22" w:rsidRDefault="00C04A89" w:rsidP="00B35A22">
            <w:pPr>
              <w:widowControl w:val="0"/>
              <w:tabs>
                <w:tab w:val="left" w:pos="284"/>
              </w:tabs>
              <w:jc w:val="center"/>
              <w:rPr>
                <w:sz w:val="20"/>
                <w:lang w:val="sr-Latn-ME"/>
              </w:rPr>
            </w:pPr>
            <w:r w:rsidRPr="00B35A22">
              <w:rPr>
                <w:sz w:val="20"/>
                <w:lang w:val="sr-Latn-ME"/>
              </w:rPr>
              <w:t>14,9</w:t>
            </w:r>
          </w:p>
          <w:p w14:paraId="2E39FDAE" w14:textId="77777777" w:rsidR="00C96C24" w:rsidRPr="00B35A22" w:rsidRDefault="00C96C24" w:rsidP="00B35A22">
            <w:pPr>
              <w:widowControl w:val="0"/>
              <w:tabs>
                <w:tab w:val="left" w:pos="284"/>
              </w:tabs>
              <w:jc w:val="center"/>
              <w:rPr>
                <w:sz w:val="20"/>
                <w:lang w:val="sr-Latn-ME"/>
              </w:rPr>
            </w:pPr>
          </w:p>
          <w:p w14:paraId="290358C7" w14:textId="77777777" w:rsidR="00C04A89" w:rsidRPr="00B35A22" w:rsidRDefault="00C04A89" w:rsidP="00B35A22">
            <w:pPr>
              <w:widowControl w:val="0"/>
              <w:tabs>
                <w:tab w:val="left" w:pos="284"/>
              </w:tabs>
              <w:jc w:val="center"/>
              <w:rPr>
                <w:sz w:val="20"/>
                <w:lang w:val="sr-Latn-ME"/>
              </w:rPr>
            </w:pPr>
            <w:r w:rsidRPr="00B35A22">
              <w:rPr>
                <w:sz w:val="20"/>
                <w:lang w:val="sr-Latn-ME"/>
              </w:rPr>
              <w:t>(13,4; 17,1)</w:t>
            </w:r>
          </w:p>
        </w:tc>
      </w:tr>
      <w:tr w:rsidR="00C04A89" w:rsidRPr="00B35A22" w14:paraId="5223132D" w14:textId="77777777" w:rsidTr="0065270B">
        <w:tc>
          <w:tcPr>
            <w:tcW w:w="1792" w:type="pct"/>
            <w:shd w:val="clear" w:color="auto" w:fill="auto"/>
          </w:tcPr>
          <w:p w14:paraId="21F1E6B1" w14:textId="77777777" w:rsidR="00C04A89" w:rsidRPr="00B35A22" w:rsidRDefault="00C04A89" w:rsidP="00B35A22">
            <w:pPr>
              <w:widowControl w:val="0"/>
              <w:tabs>
                <w:tab w:val="left" w:pos="284"/>
              </w:tabs>
              <w:jc w:val="both"/>
              <w:rPr>
                <w:sz w:val="20"/>
                <w:lang w:val="sr-Latn-ME"/>
              </w:rPr>
            </w:pPr>
            <w:r w:rsidRPr="00B35A22">
              <w:rPr>
                <w:sz w:val="20"/>
                <w:lang w:val="sr-Latn-ME"/>
              </w:rPr>
              <w:t xml:space="preserve">Stratifikovan koeficijent rizika </w:t>
            </w:r>
            <w:r w:rsidRPr="00B35A22">
              <w:rPr>
                <w:sz w:val="20"/>
                <w:vertAlign w:val="superscript"/>
                <w:lang w:val="sr-Latn-ME"/>
              </w:rPr>
              <w:t>‡^</w:t>
            </w:r>
            <w:r w:rsidRPr="00B35A22">
              <w:rPr>
                <w:sz w:val="20"/>
                <w:lang w:val="sr-Latn-ME"/>
              </w:rPr>
              <w:t xml:space="preserve"> (95% CI)</w:t>
            </w:r>
          </w:p>
          <w:p w14:paraId="582BCEE5" w14:textId="00E448EC" w:rsidR="00C04A89" w:rsidRPr="00B35A22" w:rsidRDefault="00C04A89" w:rsidP="00B35A22">
            <w:pPr>
              <w:widowControl w:val="0"/>
              <w:tabs>
                <w:tab w:val="left" w:pos="284"/>
              </w:tabs>
              <w:jc w:val="both"/>
              <w:rPr>
                <w:sz w:val="20"/>
                <w:lang w:val="sr-Latn-ME"/>
              </w:rPr>
            </w:pPr>
            <w:r w:rsidRPr="00B35A22">
              <w:rPr>
                <w:sz w:val="20"/>
                <w:lang w:val="sr-Latn-ME"/>
              </w:rPr>
              <w:t>p</w:t>
            </w:r>
            <w:r w:rsidRPr="00B35A22">
              <w:rPr>
                <w:sz w:val="20"/>
                <w:lang w:val="sr-Latn-ME"/>
              </w:rPr>
              <w:noBreakHyphen/>
              <w:t>vr</w:t>
            </w:r>
            <w:r w:rsidR="009E477F" w:rsidRPr="00B35A22">
              <w:rPr>
                <w:sz w:val="20"/>
                <w:lang w:val="sr-Latn-ME"/>
              </w:rPr>
              <w:t>ij</w:t>
            </w:r>
            <w:r w:rsidRPr="00B35A22">
              <w:rPr>
                <w:sz w:val="20"/>
                <w:lang w:val="sr-Latn-ME"/>
              </w:rPr>
              <w:t>ednost</w:t>
            </w:r>
            <w:r w:rsidRPr="00B35A22">
              <w:rPr>
                <w:sz w:val="20"/>
                <w:vertAlign w:val="superscript"/>
                <w:lang w:val="sr-Latn-ME"/>
              </w:rPr>
              <w:t>1,2</w:t>
            </w:r>
          </w:p>
        </w:tc>
        <w:tc>
          <w:tcPr>
            <w:tcW w:w="1211" w:type="pct"/>
          </w:tcPr>
          <w:p w14:paraId="23AD0E2F" w14:textId="77777777" w:rsidR="00C04A89" w:rsidRPr="00B35A22" w:rsidRDefault="00C04A89" w:rsidP="00B35A22">
            <w:pPr>
              <w:widowControl w:val="0"/>
              <w:tabs>
                <w:tab w:val="left" w:pos="284"/>
              </w:tabs>
              <w:jc w:val="center"/>
              <w:rPr>
                <w:sz w:val="20"/>
                <w:lang w:val="sr-Latn-ME"/>
              </w:rPr>
            </w:pPr>
            <w:r w:rsidRPr="00B35A22">
              <w:rPr>
                <w:sz w:val="20"/>
                <w:lang w:val="sr-Latn-ME"/>
              </w:rPr>
              <w:t>0,85 (0,71; 1,03)</w:t>
            </w:r>
          </w:p>
          <w:p w14:paraId="4105DAEB" w14:textId="77777777" w:rsidR="00C04A89" w:rsidRPr="00B35A22" w:rsidRDefault="00C04A89" w:rsidP="00B35A22">
            <w:pPr>
              <w:widowControl w:val="0"/>
              <w:tabs>
                <w:tab w:val="left" w:pos="284"/>
              </w:tabs>
              <w:jc w:val="center"/>
              <w:rPr>
                <w:sz w:val="20"/>
                <w:lang w:val="sr-Latn-ME"/>
              </w:rPr>
            </w:pPr>
            <w:r w:rsidRPr="00B35A22">
              <w:rPr>
                <w:sz w:val="20"/>
                <w:lang w:val="sr-Latn-ME"/>
              </w:rPr>
              <w:t>0,0983</w:t>
            </w:r>
          </w:p>
        </w:tc>
        <w:tc>
          <w:tcPr>
            <w:tcW w:w="1211" w:type="pct"/>
            <w:shd w:val="clear" w:color="auto" w:fill="auto"/>
          </w:tcPr>
          <w:p w14:paraId="18AC4BE8" w14:textId="77777777" w:rsidR="00C04A89" w:rsidRPr="00B35A22" w:rsidRDefault="00C04A89" w:rsidP="00B35A22">
            <w:pPr>
              <w:widowControl w:val="0"/>
              <w:tabs>
                <w:tab w:val="left" w:pos="284"/>
              </w:tabs>
              <w:jc w:val="center"/>
              <w:rPr>
                <w:sz w:val="20"/>
                <w:lang w:val="sr-Latn-ME"/>
              </w:rPr>
            </w:pPr>
            <w:r w:rsidRPr="00B35A22">
              <w:rPr>
                <w:sz w:val="20"/>
                <w:lang w:val="sr-Latn-ME"/>
              </w:rPr>
              <w:t>0,76 (0,63; 0,93)</w:t>
            </w:r>
          </w:p>
          <w:p w14:paraId="24E8B14A" w14:textId="77777777" w:rsidR="00C04A89" w:rsidRPr="00B35A22" w:rsidRDefault="00C04A89" w:rsidP="00B35A22">
            <w:pPr>
              <w:widowControl w:val="0"/>
              <w:tabs>
                <w:tab w:val="left" w:pos="284"/>
              </w:tabs>
              <w:jc w:val="center"/>
              <w:rPr>
                <w:sz w:val="20"/>
                <w:lang w:val="sr-Latn-ME"/>
              </w:rPr>
            </w:pPr>
            <w:r w:rsidRPr="00B35A22">
              <w:rPr>
                <w:sz w:val="20"/>
                <w:lang w:val="sr-Latn-ME"/>
              </w:rPr>
              <w:t>0,006</w:t>
            </w:r>
          </w:p>
        </w:tc>
        <w:tc>
          <w:tcPr>
            <w:tcW w:w="786" w:type="pct"/>
          </w:tcPr>
          <w:p w14:paraId="0DE62B98" w14:textId="77777777" w:rsidR="00C04A89" w:rsidRPr="00B35A22" w:rsidRDefault="00C04A89" w:rsidP="00B35A22">
            <w:pPr>
              <w:widowControl w:val="0"/>
              <w:tabs>
                <w:tab w:val="left" w:pos="284"/>
              </w:tabs>
              <w:jc w:val="center"/>
              <w:rPr>
                <w:sz w:val="22"/>
                <w:lang w:val="sr-Latn-ME"/>
              </w:rPr>
            </w:pPr>
            <w:r w:rsidRPr="00B35A22">
              <w:rPr>
                <w:sz w:val="18"/>
                <w:lang w:val="sr-Latn-ME"/>
              </w:rPr>
              <w:t>---</w:t>
            </w:r>
          </w:p>
        </w:tc>
      </w:tr>
      <w:tr w:rsidR="00C04A89" w:rsidRPr="00B35A22" w14:paraId="3CF4B9EF" w14:textId="77777777" w:rsidTr="0065270B">
        <w:tc>
          <w:tcPr>
            <w:tcW w:w="1792" w:type="pct"/>
            <w:tcBorders>
              <w:bottom w:val="nil"/>
            </w:tcBorders>
            <w:shd w:val="clear" w:color="auto" w:fill="auto"/>
          </w:tcPr>
          <w:p w14:paraId="26A37E97" w14:textId="363BF8FF" w:rsidR="00C04A89" w:rsidRPr="00B35A22" w:rsidRDefault="00C04A89" w:rsidP="00B35A22">
            <w:pPr>
              <w:widowControl w:val="0"/>
              <w:tabs>
                <w:tab w:val="left" w:pos="284"/>
              </w:tabs>
              <w:jc w:val="both"/>
              <w:rPr>
                <w:sz w:val="20"/>
                <w:lang w:val="sr-Latn-ME"/>
              </w:rPr>
            </w:pPr>
            <w:r w:rsidRPr="00B35A22">
              <w:rPr>
                <w:sz w:val="20"/>
                <w:lang w:val="sr-Latn-ME"/>
              </w:rPr>
              <w:t>6</w:t>
            </w:r>
            <w:r w:rsidRPr="00B35A22">
              <w:rPr>
                <w:sz w:val="20"/>
                <w:lang w:val="sr-Latn-ME"/>
              </w:rPr>
              <w:noBreakHyphen/>
              <w:t>m</w:t>
            </w:r>
            <w:r w:rsidR="003E771E" w:rsidRPr="00B35A22">
              <w:rPr>
                <w:sz w:val="20"/>
                <w:lang w:val="sr-Latn-ME"/>
              </w:rPr>
              <w:t>j</w:t>
            </w:r>
            <w:r w:rsidRPr="00B35A22">
              <w:rPr>
                <w:sz w:val="20"/>
                <w:lang w:val="sr-Latn-ME"/>
              </w:rPr>
              <w:t>esečni OS (%)</w:t>
            </w:r>
          </w:p>
        </w:tc>
        <w:tc>
          <w:tcPr>
            <w:tcW w:w="1211" w:type="pct"/>
            <w:tcBorders>
              <w:bottom w:val="nil"/>
            </w:tcBorders>
          </w:tcPr>
          <w:p w14:paraId="693C2724" w14:textId="77777777" w:rsidR="00C04A89" w:rsidRPr="00B35A22" w:rsidRDefault="00C04A89" w:rsidP="00B35A22">
            <w:pPr>
              <w:widowControl w:val="0"/>
              <w:tabs>
                <w:tab w:val="left" w:pos="284"/>
              </w:tabs>
              <w:jc w:val="center"/>
              <w:rPr>
                <w:sz w:val="20"/>
                <w:lang w:val="sr-Latn-ME"/>
              </w:rPr>
            </w:pPr>
            <w:r w:rsidRPr="00B35A22">
              <w:rPr>
                <w:sz w:val="20"/>
                <w:lang w:val="sr-Latn-ME"/>
              </w:rPr>
              <w:t>84</w:t>
            </w:r>
          </w:p>
        </w:tc>
        <w:tc>
          <w:tcPr>
            <w:tcW w:w="1211" w:type="pct"/>
            <w:tcBorders>
              <w:bottom w:val="nil"/>
            </w:tcBorders>
            <w:shd w:val="clear" w:color="auto" w:fill="auto"/>
          </w:tcPr>
          <w:p w14:paraId="43B68A70" w14:textId="77777777" w:rsidR="00C04A89" w:rsidRPr="00B35A22" w:rsidRDefault="00C04A89" w:rsidP="00B35A22">
            <w:pPr>
              <w:widowControl w:val="0"/>
              <w:tabs>
                <w:tab w:val="left" w:pos="284"/>
              </w:tabs>
              <w:jc w:val="center"/>
              <w:rPr>
                <w:sz w:val="20"/>
                <w:lang w:val="sr-Latn-ME"/>
              </w:rPr>
            </w:pPr>
            <w:r w:rsidRPr="00B35A22">
              <w:rPr>
                <w:sz w:val="20"/>
                <w:lang w:val="sr-Latn-ME"/>
              </w:rPr>
              <w:t>85</w:t>
            </w:r>
          </w:p>
        </w:tc>
        <w:tc>
          <w:tcPr>
            <w:tcW w:w="786" w:type="pct"/>
            <w:tcBorders>
              <w:bottom w:val="nil"/>
            </w:tcBorders>
            <w:shd w:val="clear" w:color="auto" w:fill="auto"/>
          </w:tcPr>
          <w:p w14:paraId="4CE9B5EA" w14:textId="77777777" w:rsidR="00C04A89" w:rsidRPr="00B35A22" w:rsidRDefault="00C04A89" w:rsidP="00B35A22">
            <w:pPr>
              <w:widowControl w:val="0"/>
              <w:tabs>
                <w:tab w:val="left" w:pos="284"/>
              </w:tabs>
              <w:jc w:val="center"/>
              <w:rPr>
                <w:sz w:val="20"/>
                <w:lang w:val="sr-Latn-ME"/>
              </w:rPr>
            </w:pPr>
            <w:r w:rsidRPr="00B35A22">
              <w:rPr>
                <w:sz w:val="20"/>
                <w:lang w:val="sr-Latn-ME"/>
              </w:rPr>
              <w:t>81</w:t>
            </w:r>
          </w:p>
        </w:tc>
      </w:tr>
      <w:tr w:rsidR="00C04A89" w:rsidRPr="00B35A22" w14:paraId="0BA98B50" w14:textId="77777777" w:rsidTr="0065270B">
        <w:tc>
          <w:tcPr>
            <w:tcW w:w="1792" w:type="pct"/>
            <w:tcBorders>
              <w:top w:val="nil"/>
              <w:bottom w:val="single" w:sz="4" w:space="0" w:color="auto"/>
            </w:tcBorders>
            <w:shd w:val="clear" w:color="auto" w:fill="auto"/>
          </w:tcPr>
          <w:p w14:paraId="138DDD32" w14:textId="7115786A" w:rsidR="00C04A89" w:rsidRPr="00B35A22" w:rsidRDefault="00C04A89" w:rsidP="00B35A22">
            <w:pPr>
              <w:widowControl w:val="0"/>
              <w:tabs>
                <w:tab w:val="left" w:pos="284"/>
              </w:tabs>
              <w:jc w:val="both"/>
              <w:rPr>
                <w:sz w:val="20"/>
                <w:lang w:val="sr-Latn-ME"/>
              </w:rPr>
            </w:pPr>
            <w:r w:rsidRPr="00B35A22">
              <w:rPr>
                <w:sz w:val="20"/>
                <w:lang w:val="sr-Latn-ME"/>
              </w:rPr>
              <w:t>12</w:t>
            </w:r>
            <w:r w:rsidRPr="00B35A22">
              <w:rPr>
                <w:sz w:val="20"/>
                <w:lang w:val="sr-Latn-ME"/>
              </w:rPr>
              <w:noBreakHyphen/>
              <w:t>m</w:t>
            </w:r>
            <w:r w:rsidR="003E771E" w:rsidRPr="00B35A22">
              <w:rPr>
                <w:sz w:val="20"/>
                <w:lang w:val="sr-Latn-ME"/>
              </w:rPr>
              <w:t>j</w:t>
            </w:r>
            <w:r w:rsidRPr="00B35A22">
              <w:rPr>
                <w:sz w:val="20"/>
                <w:lang w:val="sr-Latn-ME"/>
              </w:rPr>
              <w:t>esečni OS (%)</w:t>
            </w:r>
          </w:p>
        </w:tc>
        <w:tc>
          <w:tcPr>
            <w:tcW w:w="1211" w:type="pct"/>
            <w:tcBorders>
              <w:top w:val="nil"/>
              <w:bottom w:val="single" w:sz="4" w:space="0" w:color="auto"/>
            </w:tcBorders>
          </w:tcPr>
          <w:p w14:paraId="446B72B3" w14:textId="77777777" w:rsidR="00C04A89" w:rsidRPr="00B35A22" w:rsidRDefault="00C04A89" w:rsidP="00B35A22">
            <w:pPr>
              <w:widowControl w:val="0"/>
              <w:tabs>
                <w:tab w:val="left" w:pos="284"/>
              </w:tabs>
              <w:jc w:val="center"/>
              <w:rPr>
                <w:sz w:val="20"/>
                <w:lang w:val="sr-Latn-ME"/>
              </w:rPr>
            </w:pPr>
            <w:r w:rsidRPr="00B35A22">
              <w:rPr>
                <w:sz w:val="20"/>
                <w:lang w:val="sr-Latn-ME"/>
              </w:rPr>
              <w:t>66</w:t>
            </w:r>
          </w:p>
        </w:tc>
        <w:tc>
          <w:tcPr>
            <w:tcW w:w="1211" w:type="pct"/>
            <w:tcBorders>
              <w:top w:val="nil"/>
              <w:bottom w:val="single" w:sz="4" w:space="0" w:color="auto"/>
            </w:tcBorders>
            <w:shd w:val="clear" w:color="auto" w:fill="auto"/>
          </w:tcPr>
          <w:p w14:paraId="691C04F5" w14:textId="77777777" w:rsidR="00C04A89" w:rsidRPr="00B35A22" w:rsidRDefault="00C04A89" w:rsidP="00B35A22">
            <w:pPr>
              <w:widowControl w:val="0"/>
              <w:tabs>
                <w:tab w:val="left" w:pos="284"/>
              </w:tabs>
              <w:jc w:val="center"/>
              <w:rPr>
                <w:sz w:val="20"/>
                <w:lang w:val="sr-Latn-ME"/>
              </w:rPr>
            </w:pPr>
            <w:r w:rsidRPr="00B35A22">
              <w:rPr>
                <w:sz w:val="20"/>
                <w:lang w:val="sr-Latn-ME"/>
              </w:rPr>
              <w:t>68</w:t>
            </w:r>
          </w:p>
        </w:tc>
        <w:tc>
          <w:tcPr>
            <w:tcW w:w="786" w:type="pct"/>
            <w:tcBorders>
              <w:top w:val="nil"/>
              <w:bottom w:val="single" w:sz="4" w:space="0" w:color="auto"/>
            </w:tcBorders>
            <w:shd w:val="clear" w:color="auto" w:fill="auto"/>
          </w:tcPr>
          <w:p w14:paraId="72F7133A" w14:textId="77777777" w:rsidR="00C04A89" w:rsidRPr="00B35A22" w:rsidRDefault="00C04A89" w:rsidP="00B35A22">
            <w:pPr>
              <w:widowControl w:val="0"/>
              <w:tabs>
                <w:tab w:val="left" w:pos="284"/>
              </w:tabs>
              <w:jc w:val="center"/>
              <w:rPr>
                <w:sz w:val="20"/>
                <w:lang w:val="sr-Latn-ME"/>
              </w:rPr>
            </w:pPr>
            <w:r w:rsidRPr="00B35A22">
              <w:rPr>
                <w:sz w:val="20"/>
                <w:lang w:val="sr-Latn-ME"/>
              </w:rPr>
              <w:t>61</w:t>
            </w:r>
          </w:p>
        </w:tc>
      </w:tr>
      <w:tr w:rsidR="00C04A89" w:rsidRPr="00B35A22" w14:paraId="1E5E461B" w14:textId="77777777" w:rsidTr="0065270B">
        <w:tc>
          <w:tcPr>
            <w:tcW w:w="1792" w:type="pct"/>
            <w:tcBorders>
              <w:top w:val="single" w:sz="4" w:space="0" w:color="auto"/>
              <w:bottom w:val="nil"/>
            </w:tcBorders>
            <w:shd w:val="clear" w:color="auto" w:fill="auto"/>
          </w:tcPr>
          <w:p w14:paraId="02523DA1" w14:textId="54C6EF29" w:rsidR="00C04A89" w:rsidRPr="00B35A22" w:rsidRDefault="00C04A89" w:rsidP="00B35A22">
            <w:pPr>
              <w:widowControl w:val="0"/>
              <w:tabs>
                <w:tab w:val="left" w:pos="284"/>
              </w:tabs>
              <w:jc w:val="both"/>
              <w:rPr>
                <w:sz w:val="20"/>
                <w:lang w:val="sr-Latn-ME"/>
              </w:rPr>
            </w:pPr>
            <w:r w:rsidRPr="00B35A22">
              <w:rPr>
                <w:b/>
                <w:i/>
                <w:sz w:val="20"/>
                <w:lang w:val="sr-Latn-ME"/>
              </w:rPr>
              <w:t>Ukupan najbolji odgovor prema oc</w:t>
            </w:r>
            <w:r w:rsidR="00042108" w:rsidRPr="00B35A22">
              <w:rPr>
                <w:b/>
                <w:i/>
                <w:sz w:val="20"/>
                <w:lang w:val="sr-Latn-ME"/>
              </w:rPr>
              <w:t>j</w:t>
            </w:r>
            <w:r w:rsidRPr="00B35A22">
              <w:rPr>
                <w:b/>
                <w:i/>
                <w:sz w:val="20"/>
                <w:lang w:val="sr-Latn-ME"/>
              </w:rPr>
              <w:t>eni istraživača</w:t>
            </w:r>
            <w:r w:rsidRPr="00B35A22">
              <w:rPr>
                <w:b/>
                <w:i/>
                <w:sz w:val="20"/>
                <w:vertAlign w:val="superscript"/>
                <w:lang w:val="sr-Latn-ME"/>
              </w:rPr>
              <w:t>3</w:t>
            </w:r>
            <w:r w:rsidRPr="00B35A22">
              <w:rPr>
                <w:b/>
                <w:i/>
                <w:sz w:val="20"/>
                <w:lang w:val="sr-Latn-ME"/>
              </w:rPr>
              <w:t>* (RECIST 1.1)</w:t>
            </w:r>
          </w:p>
        </w:tc>
        <w:tc>
          <w:tcPr>
            <w:tcW w:w="1211" w:type="pct"/>
            <w:tcBorders>
              <w:top w:val="single" w:sz="4" w:space="0" w:color="auto"/>
              <w:bottom w:val="nil"/>
            </w:tcBorders>
          </w:tcPr>
          <w:p w14:paraId="2812FA7E" w14:textId="77777777" w:rsidR="00C04A89" w:rsidRPr="00B35A22" w:rsidRDefault="00C04A89" w:rsidP="00B35A22">
            <w:pPr>
              <w:widowControl w:val="0"/>
              <w:tabs>
                <w:tab w:val="left" w:pos="284"/>
              </w:tabs>
              <w:jc w:val="center"/>
              <w:rPr>
                <w:sz w:val="20"/>
                <w:lang w:val="sr-Latn-ME"/>
              </w:rPr>
            </w:pPr>
            <w:r w:rsidRPr="00B35A22">
              <w:rPr>
                <w:sz w:val="20"/>
                <w:lang w:val="sr-Latn-ME"/>
              </w:rPr>
              <w:t>n = 401</w:t>
            </w:r>
          </w:p>
        </w:tc>
        <w:tc>
          <w:tcPr>
            <w:tcW w:w="1211" w:type="pct"/>
            <w:tcBorders>
              <w:top w:val="single" w:sz="4" w:space="0" w:color="auto"/>
              <w:bottom w:val="nil"/>
            </w:tcBorders>
            <w:shd w:val="clear" w:color="auto" w:fill="auto"/>
          </w:tcPr>
          <w:p w14:paraId="7B2085AB" w14:textId="77777777" w:rsidR="00C04A89" w:rsidRPr="00B35A22" w:rsidRDefault="00C04A89" w:rsidP="00B35A22">
            <w:pPr>
              <w:widowControl w:val="0"/>
              <w:tabs>
                <w:tab w:val="left" w:pos="284"/>
              </w:tabs>
              <w:jc w:val="center"/>
              <w:rPr>
                <w:sz w:val="20"/>
                <w:lang w:val="sr-Latn-ME"/>
              </w:rPr>
            </w:pPr>
            <w:r w:rsidRPr="00B35A22">
              <w:rPr>
                <w:sz w:val="20"/>
                <w:lang w:val="sr-Latn-ME"/>
              </w:rPr>
              <w:t>n = 397</w:t>
            </w:r>
          </w:p>
        </w:tc>
        <w:tc>
          <w:tcPr>
            <w:tcW w:w="786" w:type="pct"/>
            <w:tcBorders>
              <w:top w:val="single" w:sz="4" w:space="0" w:color="auto"/>
              <w:bottom w:val="nil"/>
            </w:tcBorders>
            <w:shd w:val="clear" w:color="auto" w:fill="auto"/>
          </w:tcPr>
          <w:p w14:paraId="29B4F66C" w14:textId="77777777" w:rsidR="00C04A89" w:rsidRPr="00B35A22" w:rsidRDefault="00C04A89" w:rsidP="00B35A22">
            <w:pPr>
              <w:widowControl w:val="0"/>
              <w:tabs>
                <w:tab w:val="left" w:pos="284"/>
              </w:tabs>
              <w:jc w:val="center"/>
              <w:rPr>
                <w:sz w:val="20"/>
                <w:lang w:val="sr-Latn-ME"/>
              </w:rPr>
            </w:pPr>
            <w:r w:rsidRPr="00B35A22">
              <w:rPr>
                <w:sz w:val="20"/>
                <w:lang w:val="sr-Latn-ME"/>
              </w:rPr>
              <w:t>n = 393</w:t>
            </w:r>
          </w:p>
        </w:tc>
      </w:tr>
      <w:tr w:rsidR="00C04A89" w:rsidRPr="00B35A22" w14:paraId="409A56C3" w14:textId="77777777" w:rsidTr="0065270B">
        <w:tc>
          <w:tcPr>
            <w:tcW w:w="1792" w:type="pct"/>
            <w:tcBorders>
              <w:top w:val="nil"/>
            </w:tcBorders>
            <w:shd w:val="clear" w:color="auto" w:fill="auto"/>
          </w:tcPr>
          <w:p w14:paraId="21B44E7B" w14:textId="77777777" w:rsidR="00C04A89" w:rsidRPr="00B35A22" w:rsidRDefault="00C04A89" w:rsidP="00B35A22">
            <w:pPr>
              <w:widowControl w:val="0"/>
              <w:tabs>
                <w:tab w:val="left" w:pos="284"/>
              </w:tabs>
              <w:jc w:val="both"/>
              <w:rPr>
                <w:sz w:val="20"/>
                <w:lang w:val="sr-Latn-ME"/>
              </w:rPr>
            </w:pPr>
            <w:r w:rsidRPr="00B35A22">
              <w:rPr>
                <w:sz w:val="20"/>
                <w:lang w:val="sr-Latn-ME"/>
              </w:rPr>
              <w:t>Broj pacijenata sa odgovorom (%)</w:t>
            </w:r>
          </w:p>
        </w:tc>
        <w:tc>
          <w:tcPr>
            <w:tcW w:w="1211" w:type="pct"/>
            <w:tcBorders>
              <w:top w:val="nil"/>
            </w:tcBorders>
          </w:tcPr>
          <w:p w14:paraId="1D3381E7" w14:textId="77777777" w:rsidR="00C04A89" w:rsidRPr="00B35A22" w:rsidRDefault="00C04A89" w:rsidP="00B35A22">
            <w:pPr>
              <w:widowControl w:val="0"/>
              <w:tabs>
                <w:tab w:val="left" w:pos="284"/>
              </w:tabs>
              <w:jc w:val="center"/>
              <w:rPr>
                <w:sz w:val="20"/>
                <w:lang w:val="sr-Latn-ME"/>
              </w:rPr>
            </w:pPr>
            <w:r w:rsidRPr="00B35A22">
              <w:rPr>
                <w:sz w:val="20"/>
                <w:lang w:val="sr-Latn-ME"/>
              </w:rPr>
              <w:t>163 (40,6%)</w:t>
            </w:r>
          </w:p>
        </w:tc>
        <w:tc>
          <w:tcPr>
            <w:tcW w:w="1211" w:type="pct"/>
            <w:tcBorders>
              <w:top w:val="nil"/>
            </w:tcBorders>
            <w:shd w:val="clear" w:color="auto" w:fill="auto"/>
          </w:tcPr>
          <w:p w14:paraId="5C0B3DC1" w14:textId="77777777" w:rsidR="00C04A89" w:rsidRPr="00B35A22" w:rsidRDefault="00C04A89" w:rsidP="00B35A22">
            <w:pPr>
              <w:widowControl w:val="0"/>
              <w:tabs>
                <w:tab w:val="left" w:pos="284"/>
              </w:tabs>
              <w:jc w:val="center"/>
              <w:rPr>
                <w:sz w:val="20"/>
                <w:lang w:val="sr-Latn-ME"/>
              </w:rPr>
            </w:pPr>
            <w:r w:rsidRPr="00B35A22">
              <w:rPr>
                <w:sz w:val="20"/>
                <w:lang w:val="sr-Latn-ME"/>
              </w:rPr>
              <w:t>224 (56,4%)</w:t>
            </w:r>
          </w:p>
        </w:tc>
        <w:tc>
          <w:tcPr>
            <w:tcW w:w="786" w:type="pct"/>
            <w:tcBorders>
              <w:top w:val="nil"/>
            </w:tcBorders>
            <w:shd w:val="clear" w:color="auto" w:fill="auto"/>
          </w:tcPr>
          <w:p w14:paraId="364CEFDA" w14:textId="77777777" w:rsidR="00C04A89" w:rsidRPr="00B35A22" w:rsidRDefault="00C04A89" w:rsidP="00B35A22">
            <w:pPr>
              <w:widowControl w:val="0"/>
              <w:tabs>
                <w:tab w:val="left" w:pos="284"/>
              </w:tabs>
              <w:jc w:val="center"/>
              <w:rPr>
                <w:sz w:val="20"/>
                <w:lang w:val="sr-Latn-ME"/>
              </w:rPr>
            </w:pPr>
            <w:r w:rsidRPr="00B35A22">
              <w:rPr>
                <w:sz w:val="20"/>
                <w:lang w:val="sr-Latn-ME"/>
              </w:rPr>
              <w:t>158 (40,2%)</w:t>
            </w:r>
          </w:p>
        </w:tc>
      </w:tr>
      <w:tr w:rsidR="00C04A89" w:rsidRPr="00B35A22" w14:paraId="5539A013" w14:textId="77777777" w:rsidTr="0065270B">
        <w:tc>
          <w:tcPr>
            <w:tcW w:w="1792" w:type="pct"/>
            <w:shd w:val="clear" w:color="auto" w:fill="auto"/>
          </w:tcPr>
          <w:p w14:paraId="7BFF4523" w14:textId="77777777" w:rsidR="00C04A89" w:rsidRPr="00B35A22" w:rsidRDefault="00C04A89" w:rsidP="00B35A22">
            <w:pPr>
              <w:widowControl w:val="0"/>
              <w:tabs>
                <w:tab w:val="left" w:pos="284"/>
              </w:tabs>
              <w:jc w:val="both"/>
              <w:rPr>
                <w:sz w:val="20"/>
                <w:lang w:val="sr-Latn-ME"/>
              </w:rPr>
            </w:pPr>
            <w:r w:rsidRPr="00B35A22">
              <w:rPr>
                <w:sz w:val="20"/>
                <w:lang w:val="sr-Latn-ME"/>
              </w:rPr>
              <w:t>95% CI</w:t>
            </w:r>
          </w:p>
        </w:tc>
        <w:tc>
          <w:tcPr>
            <w:tcW w:w="1211" w:type="pct"/>
          </w:tcPr>
          <w:p w14:paraId="0B0C48CD" w14:textId="77777777" w:rsidR="00C04A89" w:rsidRPr="00B35A22" w:rsidRDefault="00C04A89" w:rsidP="00B35A22">
            <w:pPr>
              <w:widowControl w:val="0"/>
              <w:tabs>
                <w:tab w:val="left" w:pos="284"/>
              </w:tabs>
              <w:jc w:val="center"/>
              <w:rPr>
                <w:sz w:val="20"/>
                <w:lang w:val="sr-Latn-ME"/>
              </w:rPr>
            </w:pPr>
            <w:r w:rsidRPr="00B35A22">
              <w:rPr>
                <w:sz w:val="20"/>
                <w:lang w:val="sr-Latn-ME"/>
              </w:rPr>
              <w:t>(35,8; 45,6)</w:t>
            </w:r>
          </w:p>
        </w:tc>
        <w:tc>
          <w:tcPr>
            <w:tcW w:w="1211" w:type="pct"/>
            <w:shd w:val="clear" w:color="auto" w:fill="auto"/>
          </w:tcPr>
          <w:p w14:paraId="7151A854" w14:textId="77777777" w:rsidR="00C04A89" w:rsidRPr="00B35A22" w:rsidRDefault="00C04A89" w:rsidP="00B35A22">
            <w:pPr>
              <w:widowControl w:val="0"/>
              <w:tabs>
                <w:tab w:val="left" w:pos="284"/>
              </w:tabs>
              <w:jc w:val="center"/>
              <w:rPr>
                <w:sz w:val="20"/>
                <w:lang w:val="sr-Latn-ME"/>
              </w:rPr>
            </w:pPr>
            <w:r w:rsidRPr="00B35A22">
              <w:rPr>
                <w:sz w:val="20"/>
                <w:lang w:val="sr-Latn-ME"/>
              </w:rPr>
              <w:t>(51,4; 61,4)</w:t>
            </w:r>
          </w:p>
        </w:tc>
        <w:tc>
          <w:tcPr>
            <w:tcW w:w="786" w:type="pct"/>
            <w:shd w:val="clear" w:color="auto" w:fill="auto"/>
          </w:tcPr>
          <w:p w14:paraId="64B37FC5" w14:textId="77777777" w:rsidR="00C04A89" w:rsidRPr="00B35A22" w:rsidRDefault="00C04A89" w:rsidP="00B35A22">
            <w:pPr>
              <w:widowControl w:val="0"/>
              <w:tabs>
                <w:tab w:val="left" w:pos="284"/>
              </w:tabs>
              <w:jc w:val="center"/>
              <w:rPr>
                <w:sz w:val="20"/>
                <w:lang w:val="sr-Latn-ME"/>
              </w:rPr>
            </w:pPr>
            <w:r w:rsidRPr="00B35A22">
              <w:rPr>
                <w:sz w:val="20"/>
                <w:lang w:val="sr-Latn-ME"/>
              </w:rPr>
              <w:t>(35,3; 45,2)</w:t>
            </w:r>
          </w:p>
        </w:tc>
      </w:tr>
      <w:tr w:rsidR="00C04A89" w:rsidRPr="00B35A22" w14:paraId="083D8E3D" w14:textId="77777777" w:rsidTr="0065270B">
        <w:tc>
          <w:tcPr>
            <w:tcW w:w="1792" w:type="pct"/>
            <w:shd w:val="clear" w:color="auto" w:fill="auto"/>
          </w:tcPr>
          <w:p w14:paraId="1EBEEE3E" w14:textId="77777777" w:rsidR="00C04A89" w:rsidRPr="00B35A22" w:rsidRDefault="00C04A89" w:rsidP="00B35A22">
            <w:pPr>
              <w:widowControl w:val="0"/>
              <w:tabs>
                <w:tab w:val="left" w:pos="284"/>
              </w:tabs>
              <w:jc w:val="both"/>
              <w:rPr>
                <w:sz w:val="20"/>
                <w:lang w:val="sr-Latn-ME"/>
              </w:rPr>
            </w:pPr>
            <w:r w:rsidRPr="00B35A22">
              <w:rPr>
                <w:sz w:val="20"/>
                <w:lang w:val="sr-Latn-ME"/>
              </w:rPr>
              <w:t>Broj pacijenata sa potpunim odgovorom (%)</w:t>
            </w:r>
          </w:p>
        </w:tc>
        <w:tc>
          <w:tcPr>
            <w:tcW w:w="1211" w:type="pct"/>
          </w:tcPr>
          <w:p w14:paraId="1DC6853C" w14:textId="77777777" w:rsidR="00C04A89" w:rsidRPr="00B35A22" w:rsidRDefault="00C04A89" w:rsidP="00B35A22">
            <w:pPr>
              <w:widowControl w:val="0"/>
              <w:tabs>
                <w:tab w:val="left" w:pos="284"/>
              </w:tabs>
              <w:jc w:val="center"/>
              <w:rPr>
                <w:sz w:val="20"/>
                <w:lang w:val="sr-Latn-ME"/>
              </w:rPr>
            </w:pPr>
            <w:r w:rsidRPr="00B35A22">
              <w:rPr>
                <w:sz w:val="20"/>
                <w:lang w:val="sr-Latn-ME"/>
              </w:rPr>
              <w:t>8 (2,0%)</w:t>
            </w:r>
          </w:p>
        </w:tc>
        <w:tc>
          <w:tcPr>
            <w:tcW w:w="1211" w:type="pct"/>
            <w:shd w:val="clear" w:color="auto" w:fill="auto"/>
          </w:tcPr>
          <w:p w14:paraId="63F217ED" w14:textId="77777777" w:rsidR="00C04A89" w:rsidRPr="00B35A22" w:rsidRDefault="00C04A89" w:rsidP="00B35A22">
            <w:pPr>
              <w:widowControl w:val="0"/>
              <w:tabs>
                <w:tab w:val="left" w:pos="284"/>
              </w:tabs>
              <w:jc w:val="center"/>
              <w:rPr>
                <w:sz w:val="20"/>
                <w:lang w:val="sr-Latn-ME"/>
              </w:rPr>
            </w:pPr>
            <w:r w:rsidRPr="00B35A22">
              <w:rPr>
                <w:sz w:val="20"/>
                <w:lang w:val="sr-Latn-ME"/>
              </w:rPr>
              <w:t>11 (2,8%)</w:t>
            </w:r>
          </w:p>
        </w:tc>
        <w:tc>
          <w:tcPr>
            <w:tcW w:w="786" w:type="pct"/>
            <w:shd w:val="clear" w:color="auto" w:fill="auto"/>
          </w:tcPr>
          <w:p w14:paraId="598CC3BA" w14:textId="77777777" w:rsidR="00C04A89" w:rsidRPr="00B35A22" w:rsidRDefault="00C04A89" w:rsidP="00B35A22">
            <w:pPr>
              <w:widowControl w:val="0"/>
              <w:tabs>
                <w:tab w:val="left" w:pos="284"/>
              </w:tabs>
              <w:jc w:val="center"/>
              <w:rPr>
                <w:sz w:val="20"/>
                <w:lang w:val="sr-Latn-ME"/>
              </w:rPr>
            </w:pPr>
            <w:r w:rsidRPr="00B35A22">
              <w:rPr>
                <w:sz w:val="20"/>
                <w:lang w:val="sr-Latn-ME"/>
              </w:rPr>
              <w:t>3 (0,8%)</w:t>
            </w:r>
          </w:p>
        </w:tc>
      </w:tr>
      <w:tr w:rsidR="00C04A89" w:rsidRPr="00B35A22" w14:paraId="51302DED" w14:textId="77777777" w:rsidTr="0065270B">
        <w:tc>
          <w:tcPr>
            <w:tcW w:w="1792" w:type="pct"/>
            <w:shd w:val="clear" w:color="auto" w:fill="auto"/>
          </w:tcPr>
          <w:p w14:paraId="3C868191" w14:textId="19E98491" w:rsidR="00C04A89" w:rsidRPr="00B35A22" w:rsidRDefault="00C04A89" w:rsidP="00B35A22">
            <w:pPr>
              <w:widowControl w:val="0"/>
              <w:tabs>
                <w:tab w:val="left" w:pos="284"/>
              </w:tabs>
              <w:jc w:val="both"/>
              <w:rPr>
                <w:sz w:val="20"/>
                <w:lang w:val="sr-Latn-ME"/>
              </w:rPr>
            </w:pPr>
            <w:r w:rsidRPr="00B35A22">
              <w:rPr>
                <w:sz w:val="20"/>
                <w:lang w:val="sr-Latn-ME"/>
              </w:rPr>
              <w:t>Broj pacijenata sa d</w:t>
            </w:r>
            <w:r w:rsidR="00DC261A" w:rsidRPr="00B35A22">
              <w:rPr>
                <w:sz w:val="20"/>
                <w:lang w:val="sr-Latn-ME"/>
              </w:rPr>
              <w:t>j</w:t>
            </w:r>
            <w:r w:rsidRPr="00B35A22">
              <w:rPr>
                <w:sz w:val="20"/>
                <w:lang w:val="sr-Latn-ME"/>
              </w:rPr>
              <w:t>elimičnim odgovorom (%)</w:t>
            </w:r>
          </w:p>
        </w:tc>
        <w:tc>
          <w:tcPr>
            <w:tcW w:w="1211" w:type="pct"/>
          </w:tcPr>
          <w:p w14:paraId="0F25757D" w14:textId="77777777" w:rsidR="00C04A89" w:rsidRPr="00B35A22" w:rsidRDefault="00C04A89" w:rsidP="00B35A22">
            <w:pPr>
              <w:widowControl w:val="0"/>
              <w:tabs>
                <w:tab w:val="left" w:pos="284"/>
              </w:tabs>
              <w:jc w:val="center"/>
              <w:rPr>
                <w:sz w:val="20"/>
                <w:lang w:val="sr-Latn-ME"/>
              </w:rPr>
            </w:pPr>
            <w:r w:rsidRPr="00B35A22">
              <w:rPr>
                <w:sz w:val="20"/>
                <w:lang w:val="sr-Latn-ME"/>
              </w:rPr>
              <w:t>155 (38,7%)</w:t>
            </w:r>
          </w:p>
        </w:tc>
        <w:tc>
          <w:tcPr>
            <w:tcW w:w="1211" w:type="pct"/>
            <w:shd w:val="clear" w:color="auto" w:fill="auto"/>
          </w:tcPr>
          <w:p w14:paraId="2B18FFC6" w14:textId="77777777" w:rsidR="00C04A89" w:rsidRPr="00B35A22" w:rsidRDefault="00C04A89" w:rsidP="00B35A22">
            <w:pPr>
              <w:widowControl w:val="0"/>
              <w:tabs>
                <w:tab w:val="left" w:pos="284"/>
              </w:tabs>
              <w:jc w:val="center"/>
              <w:rPr>
                <w:sz w:val="20"/>
                <w:lang w:val="sr-Latn-ME"/>
              </w:rPr>
            </w:pPr>
            <w:r w:rsidRPr="00B35A22">
              <w:rPr>
                <w:sz w:val="20"/>
                <w:lang w:val="sr-Latn-ME"/>
              </w:rPr>
              <w:t>213 (53,7%)</w:t>
            </w:r>
          </w:p>
        </w:tc>
        <w:tc>
          <w:tcPr>
            <w:tcW w:w="786" w:type="pct"/>
            <w:shd w:val="clear" w:color="auto" w:fill="auto"/>
          </w:tcPr>
          <w:p w14:paraId="79190DB7" w14:textId="77777777" w:rsidR="00C04A89" w:rsidRPr="00B35A22" w:rsidRDefault="00C04A89" w:rsidP="00B35A22">
            <w:pPr>
              <w:widowControl w:val="0"/>
              <w:tabs>
                <w:tab w:val="left" w:pos="284"/>
              </w:tabs>
              <w:jc w:val="center"/>
              <w:rPr>
                <w:sz w:val="20"/>
                <w:lang w:val="sr-Latn-ME"/>
              </w:rPr>
            </w:pPr>
            <w:r w:rsidRPr="00B35A22">
              <w:rPr>
                <w:sz w:val="20"/>
                <w:lang w:val="sr-Latn-ME"/>
              </w:rPr>
              <w:t>155 (39,4%)</w:t>
            </w:r>
          </w:p>
        </w:tc>
      </w:tr>
      <w:tr w:rsidR="00C04A89" w:rsidRPr="00B35A22" w14:paraId="111EF319" w14:textId="77777777" w:rsidTr="0065270B">
        <w:tc>
          <w:tcPr>
            <w:tcW w:w="1792" w:type="pct"/>
            <w:tcBorders>
              <w:top w:val="single" w:sz="4" w:space="0" w:color="auto"/>
              <w:bottom w:val="nil"/>
            </w:tcBorders>
            <w:shd w:val="clear" w:color="auto" w:fill="auto"/>
          </w:tcPr>
          <w:p w14:paraId="405EAE18" w14:textId="15D559E4" w:rsidR="00C04A89" w:rsidRPr="00B35A22" w:rsidRDefault="00C04A89" w:rsidP="00B35A22">
            <w:pPr>
              <w:widowControl w:val="0"/>
              <w:tabs>
                <w:tab w:val="left" w:pos="284"/>
              </w:tabs>
              <w:jc w:val="both"/>
              <w:rPr>
                <w:rFonts w:ascii="Calibri" w:hAnsi="Calibri"/>
                <w:sz w:val="20"/>
                <w:lang w:val="sr-Latn-ME"/>
              </w:rPr>
            </w:pPr>
            <w:r w:rsidRPr="00B35A22">
              <w:rPr>
                <w:b/>
                <w:i/>
                <w:sz w:val="20"/>
                <w:lang w:val="sr-Latn-ME"/>
              </w:rPr>
              <w:t>Trajanje odgovora prema oc</w:t>
            </w:r>
            <w:r w:rsidR="00042108" w:rsidRPr="00B35A22">
              <w:rPr>
                <w:b/>
                <w:i/>
                <w:sz w:val="20"/>
                <w:lang w:val="sr-Latn-ME"/>
              </w:rPr>
              <w:t>j</w:t>
            </w:r>
            <w:r w:rsidRPr="00B35A22">
              <w:rPr>
                <w:b/>
                <w:i/>
                <w:sz w:val="20"/>
                <w:lang w:val="sr-Latn-ME"/>
              </w:rPr>
              <w:t>eni istraživača* (RECIST v1.1)</w:t>
            </w:r>
          </w:p>
        </w:tc>
        <w:tc>
          <w:tcPr>
            <w:tcW w:w="1211" w:type="pct"/>
            <w:tcBorders>
              <w:top w:val="single" w:sz="4" w:space="0" w:color="auto"/>
              <w:bottom w:val="nil"/>
            </w:tcBorders>
          </w:tcPr>
          <w:p w14:paraId="0B49B620" w14:textId="77777777" w:rsidR="00C04A89" w:rsidRPr="00B35A22" w:rsidRDefault="00C04A89" w:rsidP="00B35A22">
            <w:pPr>
              <w:widowControl w:val="0"/>
              <w:tabs>
                <w:tab w:val="left" w:pos="284"/>
              </w:tabs>
              <w:jc w:val="center"/>
              <w:rPr>
                <w:sz w:val="20"/>
                <w:lang w:val="sr-Latn-ME"/>
              </w:rPr>
            </w:pPr>
            <w:r w:rsidRPr="00B35A22">
              <w:rPr>
                <w:sz w:val="20"/>
                <w:lang w:val="sr-Latn-ME"/>
              </w:rPr>
              <w:t>n = 163</w:t>
            </w:r>
          </w:p>
        </w:tc>
        <w:tc>
          <w:tcPr>
            <w:tcW w:w="1211" w:type="pct"/>
            <w:tcBorders>
              <w:top w:val="single" w:sz="4" w:space="0" w:color="auto"/>
              <w:bottom w:val="nil"/>
            </w:tcBorders>
            <w:shd w:val="clear" w:color="auto" w:fill="auto"/>
          </w:tcPr>
          <w:p w14:paraId="25DC9037" w14:textId="77777777" w:rsidR="00C04A89" w:rsidRPr="00B35A22" w:rsidRDefault="00C04A89" w:rsidP="00B35A22">
            <w:pPr>
              <w:widowControl w:val="0"/>
              <w:tabs>
                <w:tab w:val="left" w:pos="284"/>
              </w:tabs>
              <w:jc w:val="center"/>
              <w:rPr>
                <w:rFonts w:ascii="Calibri" w:hAnsi="Calibri"/>
                <w:sz w:val="20"/>
                <w:lang w:val="sr-Latn-ME"/>
              </w:rPr>
            </w:pPr>
            <w:r w:rsidRPr="00B35A22">
              <w:rPr>
                <w:sz w:val="20"/>
                <w:lang w:val="sr-Latn-ME"/>
              </w:rPr>
              <w:t>n = 224</w:t>
            </w:r>
          </w:p>
        </w:tc>
        <w:tc>
          <w:tcPr>
            <w:tcW w:w="786" w:type="pct"/>
            <w:tcBorders>
              <w:top w:val="single" w:sz="4" w:space="0" w:color="auto"/>
              <w:bottom w:val="nil"/>
            </w:tcBorders>
            <w:shd w:val="clear" w:color="auto" w:fill="auto"/>
          </w:tcPr>
          <w:p w14:paraId="1995565D" w14:textId="77777777" w:rsidR="00C04A89" w:rsidRPr="00B35A22" w:rsidRDefault="00C04A89" w:rsidP="00B35A22">
            <w:pPr>
              <w:widowControl w:val="0"/>
              <w:tabs>
                <w:tab w:val="left" w:pos="284"/>
              </w:tabs>
              <w:jc w:val="center"/>
              <w:rPr>
                <w:rFonts w:ascii="Calibri" w:hAnsi="Calibri"/>
                <w:sz w:val="20"/>
                <w:lang w:val="sr-Latn-ME"/>
              </w:rPr>
            </w:pPr>
            <w:r w:rsidRPr="00B35A22">
              <w:rPr>
                <w:sz w:val="20"/>
                <w:lang w:val="sr-Latn-ME"/>
              </w:rPr>
              <w:t>n = 158</w:t>
            </w:r>
          </w:p>
        </w:tc>
      </w:tr>
      <w:tr w:rsidR="00C04A89" w:rsidRPr="00B35A22" w14:paraId="40453187" w14:textId="77777777" w:rsidTr="0065270B">
        <w:tc>
          <w:tcPr>
            <w:tcW w:w="1792" w:type="pct"/>
            <w:tcBorders>
              <w:top w:val="nil"/>
            </w:tcBorders>
            <w:shd w:val="clear" w:color="auto" w:fill="auto"/>
          </w:tcPr>
          <w:p w14:paraId="6B60BA3B" w14:textId="4186C42A" w:rsidR="00C04A89" w:rsidRPr="00B35A22" w:rsidRDefault="00C04A89" w:rsidP="00B35A22">
            <w:pPr>
              <w:widowControl w:val="0"/>
              <w:tabs>
                <w:tab w:val="left" w:pos="284"/>
              </w:tabs>
              <w:jc w:val="both"/>
              <w:rPr>
                <w:rFonts w:ascii="Calibri" w:hAnsi="Calibri"/>
                <w:sz w:val="20"/>
                <w:lang w:val="sr-Latn-ME"/>
              </w:rPr>
            </w:pPr>
            <w:r w:rsidRPr="00B35A22">
              <w:rPr>
                <w:sz w:val="20"/>
                <w:lang w:val="sr-Latn-ME"/>
              </w:rPr>
              <w:t>Medijana u m</w:t>
            </w:r>
            <w:r w:rsidR="003E771E" w:rsidRPr="00B35A22">
              <w:rPr>
                <w:sz w:val="20"/>
                <w:lang w:val="sr-Latn-ME"/>
              </w:rPr>
              <w:t>j</w:t>
            </w:r>
            <w:r w:rsidRPr="00B35A22">
              <w:rPr>
                <w:sz w:val="20"/>
                <w:lang w:val="sr-Latn-ME"/>
              </w:rPr>
              <w:t>esecima</w:t>
            </w:r>
          </w:p>
        </w:tc>
        <w:tc>
          <w:tcPr>
            <w:tcW w:w="1211" w:type="pct"/>
            <w:tcBorders>
              <w:top w:val="nil"/>
            </w:tcBorders>
          </w:tcPr>
          <w:p w14:paraId="78D55374" w14:textId="77777777" w:rsidR="00C04A89" w:rsidRPr="00B35A22" w:rsidRDefault="00C04A89" w:rsidP="00B35A22">
            <w:pPr>
              <w:widowControl w:val="0"/>
              <w:tabs>
                <w:tab w:val="left" w:pos="284"/>
              </w:tabs>
              <w:jc w:val="center"/>
              <w:rPr>
                <w:sz w:val="20"/>
                <w:lang w:val="sr-Latn-ME"/>
              </w:rPr>
            </w:pPr>
            <w:r w:rsidRPr="00B35A22">
              <w:rPr>
                <w:sz w:val="20"/>
                <w:lang w:val="sr-Latn-ME"/>
              </w:rPr>
              <w:t>8,3</w:t>
            </w:r>
          </w:p>
        </w:tc>
        <w:tc>
          <w:tcPr>
            <w:tcW w:w="1211" w:type="pct"/>
            <w:tcBorders>
              <w:top w:val="nil"/>
            </w:tcBorders>
            <w:shd w:val="clear" w:color="auto" w:fill="auto"/>
          </w:tcPr>
          <w:p w14:paraId="2AEF8A3E" w14:textId="77777777" w:rsidR="00C04A89" w:rsidRPr="00B35A22" w:rsidRDefault="00C04A89" w:rsidP="00B35A22">
            <w:pPr>
              <w:widowControl w:val="0"/>
              <w:tabs>
                <w:tab w:val="left" w:pos="284"/>
              </w:tabs>
              <w:jc w:val="center"/>
              <w:rPr>
                <w:sz w:val="20"/>
                <w:lang w:val="sr-Latn-ME"/>
              </w:rPr>
            </w:pPr>
            <w:r w:rsidRPr="00B35A22">
              <w:rPr>
                <w:sz w:val="20"/>
                <w:lang w:val="sr-Latn-ME"/>
              </w:rPr>
              <w:t>11,5</w:t>
            </w:r>
          </w:p>
        </w:tc>
        <w:tc>
          <w:tcPr>
            <w:tcW w:w="786" w:type="pct"/>
            <w:tcBorders>
              <w:top w:val="nil"/>
            </w:tcBorders>
            <w:shd w:val="clear" w:color="auto" w:fill="auto"/>
          </w:tcPr>
          <w:p w14:paraId="4297452A" w14:textId="77777777" w:rsidR="00C04A89" w:rsidRPr="00B35A22" w:rsidRDefault="00C04A89" w:rsidP="00B35A22">
            <w:pPr>
              <w:widowControl w:val="0"/>
              <w:tabs>
                <w:tab w:val="left" w:pos="284"/>
              </w:tabs>
              <w:jc w:val="center"/>
              <w:rPr>
                <w:rFonts w:ascii="Calibri" w:hAnsi="Calibri"/>
                <w:sz w:val="20"/>
                <w:lang w:val="sr-Latn-ME"/>
              </w:rPr>
            </w:pPr>
            <w:r w:rsidRPr="00B35A22">
              <w:rPr>
                <w:sz w:val="20"/>
                <w:lang w:val="sr-Latn-ME"/>
              </w:rPr>
              <w:t>6,0</w:t>
            </w:r>
          </w:p>
        </w:tc>
      </w:tr>
      <w:tr w:rsidR="00C04A89" w:rsidRPr="00B35A22" w14:paraId="0ECC54BB" w14:textId="77777777" w:rsidTr="0065270B">
        <w:tc>
          <w:tcPr>
            <w:tcW w:w="1792" w:type="pct"/>
            <w:shd w:val="clear" w:color="auto" w:fill="auto"/>
          </w:tcPr>
          <w:p w14:paraId="3989D6A5" w14:textId="77777777" w:rsidR="00C04A89" w:rsidRPr="00B35A22" w:rsidRDefault="00C04A89" w:rsidP="00B35A22">
            <w:pPr>
              <w:widowControl w:val="0"/>
              <w:tabs>
                <w:tab w:val="left" w:pos="284"/>
              </w:tabs>
              <w:jc w:val="both"/>
              <w:rPr>
                <w:rFonts w:ascii="Calibri" w:hAnsi="Calibri"/>
                <w:sz w:val="20"/>
                <w:lang w:val="sr-Latn-ME"/>
              </w:rPr>
            </w:pPr>
            <w:r w:rsidRPr="00B35A22">
              <w:rPr>
                <w:sz w:val="20"/>
                <w:lang w:val="sr-Latn-ME"/>
              </w:rPr>
              <w:t>95% CI</w:t>
            </w:r>
          </w:p>
        </w:tc>
        <w:tc>
          <w:tcPr>
            <w:tcW w:w="1211" w:type="pct"/>
          </w:tcPr>
          <w:p w14:paraId="77FC402B" w14:textId="77777777" w:rsidR="00C04A89" w:rsidRPr="00B35A22" w:rsidRDefault="00C04A89" w:rsidP="00B35A22">
            <w:pPr>
              <w:widowControl w:val="0"/>
              <w:tabs>
                <w:tab w:val="left" w:pos="284"/>
              </w:tabs>
              <w:jc w:val="center"/>
              <w:rPr>
                <w:sz w:val="20"/>
                <w:lang w:val="sr-Latn-ME"/>
              </w:rPr>
            </w:pPr>
            <w:r w:rsidRPr="00B35A22">
              <w:rPr>
                <w:sz w:val="20"/>
                <w:lang w:val="sr-Latn-ME"/>
              </w:rPr>
              <w:t>(7,1; 11,8)</w:t>
            </w:r>
          </w:p>
        </w:tc>
        <w:tc>
          <w:tcPr>
            <w:tcW w:w="1211" w:type="pct"/>
            <w:shd w:val="clear" w:color="auto" w:fill="auto"/>
          </w:tcPr>
          <w:p w14:paraId="2336B5B9" w14:textId="77777777" w:rsidR="00C04A89" w:rsidRPr="00B35A22" w:rsidRDefault="00C04A89" w:rsidP="00B35A22">
            <w:pPr>
              <w:widowControl w:val="0"/>
              <w:tabs>
                <w:tab w:val="left" w:pos="284"/>
              </w:tabs>
              <w:jc w:val="center"/>
              <w:rPr>
                <w:rFonts w:ascii="Calibri" w:hAnsi="Calibri"/>
                <w:sz w:val="20"/>
                <w:lang w:val="sr-Latn-ME"/>
              </w:rPr>
            </w:pPr>
            <w:r w:rsidRPr="00B35A22">
              <w:rPr>
                <w:sz w:val="20"/>
                <w:lang w:val="sr-Latn-ME"/>
              </w:rPr>
              <w:t>(8,9; 15,7)</w:t>
            </w:r>
          </w:p>
        </w:tc>
        <w:tc>
          <w:tcPr>
            <w:tcW w:w="786" w:type="pct"/>
            <w:shd w:val="clear" w:color="auto" w:fill="auto"/>
          </w:tcPr>
          <w:p w14:paraId="04E636AE" w14:textId="77777777" w:rsidR="00C04A89" w:rsidRPr="00B35A22" w:rsidRDefault="00C04A89" w:rsidP="00B35A22">
            <w:pPr>
              <w:widowControl w:val="0"/>
              <w:tabs>
                <w:tab w:val="left" w:pos="284"/>
              </w:tabs>
              <w:jc w:val="center"/>
              <w:rPr>
                <w:rFonts w:ascii="Calibri" w:hAnsi="Calibri"/>
                <w:sz w:val="20"/>
                <w:lang w:val="sr-Latn-ME"/>
              </w:rPr>
            </w:pPr>
            <w:r w:rsidRPr="00B35A22">
              <w:rPr>
                <w:sz w:val="20"/>
                <w:lang w:val="sr-Latn-ME"/>
              </w:rPr>
              <w:t>(5,5; 6,9)</w:t>
            </w:r>
          </w:p>
        </w:tc>
      </w:tr>
    </w:tbl>
    <w:p w14:paraId="4FDB4128" w14:textId="089ACA74" w:rsidR="00C04A89" w:rsidRPr="00B35A22" w:rsidRDefault="00C04A89" w:rsidP="00B35A22">
      <w:pPr>
        <w:widowControl w:val="0"/>
        <w:tabs>
          <w:tab w:val="left" w:pos="284"/>
        </w:tabs>
        <w:ind w:left="142"/>
        <w:jc w:val="both"/>
        <w:rPr>
          <w:sz w:val="20"/>
          <w:vertAlign w:val="superscript"/>
          <w:lang w:val="sr-Latn-ME"/>
        </w:rPr>
      </w:pPr>
      <w:r w:rsidRPr="00B35A22">
        <w:rPr>
          <w:sz w:val="20"/>
          <w:vertAlign w:val="superscript"/>
          <w:lang w:val="sr-Latn-ME"/>
        </w:rPr>
        <w:t>#</w:t>
      </w:r>
      <w:r w:rsidRPr="00B35A22">
        <w:rPr>
          <w:sz w:val="20"/>
          <w:lang w:val="sr-Latn-ME"/>
        </w:rPr>
        <w:t>Primarne m</w:t>
      </w:r>
      <w:r w:rsidR="00042108" w:rsidRPr="00B35A22">
        <w:rPr>
          <w:sz w:val="20"/>
          <w:lang w:val="sr-Latn-ME"/>
        </w:rPr>
        <w:t>j</w:t>
      </w:r>
      <w:r w:rsidRPr="00B35A22">
        <w:rPr>
          <w:sz w:val="20"/>
          <w:lang w:val="sr-Latn-ME"/>
        </w:rPr>
        <w:t xml:space="preserve">ere ishoda za efikasnost bile su PFS i OS koji su analizirani u ITT populaciji divljeg tipa (engl. </w:t>
      </w:r>
      <w:r w:rsidRPr="00B35A22">
        <w:rPr>
          <w:i/>
          <w:sz w:val="20"/>
          <w:lang w:val="sr-Latn-ME"/>
        </w:rPr>
        <w:t>wild-type</w:t>
      </w:r>
      <w:r w:rsidRPr="00B35A22">
        <w:rPr>
          <w:sz w:val="20"/>
          <w:lang w:val="sr-Latn-ME"/>
        </w:rPr>
        <w:t>, WT), odnosno populaciji koja ne uključuje pacijente sa EGFR mutacijama ili prom</w:t>
      </w:r>
      <w:r w:rsidR="00042108" w:rsidRPr="00B35A22">
        <w:rPr>
          <w:sz w:val="20"/>
          <w:lang w:val="sr-Latn-ME"/>
        </w:rPr>
        <w:t>j</w:t>
      </w:r>
      <w:r w:rsidRPr="00B35A22">
        <w:rPr>
          <w:sz w:val="20"/>
          <w:lang w:val="sr-Latn-ME"/>
        </w:rPr>
        <w:t>enama u redosl</w:t>
      </w:r>
      <w:r w:rsidR="00042108" w:rsidRPr="00B35A22">
        <w:rPr>
          <w:sz w:val="20"/>
          <w:lang w:val="sr-Latn-ME"/>
        </w:rPr>
        <w:t>j</w:t>
      </w:r>
      <w:r w:rsidRPr="00B35A22">
        <w:rPr>
          <w:sz w:val="20"/>
          <w:lang w:val="sr-Latn-ME"/>
        </w:rPr>
        <w:t>edu baza u genu ALK.</w:t>
      </w:r>
    </w:p>
    <w:p w14:paraId="295F705A" w14:textId="77777777" w:rsidR="00C04A89" w:rsidRPr="00B35A22" w:rsidRDefault="00C04A89" w:rsidP="00B35A22">
      <w:pPr>
        <w:widowControl w:val="0"/>
        <w:tabs>
          <w:tab w:val="left" w:pos="284"/>
        </w:tabs>
        <w:ind w:left="142"/>
        <w:jc w:val="both"/>
        <w:rPr>
          <w:sz w:val="20"/>
          <w:lang w:val="sr-Latn-ME"/>
        </w:rPr>
      </w:pPr>
      <w:r w:rsidRPr="00B35A22">
        <w:rPr>
          <w:sz w:val="20"/>
          <w:vertAlign w:val="superscript"/>
          <w:lang w:val="sr-Latn-ME"/>
        </w:rPr>
        <w:t>1</w:t>
      </w:r>
      <w:r w:rsidRPr="00B35A22">
        <w:rPr>
          <w:sz w:val="20"/>
          <w:lang w:val="sr-Latn-ME"/>
        </w:rPr>
        <w:t>Na osnovu stratifikovanog log</w:t>
      </w:r>
      <w:r w:rsidRPr="00B35A22">
        <w:rPr>
          <w:sz w:val="20"/>
          <w:lang w:val="sr-Latn-ME"/>
        </w:rPr>
        <w:noBreakHyphen/>
        <w:t>rang testa</w:t>
      </w:r>
    </w:p>
    <w:p w14:paraId="4D65F7D9" w14:textId="5DC63D4E" w:rsidR="00C04A89" w:rsidRPr="00B35A22" w:rsidRDefault="00C04A89" w:rsidP="00B35A22">
      <w:pPr>
        <w:widowControl w:val="0"/>
        <w:tabs>
          <w:tab w:val="left" w:pos="284"/>
        </w:tabs>
        <w:ind w:left="142"/>
        <w:jc w:val="both"/>
        <w:rPr>
          <w:sz w:val="20"/>
          <w:lang w:val="sr-Latn-ME"/>
        </w:rPr>
      </w:pPr>
      <w:r w:rsidRPr="00B35A22">
        <w:rPr>
          <w:sz w:val="20"/>
          <w:vertAlign w:val="superscript"/>
          <w:lang w:val="sr-Latn-ME"/>
        </w:rPr>
        <w:t>2</w:t>
      </w:r>
      <w:r w:rsidRPr="00B35A22">
        <w:rPr>
          <w:sz w:val="20"/>
          <w:shd w:val="clear" w:color="auto" w:fill="FFFFFF"/>
          <w:lang w:val="sr-Latn-ME"/>
        </w:rPr>
        <w:t>Samo u informativne svrhe; poređenja između grupe B i grupe C, kao i između grupe A i grupe C u ITT populaciji ni</w:t>
      </w:r>
      <w:r w:rsidR="00DC261A" w:rsidRPr="00B35A22">
        <w:rPr>
          <w:sz w:val="20"/>
          <w:shd w:val="clear" w:color="auto" w:fill="FFFFFF"/>
          <w:lang w:val="sr-Latn-ME"/>
        </w:rPr>
        <w:t>je</w:t>
      </w:r>
      <w:r w:rsidRPr="00B35A22">
        <w:rPr>
          <w:sz w:val="20"/>
          <w:shd w:val="clear" w:color="auto" w:fill="FFFFFF"/>
          <w:lang w:val="sr-Latn-ME"/>
        </w:rPr>
        <w:t>su još bila formalno testirana prema unapr</w:t>
      </w:r>
      <w:r w:rsidR="00DC261A" w:rsidRPr="00B35A22">
        <w:rPr>
          <w:sz w:val="20"/>
          <w:shd w:val="clear" w:color="auto" w:fill="FFFFFF"/>
          <w:lang w:val="sr-Latn-ME"/>
        </w:rPr>
        <w:t>ij</w:t>
      </w:r>
      <w:r w:rsidRPr="00B35A22">
        <w:rPr>
          <w:sz w:val="20"/>
          <w:shd w:val="clear" w:color="auto" w:fill="FFFFFF"/>
          <w:lang w:val="sr-Latn-ME"/>
        </w:rPr>
        <w:t>ed specifi</w:t>
      </w:r>
      <w:r w:rsidR="00DC261A" w:rsidRPr="00B35A22">
        <w:rPr>
          <w:sz w:val="20"/>
          <w:shd w:val="clear" w:color="auto" w:fill="FFFFFF"/>
          <w:lang w:val="sr-Latn-ME"/>
        </w:rPr>
        <w:t>kovanoj</w:t>
      </w:r>
      <w:r w:rsidRPr="00B35A22">
        <w:rPr>
          <w:sz w:val="20"/>
          <w:shd w:val="clear" w:color="auto" w:fill="FFFFFF"/>
          <w:lang w:val="sr-Latn-ME"/>
        </w:rPr>
        <w:t xml:space="preserve"> </w:t>
      </w:r>
      <w:r w:rsidRPr="00B35A22">
        <w:rPr>
          <w:sz w:val="20"/>
          <w:lang w:val="sr-Latn-ME"/>
        </w:rPr>
        <w:t>hijerarhijskoj analizi</w:t>
      </w:r>
    </w:p>
    <w:p w14:paraId="5BE220CA" w14:textId="0E26764F" w:rsidR="00C04A89" w:rsidRPr="00B35A22" w:rsidRDefault="00C04A89" w:rsidP="00B35A22">
      <w:pPr>
        <w:widowControl w:val="0"/>
        <w:tabs>
          <w:tab w:val="left" w:pos="284"/>
        </w:tabs>
        <w:ind w:left="142"/>
        <w:jc w:val="both"/>
        <w:rPr>
          <w:sz w:val="20"/>
          <w:lang w:val="sr-Latn-ME"/>
        </w:rPr>
      </w:pPr>
      <w:r w:rsidRPr="00B35A22">
        <w:rPr>
          <w:sz w:val="20"/>
          <w:vertAlign w:val="superscript"/>
          <w:lang w:val="sr-Latn-ME"/>
        </w:rPr>
        <w:t>3</w:t>
      </w:r>
      <w:r w:rsidRPr="00B35A22">
        <w:rPr>
          <w:sz w:val="20"/>
          <w:lang w:val="sr-Latn-ME"/>
        </w:rPr>
        <w:t>Ukupan najbolji odgovor za potpuni odgovor i d</w:t>
      </w:r>
      <w:r w:rsidR="003E771E" w:rsidRPr="00B35A22">
        <w:rPr>
          <w:sz w:val="20"/>
          <w:lang w:val="sr-Latn-ME"/>
        </w:rPr>
        <w:t>j</w:t>
      </w:r>
      <w:r w:rsidRPr="00B35A22">
        <w:rPr>
          <w:sz w:val="20"/>
          <w:lang w:val="sr-Latn-ME"/>
        </w:rPr>
        <w:t>elimičan odgovor</w:t>
      </w:r>
    </w:p>
    <w:p w14:paraId="0D10C0E0" w14:textId="77777777" w:rsidR="00C04A89" w:rsidRPr="00B35A22" w:rsidRDefault="00C04A89" w:rsidP="00B35A22">
      <w:pPr>
        <w:widowControl w:val="0"/>
        <w:tabs>
          <w:tab w:val="left" w:pos="284"/>
        </w:tabs>
        <w:ind w:left="142"/>
        <w:jc w:val="both"/>
        <w:rPr>
          <w:sz w:val="20"/>
          <w:lang w:val="sr-Latn-ME"/>
        </w:rPr>
      </w:pPr>
      <w:r w:rsidRPr="00B35A22">
        <w:rPr>
          <w:sz w:val="20"/>
          <w:vertAlign w:val="superscript"/>
          <w:lang w:val="sr-Latn-ME"/>
        </w:rPr>
        <w:t xml:space="preserve">‡ </w:t>
      </w:r>
      <w:r w:rsidRPr="00B35A22">
        <w:rPr>
          <w:sz w:val="20"/>
          <w:lang w:val="sr-Latn-ME"/>
        </w:rPr>
        <w:t>Stratifikovano prema polu, prisutnosti jetrenih metastaza i tumorskoj PD</w:t>
      </w:r>
      <w:r w:rsidRPr="00B35A22">
        <w:rPr>
          <w:sz w:val="20"/>
          <w:lang w:val="sr-Latn-ME"/>
        </w:rPr>
        <w:noBreakHyphen/>
        <w:t>L1</w:t>
      </w:r>
      <w:r w:rsidRPr="00B35A22">
        <w:rPr>
          <w:sz w:val="22"/>
          <w:lang w:val="sr-Latn-ME"/>
        </w:rPr>
        <w:t xml:space="preserve"> </w:t>
      </w:r>
      <w:r w:rsidRPr="00B35A22">
        <w:rPr>
          <w:sz w:val="20"/>
          <w:lang w:val="sr-Latn-ME"/>
        </w:rPr>
        <w:t xml:space="preserve">ekspresiji na tumorskim ćelijama </w:t>
      </w:r>
      <w:r w:rsidRPr="00B35A22">
        <w:rPr>
          <w:sz w:val="20"/>
          <w:lang w:val="sr-Latn-ME"/>
        </w:rPr>
        <w:lastRenderedPageBreak/>
        <w:t>i ćelijama imunskog sistema koje se infiltriraju u tumor</w:t>
      </w:r>
    </w:p>
    <w:p w14:paraId="56C3FC88" w14:textId="77777777" w:rsidR="00C04A89" w:rsidRPr="00B35A22" w:rsidRDefault="00C04A89" w:rsidP="00B35A22">
      <w:pPr>
        <w:widowControl w:val="0"/>
        <w:tabs>
          <w:tab w:val="left" w:pos="284"/>
        </w:tabs>
        <w:ind w:left="142" w:firstLine="8"/>
        <w:jc w:val="both"/>
        <w:rPr>
          <w:sz w:val="20"/>
          <w:lang w:val="sr-Latn-ME"/>
        </w:rPr>
      </w:pPr>
      <w:r w:rsidRPr="00B35A22">
        <w:rPr>
          <w:sz w:val="20"/>
          <w:vertAlign w:val="superscript"/>
          <w:lang w:val="sr-Latn-ME"/>
        </w:rPr>
        <w:t xml:space="preserve">^ </w:t>
      </w:r>
      <w:r w:rsidRPr="00B35A22">
        <w:rPr>
          <w:sz w:val="20"/>
          <w:lang w:val="sr-Latn-ME"/>
        </w:rPr>
        <w:t xml:space="preserve">Grupa C je poredbena grupa za sve koeficijente rizika </w:t>
      </w:r>
    </w:p>
    <w:p w14:paraId="37BBDF39" w14:textId="77777777" w:rsidR="00C04A89" w:rsidRPr="00B35A22" w:rsidRDefault="00C04A89" w:rsidP="00B35A22">
      <w:pPr>
        <w:widowControl w:val="0"/>
        <w:tabs>
          <w:tab w:val="left" w:pos="284"/>
        </w:tabs>
        <w:ind w:left="142" w:firstLine="8"/>
        <w:jc w:val="both"/>
        <w:rPr>
          <w:sz w:val="20"/>
          <w:lang w:val="sr-Latn-ME"/>
        </w:rPr>
      </w:pPr>
      <w:r w:rsidRPr="00B35A22">
        <w:rPr>
          <w:sz w:val="20"/>
          <w:lang w:val="sr-Latn-ME"/>
        </w:rPr>
        <w:t>* Analiza ažuriranih podataka za PFS i interim analiza podataka za OS u trenutku prekida prikupljanja kliničkih podataka 22. januara 2018.</w:t>
      </w:r>
    </w:p>
    <w:p w14:paraId="3D6F642D" w14:textId="42A73FAA" w:rsidR="00C04A89" w:rsidRPr="00B35A22" w:rsidRDefault="00C04A89" w:rsidP="00B35A22">
      <w:pPr>
        <w:widowControl w:val="0"/>
        <w:tabs>
          <w:tab w:val="left" w:pos="284"/>
        </w:tabs>
        <w:ind w:left="142" w:firstLine="8"/>
        <w:jc w:val="both"/>
        <w:rPr>
          <w:sz w:val="20"/>
          <w:lang w:val="sr-Latn-ME"/>
        </w:rPr>
      </w:pPr>
      <w:r w:rsidRPr="00B35A22">
        <w:rPr>
          <w:sz w:val="20"/>
          <w:lang w:val="sr-Latn-ME"/>
        </w:rPr>
        <w:t>PFS = preživljavanje bez progresije bolesti; RECIST v1.1 = verzija 1.1 Kriterijum za oc</w:t>
      </w:r>
      <w:r w:rsidR="003E771E" w:rsidRPr="00B35A22">
        <w:rPr>
          <w:sz w:val="20"/>
          <w:lang w:val="sr-Latn-ME"/>
        </w:rPr>
        <w:t>j</w:t>
      </w:r>
      <w:r w:rsidRPr="00B35A22">
        <w:rPr>
          <w:sz w:val="20"/>
          <w:lang w:val="sr-Latn-ME"/>
        </w:rPr>
        <w:t>enu odgovora kod solidnih tumora; CI = interval pouzdanosti; DOR = dužina trajanja odgovora; OS = ukupno preživljavanje.</w:t>
      </w:r>
    </w:p>
    <w:p w14:paraId="7562DD59" w14:textId="77777777" w:rsidR="00C04A89" w:rsidRPr="00B35A22" w:rsidRDefault="00C04A89" w:rsidP="00B35A22">
      <w:pPr>
        <w:widowControl w:val="0"/>
        <w:tabs>
          <w:tab w:val="left" w:pos="284"/>
        </w:tabs>
        <w:jc w:val="both"/>
        <w:rPr>
          <w:rFonts w:eastAsia="Calibri"/>
          <w:b/>
          <w:sz w:val="22"/>
          <w:highlight w:val="yellow"/>
          <w:lang w:val="sr-Latn-ME"/>
        </w:rPr>
      </w:pPr>
    </w:p>
    <w:p w14:paraId="6CD298B7" w14:textId="4C17CB10" w:rsidR="00C04A89" w:rsidRPr="00B35A22" w:rsidRDefault="00C04A89" w:rsidP="00B35A22">
      <w:pPr>
        <w:widowControl w:val="0"/>
        <w:tabs>
          <w:tab w:val="left" w:pos="284"/>
        </w:tabs>
        <w:jc w:val="both"/>
        <w:rPr>
          <w:i/>
          <w:sz w:val="22"/>
          <w:u w:val="single"/>
          <w:lang w:val="sr-Latn-ME"/>
        </w:rPr>
      </w:pPr>
      <w:r w:rsidRPr="00B35A22">
        <w:rPr>
          <w:rFonts w:eastAsia="Calibri"/>
          <w:b/>
          <w:sz w:val="22"/>
          <w:lang w:val="sr-Latn-ME"/>
        </w:rPr>
        <w:t>Tabela </w:t>
      </w:r>
      <w:r w:rsidR="00D52D7D" w:rsidRPr="00B35A22">
        <w:rPr>
          <w:rFonts w:eastAsia="Calibri"/>
          <w:b/>
          <w:sz w:val="22"/>
          <w:lang w:val="sr-Latn-ME"/>
        </w:rPr>
        <w:t>10</w:t>
      </w:r>
      <w:r w:rsidRPr="00B35A22">
        <w:rPr>
          <w:rFonts w:eastAsia="Calibri"/>
          <w:b/>
          <w:sz w:val="22"/>
          <w:lang w:val="sr-Latn-ME"/>
        </w:rPr>
        <w:t>: Sažetak ažuriranih rezultata za efikasnost za grupu A u odnosu na grupu B u ITT populaciji (IMpower150)</w:t>
      </w:r>
    </w:p>
    <w:p w14:paraId="66398835" w14:textId="77777777" w:rsidR="00C04A89" w:rsidRPr="00B35A22" w:rsidRDefault="00C04A89" w:rsidP="00B35A22">
      <w:pPr>
        <w:widowControl w:val="0"/>
        <w:tabs>
          <w:tab w:val="left" w:pos="284"/>
        </w:tabs>
        <w:jc w:val="both"/>
        <w:rPr>
          <w:sz w:val="20"/>
          <w:lang w:val="sr-Latn-ME"/>
        </w:rPr>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283"/>
        <w:gridCol w:w="2231"/>
        <w:gridCol w:w="2549"/>
      </w:tblGrid>
      <w:tr w:rsidR="00CC0044" w:rsidRPr="00B35A22" w14:paraId="15C6558D" w14:textId="77777777" w:rsidTr="00B35A22">
        <w:trPr>
          <w:cantSplit/>
          <w:tblHeader/>
        </w:trPr>
        <w:tc>
          <w:tcPr>
            <w:tcW w:w="2363" w:type="pct"/>
            <w:tcBorders>
              <w:top w:val="single" w:sz="4" w:space="0" w:color="auto"/>
              <w:left w:val="single" w:sz="4" w:space="0" w:color="auto"/>
              <w:bottom w:val="single" w:sz="4" w:space="0" w:color="auto"/>
              <w:right w:val="nil"/>
            </w:tcBorders>
            <w:shd w:val="clear" w:color="auto" w:fill="FFFFFF"/>
            <w:hideMark/>
          </w:tcPr>
          <w:p w14:paraId="482B5077" w14:textId="3E759057" w:rsidR="00C04A89" w:rsidRPr="00B35A22" w:rsidRDefault="00C04A89" w:rsidP="00B35A22">
            <w:pPr>
              <w:widowControl w:val="0"/>
              <w:tabs>
                <w:tab w:val="left" w:pos="284"/>
              </w:tabs>
              <w:jc w:val="both"/>
              <w:rPr>
                <w:b/>
                <w:sz w:val="20"/>
                <w:lang w:val="sr-Latn-ME"/>
              </w:rPr>
            </w:pPr>
            <w:r w:rsidRPr="00B35A22">
              <w:rPr>
                <w:b/>
                <w:sz w:val="20"/>
                <w:lang w:val="sr-Latn-ME"/>
              </w:rPr>
              <w:t>M</w:t>
            </w:r>
            <w:r w:rsidR="00042108" w:rsidRPr="00B35A22">
              <w:rPr>
                <w:b/>
                <w:sz w:val="20"/>
                <w:lang w:val="sr-Latn-ME"/>
              </w:rPr>
              <w:t>j</w:t>
            </w:r>
            <w:r w:rsidRPr="00B35A22">
              <w:rPr>
                <w:b/>
                <w:sz w:val="20"/>
                <w:lang w:val="sr-Latn-ME"/>
              </w:rPr>
              <w:t>era ishoda za efikasnost</w:t>
            </w:r>
          </w:p>
        </w:tc>
        <w:tc>
          <w:tcPr>
            <w:tcW w:w="1231" w:type="pct"/>
            <w:tcBorders>
              <w:top w:val="single" w:sz="4" w:space="0" w:color="auto"/>
              <w:left w:val="nil"/>
              <w:bottom w:val="single" w:sz="4" w:space="0" w:color="auto"/>
              <w:right w:val="nil"/>
            </w:tcBorders>
            <w:shd w:val="clear" w:color="auto" w:fill="FFFFFF"/>
            <w:hideMark/>
          </w:tcPr>
          <w:p w14:paraId="40BABEB2" w14:textId="77777777" w:rsidR="00C04A89" w:rsidRPr="00B35A22" w:rsidRDefault="00C04A89" w:rsidP="00B35A22">
            <w:pPr>
              <w:widowControl w:val="0"/>
              <w:tabs>
                <w:tab w:val="left" w:pos="284"/>
              </w:tabs>
              <w:jc w:val="both"/>
              <w:rPr>
                <w:b/>
                <w:sz w:val="20"/>
                <w:lang w:val="sr-Latn-ME"/>
              </w:rPr>
            </w:pPr>
            <w:r w:rsidRPr="00B35A22">
              <w:rPr>
                <w:b/>
                <w:sz w:val="20"/>
                <w:lang w:val="sr-Latn-ME"/>
              </w:rPr>
              <w:t>Grupa A</w:t>
            </w:r>
          </w:p>
          <w:p w14:paraId="573287DB" w14:textId="77777777" w:rsidR="00C04A89" w:rsidRPr="00B35A22" w:rsidRDefault="00C04A89" w:rsidP="00B35A22">
            <w:pPr>
              <w:widowControl w:val="0"/>
              <w:tabs>
                <w:tab w:val="left" w:pos="284"/>
              </w:tabs>
              <w:jc w:val="both"/>
              <w:rPr>
                <w:b/>
                <w:sz w:val="20"/>
                <w:lang w:val="sr-Latn-ME"/>
              </w:rPr>
            </w:pPr>
            <w:r w:rsidRPr="00B35A22">
              <w:rPr>
                <w:b/>
                <w:sz w:val="20"/>
                <w:lang w:val="sr-Latn-ME"/>
              </w:rPr>
              <w:t xml:space="preserve">(atezolizumab + paklitaksel + karboplatin) </w:t>
            </w:r>
          </w:p>
        </w:tc>
        <w:tc>
          <w:tcPr>
            <w:tcW w:w="1406" w:type="pct"/>
            <w:tcBorders>
              <w:top w:val="single" w:sz="4" w:space="0" w:color="auto"/>
              <w:left w:val="nil"/>
              <w:bottom w:val="single" w:sz="4" w:space="0" w:color="auto"/>
              <w:right w:val="single" w:sz="4" w:space="0" w:color="auto"/>
            </w:tcBorders>
            <w:shd w:val="clear" w:color="auto" w:fill="FFFFFF"/>
            <w:hideMark/>
          </w:tcPr>
          <w:p w14:paraId="4892CA8E" w14:textId="77777777" w:rsidR="00C04A89" w:rsidRPr="00B35A22" w:rsidRDefault="00C04A89" w:rsidP="00B35A22">
            <w:pPr>
              <w:widowControl w:val="0"/>
              <w:tabs>
                <w:tab w:val="left" w:pos="284"/>
              </w:tabs>
              <w:jc w:val="both"/>
              <w:rPr>
                <w:b/>
                <w:sz w:val="20"/>
                <w:lang w:val="sr-Latn-ME"/>
              </w:rPr>
            </w:pPr>
            <w:r w:rsidRPr="00B35A22">
              <w:rPr>
                <w:b/>
                <w:sz w:val="20"/>
                <w:lang w:val="sr-Latn-ME"/>
              </w:rPr>
              <w:t>Grupa B</w:t>
            </w:r>
          </w:p>
          <w:p w14:paraId="427175F0" w14:textId="77777777" w:rsidR="00C04A89" w:rsidRPr="00B35A22" w:rsidRDefault="00C04A89" w:rsidP="00B35A22">
            <w:pPr>
              <w:widowControl w:val="0"/>
              <w:tabs>
                <w:tab w:val="left" w:pos="284"/>
              </w:tabs>
              <w:jc w:val="both"/>
              <w:rPr>
                <w:b/>
                <w:sz w:val="20"/>
                <w:lang w:val="sr-Latn-ME"/>
              </w:rPr>
            </w:pPr>
            <w:r w:rsidRPr="00B35A22">
              <w:rPr>
                <w:b/>
                <w:sz w:val="20"/>
                <w:lang w:val="sr-Latn-ME"/>
              </w:rPr>
              <w:t>(atezolizumab + bevacizumab + paklitaksel + karboplatin)</w:t>
            </w:r>
          </w:p>
        </w:tc>
      </w:tr>
      <w:tr w:rsidR="00CC0044" w:rsidRPr="00B35A22" w14:paraId="5625A1D4" w14:textId="77777777" w:rsidTr="00B35A22">
        <w:trPr>
          <w:cantSplit/>
        </w:trPr>
        <w:tc>
          <w:tcPr>
            <w:tcW w:w="2363" w:type="pct"/>
            <w:tcBorders>
              <w:top w:val="single" w:sz="4" w:space="0" w:color="auto"/>
              <w:left w:val="single" w:sz="4" w:space="0" w:color="auto"/>
              <w:bottom w:val="nil"/>
              <w:right w:val="nil"/>
            </w:tcBorders>
            <w:hideMark/>
          </w:tcPr>
          <w:p w14:paraId="74CCC222" w14:textId="21822FA8" w:rsidR="00C04A89" w:rsidRPr="00B35A22" w:rsidRDefault="00C04A89" w:rsidP="00B35A22">
            <w:pPr>
              <w:widowControl w:val="0"/>
              <w:tabs>
                <w:tab w:val="left" w:pos="284"/>
              </w:tabs>
              <w:jc w:val="both"/>
              <w:rPr>
                <w:b/>
                <w:i/>
                <w:sz w:val="20"/>
                <w:vertAlign w:val="superscript"/>
                <w:lang w:val="sr-Latn-ME"/>
              </w:rPr>
            </w:pPr>
            <w:r w:rsidRPr="00B35A22">
              <w:rPr>
                <w:b/>
                <w:i/>
                <w:sz w:val="20"/>
                <w:lang w:val="sr-Latn-ME"/>
              </w:rPr>
              <w:t>PFS prema oc</w:t>
            </w:r>
            <w:r w:rsidR="003E771E" w:rsidRPr="00B35A22">
              <w:rPr>
                <w:b/>
                <w:i/>
                <w:sz w:val="20"/>
                <w:lang w:val="sr-Latn-ME"/>
              </w:rPr>
              <w:t>j</w:t>
            </w:r>
            <w:r w:rsidRPr="00B35A22">
              <w:rPr>
                <w:b/>
                <w:i/>
                <w:sz w:val="20"/>
                <w:lang w:val="sr-Latn-ME"/>
              </w:rPr>
              <w:t>eni istraživača (RECIST v1.1)*</w:t>
            </w:r>
          </w:p>
        </w:tc>
        <w:tc>
          <w:tcPr>
            <w:tcW w:w="1231" w:type="pct"/>
            <w:tcBorders>
              <w:top w:val="single" w:sz="4" w:space="0" w:color="auto"/>
              <w:left w:val="nil"/>
              <w:bottom w:val="nil"/>
              <w:right w:val="nil"/>
            </w:tcBorders>
            <w:hideMark/>
          </w:tcPr>
          <w:p w14:paraId="6E40903B" w14:textId="77777777" w:rsidR="00C04A89" w:rsidRPr="00B35A22" w:rsidRDefault="00C04A89" w:rsidP="00B35A22">
            <w:pPr>
              <w:widowControl w:val="0"/>
              <w:tabs>
                <w:tab w:val="left" w:pos="284"/>
              </w:tabs>
              <w:jc w:val="center"/>
              <w:rPr>
                <w:sz w:val="20"/>
                <w:lang w:val="sr-Latn-ME"/>
              </w:rPr>
            </w:pPr>
            <w:r w:rsidRPr="00B35A22">
              <w:rPr>
                <w:sz w:val="20"/>
                <w:lang w:val="sr-Latn-ME"/>
              </w:rPr>
              <w:t>n = 402</w:t>
            </w:r>
          </w:p>
        </w:tc>
        <w:tc>
          <w:tcPr>
            <w:tcW w:w="1406" w:type="pct"/>
            <w:tcBorders>
              <w:top w:val="single" w:sz="4" w:space="0" w:color="auto"/>
              <w:left w:val="nil"/>
              <w:bottom w:val="nil"/>
              <w:right w:val="single" w:sz="4" w:space="0" w:color="auto"/>
            </w:tcBorders>
            <w:hideMark/>
          </w:tcPr>
          <w:p w14:paraId="3DEA0744" w14:textId="77777777" w:rsidR="00C04A89" w:rsidRPr="00B35A22" w:rsidRDefault="00C04A89" w:rsidP="00B35A22">
            <w:pPr>
              <w:widowControl w:val="0"/>
              <w:tabs>
                <w:tab w:val="left" w:pos="284"/>
              </w:tabs>
              <w:jc w:val="center"/>
              <w:rPr>
                <w:sz w:val="20"/>
                <w:lang w:val="sr-Latn-ME"/>
              </w:rPr>
            </w:pPr>
            <w:r w:rsidRPr="00B35A22">
              <w:rPr>
                <w:sz w:val="20"/>
                <w:lang w:val="sr-Latn-ME"/>
              </w:rPr>
              <w:t>n = 400</w:t>
            </w:r>
          </w:p>
        </w:tc>
      </w:tr>
      <w:tr w:rsidR="00CC0044" w:rsidRPr="00B35A22" w14:paraId="521B2A90" w14:textId="77777777" w:rsidTr="00B35A22">
        <w:trPr>
          <w:cantSplit/>
        </w:trPr>
        <w:tc>
          <w:tcPr>
            <w:tcW w:w="2363" w:type="pct"/>
            <w:tcBorders>
              <w:top w:val="nil"/>
              <w:left w:val="single" w:sz="4" w:space="0" w:color="auto"/>
              <w:bottom w:val="nil"/>
              <w:right w:val="nil"/>
            </w:tcBorders>
            <w:hideMark/>
          </w:tcPr>
          <w:p w14:paraId="7CBE31F5" w14:textId="77777777" w:rsidR="00C04A89" w:rsidRPr="00B35A22" w:rsidRDefault="00C04A89" w:rsidP="00B35A22">
            <w:pPr>
              <w:widowControl w:val="0"/>
              <w:tabs>
                <w:tab w:val="left" w:pos="284"/>
              </w:tabs>
              <w:jc w:val="both"/>
              <w:rPr>
                <w:sz w:val="20"/>
                <w:lang w:val="sr-Latn-ME"/>
              </w:rPr>
            </w:pPr>
            <w:r w:rsidRPr="00B35A22">
              <w:rPr>
                <w:sz w:val="20"/>
                <w:lang w:val="sr-Latn-ME"/>
              </w:rPr>
              <w:t>Broj događaja (%)</w:t>
            </w:r>
          </w:p>
        </w:tc>
        <w:tc>
          <w:tcPr>
            <w:tcW w:w="1231" w:type="pct"/>
            <w:tcBorders>
              <w:top w:val="nil"/>
              <w:left w:val="nil"/>
              <w:bottom w:val="nil"/>
              <w:right w:val="nil"/>
            </w:tcBorders>
            <w:hideMark/>
          </w:tcPr>
          <w:p w14:paraId="278F6C15" w14:textId="77777777" w:rsidR="00C04A89" w:rsidRPr="00B35A22" w:rsidRDefault="00C04A89" w:rsidP="00B35A22">
            <w:pPr>
              <w:widowControl w:val="0"/>
              <w:tabs>
                <w:tab w:val="left" w:pos="284"/>
              </w:tabs>
              <w:jc w:val="center"/>
              <w:rPr>
                <w:sz w:val="20"/>
                <w:lang w:val="sr-Latn-ME"/>
              </w:rPr>
            </w:pPr>
            <w:r w:rsidRPr="00B35A22">
              <w:rPr>
                <w:sz w:val="20"/>
                <w:lang w:val="sr-Latn-ME"/>
              </w:rPr>
              <w:t>330 (82,1%)</w:t>
            </w:r>
          </w:p>
        </w:tc>
        <w:tc>
          <w:tcPr>
            <w:tcW w:w="1406" w:type="pct"/>
            <w:tcBorders>
              <w:top w:val="nil"/>
              <w:left w:val="nil"/>
              <w:bottom w:val="nil"/>
              <w:right w:val="single" w:sz="4" w:space="0" w:color="auto"/>
            </w:tcBorders>
            <w:hideMark/>
          </w:tcPr>
          <w:p w14:paraId="443220A5" w14:textId="77777777" w:rsidR="00C04A89" w:rsidRPr="00B35A22" w:rsidRDefault="00C04A89" w:rsidP="00B35A22">
            <w:pPr>
              <w:widowControl w:val="0"/>
              <w:tabs>
                <w:tab w:val="left" w:pos="284"/>
              </w:tabs>
              <w:jc w:val="center"/>
              <w:rPr>
                <w:sz w:val="20"/>
                <w:lang w:val="sr-Latn-ME"/>
              </w:rPr>
            </w:pPr>
            <w:r w:rsidRPr="00B35A22">
              <w:rPr>
                <w:sz w:val="20"/>
                <w:lang w:val="sr-Latn-ME"/>
              </w:rPr>
              <w:t>291 (72,8%)</w:t>
            </w:r>
          </w:p>
        </w:tc>
      </w:tr>
      <w:tr w:rsidR="00CC0044" w:rsidRPr="00B35A22" w14:paraId="081D526A" w14:textId="77777777" w:rsidTr="00B35A22">
        <w:trPr>
          <w:cantSplit/>
        </w:trPr>
        <w:tc>
          <w:tcPr>
            <w:tcW w:w="2363" w:type="pct"/>
            <w:tcBorders>
              <w:top w:val="nil"/>
              <w:left w:val="single" w:sz="4" w:space="0" w:color="auto"/>
              <w:bottom w:val="nil"/>
              <w:right w:val="nil"/>
            </w:tcBorders>
            <w:hideMark/>
          </w:tcPr>
          <w:p w14:paraId="773CC13B" w14:textId="3F5A53EE" w:rsidR="00C04A89" w:rsidRPr="00B35A22" w:rsidRDefault="00C04A89" w:rsidP="00B35A22">
            <w:pPr>
              <w:widowControl w:val="0"/>
              <w:tabs>
                <w:tab w:val="left" w:pos="284"/>
              </w:tabs>
              <w:jc w:val="both"/>
              <w:rPr>
                <w:sz w:val="20"/>
                <w:lang w:val="sr-Latn-ME"/>
              </w:rPr>
            </w:pPr>
            <w:r w:rsidRPr="00B35A22">
              <w:rPr>
                <w:sz w:val="20"/>
                <w:lang w:val="sr-Latn-ME"/>
              </w:rPr>
              <w:t>Medijana trajanja PFS</w:t>
            </w:r>
            <w:r w:rsidRPr="00B35A22">
              <w:rPr>
                <w:sz w:val="20"/>
                <w:lang w:val="sr-Latn-ME"/>
              </w:rPr>
              <w:noBreakHyphen/>
              <w:t>a (m</w:t>
            </w:r>
            <w:r w:rsidR="003E771E" w:rsidRPr="00B35A22">
              <w:rPr>
                <w:sz w:val="20"/>
                <w:lang w:val="sr-Latn-ME"/>
              </w:rPr>
              <w:t>j</w:t>
            </w:r>
            <w:r w:rsidRPr="00B35A22">
              <w:rPr>
                <w:sz w:val="20"/>
                <w:lang w:val="sr-Latn-ME"/>
              </w:rPr>
              <w:t>eseci)</w:t>
            </w:r>
          </w:p>
        </w:tc>
        <w:tc>
          <w:tcPr>
            <w:tcW w:w="1231" w:type="pct"/>
            <w:tcBorders>
              <w:top w:val="nil"/>
              <w:left w:val="nil"/>
              <w:bottom w:val="nil"/>
              <w:right w:val="nil"/>
            </w:tcBorders>
            <w:hideMark/>
          </w:tcPr>
          <w:p w14:paraId="70CDFC5A" w14:textId="77777777" w:rsidR="00C04A89" w:rsidRPr="00B35A22" w:rsidRDefault="00C04A89" w:rsidP="00B35A22">
            <w:pPr>
              <w:widowControl w:val="0"/>
              <w:tabs>
                <w:tab w:val="left" w:pos="284"/>
              </w:tabs>
              <w:jc w:val="center"/>
              <w:rPr>
                <w:sz w:val="20"/>
                <w:lang w:val="sr-Latn-ME"/>
              </w:rPr>
            </w:pPr>
            <w:r w:rsidRPr="00B35A22">
              <w:rPr>
                <w:sz w:val="20"/>
                <w:lang w:val="sr-Latn-ME"/>
              </w:rPr>
              <w:t>6,7</w:t>
            </w:r>
          </w:p>
        </w:tc>
        <w:tc>
          <w:tcPr>
            <w:tcW w:w="1406" w:type="pct"/>
            <w:tcBorders>
              <w:top w:val="nil"/>
              <w:left w:val="nil"/>
              <w:bottom w:val="nil"/>
              <w:right w:val="single" w:sz="4" w:space="0" w:color="auto"/>
            </w:tcBorders>
            <w:hideMark/>
          </w:tcPr>
          <w:p w14:paraId="2956F5B8" w14:textId="77777777" w:rsidR="00C04A89" w:rsidRPr="00B35A22" w:rsidRDefault="00C04A89" w:rsidP="00B35A22">
            <w:pPr>
              <w:widowControl w:val="0"/>
              <w:tabs>
                <w:tab w:val="left" w:pos="284"/>
              </w:tabs>
              <w:jc w:val="center"/>
              <w:rPr>
                <w:sz w:val="20"/>
                <w:lang w:val="sr-Latn-ME"/>
              </w:rPr>
            </w:pPr>
            <w:r w:rsidRPr="00B35A22">
              <w:rPr>
                <w:sz w:val="20"/>
                <w:lang w:val="sr-Latn-ME"/>
              </w:rPr>
              <w:t>8,4</w:t>
            </w:r>
          </w:p>
        </w:tc>
      </w:tr>
      <w:tr w:rsidR="00CC0044" w:rsidRPr="00B35A22" w14:paraId="202A0942" w14:textId="77777777" w:rsidTr="00B35A22">
        <w:trPr>
          <w:cantSplit/>
        </w:trPr>
        <w:tc>
          <w:tcPr>
            <w:tcW w:w="2363" w:type="pct"/>
            <w:tcBorders>
              <w:top w:val="nil"/>
              <w:left w:val="single" w:sz="4" w:space="0" w:color="auto"/>
              <w:bottom w:val="nil"/>
              <w:right w:val="nil"/>
            </w:tcBorders>
            <w:hideMark/>
          </w:tcPr>
          <w:p w14:paraId="67EF5352" w14:textId="77777777" w:rsidR="00C04A89" w:rsidRPr="00B35A22" w:rsidRDefault="00C04A89" w:rsidP="00B35A22">
            <w:pPr>
              <w:widowControl w:val="0"/>
              <w:tabs>
                <w:tab w:val="left" w:pos="284"/>
              </w:tabs>
              <w:jc w:val="both"/>
              <w:rPr>
                <w:sz w:val="20"/>
                <w:lang w:val="sr-Latn-ME"/>
              </w:rPr>
            </w:pPr>
            <w:r w:rsidRPr="00B35A22">
              <w:rPr>
                <w:sz w:val="20"/>
                <w:lang w:val="sr-Latn-ME"/>
              </w:rPr>
              <w:t>95% CI</w:t>
            </w:r>
          </w:p>
        </w:tc>
        <w:tc>
          <w:tcPr>
            <w:tcW w:w="1231" w:type="pct"/>
            <w:tcBorders>
              <w:top w:val="nil"/>
              <w:left w:val="nil"/>
              <w:bottom w:val="nil"/>
              <w:right w:val="nil"/>
            </w:tcBorders>
            <w:hideMark/>
          </w:tcPr>
          <w:p w14:paraId="635C4E13" w14:textId="77777777" w:rsidR="00C04A89" w:rsidRPr="00B35A22" w:rsidRDefault="00C04A89" w:rsidP="00B35A22">
            <w:pPr>
              <w:widowControl w:val="0"/>
              <w:tabs>
                <w:tab w:val="left" w:pos="284"/>
              </w:tabs>
              <w:jc w:val="center"/>
              <w:rPr>
                <w:sz w:val="20"/>
                <w:lang w:val="sr-Latn-ME"/>
              </w:rPr>
            </w:pPr>
            <w:r w:rsidRPr="00B35A22">
              <w:rPr>
                <w:sz w:val="20"/>
                <w:lang w:val="sr-Latn-ME"/>
              </w:rPr>
              <w:t>(5,7; 6,9)</w:t>
            </w:r>
          </w:p>
        </w:tc>
        <w:tc>
          <w:tcPr>
            <w:tcW w:w="1406" w:type="pct"/>
            <w:tcBorders>
              <w:top w:val="nil"/>
              <w:left w:val="nil"/>
              <w:bottom w:val="nil"/>
              <w:right w:val="single" w:sz="4" w:space="0" w:color="auto"/>
            </w:tcBorders>
            <w:hideMark/>
          </w:tcPr>
          <w:p w14:paraId="672C0E36" w14:textId="77777777" w:rsidR="00C04A89" w:rsidRPr="00B35A22" w:rsidRDefault="00C04A89" w:rsidP="00B35A22">
            <w:pPr>
              <w:widowControl w:val="0"/>
              <w:tabs>
                <w:tab w:val="left" w:pos="284"/>
              </w:tabs>
              <w:jc w:val="center"/>
              <w:rPr>
                <w:sz w:val="20"/>
                <w:lang w:val="sr-Latn-ME"/>
              </w:rPr>
            </w:pPr>
            <w:r w:rsidRPr="00B35A22">
              <w:rPr>
                <w:sz w:val="20"/>
                <w:lang w:val="sr-Latn-ME"/>
              </w:rPr>
              <w:t>(8,0; 9,9)</w:t>
            </w:r>
          </w:p>
        </w:tc>
      </w:tr>
      <w:tr w:rsidR="00C04A89" w:rsidRPr="00B35A22" w14:paraId="11DB0E14" w14:textId="77777777" w:rsidTr="00B35A22">
        <w:trPr>
          <w:cantSplit/>
        </w:trPr>
        <w:tc>
          <w:tcPr>
            <w:tcW w:w="2363" w:type="pct"/>
            <w:tcBorders>
              <w:top w:val="nil"/>
              <w:left w:val="single" w:sz="4" w:space="0" w:color="auto"/>
              <w:bottom w:val="nil"/>
              <w:right w:val="nil"/>
            </w:tcBorders>
            <w:hideMark/>
          </w:tcPr>
          <w:p w14:paraId="07B1E213" w14:textId="77777777" w:rsidR="00C04A89" w:rsidRPr="00B35A22" w:rsidRDefault="00C04A89" w:rsidP="00B35A22">
            <w:pPr>
              <w:widowControl w:val="0"/>
              <w:tabs>
                <w:tab w:val="left" w:pos="284"/>
              </w:tabs>
              <w:jc w:val="both"/>
              <w:rPr>
                <w:sz w:val="20"/>
                <w:lang w:val="sr-Latn-ME"/>
              </w:rPr>
            </w:pPr>
            <w:r w:rsidRPr="00B35A22">
              <w:rPr>
                <w:sz w:val="20"/>
                <w:lang w:val="sr-Latn-ME"/>
              </w:rPr>
              <w:t xml:space="preserve">Stratifikovan koeficijent rizika </w:t>
            </w:r>
            <w:r w:rsidRPr="00B35A22">
              <w:rPr>
                <w:sz w:val="20"/>
                <w:vertAlign w:val="superscript"/>
                <w:lang w:val="sr-Latn-ME"/>
              </w:rPr>
              <w:t>‡</w:t>
            </w:r>
            <w:r w:rsidRPr="00B35A22">
              <w:rPr>
                <w:sz w:val="20"/>
                <w:lang w:val="sr-Latn-ME"/>
              </w:rPr>
              <w:t>^</w:t>
            </w:r>
            <w:r w:rsidRPr="00B35A22">
              <w:rPr>
                <w:sz w:val="20"/>
                <w:vertAlign w:val="superscript"/>
                <w:lang w:val="sr-Latn-ME"/>
              </w:rPr>
              <w:t xml:space="preserve"> </w:t>
            </w:r>
            <w:r w:rsidRPr="00B35A22">
              <w:rPr>
                <w:sz w:val="20"/>
                <w:lang w:val="sr-Latn-ME"/>
              </w:rPr>
              <w:t>(95% CI)</w:t>
            </w:r>
          </w:p>
          <w:p w14:paraId="4E3AB61D" w14:textId="21DEF777" w:rsidR="00C04A89" w:rsidRPr="00B35A22" w:rsidRDefault="00C04A89" w:rsidP="00B35A22">
            <w:pPr>
              <w:widowControl w:val="0"/>
              <w:tabs>
                <w:tab w:val="left" w:pos="284"/>
              </w:tabs>
              <w:jc w:val="both"/>
              <w:rPr>
                <w:sz w:val="20"/>
                <w:lang w:val="sr-Latn-ME"/>
              </w:rPr>
            </w:pPr>
            <w:r w:rsidRPr="00B35A22">
              <w:rPr>
                <w:sz w:val="20"/>
                <w:lang w:val="sr-Latn-ME"/>
              </w:rPr>
              <w:t>p</w:t>
            </w:r>
            <w:r w:rsidRPr="00B35A22">
              <w:rPr>
                <w:sz w:val="20"/>
                <w:lang w:val="sr-Latn-ME"/>
              </w:rPr>
              <w:noBreakHyphen/>
              <w:t>vr</w:t>
            </w:r>
            <w:r w:rsidR="009E477F" w:rsidRPr="00B35A22">
              <w:rPr>
                <w:sz w:val="20"/>
                <w:lang w:val="sr-Latn-ME"/>
              </w:rPr>
              <w:t>ij</w:t>
            </w:r>
            <w:r w:rsidRPr="00B35A22">
              <w:rPr>
                <w:sz w:val="20"/>
                <w:lang w:val="sr-Latn-ME"/>
              </w:rPr>
              <w:t>ednost</w:t>
            </w:r>
            <w:r w:rsidRPr="00B35A22">
              <w:rPr>
                <w:sz w:val="20"/>
                <w:vertAlign w:val="superscript"/>
                <w:lang w:val="sr-Latn-ME"/>
              </w:rPr>
              <w:t>1,2</w:t>
            </w:r>
          </w:p>
        </w:tc>
        <w:tc>
          <w:tcPr>
            <w:tcW w:w="2637" w:type="pct"/>
            <w:gridSpan w:val="2"/>
            <w:tcBorders>
              <w:top w:val="nil"/>
              <w:left w:val="nil"/>
              <w:bottom w:val="nil"/>
              <w:right w:val="single" w:sz="4" w:space="0" w:color="auto"/>
            </w:tcBorders>
            <w:hideMark/>
          </w:tcPr>
          <w:p w14:paraId="3D694DC1" w14:textId="77777777" w:rsidR="00C04A89" w:rsidRPr="00B35A22" w:rsidRDefault="00C04A89" w:rsidP="00B35A22">
            <w:pPr>
              <w:widowControl w:val="0"/>
              <w:tabs>
                <w:tab w:val="left" w:pos="284"/>
              </w:tabs>
              <w:jc w:val="center"/>
              <w:rPr>
                <w:sz w:val="20"/>
                <w:lang w:val="sr-Latn-ME"/>
              </w:rPr>
            </w:pPr>
            <w:r w:rsidRPr="00B35A22">
              <w:rPr>
                <w:sz w:val="20"/>
                <w:lang w:val="sr-Latn-ME"/>
              </w:rPr>
              <w:t>0,67 (0,57; 0,79)</w:t>
            </w:r>
          </w:p>
          <w:p w14:paraId="04684A93" w14:textId="77777777" w:rsidR="00DB0C10" w:rsidRPr="00B35A22" w:rsidRDefault="00DB0C10" w:rsidP="00B35A22">
            <w:pPr>
              <w:widowControl w:val="0"/>
              <w:tabs>
                <w:tab w:val="left" w:pos="284"/>
              </w:tabs>
              <w:jc w:val="center"/>
              <w:rPr>
                <w:sz w:val="20"/>
                <w:lang w:val="sr-Latn-ME"/>
              </w:rPr>
            </w:pPr>
          </w:p>
          <w:p w14:paraId="0BD8A914" w14:textId="74949D6D" w:rsidR="00C04A89" w:rsidRPr="00B35A22" w:rsidRDefault="00C04A89" w:rsidP="00B35A22">
            <w:pPr>
              <w:widowControl w:val="0"/>
              <w:tabs>
                <w:tab w:val="left" w:pos="284"/>
              </w:tabs>
              <w:jc w:val="center"/>
              <w:rPr>
                <w:sz w:val="20"/>
                <w:lang w:val="sr-Latn-ME"/>
              </w:rPr>
            </w:pPr>
            <w:r w:rsidRPr="00B35A22">
              <w:rPr>
                <w:sz w:val="20"/>
                <w:lang w:val="sr-Latn-ME"/>
              </w:rPr>
              <w:t>&lt; 0,0001</w:t>
            </w:r>
          </w:p>
        </w:tc>
      </w:tr>
      <w:tr w:rsidR="00CC0044" w:rsidRPr="00B35A22" w14:paraId="2A739C4B" w14:textId="77777777" w:rsidTr="00B35A22">
        <w:trPr>
          <w:cantSplit/>
        </w:trPr>
        <w:tc>
          <w:tcPr>
            <w:tcW w:w="2363" w:type="pct"/>
            <w:tcBorders>
              <w:top w:val="single" w:sz="4" w:space="0" w:color="auto"/>
              <w:left w:val="single" w:sz="4" w:space="0" w:color="auto"/>
              <w:bottom w:val="nil"/>
              <w:right w:val="nil"/>
            </w:tcBorders>
            <w:hideMark/>
          </w:tcPr>
          <w:p w14:paraId="1BB7D661" w14:textId="77777777" w:rsidR="00C04A89" w:rsidRPr="00B35A22" w:rsidRDefault="00C04A89" w:rsidP="00B35A22">
            <w:pPr>
              <w:widowControl w:val="0"/>
              <w:tabs>
                <w:tab w:val="left" w:pos="284"/>
              </w:tabs>
              <w:jc w:val="both"/>
              <w:rPr>
                <w:sz w:val="20"/>
                <w:lang w:val="sr-Latn-ME"/>
              </w:rPr>
            </w:pPr>
            <w:r w:rsidRPr="00B35A22">
              <w:rPr>
                <w:b/>
                <w:i/>
                <w:sz w:val="20"/>
                <w:lang w:val="sr-Latn-ME"/>
              </w:rPr>
              <w:t>Interim analiza podataka za OS*</w:t>
            </w:r>
          </w:p>
        </w:tc>
        <w:tc>
          <w:tcPr>
            <w:tcW w:w="1231" w:type="pct"/>
            <w:tcBorders>
              <w:top w:val="single" w:sz="4" w:space="0" w:color="auto"/>
              <w:left w:val="nil"/>
              <w:bottom w:val="nil"/>
              <w:right w:val="nil"/>
            </w:tcBorders>
            <w:hideMark/>
          </w:tcPr>
          <w:p w14:paraId="76A81B28" w14:textId="77777777" w:rsidR="00C04A89" w:rsidRPr="00B35A22" w:rsidRDefault="00C04A89" w:rsidP="00B35A22">
            <w:pPr>
              <w:widowControl w:val="0"/>
              <w:tabs>
                <w:tab w:val="left" w:pos="284"/>
              </w:tabs>
              <w:jc w:val="center"/>
              <w:rPr>
                <w:sz w:val="20"/>
                <w:lang w:val="sr-Latn-ME"/>
              </w:rPr>
            </w:pPr>
            <w:r w:rsidRPr="00B35A22">
              <w:rPr>
                <w:sz w:val="20"/>
                <w:lang w:val="sr-Latn-ME"/>
              </w:rPr>
              <w:t>n = 402</w:t>
            </w:r>
          </w:p>
        </w:tc>
        <w:tc>
          <w:tcPr>
            <w:tcW w:w="1406" w:type="pct"/>
            <w:tcBorders>
              <w:top w:val="single" w:sz="4" w:space="0" w:color="auto"/>
              <w:left w:val="nil"/>
              <w:bottom w:val="nil"/>
              <w:right w:val="single" w:sz="4" w:space="0" w:color="auto"/>
            </w:tcBorders>
            <w:hideMark/>
          </w:tcPr>
          <w:p w14:paraId="2A26B828" w14:textId="5BD8D9B1" w:rsidR="00C04A89" w:rsidRPr="00B35A22" w:rsidRDefault="00C04A89" w:rsidP="00B35A22">
            <w:pPr>
              <w:widowControl w:val="0"/>
              <w:tabs>
                <w:tab w:val="left" w:pos="284"/>
              </w:tabs>
              <w:jc w:val="center"/>
              <w:rPr>
                <w:sz w:val="20"/>
                <w:lang w:val="sr-Latn-ME"/>
              </w:rPr>
            </w:pPr>
            <w:r w:rsidRPr="00B35A22">
              <w:rPr>
                <w:sz w:val="20"/>
                <w:lang w:val="sr-Latn-ME"/>
              </w:rPr>
              <w:t>n = 400</w:t>
            </w:r>
          </w:p>
        </w:tc>
      </w:tr>
      <w:tr w:rsidR="00CC0044" w:rsidRPr="00B35A22" w14:paraId="2E27A128" w14:textId="77777777" w:rsidTr="00B35A22">
        <w:trPr>
          <w:cantSplit/>
        </w:trPr>
        <w:tc>
          <w:tcPr>
            <w:tcW w:w="2363" w:type="pct"/>
            <w:tcBorders>
              <w:top w:val="nil"/>
              <w:left w:val="single" w:sz="4" w:space="0" w:color="auto"/>
              <w:bottom w:val="nil"/>
              <w:right w:val="nil"/>
            </w:tcBorders>
            <w:hideMark/>
          </w:tcPr>
          <w:p w14:paraId="303FA0D8" w14:textId="77777777" w:rsidR="00C04A89" w:rsidRPr="00B35A22" w:rsidRDefault="00C04A89" w:rsidP="00B35A22">
            <w:pPr>
              <w:widowControl w:val="0"/>
              <w:tabs>
                <w:tab w:val="left" w:pos="284"/>
              </w:tabs>
              <w:jc w:val="both"/>
              <w:rPr>
                <w:sz w:val="20"/>
                <w:lang w:val="sr-Latn-ME"/>
              </w:rPr>
            </w:pPr>
            <w:r w:rsidRPr="00B35A22">
              <w:rPr>
                <w:sz w:val="20"/>
                <w:lang w:val="sr-Latn-ME"/>
              </w:rPr>
              <w:t>Broj smrtnih slučajeva (%)</w:t>
            </w:r>
          </w:p>
          <w:p w14:paraId="140A4FC5" w14:textId="3A28DF36" w:rsidR="00C04A89" w:rsidRPr="00B35A22" w:rsidRDefault="00C04A89" w:rsidP="00B35A22">
            <w:pPr>
              <w:widowControl w:val="0"/>
              <w:tabs>
                <w:tab w:val="left" w:pos="284"/>
              </w:tabs>
              <w:jc w:val="both"/>
              <w:rPr>
                <w:sz w:val="20"/>
                <w:lang w:val="sr-Latn-ME"/>
              </w:rPr>
            </w:pPr>
            <w:r w:rsidRPr="00B35A22">
              <w:rPr>
                <w:sz w:val="20"/>
                <w:lang w:val="sr-Latn-ME"/>
              </w:rPr>
              <w:t>Medijana vremena do događaja (m</w:t>
            </w:r>
            <w:r w:rsidR="003E771E" w:rsidRPr="00B35A22">
              <w:rPr>
                <w:sz w:val="20"/>
                <w:lang w:val="sr-Latn-ME"/>
              </w:rPr>
              <w:t>j</w:t>
            </w:r>
            <w:r w:rsidRPr="00B35A22">
              <w:rPr>
                <w:sz w:val="20"/>
                <w:lang w:val="sr-Latn-ME"/>
              </w:rPr>
              <w:t>eseci)</w:t>
            </w:r>
          </w:p>
          <w:p w14:paraId="6AA2EF1D" w14:textId="77777777" w:rsidR="00C04A89" w:rsidRPr="00B35A22" w:rsidRDefault="00C04A89" w:rsidP="00B35A22">
            <w:pPr>
              <w:widowControl w:val="0"/>
              <w:tabs>
                <w:tab w:val="left" w:pos="284"/>
              </w:tabs>
              <w:jc w:val="both"/>
              <w:rPr>
                <w:sz w:val="20"/>
                <w:lang w:val="sr-Latn-ME"/>
              </w:rPr>
            </w:pPr>
            <w:r w:rsidRPr="00B35A22">
              <w:rPr>
                <w:sz w:val="20"/>
                <w:lang w:val="sr-Latn-ME"/>
              </w:rPr>
              <w:t>95% CI</w:t>
            </w:r>
          </w:p>
        </w:tc>
        <w:tc>
          <w:tcPr>
            <w:tcW w:w="1231" w:type="pct"/>
            <w:tcBorders>
              <w:top w:val="nil"/>
              <w:left w:val="nil"/>
              <w:bottom w:val="nil"/>
              <w:right w:val="nil"/>
            </w:tcBorders>
            <w:hideMark/>
          </w:tcPr>
          <w:p w14:paraId="07BC0E5F" w14:textId="77777777" w:rsidR="00C04A89" w:rsidRPr="00B35A22" w:rsidRDefault="00C04A89" w:rsidP="00B35A22">
            <w:pPr>
              <w:widowControl w:val="0"/>
              <w:tabs>
                <w:tab w:val="left" w:pos="284"/>
              </w:tabs>
              <w:jc w:val="center"/>
              <w:rPr>
                <w:sz w:val="20"/>
                <w:lang w:val="sr-Latn-ME"/>
              </w:rPr>
            </w:pPr>
            <w:r w:rsidRPr="00B35A22">
              <w:rPr>
                <w:sz w:val="20"/>
                <w:lang w:val="sr-Latn-ME"/>
              </w:rPr>
              <w:t>206 (51,2%)</w:t>
            </w:r>
          </w:p>
          <w:p w14:paraId="547FF607" w14:textId="29243691" w:rsidR="00C04A89" w:rsidRPr="00B35A22" w:rsidRDefault="00C04A89" w:rsidP="00B35A22">
            <w:pPr>
              <w:widowControl w:val="0"/>
              <w:tabs>
                <w:tab w:val="left" w:pos="284"/>
              </w:tabs>
              <w:jc w:val="center"/>
              <w:rPr>
                <w:sz w:val="20"/>
                <w:lang w:val="sr-Latn-ME"/>
              </w:rPr>
            </w:pPr>
            <w:r w:rsidRPr="00B35A22">
              <w:rPr>
                <w:sz w:val="20"/>
                <w:lang w:val="sr-Latn-ME"/>
              </w:rPr>
              <w:t>19,5</w:t>
            </w:r>
          </w:p>
          <w:p w14:paraId="4C0E4821" w14:textId="77777777" w:rsidR="00C04A89" w:rsidRPr="00B35A22" w:rsidRDefault="00C04A89" w:rsidP="00B35A22">
            <w:pPr>
              <w:widowControl w:val="0"/>
              <w:tabs>
                <w:tab w:val="left" w:pos="284"/>
              </w:tabs>
              <w:jc w:val="center"/>
              <w:rPr>
                <w:sz w:val="20"/>
                <w:lang w:val="sr-Latn-ME"/>
              </w:rPr>
            </w:pPr>
            <w:r w:rsidRPr="00B35A22">
              <w:rPr>
                <w:sz w:val="20"/>
                <w:lang w:val="sr-Latn-ME"/>
              </w:rPr>
              <w:t>(16,3; 21,3)</w:t>
            </w:r>
          </w:p>
        </w:tc>
        <w:tc>
          <w:tcPr>
            <w:tcW w:w="1406" w:type="pct"/>
            <w:tcBorders>
              <w:top w:val="nil"/>
              <w:left w:val="nil"/>
              <w:bottom w:val="nil"/>
              <w:right w:val="single" w:sz="4" w:space="0" w:color="auto"/>
            </w:tcBorders>
            <w:hideMark/>
          </w:tcPr>
          <w:p w14:paraId="5AF1EECE" w14:textId="77777777" w:rsidR="00C04A89" w:rsidRPr="00B35A22" w:rsidRDefault="00C04A89" w:rsidP="00B35A22">
            <w:pPr>
              <w:widowControl w:val="0"/>
              <w:tabs>
                <w:tab w:val="left" w:pos="284"/>
              </w:tabs>
              <w:jc w:val="center"/>
              <w:rPr>
                <w:sz w:val="20"/>
                <w:lang w:val="sr-Latn-ME"/>
              </w:rPr>
            </w:pPr>
            <w:r w:rsidRPr="00B35A22">
              <w:rPr>
                <w:sz w:val="20"/>
                <w:lang w:val="sr-Latn-ME"/>
              </w:rPr>
              <w:t>192 (48,0%)</w:t>
            </w:r>
          </w:p>
          <w:p w14:paraId="0E63465B" w14:textId="77777777" w:rsidR="00C04A89" w:rsidRPr="00B35A22" w:rsidRDefault="00C04A89" w:rsidP="00B35A22">
            <w:pPr>
              <w:widowControl w:val="0"/>
              <w:tabs>
                <w:tab w:val="left" w:pos="284"/>
              </w:tabs>
              <w:jc w:val="center"/>
              <w:rPr>
                <w:sz w:val="20"/>
                <w:lang w:val="sr-Latn-ME"/>
              </w:rPr>
            </w:pPr>
            <w:r w:rsidRPr="00B35A22">
              <w:rPr>
                <w:sz w:val="20"/>
                <w:lang w:val="sr-Latn-ME"/>
              </w:rPr>
              <w:t>19,8</w:t>
            </w:r>
          </w:p>
          <w:p w14:paraId="118ECBA8" w14:textId="77777777" w:rsidR="00C04A89" w:rsidRPr="00B35A22" w:rsidRDefault="00C04A89" w:rsidP="00B35A22">
            <w:pPr>
              <w:widowControl w:val="0"/>
              <w:tabs>
                <w:tab w:val="left" w:pos="284"/>
              </w:tabs>
              <w:jc w:val="center"/>
              <w:rPr>
                <w:sz w:val="20"/>
                <w:lang w:val="sr-Latn-ME"/>
              </w:rPr>
            </w:pPr>
            <w:r w:rsidRPr="00B35A22">
              <w:rPr>
                <w:sz w:val="20"/>
                <w:lang w:val="sr-Latn-ME"/>
              </w:rPr>
              <w:t>(17,4; 24,2)</w:t>
            </w:r>
          </w:p>
        </w:tc>
      </w:tr>
      <w:tr w:rsidR="00C04A89" w:rsidRPr="00B35A22" w14:paraId="5653D84C" w14:textId="77777777" w:rsidTr="00B35A22">
        <w:trPr>
          <w:cantSplit/>
        </w:trPr>
        <w:tc>
          <w:tcPr>
            <w:tcW w:w="2363" w:type="pct"/>
            <w:tcBorders>
              <w:top w:val="nil"/>
              <w:left w:val="single" w:sz="4" w:space="0" w:color="auto"/>
              <w:bottom w:val="single" w:sz="4" w:space="0" w:color="auto"/>
              <w:right w:val="nil"/>
            </w:tcBorders>
            <w:hideMark/>
          </w:tcPr>
          <w:p w14:paraId="415E4D0E" w14:textId="77777777" w:rsidR="00C04A89" w:rsidRPr="00B35A22" w:rsidRDefault="00C04A89" w:rsidP="00B35A22">
            <w:pPr>
              <w:widowControl w:val="0"/>
              <w:tabs>
                <w:tab w:val="left" w:pos="284"/>
              </w:tabs>
              <w:jc w:val="both"/>
              <w:rPr>
                <w:sz w:val="20"/>
                <w:lang w:val="sr-Latn-ME"/>
              </w:rPr>
            </w:pPr>
            <w:r w:rsidRPr="00B35A22">
              <w:rPr>
                <w:sz w:val="20"/>
                <w:lang w:val="sr-Latn-ME"/>
              </w:rPr>
              <w:t xml:space="preserve">Stratifikovan koeficijent rizika </w:t>
            </w:r>
            <w:r w:rsidRPr="00B35A22">
              <w:rPr>
                <w:sz w:val="20"/>
                <w:vertAlign w:val="superscript"/>
                <w:lang w:val="sr-Latn-ME"/>
              </w:rPr>
              <w:t>‡</w:t>
            </w:r>
            <w:r w:rsidRPr="00B35A22">
              <w:rPr>
                <w:sz w:val="20"/>
                <w:lang w:val="sr-Latn-ME"/>
              </w:rPr>
              <w:t>^ (95% CI)</w:t>
            </w:r>
          </w:p>
          <w:p w14:paraId="59BEDD8A" w14:textId="35B8048D" w:rsidR="00C04A89" w:rsidRPr="00B35A22" w:rsidRDefault="00C04A89" w:rsidP="00B35A22">
            <w:pPr>
              <w:widowControl w:val="0"/>
              <w:tabs>
                <w:tab w:val="left" w:pos="284"/>
              </w:tabs>
              <w:jc w:val="both"/>
              <w:rPr>
                <w:sz w:val="20"/>
                <w:lang w:val="sr-Latn-ME"/>
              </w:rPr>
            </w:pPr>
            <w:r w:rsidRPr="00B35A22">
              <w:rPr>
                <w:sz w:val="20"/>
                <w:lang w:val="sr-Latn-ME"/>
              </w:rPr>
              <w:t>p</w:t>
            </w:r>
            <w:r w:rsidRPr="00B35A22">
              <w:rPr>
                <w:sz w:val="20"/>
                <w:lang w:val="sr-Latn-ME"/>
              </w:rPr>
              <w:noBreakHyphen/>
              <w:t>vr</w:t>
            </w:r>
            <w:r w:rsidR="009E477F" w:rsidRPr="00B35A22">
              <w:rPr>
                <w:sz w:val="20"/>
                <w:lang w:val="sr-Latn-ME"/>
              </w:rPr>
              <w:t>ij</w:t>
            </w:r>
            <w:r w:rsidRPr="00B35A22">
              <w:rPr>
                <w:sz w:val="20"/>
                <w:lang w:val="sr-Latn-ME"/>
              </w:rPr>
              <w:t>ednost</w:t>
            </w:r>
            <w:r w:rsidRPr="00B35A22">
              <w:rPr>
                <w:sz w:val="20"/>
                <w:vertAlign w:val="superscript"/>
                <w:lang w:val="sr-Latn-ME"/>
              </w:rPr>
              <w:t>1,2</w:t>
            </w:r>
          </w:p>
        </w:tc>
        <w:tc>
          <w:tcPr>
            <w:tcW w:w="2637" w:type="pct"/>
            <w:gridSpan w:val="2"/>
            <w:tcBorders>
              <w:top w:val="nil"/>
              <w:left w:val="nil"/>
              <w:bottom w:val="single" w:sz="4" w:space="0" w:color="auto"/>
              <w:right w:val="single" w:sz="4" w:space="0" w:color="auto"/>
            </w:tcBorders>
            <w:hideMark/>
          </w:tcPr>
          <w:p w14:paraId="0A45CD9B" w14:textId="77777777" w:rsidR="00C04A89" w:rsidRPr="00B35A22" w:rsidRDefault="00C04A89" w:rsidP="00B35A22">
            <w:pPr>
              <w:widowControl w:val="0"/>
              <w:tabs>
                <w:tab w:val="left" w:pos="284"/>
              </w:tabs>
              <w:jc w:val="center"/>
              <w:rPr>
                <w:sz w:val="20"/>
                <w:lang w:val="sr-Latn-ME"/>
              </w:rPr>
            </w:pPr>
            <w:r w:rsidRPr="00B35A22">
              <w:rPr>
                <w:sz w:val="20"/>
                <w:lang w:val="sr-Latn-ME"/>
              </w:rPr>
              <w:t>0,90 (0,74; 1,10)</w:t>
            </w:r>
          </w:p>
          <w:p w14:paraId="571C9F5A" w14:textId="77777777" w:rsidR="00DB0C10" w:rsidRPr="00B35A22" w:rsidRDefault="00DB0C10" w:rsidP="00B35A22">
            <w:pPr>
              <w:widowControl w:val="0"/>
              <w:tabs>
                <w:tab w:val="left" w:pos="284"/>
              </w:tabs>
              <w:jc w:val="center"/>
              <w:rPr>
                <w:sz w:val="20"/>
                <w:lang w:val="sr-Latn-ME"/>
              </w:rPr>
            </w:pPr>
          </w:p>
          <w:p w14:paraId="32ED57F3" w14:textId="3664E11B" w:rsidR="00C04A89" w:rsidRPr="00B35A22" w:rsidRDefault="00C04A89" w:rsidP="00B35A22">
            <w:pPr>
              <w:widowControl w:val="0"/>
              <w:tabs>
                <w:tab w:val="left" w:pos="284"/>
              </w:tabs>
              <w:jc w:val="center"/>
              <w:rPr>
                <w:sz w:val="20"/>
                <w:lang w:val="sr-Latn-ME"/>
              </w:rPr>
            </w:pPr>
            <w:r w:rsidRPr="00B35A22">
              <w:rPr>
                <w:sz w:val="20"/>
                <w:lang w:val="sr-Latn-ME"/>
              </w:rPr>
              <w:t>0,3000</w:t>
            </w:r>
          </w:p>
        </w:tc>
      </w:tr>
    </w:tbl>
    <w:p w14:paraId="699DBF56" w14:textId="77777777" w:rsidR="00C04A89" w:rsidRPr="00B35A22" w:rsidRDefault="00C04A89" w:rsidP="00B35A22">
      <w:pPr>
        <w:widowControl w:val="0"/>
        <w:tabs>
          <w:tab w:val="left" w:pos="284"/>
        </w:tabs>
        <w:ind w:left="142"/>
        <w:contextualSpacing/>
        <w:jc w:val="both"/>
        <w:rPr>
          <w:sz w:val="20"/>
          <w:lang w:val="sr-Latn-ME"/>
        </w:rPr>
      </w:pPr>
      <w:r w:rsidRPr="00B35A22">
        <w:rPr>
          <w:sz w:val="20"/>
          <w:vertAlign w:val="superscript"/>
          <w:lang w:val="sr-Latn-ME"/>
        </w:rPr>
        <w:t>1</w:t>
      </w:r>
      <w:r w:rsidRPr="00B35A22">
        <w:rPr>
          <w:sz w:val="20"/>
          <w:lang w:val="sr-Latn-ME"/>
        </w:rPr>
        <w:t xml:space="preserve"> Na osnovu stratifikovanog log</w:t>
      </w:r>
      <w:r w:rsidRPr="00B35A22">
        <w:rPr>
          <w:sz w:val="20"/>
          <w:lang w:val="sr-Latn-ME"/>
        </w:rPr>
        <w:noBreakHyphen/>
        <w:t>rang testa</w:t>
      </w:r>
    </w:p>
    <w:p w14:paraId="63C23D60" w14:textId="192AC54F" w:rsidR="00C04A89" w:rsidRPr="00B35A22" w:rsidRDefault="00C04A89" w:rsidP="00B35A22">
      <w:pPr>
        <w:widowControl w:val="0"/>
        <w:tabs>
          <w:tab w:val="left" w:pos="284"/>
        </w:tabs>
        <w:ind w:left="142"/>
        <w:contextualSpacing/>
        <w:jc w:val="both"/>
        <w:rPr>
          <w:sz w:val="20"/>
          <w:lang w:val="sr-Latn-ME"/>
        </w:rPr>
      </w:pPr>
      <w:r w:rsidRPr="00B35A22">
        <w:rPr>
          <w:sz w:val="20"/>
          <w:vertAlign w:val="superscript"/>
          <w:lang w:val="sr-Latn-ME"/>
        </w:rPr>
        <w:t>2</w:t>
      </w:r>
      <w:r w:rsidRPr="00B35A22">
        <w:rPr>
          <w:sz w:val="20"/>
          <w:shd w:val="clear" w:color="auto" w:fill="FFFFFF"/>
          <w:lang w:val="sr-Latn-ME"/>
        </w:rPr>
        <w:t xml:space="preserve"> Samo u informativne svrhe</w:t>
      </w:r>
      <w:r w:rsidRPr="00B35A22">
        <w:rPr>
          <w:sz w:val="20"/>
          <w:lang w:val="sr-Latn-ME"/>
        </w:rPr>
        <w:t>; poređenja između grupe A i grupe B u ITT populaciji ni</w:t>
      </w:r>
      <w:r w:rsidR="00DB0C10" w:rsidRPr="00B35A22">
        <w:rPr>
          <w:sz w:val="20"/>
          <w:lang w:val="sr-Latn-ME"/>
        </w:rPr>
        <w:t>je</w:t>
      </w:r>
      <w:r w:rsidRPr="00B35A22">
        <w:rPr>
          <w:sz w:val="20"/>
          <w:lang w:val="sr-Latn-ME"/>
        </w:rPr>
        <w:t>su bila obuhvaćena unapr</w:t>
      </w:r>
      <w:r w:rsidR="00DB0C10" w:rsidRPr="00B35A22">
        <w:rPr>
          <w:sz w:val="20"/>
          <w:lang w:val="sr-Latn-ME"/>
        </w:rPr>
        <w:t>ij</w:t>
      </w:r>
      <w:r w:rsidRPr="00B35A22">
        <w:rPr>
          <w:sz w:val="20"/>
          <w:lang w:val="sr-Latn-ME"/>
        </w:rPr>
        <w:t>ed specifi</w:t>
      </w:r>
      <w:r w:rsidR="00DB0C10" w:rsidRPr="00B35A22">
        <w:rPr>
          <w:sz w:val="20"/>
          <w:lang w:val="sr-Latn-ME"/>
        </w:rPr>
        <w:t>kovanom</w:t>
      </w:r>
      <w:r w:rsidRPr="00B35A22">
        <w:rPr>
          <w:sz w:val="20"/>
          <w:lang w:val="sr-Latn-ME"/>
        </w:rPr>
        <w:t xml:space="preserve"> hijerarhijskom analizom</w:t>
      </w:r>
    </w:p>
    <w:p w14:paraId="2DB984BC" w14:textId="77777777" w:rsidR="00C04A89" w:rsidRPr="00B35A22" w:rsidRDefault="00C04A89" w:rsidP="00B35A22">
      <w:pPr>
        <w:widowControl w:val="0"/>
        <w:tabs>
          <w:tab w:val="left" w:pos="284"/>
        </w:tabs>
        <w:ind w:left="142"/>
        <w:contextualSpacing/>
        <w:jc w:val="both"/>
        <w:rPr>
          <w:sz w:val="20"/>
          <w:lang w:val="sr-Latn-ME"/>
        </w:rPr>
      </w:pPr>
      <w:r w:rsidRPr="00B35A22">
        <w:rPr>
          <w:sz w:val="20"/>
          <w:vertAlign w:val="superscript"/>
          <w:lang w:val="sr-Latn-ME"/>
        </w:rPr>
        <w:t>‡</w:t>
      </w:r>
      <w:r w:rsidRPr="00B35A22">
        <w:rPr>
          <w:sz w:val="20"/>
          <w:lang w:val="sr-Latn-ME"/>
        </w:rPr>
        <w:t xml:space="preserve"> Stratifikovano prema polu, prisutnosti jetrenih metastaza i PD-L1 ekspresiji na tumorskim ćelijama i ćelijama imunskog sistema koje se infiltriraju u tumor </w:t>
      </w:r>
    </w:p>
    <w:p w14:paraId="4125F99D" w14:textId="77777777" w:rsidR="00C04A89" w:rsidRPr="00B35A22" w:rsidRDefault="00C04A89" w:rsidP="00B35A22">
      <w:pPr>
        <w:widowControl w:val="0"/>
        <w:tabs>
          <w:tab w:val="left" w:pos="284"/>
        </w:tabs>
        <w:ind w:left="142"/>
        <w:contextualSpacing/>
        <w:jc w:val="both"/>
        <w:rPr>
          <w:sz w:val="20"/>
          <w:lang w:val="sr-Latn-ME"/>
        </w:rPr>
      </w:pPr>
      <w:r w:rsidRPr="00B35A22">
        <w:rPr>
          <w:sz w:val="20"/>
          <w:lang w:val="sr-Latn-ME"/>
        </w:rPr>
        <w:t>* Analiza ažuriranih podataka za PFS i interim analiza podataka za OS u trenutku prekida prikupljanja kliničkih podataka 22. januara 2018.</w:t>
      </w:r>
    </w:p>
    <w:p w14:paraId="68E5C34A" w14:textId="77777777" w:rsidR="00C04A89" w:rsidRPr="00B35A22" w:rsidRDefault="00C04A89" w:rsidP="00B35A22">
      <w:pPr>
        <w:widowControl w:val="0"/>
        <w:tabs>
          <w:tab w:val="left" w:pos="284"/>
        </w:tabs>
        <w:ind w:left="142"/>
        <w:jc w:val="both"/>
        <w:rPr>
          <w:sz w:val="20"/>
          <w:lang w:val="sr-Latn-ME"/>
        </w:rPr>
      </w:pPr>
      <w:r w:rsidRPr="00B35A22">
        <w:rPr>
          <w:sz w:val="20"/>
          <w:lang w:val="sr-Latn-ME"/>
        </w:rPr>
        <w:t xml:space="preserve">^ Grupa A je poredbena grupa za sve koeficijente rizika </w:t>
      </w:r>
    </w:p>
    <w:p w14:paraId="5181E41E" w14:textId="77777777" w:rsidR="00C04A89" w:rsidRPr="00B35A22" w:rsidRDefault="00C04A89" w:rsidP="00B35A22">
      <w:pPr>
        <w:widowControl w:val="0"/>
        <w:tabs>
          <w:tab w:val="left" w:pos="284"/>
        </w:tabs>
        <w:ind w:left="142"/>
        <w:jc w:val="both"/>
        <w:rPr>
          <w:sz w:val="20"/>
          <w:lang w:val="sr-Latn-ME"/>
        </w:rPr>
      </w:pPr>
    </w:p>
    <w:p w14:paraId="7F1944DC" w14:textId="192FD198" w:rsidR="00C04A89" w:rsidRPr="00B35A22" w:rsidRDefault="00C04A89" w:rsidP="00B35A22">
      <w:pPr>
        <w:widowControl w:val="0"/>
        <w:tabs>
          <w:tab w:val="left" w:pos="284"/>
        </w:tabs>
        <w:jc w:val="both"/>
        <w:rPr>
          <w:rFonts w:eastAsia="Calibri"/>
          <w:b/>
          <w:sz w:val="22"/>
          <w:lang w:val="sr-Latn-ME"/>
        </w:rPr>
      </w:pPr>
      <w:r w:rsidRPr="00B35A22">
        <w:rPr>
          <w:rFonts w:eastAsia="Calibri"/>
          <w:b/>
          <w:sz w:val="22"/>
          <w:lang w:val="sr-Latn-ME"/>
        </w:rPr>
        <w:t>Slika </w:t>
      </w:r>
      <w:r w:rsidR="00D5115F" w:rsidRPr="00B35A22">
        <w:rPr>
          <w:rFonts w:eastAsia="Calibri"/>
          <w:b/>
          <w:sz w:val="22"/>
          <w:lang w:val="sr-Latn-ME"/>
        </w:rPr>
        <w:t>4</w:t>
      </w:r>
      <w:r w:rsidRPr="00B35A22">
        <w:rPr>
          <w:rFonts w:eastAsia="Calibri"/>
          <w:b/>
          <w:sz w:val="22"/>
          <w:lang w:val="sr-Latn-ME"/>
        </w:rPr>
        <w:t xml:space="preserve">: </w:t>
      </w:r>
      <w:r w:rsidRPr="00B35A22">
        <w:rPr>
          <w:rFonts w:eastAsia="Calibri"/>
          <w:b/>
          <w:i/>
          <w:sz w:val="22"/>
          <w:lang w:val="sr-Latn-ME"/>
        </w:rPr>
        <w:t>Kaplan</w:t>
      </w:r>
      <w:r w:rsidRPr="00B35A22">
        <w:rPr>
          <w:rFonts w:eastAsia="Calibri"/>
          <w:b/>
          <w:i/>
          <w:sz w:val="22"/>
          <w:lang w:val="sr-Latn-ME"/>
        </w:rPr>
        <w:noBreakHyphen/>
        <w:t>Meier</w:t>
      </w:r>
      <w:r w:rsidR="00D60B4D" w:rsidRPr="00B35A22">
        <w:rPr>
          <w:rFonts w:eastAsia="Calibri"/>
          <w:b/>
          <w:sz w:val="22"/>
          <w:lang w:val="sr-Latn-ME"/>
        </w:rPr>
        <w:t>-</w:t>
      </w:r>
      <w:r w:rsidRPr="00B35A22">
        <w:rPr>
          <w:rFonts w:eastAsia="Calibri"/>
          <w:b/>
          <w:sz w:val="22"/>
          <w:lang w:val="sr-Latn-ME"/>
        </w:rPr>
        <w:t>ova kriva ukupnog preživljavanja u ITT populaciji (IMpower150)</w:t>
      </w:r>
    </w:p>
    <w:p w14:paraId="0773B6B1" w14:textId="77777777" w:rsidR="00C04A89" w:rsidRPr="00B35A22" w:rsidRDefault="00C04A89" w:rsidP="00B35A22">
      <w:pPr>
        <w:widowControl w:val="0"/>
        <w:tabs>
          <w:tab w:val="left" w:pos="284"/>
        </w:tabs>
        <w:jc w:val="both"/>
        <w:rPr>
          <w:rFonts w:eastAsia="Calibri"/>
          <w:b/>
          <w:sz w:val="22"/>
          <w:lang w:val="sr-Latn-ME"/>
        </w:rPr>
      </w:pPr>
    </w:p>
    <w:p w14:paraId="7D34670F" w14:textId="18E037BA" w:rsidR="00C04A89" w:rsidRPr="00B35A22" w:rsidRDefault="00C04A89" w:rsidP="00B35A22">
      <w:pPr>
        <w:widowControl w:val="0"/>
        <w:tabs>
          <w:tab w:val="left" w:pos="284"/>
        </w:tabs>
        <w:jc w:val="both"/>
        <w:rPr>
          <w:rFonts w:eastAsia="Calibri"/>
          <w:b/>
          <w:sz w:val="22"/>
          <w:lang w:val="sr-Latn-ME"/>
        </w:rPr>
      </w:pPr>
    </w:p>
    <w:p w14:paraId="5E62A495" w14:textId="68037AF6" w:rsidR="00C04A89" w:rsidRPr="00B35A22" w:rsidRDefault="002D3A92" w:rsidP="00B35A22">
      <w:pPr>
        <w:widowControl w:val="0"/>
        <w:tabs>
          <w:tab w:val="left" w:pos="284"/>
        </w:tabs>
        <w:jc w:val="both"/>
        <w:rPr>
          <w:rFonts w:eastAsia="Calibri"/>
          <w:b/>
          <w:sz w:val="22"/>
          <w:lang w:val="sr-Latn-ME"/>
        </w:rPr>
      </w:pPr>
      <w:r w:rsidRPr="00B35A22">
        <w:rPr>
          <w:lang w:val="sr-Latn-ME" w:eastAsia="sr-Latn-ME"/>
        </w:rPr>
        <w:drawing>
          <wp:inline distT="0" distB="0" distL="0" distR="0" wp14:anchorId="68911471" wp14:editId="74CF5750">
            <wp:extent cx="5768975" cy="245364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8975" cy="2453640"/>
                    </a:xfrm>
                    <a:prstGeom prst="rect">
                      <a:avLst/>
                    </a:prstGeom>
                  </pic:spPr>
                </pic:pic>
              </a:graphicData>
            </a:graphic>
          </wp:inline>
        </w:drawing>
      </w:r>
    </w:p>
    <w:p w14:paraId="7AA11397" w14:textId="166AC33A" w:rsidR="00C04A89" w:rsidRPr="00B35A22" w:rsidRDefault="00D52D7D" w:rsidP="00B35A22">
      <w:pPr>
        <w:widowControl w:val="0"/>
        <w:tabs>
          <w:tab w:val="left" w:pos="284"/>
        </w:tabs>
        <w:jc w:val="both"/>
        <w:rPr>
          <w:b/>
          <w:sz w:val="22"/>
          <w:lang w:val="sr-Latn-ME"/>
        </w:rPr>
      </w:pPr>
      <w:r w:rsidRPr="00B35A22">
        <w:rPr>
          <w:b/>
          <w:sz w:val="22"/>
          <w:lang w:val="sr-Latn-ME"/>
        </w:rPr>
        <w:t xml:space="preserve">Slika </w:t>
      </w:r>
      <w:r w:rsidR="00D5115F" w:rsidRPr="00B35A22">
        <w:rPr>
          <w:b/>
          <w:sz w:val="22"/>
          <w:lang w:val="sr-Latn-ME"/>
        </w:rPr>
        <w:t>5</w:t>
      </w:r>
      <w:r w:rsidR="00C04A89" w:rsidRPr="00B35A22">
        <w:rPr>
          <w:b/>
          <w:sz w:val="22"/>
          <w:lang w:val="sr-Latn-ME"/>
        </w:rPr>
        <w:t xml:space="preserve">: Grafički prikaz (engl. </w:t>
      </w:r>
      <w:r w:rsidR="00C04A89" w:rsidRPr="00B35A22">
        <w:rPr>
          <w:b/>
          <w:i/>
          <w:sz w:val="22"/>
          <w:lang w:val="sr-Latn-ME"/>
        </w:rPr>
        <w:t>forest plot</w:t>
      </w:r>
      <w:r w:rsidR="00C04A89" w:rsidRPr="00B35A22">
        <w:rPr>
          <w:b/>
          <w:sz w:val="22"/>
          <w:lang w:val="sr-Latn-ME"/>
        </w:rPr>
        <w:t>) za ukupno preživljavanje prema PD</w:t>
      </w:r>
      <w:r w:rsidR="00C04A89" w:rsidRPr="00B35A22">
        <w:rPr>
          <w:b/>
          <w:sz w:val="22"/>
          <w:lang w:val="sr-Latn-ME"/>
        </w:rPr>
        <w:noBreakHyphen/>
        <w:t xml:space="preserve">L1 ekspresiji u ITT populaciji, grupa B u odnosu na grupu C (IMpower150) </w:t>
      </w:r>
    </w:p>
    <w:p w14:paraId="10797C39" w14:textId="629D5A82" w:rsidR="00C04A89" w:rsidRPr="00B35A22" w:rsidRDefault="00C04A89" w:rsidP="00B35A22">
      <w:pPr>
        <w:widowControl w:val="0"/>
        <w:tabs>
          <w:tab w:val="left" w:pos="284"/>
        </w:tabs>
        <w:jc w:val="both"/>
        <w:rPr>
          <w:rFonts w:cs="Arial"/>
          <w:b/>
          <w:sz w:val="22"/>
          <w:szCs w:val="22"/>
          <w:lang w:val="sr-Latn-ME" w:eastAsia="zh-CN"/>
        </w:rPr>
      </w:pPr>
    </w:p>
    <w:p w14:paraId="1F9F4DA2" w14:textId="16BC4D54" w:rsidR="00C04A89" w:rsidRPr="00B35A22" w:rsidRDefault="00D102A7" w:rsidP="00B35A22">
      <w:pPr>
        <w:widowControl w:val="0"/>
        <w:tabs>
          <w:tab w:val="left" w:pos="284"/>
        </w:tabs>
        <w:jc w:val="both"/>
        <w:rPr>
          <w:rFonts w:eastAsia="Calibri"/>
          <w:b/>
          <w:sz w:val="22"/>
          <w:lang w:val="sr-Latn-ME"/>
        </w:rPr>
      </w:pPr>
      <w:r w:rsidRPr="00B35A22">
        <w:rPr>
          <w:lang w:val="sr-Latn-ME" w:eastAsia="sr-Latn-ME"/>
        </w:rPr>
        <w:lastRenderedPageBreak/>
        <w:drawing>
          <wp:inline distT="0" distB="0" distL="0" distR="0" wp14:anchorId="50EF4C22" wp14:editId="4F04D515">
            <wp:extent cx="5768975" cy="23698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975" cy="2369820"/>
                    </a:xfrm>
                    <a:prstGeom prst="rect">
                      <a:avLst/>
                    </a:prstGeom>
                  </pic:spPr>
                </pic:pic>
              </a:graphicData>
            </a:graphic>
          </wp:inline>
        </w:drawing>
      </w:r>
    </w:p>
    <w:p w14:paraId="6FEABABF" w14:textId="77777777" w:rsidR="00387F7D" w:rsidRPr="00B35A22" w:rsidRDefault="00387F7D" w:rsidP="00B35A22">
      <w:pPr>
        <w:widowControl w:val="0"/>
        <w:tabs>
          <w:tab w:val="left" w:pos="284"/>
        </w:tabs>
        <w:jc w:val="both"/>
        <w:rPr>
          <w:rFonts w:eastAsia="Calibri"/>
          <w:b/>
          <w:sz w:val="22"/>
          <w:lang w:val="sr-Latn-ME"/>
        </w:rPr>
      </w:pPr>
    </w:p>
    <w:p w14:paraId="3D71F8CC" w14:textId="2A072A33" w:rsidR="00C04A89" w:rsidRPr="00B35A22" w:rsidRDefault="00C04A89" w:rsidP="00B35A22">
      <w:pPr>
        <w:widowControl w:val="0"/>
        <w:tabs>
          <w:tab w:val="left" w:pos="284"/>
        </w:tabs>
        <w:jc w:val="both"/>
        <w:rPr>
          <w:rFonts w:eastAsia="Calibri"/>
          <w:b/>
          <w:sz w:val="22"/>
          <w:lang w:val="sr-Latn-ME"/>
        </w:rPr>
      </w:pPr>
      <w:r w:rsidRPr="00B35A22">
        <w:rPr>
          <w:rFonts w:eastAsia="Calibri"/>
          <w:b/>
          <w:sz w:val="22"/>
          <w:lang w:val="sr-Latn-ME"/>
        </w:rPr>
        <w:t xml:space="preserve">Slika </w:t>
      </w:r>
      <w:r w:rsidR="00D5115F" w:rsidRPr="00B35A22">
        <w:rPr>
          <w:rFonts w:eastAsia="Calibri"/>
          <w:b/>
          <w:sz w:val="22"/>
          <w:lang w:val="sr-Latn-ME"/>
        </w:rPr>
        <w:t>6</w:t>
      </w:r>
      <w:r w:rsidRPr="00B35A22">
        <w:rPr>
          <w:rFonts w:eastAsia="Calibri"/>
          <w:b/>
          <w:sz w:val="22"/>
          <w:lang w:val="sr-Latn-ME"/>
        </w:rPr>
        <w:t xml:space="preserve">: </w:t>
      </w:r>
      <w:r w:rsidRPr="00B35A22">
        <w:rPr>
          <w:rFonts w:eastAsia="Calibri"/>
          <w:b/>
          <w:i/>
          <w:sz w:val="22"/>
          <w:lang w:val="sr-Latn-ME"/>
        </w:rPr>
        <w:t>Kaplan</w:t>
      </w:r>
      <w:r w:rsidRPr="00B35A22">
        <w:rPr>
          <w:rFonts w:eastAsia="Calibri"/>
          <w:b/>
          <w:i/>
          <w:sz w:val="22"/>
          <w:lang w:val="sr-Latn-ME"/>
        </w:rPr>
        <w:noBreakHyphen/>
        <w:t>Meier</w:t>
      </w:r>
      <w:r w:rsidRPr="00B35A22">
        <w:rPr>
          <w:rFonts w:eastAsia="Calibri"/>
          <w:b/>
          <w:sz w:val="22"/>
          <w:lang w:val="sr-Latn-ME"/>
        </w:rPr>
        <w:t>-ova kriva PFS</w:t>
      </w:r>
      <w:r w:rsidRPr="00B35A22">
        <w:rPr>
          <w:rFonts w:eastAsia="Calibri"/>
          <w:b/>
          <w:sz w:val="22"/>
          <w:lang w:val="sr-Latn-ME"/>
        </w:rPr>
        <w:noBreakHyphen/>
        <w:t>a u ITT populaciji (IMpower150)</w:t>
      </w:r>
    </w:p>
    <w:p w14:paraId="586285BF" w14:textId="77777777" w:rsidR="00C04A89" w:rsidRPr="00B35A22" w:rsidRDefault="00C04A89" w:rsidP="00B35A22">
      <w:pPr>
        <w:widowControl w:val="0"/>
        <w:tabs>
          <w:tab w:val="left" w:pos="284"/>
        </w:tabs>
        <w:jc w:val="both"/>
        <w:rPr>
          <w:b/>
          <w:color w:val="000000"/>
          <w:sz w:val="22"/>
          <w:lang w:val="sr-Latn-ME"/>
        </w:rPr>
      </w:pPr>
    </w:p>
    <w:p w14:paraId="5D72438A" w14:textId="77777777" w:rsidR="00387F7D" w:rsidRPr="00B35A22" w:rsidRDefault="00D86E6C" w:rsidP="00B35A22">
      <w:pPr>
        <w:widowControl w:val="0"/>
        <w:tabs>
          <w:tab w:val="left" w:pos="284"/>
        </w:tabs>
        <w:jc w:val="both"/>
        <w:rPr>
          <w:b/>
          <w:sz w:val="22"/>
          <w:lang w:val="sr-Latn-ME"/>
        </w:rPr>
      </w:pPr>
      <w:r w:rsidRPr="00B35A22">
        <w:rPr>
          <w:lang w:val="sr-Latn-ME" w:eastAsia="sr-Latn-ME"/>
        </w:rPr>
        <w:drawing>
          <wp:inline distT="0" distB="0" distL="0" distR="0" wp14:anchorId="2D6D469F" wp14:editId="543B19BA">
            <wp:extent cx="5768975" cy="24003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35" b="4796"/>
                    <a:stretch/>
                  </pic:blipFill>
                  <pic:spPr bwMode="auto">
                    <a:xfrm>
                      <a:off x="0" y="0"/>
                      <a:ext cx="5768975" cy="2400300"/>
                    </a:xfrm>
                    <a:prstGeom prst="rect">
                      <a:avLst/>
                    </a:prstGeom>
                    <a:ln>
                      <a:noFill/>
                    </a:ln>
                    <a:extLst>
                      <a:ext uri="{53640926-AAD7-44D8-BBD7-CCE9431645EC}">
                        <a14:shadowObscured xmlns:a14="http://schemas.microsoft.com/office/drawing/2010/main"/>
                      </a:ext>
                    </a:extLst>
                  </pic:spPr>
                </pic:pic>
              </a:graphicData>
            </a:graphic>
          </wp:inline>
        </w:drawing>
      </w:r>
    </w:p>
    <w:p w14:paraId="5E7B7963" w14:textId="77777777" w:rsidR="00387F7D" w:rsidRPr="00B35A22" w:rsidRDefault="00387F7D" w:rsidP="00B35A22">
      <w:pPr>
        <w:widowControl w:val="0"/>
        <w:tabs>
          <w:tab w:val="left" w:pos="284"/>
        </w:tabs>
        <w:jc w:val="both"/>
        <w:rPr>
          <w:b/>
          <w:sz w:val="22"/>
          <w:lang w:val="sr-Latn-ME"/>
        </w:rPr>
      </w:pPr>
    </w:p>
    <w:p w14:paraId="7BA02C36" w14:textId="3B704E5F" w:rsidR="00C04A89" w:rsidRPr="00B35A22" w:rsidRDefault="00C04A89" w:rsidP="00B35A22">
      <w:pPr>
        <w:widowControl w:val="0"/>
        <w:tabs>
          <w:tab w:val="left" w:pos="284"/>
        </w:tabs>
        <w:jc w:val="both"/>
        <w:rPr>
          <w:b/>
          <w:sz w:val="22"/>
          <w:lang w:val="sr-Latn-ME"/>
        </w:rPr>
      </w:pPr>
      <w:r w:rsidRPr="00B35A22">
        <w:rPr>
          <w:b/>
          <w:sz w:val="22"/>
          <w:lang w:val="sr-Latn-ME"/>
        </w:rPr>
        <w:t xml:space="preserve">Slika </w:t>
      </w:r>
      <w:r w:rsidR="00D5115F" w:rsidRPr="00B35A22">
        <w:rPr>
          <w:b/>
          <w:sz w:val="22"/>
          <w:lang w:val="sr-Latn-ME"/>
        </w:rPr>
        <w:t>7</w:t>
      </w:r>
      <w:r w:rsidRPr="00B35A22">
        <w:rPr>
          <w:b/>
          <w:sz w:val="22"/>
          <w:lang w:val="sr-Latn-ME"/>
        </w:rPr>
        <w:t xml:space="preserve">: Grafički prikaz (engl. </w:t>
      </w:r>
      <w:r w:rsidRPr="00B35A22">
        <w:rPr>
          <w:b/>
          <w:i/>
          <w:sz w:val="22"/>
          <w:lang w:val="sr-Latn-ME"/>
        </w:rPr>
        <w:t>forest plot</w:t>
      </w:r>
      <w:r w:rsidRPr="00B35A22">
        <w:rPr>
          <w:b/>
          <w:sz w:val="22"/>
          <w:lang w:val="sr-Latn-ME"/>
        </w:rPr>
        <w:t>) za preživljavanje bez progresije bolesti prema PD</w:t>
      </w:r>
      <w:r w:rsidRPr="00B35A22">
        <w:rPr>
          <w:b/>
          <w:sz w:val="22"/>
          <w:lang w:val="sr-Latn-ME"/>
        </w:rPr>
        <w:noBreakHyphen/>
        <w:t xml:space="preserve">L1 ekspresiji u ITT populaciji, grupa B u odnosu na grupu C (IMpower150) </w:t>
      </w:r>
    </w:p>
    <w:p w14:paraId="4ACCFDF1" w14:textId="4B302411" w:rsidR="00C04A89" w:rsidRPr="00B35A22" w:rsidRDefault="00C04A89" w:rsidP="00B35A22">
      <w:pPr>
        <w:widowControl w:val="0"/>
        <w:tabs>
          <w:tab w:val="left" w:pos="284"/>
        </w:tabs>
        <w:jc w:val="both"/>
        <w:rPr>
          <w:b/>
          <w:sz w:val="22"/>
          <w:szCs w:val="22"/>
          <w:lang w:val="sr-Latn-ME"/>
        </w:rPr>
      </w:pPr>
      <w:r w:rsidRPr="00B35A22">
        <w:rPr>
          <w:b/>
          <w:sz w:val="22"/>
          <w:lang w:val="sr-Latn-ME"/>
        </w:rPr>
        <w:t xml:space="preserve"> </w:t>
      </w:r>
    </w:p>
    <w:p w14:paraId="3536D6CD" w14:textId="2DFECBE1" w:rsidR="00C04A89" w:rsidRPr="00B35A22" w:rsidRDefault="00F05491" w:rsidP="00B35A22">
      <w:pPr>
        <w:widowControl w:val="0"/>
        <w:tabs>
          <w:tab w:val="left" w:pos="284"/>
        </w:tabs>
        <w:jc w:val="both"/>
        <w:rPr>
          <w:b/>
          <w:sz w:val="22"/>
          <w:lang w:val="sr-Latn-ME"/>
        </w:rPr>
      </w:pPr>
      <w:r w:rsidRPr="00B35A22">
        <w:rPr>
          <w:lang w:val="sr-Latn-ME" w:eastAsia="sr-Latn-ME"/>
        </w:rPr>
        <w:drawing>
          <wp:inline distT="0" distB="0" distL="0" distR="0" wp14:anchorId="22E04531" wp14:editId="26E1C371">
            <wp:extent cx="5768975" cy="2354580"/>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975" cy="2354580"/>
                    </a:xfrm>
                    <a:prstGeom prst="rect">
                      <a:avLst/>
                    </a:prstGeom>
                  </pic:spPr>
                </pic:pic>
              </a:graphicData>
            </a:graphic>
          </wp:inline>
        </w:drawing>
      </w:r>
    </w:p>
    <w:p w14:paraId="13DB3E8F" w14:textId="349AE198" w:rsidR="00C04A89" w:rsidRPr="00B35A22" w:rsidRDefault="00C04A89" w:rsidP="00B35A22">
      <w:pPr>
        <w:widowControl w:val="0"/>
        <w:tabs>
          <w:tab w:val="left" w:pos="284"/>
        </w:tabs>
        <w:jc w:val="both"/>
        <w:rPr>
          <w:sz w:val="22"/>
          <w:lang w:val="sr-Latn-ME"/>
        </w:rPr>
      </w:pPr>
      <w:r w:rsidRPr="00B35A22">
        <w:rPr>
          <w:sz w:val="22"/>
          <w:lang w:val="sr-Latn-ME"/>
        </w:rPr>
        <w:t>U grupi B u odnosu na grupu C, analize podataka za unapr</w:t>
      </w:r>
      <w:r w:rsidR="008C2B17" w:rsidRPr="00B35A22">
        <w:rPr>
          <w:sz w:val="22"/>
          <w:lang w:val="sr-Latn-ME"/>
        </w:rPr>
        <w:t>ij</w:t>
      </w:r>
      <w:r w:rsidRPr="00B35A22">
        <w:rPr>
          <w:sz w:val="22"/>
          <w:lang w:val="sr-Latn-ME"/>
        </w:rPr>
        <w:t>ed specifikovane podgrupe iz interim analize OS</w:t>
      </w:r>
      <w:r w:rsidRPr="00B35A22">
        <w:rPr>
          <w:sz w:val="22"/>
          <w:lang w:val="sr-Latn-ME"/>
        </w:rPr>
        <w:noBreakHyphen/>
        <w:t>a, pokazale su poboljšanje OS</w:t>
      </w:r>
      <w:r w:rsidRPr="00B35A22">
        <w:rPr>
          <w:sz w:val="22"/>
          <w:lang w:val="sr-Latn-ME"/>
        </w:rPr>
        <w:noBreakHyphen/>
        <w:t>a kod pacijenata sa EGFR mutacijama ili prom</w:t>
      </w:r>
      <w:r w:rsidR="00042108" w:rsidRPr="00B35A22">
        <w:rPr>
          <w:sz w:val="22"/>
          <w:lang w:val="sr-Latn-ME"/>
        </w:rPr>
        <w:t>j</w:t>
      </w:r>
      <w:r w:rsidRPr="00B35A22">
        <w:rPr>
          <w:sz w:val="22"/>
          <w:lang w:val="sr-Latn-ME"/>
        </w:rPr>
        <w:t>enama u redosl</w:t>
      </w:r>
      <w:r w:rsidR="00042108" w:rsidRPr="00B35A22">
        <w:rPr>
          <w:sz w:val="22"/>
          <w:lang w:val="sr-Latn-ME"/>
        </w:rPr>
        <w:t>j</w:t>
      </w:r>
      <w:r w:rsidRPr="00B35A22">
        <w:rPr>
          <w:sz w:val="22"/>
          <w:lang w:val="sr-Latn-ME"/>
        </w:rPr>
        <w:t>edu baza u genu ALK (koeficijent rizika [HR] od 0,54, 95% CI: 0,29, 1,03; medijana OS nije postignuta naspram 17,5 m</w:t>
      </w:r>
      <w:r w:rsidR="003E771E" w:rsidRPr="00B35A22">
        <w:rPr>
          <w:sz w:val="22"/>
          <w:lang w:val="sr-Latn-ME"/>
        </w:rPr>
        <w:t>j</w:t>
      </w:r>
      <w:r w:rsidRPr="00B35A22">
        <w:rPr>
          <w:sz w:val="22"/>
          <w:lang w:val="sr-Latn-ME"/>
        </w:rPr>
        <w:t>eseci)</w:t>
      </w:r>
      <w:r w:rsidRPr="00B35A22" w:rsidDel="00B314C6">
        <w:rPr>
          <w:sz w:val="22"/>
          <w:lang w:val="sr-Latn-ME"/>
        </w:rPr>
        <w:t xml:space="preserve"> </w:t>
      </w:r>
      <w:r w:rsidRPr="00B35A22">
        <w:rPr>
          <w:sz w:val="22"/>
          <w:lang w:val="sr-Latn-ME"/>
        </w:rPr>
        <w:t>kao i kod onih sa jetrenim metastazama (HR od 0,52, 95% CI: 0,33, 0,82; medijana OS 13,3 naspram 9,4 m</w:t>
      </w:r>
      <w:r w:rsidR="003E771E" w:rsidRPr="00B35A22">
        <w:rPr>
          <w:sz w:val="22"/>
          <w:lang w:val="sr-Latn-ME"/>
        </w:rPr>
        <w:t>j</w:t>
      </w:r>
      <w:r w:rsidRPr="00B35A22">
        <w:rPr>
          <w:sz w:val="22"/>
          <w:lang w:val="sr-Latn-ME"/>
        </w:rPr>
        <w:t>eseci). Takođe, prim</w:t>
      </w:r>
      <w:r w:rsidR="005F0253" w:rsidRPr="00B35A22">
        <w:rPr>
          <w:sz w:val="22"/>
          <w:lang w:val="sr-Latn-ME"/>
        </w:rPr>
        <w:t>i</w:t>
      </w:r>
      <w:r w:rsidR="00042108" w:rsidRPr="00B35A22">
        <w:rPr>
          <w:sz w:val="22"/>
          <w:lang w:val="sr-Latn-ME"/>
        </w:rPr>
        <w:t>j</w:t>
      </w:r>
      <w:r w:rsidRPr="00B35A22">
        <w:rPr>
          <w:sz w:val="22"/>
          <w:lang w:val="sr-Latn-ME"/>
        </w:rPr>
        <w:t>ećena su poboljšanja PFS</w:t>
      </w:r>
      <w:r w:rsidRPr="00B35A22">
        <w:rPr>
          <w:sz w:val="22"/>
          <w:lang w:val="sr-Latn-ME"/>
        </w:rPr>
        <w:noBreakHyphen/>
        <w:t>a kod pacijenata sa EGFR mutacijama ili prom</w:t>
      </w:r>
      <w:r w:rsidR="00042108" w:rsidRPr="00B35A22">
        <w:rPr>
          <w:sz w:val="22"/>
          <w:lang w:val="sr-Latn-ME"/>
        </w:rPr>
        <w:t>j</w:t>
      </w:r>
      <w:r w:rsidRPr="00B35A22">
        <w:rPr>
          <w:sz w:val="22"/>
          <w:lang w:val="sr-Latn-ME"/>
        </w:rPr>
        <w:t>enama u redosl</w:t>
      </w:r>
      <w:r w:rsidR="00042108" w:rsidRPr="00B35A22">
        <w:rPr>
          <w:sz w:val="22"/>
          <w:lang w:val="sr-Latn-ME"/>
        </w:rPr>
        <w:t>j</w:t>
      </w:r>
      <w:r w:rsidRPr="00B35A22">
        <w:rPr>
          <w:sz w:val="22"/>
          <w:lang w:val="sr-Latn-ME"/>
        </w:rPr>
        <w:t>edu baza u genu ALK (HR od 0,55, 95% CI: 0,35, 0,87; medijana PFS 10,0 naspram. 6,1 m</w:t>
      </w:r>
      <w:r w:rsidR="003E771E" w:rsidRPr="00B35A22">
        <w:rPr>
          <w:sz w:val="22"/>
          <w:lang w:val="sr-Latn-ME"/>
        </w:rPr>
        <w:t>j</w:t>
      </w:r>
      <w:r w:rsidRPr="00B35A22">
        <w:rPr>
          <w:sz w:val="22"/>
          <w:lang w:val="sr-Latn-ME"/>
        </w:rPr>
        <w:t xml:space="preserve">eseci) i onih s jetrenim metastazama (HR od 0,41, 95% CI: 0,26, </w:t>
      </w:r>
      <w:r w:rsidRPr="00B35A22">
        <w:rPr>
          <w:sz w:val="22"/>
          <w:lang w:val="sr-Latn-ME"/>
        </w:rPr>
        <w:lastRenderedPageBreak/>
        <w:t>0,62; medijana PFS 8,2 naspram 5,4 m</w:t>
      </w:r>
      <w:r w:rsidR="003E771E" w:rsidRPr="00B35A22">
        <w:rPr>
          <w:sz w:val="22"/>
          <w:lang w:val="sr-Latn-ME"/>
        </w:rPr>
        <w:t>j</w:t>
      </w:r>
      <w:r w:rsidRPr="00B35A22">
        <w:rPr>
          <w:sz w:val="22"/>
          <w:lang w:val="sr-Latn-ME"/>
        </w:rPr>
        <w:t xml:space="preserve">eseci). Rezultati za OS bili su slični u podgrupi pacijenata starosti &lt; 65 godina i podgrupi pacijenata starosti </w:t>
      </w:r>
      <w:r w:rsidRPr="00B35A22">
        <w:rPr>
          <w:sz w:val="22"/>
          <w:lang w:val="sr-Latn-ME"/>
        </w:rPr>
        <w:sym w:font="Symbol" w:char="F0B3"/>
      </w:r>
      <w:r w:rsidRPr="00B35A22">
        <w:rPr>
          <w:sz w:val="22"/>
          <w:lang w:val="sr-Latn-ME"/>
        </w:rPr>
        <w:t> 65 godina. Podaci za pacijente starosti ≥ 75 godina previše su ograničeni da bi se mogli don</w:t>
      </w:r>
      <w:r w:rsidR="00042108" w:rsidRPr="00B35A22">
        <w:rPr>
          <w:sz w:val="22"/>
          <w:lang w:val="sr-Latn-ME"/>
        </w:rPr>
        <w:t>ij</w:t>
      </w:r>
      <w:r w:rsidRPr="00B35A22">
        <w:rPr>
          <w:sz w:val="22"/>
          <w:lang w:val="sr-Latn-ME"/>
        </w:rPr>
        <w:t>eti zaključci o toj populaciji. Ni za jednu analizu podgrupa nije bilo planirano formalno statističko testiranje.</w:t>
      </w:r>
    </w:p>
    <w:p w14:paraId="5CFB9D62" w14:textId="7CA1A6FE" w:rsidR="00C04A89" w:rsidRPr="00B35A22" w:rsidRDefault="00C04A89" w:rsidP="00B35A22">
      <w:pPr>
        <w:widowControl w:val="0"/>
        <w:tabs>
          <w:tab w:val="left" w:pos="284"/>
        </w:tabs>
        <w:jc w:val="both"/>
        <w:rPr>
          <w:sz w:val="22"/>
          <w:lang w:val="sr-Latn-ME"/>
        </w:rPr>
      </w:pPr>
    </w:p>
    <w:p w14:paraId="5BDCEA4B" w14:textId="5E4C0DE7" w:rsidR="00D261B6" w:rsidRPr="00B35A22" w:rsidRDefault="00D261B6" w:rsidP="00B35A22">
      <w:pPr>
        <w:widowControl w:val="0"/>
        <w:tabs>
          <w:tab w:val="left" w:pos="284"/>
        </w:tabs>
        <w:jc w:val="both"/>
        <w:rPr>
          <w:i/>
          <w:sz w:val="22"/>
          <w:lang w:val="sr-Latn-ME"/>
        </w:rPr>
      </w:pPr>
      <w:r w:rsidRPr="00B35A22">
        <w:rPr>
          <w:i/>
          <w:sz w:val="22"/>
          <w:lang w:val="sr-Latn-ME"/>
        </w:rPr>
        <w:t>IMpower130 (GO29537): Randomizovano ispitivanje faze III sprovedeno kod pacijenata sa metastatskim neskvamoznim NSCLC</w:t>
      </w:r>
      <w:r w:rsidRPr="00B35A22">
        <w:rPr>
          <w:i/>
          <w:sz w:val="22"/>
          <w:lang w:val="sr-Latn-ME"/>
        </w:rPr>
        <w:noBreakHyphen/>
        <w:t>om koji prethodno ni</w:t>
      </w:r>
      <w:r w:rsidR="007D1F43" w:rsidRPr="00B35A22">
        <w:rPr>
          <w:i/>
          <w:sz w:val="22"/>
          <w:lang w:val="sr-Latn-ME"/>
        </w:rPr>
        <w:t>je</w:t>
      </w:r>
      <w:r w:rsidRPr="00B35A22">
        <w:rPr>
          <w:i/>
          <w:sz w:val="22"/>
          <w:lang w:val="sr-Latn-ME"/>
        </w:rPr>
        <w:t>su primali hemoterapiju, u kombinaciji sa nab</w:t>
      </w:r>
      <w:r w:rsidRPr="00B35A22">
        <w:rPr>
          <w:i/>
          <w:sz w:val="22"/>
          <w:lang w:val="sr-Latn-ME"/>
        </w:rPr>
        <w:noBreakHyphen/>
        <w:t>paklitakselom i karboplatinom</w:t>
      </w:r>
    </w:p>
    <w:p w14:paraId="45152CCB" w14:textId="77777777" w:rsidR="00D261B6" w:rsidRPr="00B35A22" w:rsidRDefault="00D261B6" w:rsidP="00B35A22">
      <w:pPr>
        <w:widowControl w:val="0"/>
        <w:tabs>
          <w:tab w:val="left" w:pos="284"/>
        </w:tabs>
        <w:jc w:val="both"/>
        <w:rPr>
          <w:sz w:val="22"/>
          <w:lang w:val="sr-Latn-ME"/>
        </w:rPr>
      </w:pPr>
    </w:p>
    <w:p w14:paraId="586430A6" w14:textId="26BE4451" w:rsidR="00D261B6" w:rsidRPr="00B35A22" w:rsidRDefault="00D261B6" w:rsidP="00B35A22">
      <w:pPr>
        <w:widowControl w:val="0"/>
        <w:tabs>
          <w:tab w:val="left" w:pos="284"/>
        </w:tabs>
        <w:jc w:val="both"/>
        <w:rPr>
          <w:sz w:val="22"/>
          <w:lang w:val="sr-Latn-ME"/>
        </w:rPr>
      </w:pPr>
      <w:r w:rsidRPr="00B35A22">
        <w:rPr>
          <w:sz w:val="22"/>
          <w:lang w:val="sr-Latn-ME"/>
        </w:rPr>
        <w:t>Ispitivanje GO29537 (IMpower130) bilo je otvoreno, randomizovano ispitivanje faze III sprovedeno radi ocjene efikasnosti i bezbjednosti atezolizumaba u kombinaciji sa nab</w:t>
      </w:r>
      <w:r w:rsidRPr="00B35A22">
        <w:rPr>
          <w:sz w:val="22"/>
          <w:lang w:val="sr-Latn-ME"/>
        </w:rPr>
        <w:noBreakHyphen/>
        <w:t>paklitakselom i karboplatinom kod pacijenata sa metastatskim neskvamoznim NSCLC</w:t>
      </w:r>
      <w:r w:rsidRPr="00B35A22">
        <w:rPr>
          <w:sz w:val="22"/>
          <w:lang w:val="sr-Latn-ME"/>
        </w:rPr>
        <w:noBreakHyphen/>
        <w:t>om koji pr</w:t>
      </w:r>
      <w:r w:rsidR="007D1F43" w:rsidRPr="00B35A22">
        <w:rPr>
          <w:sz w:val="22"/>
          <w:lang w:val="sr-Latn-ME"/>
        </w:rPr>
        <w:t>ij</w:t>
      </w:r>
      <w:r w:rsidRPr="00B35A22">
        <w:rPr>
          <w:sz w:val="22"/>
          <w:lang w:val="sr-Latn-ME"/>
        </w:rPr>
        <w:t>ethodno ni</w:t>
      </w:r>
      <w:r w:rsidR="007D1F43" w:rsidRPr="00B35A22">
        <w:rPr>
          <w:sz w:val="22"/>
          <w:lang w:val="sr-Latn-ME"/>
        </w:rPr>
        <w:t>je</w:t>
      </w:r>
      <w:r w:rsidRPr="00B35A22">
        <w:rPr>
          <w:sz w:val="22"/>
          <w:lang w:val="sr-Latn-ME"/>
        </w:rPr>
        <w:t>su primali hemoterapiju. Pacijenti sa EGFR mutacijama ili izmjenama u redosl</w:t>
      </w:r>
      <w:r w:rsidR="005F0253" w:rsidRPr="00B35A22">
        <w:rPr>
          <w:sz w:val="22"/>
          <w:lang w:val="sr-Latn-ME"/>
        </w:rPr>
        <w:t>j</w:t>
      </w:r>
      <w:r w:rsidRPr="00B35A22">
        <w:rPr>
          <w:sz w:val="22"/>
          <w:lang w:val="sr-Latn-ME"/>
        </w:rPr>
        <w:t>edu baza u genu ALK prethodno su morali biti liječeni inhibitorima tirozin kinaze.</w:t>
      </w:r>
    </w:p>
    <w:p w14:paraId="16AB4665" w14:textId="77777777" w:rsidR="00D261B6" w:rsidRPr="00B35A22" w:rsidRDefault="00D261B6" w:rsidP="00B35A22">
      <w:pPr>
        <w:widowControl w:val="0"/>
        <w:tabs>
          <w:tab w:val="left" w:pos="284"/>
        </w:tabs>
        <w:jc w:val="both"/>
        <w:rPr>
          <w:sz w:val="22"/>
          <w:lang w:val="sr-Latn-ME"/>
        </w:rPr>
      </w:pPr>
    </w:p>
    <w:p w14:paraId="43B84E5C" w14:textId="7A14ECBC" w:rsidR="00D261B6" w:rsidRPr="00B35A22" w:rsidRDefault="00D261B6" w:rsidP="00B35A22">
      <w:pPr>
        <w:widowControl w:val="0"/>
        <w:tabs>
          <w:tab w:val="left" w:pos="284"/>
        </w:tabs>
        <w:jc w:val="both"/>
        <w:rPr>
          <w:sz w:val="22"/>
          <w:lang w:val="sr-Latn-ME"/>
        </w:rPr>
      </w:pPr>
      <w:r w:rsidRPr="00B35A22">
        <w:rPr>
          <w:sz w:val="22"/>
          <w:lang w:val="sr-Latn-ME"/>
        </w:rPr>
        <w:t xml:space="preserve">Pacijentima je stadijum bolesti bio odrijeđen prema 7. izdanju klasifikacije Američkog zajedničkog odbora za rak (engl. </w:t>
      </w:r>
      <w:r w:rsidRPr="00B35A22">
        <w:rPr>
          <w:i/>
          <w:sz w:val="22"/>
          <w:lang w:val="sr-Latn-ME"/>
        </w:rPr>
        <w:t>American Joint Committee on Cancer</w:t>
      </w:r>
      <w:r w:rsidRPr="00B35A22">
        <w:rPr>
          <w:sz w:val="22"/>
          <w:lang w:val="sr-Latn-ME"/>
        </w:rPr>
        <w:t>, AJCC). U ispitivanje nijesu bili uključeni pacijenti koji su imali autoimunu bolest u anamnezi, koji su primili živu atenuisanu vakcinu u roku od 28 dana pr</w:t>
      </w:r>
      <w:r w:rsidR="007D1F43" w:rsidRPr="00B35A22">
        <w:rPr>
          <w:sz w:val="22"/>
          <w:lang w:val="sr-Latn-ME"/>
        </w:rPr>
        <w:t>ij</w:t>
      </w:r>
      <w:r w:rsidRPr="00B35A22">
        <w:rPr>
          <w:sz w:val="22"/>
          <w:lang w:val="sr-Latn-ME"/>
        </w:rPr>
        <w:t>e randomizacije, koji su primili imunostimulatore u roku od 4 nedjelje ili sistemske imunosupresive u roku od 2 nedjelje pr</w:t>
      </w:r>
      <w:r w:rsidR="005F0253" w:rsidRPr="00B35A22">
        <w:rPr>
          <w:sz w:val="22"/>
          <w:lang w:val="sr-Latn-ME"/>
        </w:rPr>
        <w:t>ij</w:t>
      </w:r>
      <w:r w:rsidRPr="00B35A22">
        <w:rPr>
          <w:sz w:val="22"/>
          <w:lang w:val="sr-Latn-ME"/>
        </w:rPr>
        <w:t>e randomizacije, kao ni oni koji su imali aktivne ili neliječene metastaze u centralnom nervnom sistemu (CNS). U ispitivanju ni</w:t>
      </w:r>
      <w:r w:rsidR="007D1F43" w:rsidRPr="00B35A22">
        <w:rPr>
          <w:sz w:val="22"/>
          <w:lang w:val="sr-Latn-ME"/>
        </w:rPr>
        <w:t>je</w:t>
      </w:r>
      <w:r w:rsidRPr="00B35A22">
        <w:rPr>
          <w:sz w:val="22"/>
          <w:lang w:val="sr-Latn-ME"/>
        </w:rPr>
        <w:t>su mogli učestvovati pacijenti koji su se pr</w:t>
      </w:r>
      <w:r w:rsidR="0053402D" w:rsidRPr="00B35A22">
        <w:rPr>
          <w:sz w:val="22"/>
          <w:lang w:val="sr-Latn-ME"/>
        </w:rPr>
        <w:t>ethodno</w:t>
      </w:r>
      <w:r w:rsidRPr="00B35A22">
        <w:rPr>
          <w:sz w:val="22"/>
          <w:lang w:val="sr-Latn-ME"/>
        </w:rPr>
        <w:t xml:space="preserve"> liječili agonistima CD137 ili terapijama koje blokiraju kontrolne tačke imunog sistema (terapijska anti-PD</w:t>
      </w:r>
      <w:r w:rsidRPr="00B35A22">
        <w:rPr>
          <w:sz w:val="22"/>
          <w:lang w:val="sr-Latn-ME"/>
        </w:rPr>
        <w:noBreakHyphen/>
        <w:t>1 i anti-PD</w:t>
      </w:r>
      <w:r w:rsidRPr="00B35A22">
        <w:rPr>
          <w:sz w:val="22"/>
          <w:lang w:val="sr-Latn-ME"/>
        </w:rPr>
        <w:noBreakHyphen/>
        <w:t>L1 antitijela). Međutim, mogli su se uključiti pacijenti koji su prethodno primali inhibitore CTLA</w:t>
      </w:r>
      <w:r w:rsidRPr="00B35A22">
        <w:rPr>
          <w:sz w:val="22"/>
          <w:lang w:val="sr-Latn-ME"/>
        </w:rPr>
        <w:noBreakHyphen/>
        <w:t>4, pod uslovom da su posl</w:t>
      </w:r>
      <w:r w:rsidR="00EC6683" w:rsidRPr="00B35A22">
        <w:rPr>
          <w:sz w:val="22"/>
          <w:lang w:val="sr-Latn-ME"/>
        </w:rPr>
        <w:t>j</w:t>
      </w:r>
      <w:r w:rsidRPr="00B35A22">
        <w:rPr>
          <w:sz w:val="22"/>
          <w:lang w:val="sr-Latn-ME"/>
        </w:rPr>
        <w:t>ednju dozu primili najmanje 6 nedjelja pr</w:t>
      </w:r>
      <w:r w:rsidR="00EC6683" w:rsidRPr="00B35A22">
        <w:rPr>
          <w:sz w:val="22"/>
          <w:lang w:val="sr-Latn-ME"/>
        </w:rPr>
        <w:t>ij</w:t>
      </w:r>
      <w:r w:rsidRPr="00B35A22">
        <w:rPr>
          <w:sz w:val="22"/>
          <w:lang w:val="sr-Latn-ME"/>
        </w:rPr>
        <w:t>e randomizacije i da u anamnezi ni</w:t>
      </w:r>
      <w:r w:rsidR="007D1F43" w:rsidRPr="00B35A22">
        <w:rPr>
          <w:sz w:val="22"/>
          <w:lang w:val="sr-Latn-ME"/>
        </w:rPr>
        <w:t>je</w:t>
      </w:r>
      <w:r w:rsidRPr="00B35A22">
        <w:rPr>
          <w:sz w:val="22"/>
          <w:lang w:val="sr-Latn-ME"/>
        </w:rPr>
        <w:t>su imali teške imunološki uzrokovan</w:t>
      </w:r>
      <w:r w:rsidR="009F3636" w:rsidRPr="00B35A22">
        <w:rPr>
          <w:sz w:val="22"/>
          <w:lang w:val="sr-Latn-ME"/>
        </w:rPr>
        <w:t>e</w:t>
      </w:r>
      <w:r w:rsidRPr="00B35A22">
        <w:rPr>
          <w:sz w:val="22"/>
          <w:lang w:val="sr-Latn-ME"/>
        </w:rPr>
        <w:t xml:space="preserve"> neželjen</w:t>
      </w:r>
      <w:r w:rsidR="009F3636" w:rsidRPr="00B35A22">
        <w:rPr>
          <w:sz w:val="22"/>
          <w:lang w:val="sr-Latn-ME"/>
        </w:rPr>
        <w:t>e</w:t>
      </w:r>
      <w:r w:rsidRPr="00B35A22">
        <w:rPr>
          <w:sz w:val="22"/>
          <w:lang w:val="sr-Latn-ME"/>
        </w:rPr>
        <w:t xml:space="preserve"> d</w:t>
      </w:r>
      <w:r w:rsidR="009F3636" w:rsidRPr="00B35A22">
        <w:rPr>
          <w:sz w:val="22"/>
          <w:lang w:val="sr-Latn-ME"/>
        </w:rPr>
        <w:t>ogađaje</w:t>
      </w:r>
      <w:r w:rsidRPr="00B35A22">
        <w:rPr>
          <w:sz w:val="22"/>
          <w:lang w:val="sr-Latn-ME"/>
        </w:rPr>
        <w:t xml:space="preserve"> izazvan</w:t>
      </w:r>
      <w:r w:rsidR="009F3636" w:rsidRPr="00B35A22">
        <w:rPr>
          <w:sz w:val="22"/>
          <w:lang w:val="sr-Latn-ME"/>
        </w:rPr>
        <w:t>e</w:t>
      </w:r>
      <w:r w:rsidRPr="00B35A22">
        <w:rPr>
          <w:sz w:val="22"/>
          <w:lang w:val="sr-Latn-ME"/>
        </w:rPr>
        <w:t xml:space="preserve"> primjenom inhibitora CTLA</w:t>
      </w:r>
      <w:r w:rsidRPr="00B35A22">
        <w:rPr>
          <w:sz w:val="22"/>
          <w:lang w:val="sr-Latn-ME"/>
        </w:rPr>
        <w:noBreakHyphen/>
        <w:t>4 (Gradus 3 i 4 prema NCI CTCAE kriterijumima). Procjene tumorskog odgovora sprovodile su se na svakih 6 nedjelja tokom prvih 48 nedjelja nakon 1. ciklusa, a zatim na svakih 9 nedjelja. Uzorci tumora su se procjenjivali kako bi se utvrdila ekspresija PD</w:t>
      </w:r>
      <w:r w:rsidRPr="00B35A22">
        <w:rPr>
          <w:sz w:val="22"/>
          <w:lang w:val="sr-Latn-ME"/>
        </w:rPr>
        <w:noBreakHyphen/>
        <w:t>L1 na tumorskim ćelijama (TC) i ćelijama imunskog sistema koje se infiltriraju u tumor (IC), a dobijeni rezultati su se koristili za definisanje podgrupa pacijenata na osnovu PD-L1 ekspresije za analize opisane u nastavku.</w:t>
      </w:r>
    </w:p>
    <w:p w14:paraId="10A2E5B5" w14:textId="77777777" w:rsidR="00D261B6" w:rsidRPr="00B35A22" w:rsidRDefault="00D261B6" w:rsidP="00B35A22">
      <w:pPr>
        <w:widowControl w:val="0"/>
        <w:tabs>
          <w:tab w:val="left" w:pos="284"/>
        </w:tabs>
        <w:jc w:val="both"/>
        <w:rPr>
          <w:sz w:val="22"/>
          <w:lang w:val="sr-Latn-ME"/>
        </w:rPr>
      </w:pPr>
    </w:p>
    <w:p w14:paraId="545312C4" w14:textId="128E8672" w:rsidR="00D261B6" w:rsidRPr="00B35A22" w:rsidRDefault="00D261B6" w:rsidP="00B35A22">
      <w:pPr>
        <w:widowControl w:val="0"/>
        <w:tabs>
          <w:tab w:val="left" w:pos="284"/>
        </w:tabs>
        <w:jc w:val="both"/>
        <w:rPr>
          <w:sz w:val="22"/>
          <w:lang w:val="sr-Latn-ME"/>
        </w:rPr>
      </w:pPr>
      <w:r w:rsidRPr="00B35A22">
        <w:rPr>
          <w:sz w:val="22"/>
          <w:lang w:val="sr-Latn-ME"/>
        </w:rPr>
        <w:t>Uključeni pacijenti, uključujući one sa EGFR mutacijama ili izmjenama u redosl</w:t>
      </w:r>
      <w:r w:rsidR="0053402D" w:rsidRPr="00B35A22">
        <w:rPr>
          <w:sz w:val="22"/>
          <w:lang w:val="sr-Latn-ME"/>
        </w:rPr>
        <w:t>j</w:t>
      </w:r>
      <w:r w:rsidRPr="00B35A22">
        <w:rPr>
          <w:sz w:val="22"/>
          <w:lang w:val="sr-Latn-ME"/>
        </w:rPr>
        <w:t>edu baza u genu ALK, bili su randomizovani u odnosu 2:1 za primanje jednog od terapijskih protokola opisanih u Tabeli </w:t>
      </w:r>
      <w:r w:rsidR="00D52D7D" w:rsidRPr="00B35A22">
        <w:rPr>
          <w:sz w:val="22"/>
          <w:lang w:val="sr-Latn-ME"/>
        </w:rPr>
        <w:t>11</w:t>
      </w:r>
      <w:r w:rsidRPr="00B35A22">
        <w:rPr>
          <w:sz w:val="22"/>
          <w:lang w:val="sr-Latn-ME"/>
        </w:rPr>
        <w:t xml:space="preserve">. Randomizacija je bila stratifikovana prema polu, prisutnosti jetrenih metastaza i PD-L1 ekspresiji na tumorskim ćelijama (TC) i ćelijama imunskog sistema koje se infiltriraju u tumor (IC). Pacijenti koji su primali terapijski protokol B mogli su nakon progresije bolesti da pređu u drugu grupu i da prime lijek atezolizumab kao monoterapiju. </w:t>
      </w:r>
    </w:p>
    <w:p w14:paraId="1203C405" w14:textId="77777777" w:rsidR="00D261B6" w:rsidRPr="00B35A22" w:rsidRDefault="00D261B6" w:rsidP="00B35A22">
      <w:pPr>
        <w:widowControl w:val="0"/>
        <w:tabs>
          <w:tab w:val="left" w:pos="284"/>
        </w:tabs>
        <w:jc w:val="both"/>
        <w:rPr>
          <w:sz w:val="22"/>
          <w:lang w:val="sr-Latn-ME"/>
        </w:rPr>
      </w:pPr>
    </w:p>
    <w:p w14:paraId="3583ACFD" w14:textId="6E6B531F" w:rsidR="00D261B6" w:rsidRPr="00B35A22" w:rsidRDefault="00D261B6" w:rsidP="00B35A22">
      <w:pPr>
        <w:widowControl w:val="0"/>
        <w:tabs>
          <w:tab w:val="left" w:pos="284"/>
        </w:tabs>
        <w:jc w:val="both"/>
        <w:rPr>
          <w:b/>
          <w:sz w:val="22"/>
          <w:lang w:val="sr-Latn-ME"/>
        </w:rPr>
      </w:pPr>
      <w:r w:rsidRPr="00B35A22">
        <w:rPr>
          <w:b/>
          <w:sz w:val="22"/>
          <w:lang w:val="sr-Latn-ME"/>
        </w:rPr>
        <w:t>Tabela </w:t>
      </w:r>
      <w:r w:rsidR="00D52D7D" w:rsidRPr="00B35A22">
        <w:rPr>
          <w:b/>
          <w:sz w:val="22"/>
          <w:lang w:val="sr-Latn-ME"/>
        </w:rPr>
        <w:t>11</w:t>
      </w:r>
      <w:r w:rsidRPr="00B35A22">
        <w:rPr>
          <w:b/>
          <w:sz w:val="22"/>
          <w:lang w:val="sr-Latn-ME"/>
        </w:rPr>
        <w:t>: Intravenski terapijski protokoli (IMpower130)</w:t>
      </w:r>
    </w:p>
    <w:p w14:paraId="17903018" w14:textId="77777777" w:rsidR="00D261B6" w:rsidRPr="00B35A22" w:rsidRDefault="00D261B6" w:rsidP="00B35A22">
      <w:pPr>
        <w:widowControl w:val="0"/>
        <w:tabs>
          <w:tab w:val="left" w:pos="284"/>
        </w:tabs>
        <w:jc w:val="both"/>
        <w:rPr>
          <w:sz w:val="22"/>
          <w:lang w:val="sr-Latn-ME"/>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
        <w:gridCol w:w="4386"/>
        <w:gridCol w:w="3147"/>
      </w:tblGrid>
      <w:tr w:rsidR="00D261B6" w:rsidRPr="00B35A22" w14:paraId="4F8461B7" w14:textId="77777777" w:rsidTr="0065270B">
        <w:trPr>
          <w:trHeight w:val="484"/>
        </w:trPr>
        <w:tc>
          <w:tcPr>
            <w:tcW w:w="1539" w:type="dxa"/>
            <w:gridSpan w:val="2"/>
            <w:tcBorders>
              <w:top w:val="single" w:sz="4" w:space="0" w:color="auto"/>
              <w:left w:val="single" w:sz="4" w:space="0" w:color="auto"/>
              <w:bottom w:val="single" w:sz="4" w:space="0" w:color="auto"/>
              <w:right w:val="nil"/>
            </w:tcBorders>
            <w:vAlign w:val="bottom"/>
            <w:hideMark/>
          </w:tcPr>
          <w:p w14:paraId="1191B574" w14:textId="77777777" w:rsidR="00D261B6" w:rsidRPr="00B35A22" w:rsidRDefault="00D261B6" w:rsidP="00B35A22">
            <w:pPr>
              <w:widowControl w:val="0"/>
              <w:tabs>
                <w:tab w:val="left" w:pos="284"/>
              </w:tabs>
              <w:jc w:val="both"/>
              <w:rPr>
                <w:b/>
                <w:sz w:val="22"/>
                <w:lang w:val="sr-Latn-ME"/>
              </w:rPr>
            </w:pPr>
            <w:r w:rsidRPr="00B35A22">
              <w:rPr>
                <w:b/>
                <w:sz w:val="22"/>
                <w:lang w:val="sr-Latn-ME"/>
              </w:rPr>
              <w:t>Terapijski protokol</w:t>
            </w:r>
          </w:p>
        </w:tc>
        <w:tc>
          <w:tcPr>
            <w:tcW w:w="4386" w:type="dxa"/>
            <w:tcBorders>
              <w:top w:val="single" w:sz="4" w:space="0" w:color="auto"/>
              <w:left w:val="nil"/>
              <w:bottom w:val="single" w:sz="4" w:space="0" w:color="auto"/>
              <w:right w:val="nil"/>
            </w:tcBorders>
            <w:vAlign w:val="bottom"/>
            <w:hideMark/>
          </w:tcPr>
          <w:p w14:paraId="1DEAE77A" w14:textId="51D0574A" w:rsidR="00D261B6" w:rsidRPr="00B35A22" w:rsidRDefault="00D261B6" w:rsidP="00B35A22">
            <w:pPr>
              <w:widowControl w:val="0"/>
              <w:tabs>
                <w:tab w:val="left" w:pos="284"/>
              </w:tabs>
              <w:jc w:val="both"/>
              <w:rPr>
                <w:b/>
                <w:sz w:val="22"/>
                <w:lang w:val="sr-Latn-ME"/>
              </w:rPr>
            </w:pPr>
            <w:r w:rsidRPr="00B35A22">
              <w:rPr>
                <w:b/>
                <w:sz w:val="22"/>
                <w:lang w:val="sr-Latn-ME"/>
              </w:rPr>
              <w:t>Početno l</w:t>
            </w:r>
            <w:r w:rsidR="00525B32" w:rsidRPr="00B35A22">
              <w:rPr>
                <w:b/>
                <w:sz w:val="22"/>
                <w:lang w:val="sr-Latn-ME"/>
              </w:rPr>
              <w:t>ij</w:t>
            </w:r>
            <w:r w:rsidRPr="00B35A22">
              <w:rPr>
                <w:b/>
                <w:sz w:val="22"/>
                <w:lang w:val="sr-Latn-ME"/>
              </w:rPr>
              <w:t>ečenje</w:t>
            </w:r>
          </w:p>
          <w:p w14:paraId="57BEFFF9" w14:textId="77777777" w:rsidR="00D261B6" w:rsidRPr="00B35A22" w:rsidRDefault="00D261B6" w:rsidP="00B35A22">
            <w:pPr>
              <w:widowControl w:val="0"/>
              <w:tabs>
                <w:tab w:val="left" w:pos="284"/>
              </w:tabs>
              <w:jc w:val="both"/>
              <w:rPr>
                <w:b/>
                <w:sz w:val="22"/>
                <w:lang w:val="sr-Latn-ME"/>
              </w:rPr>
            </w:pPr>
            <w:r w:rsidRPr="00B35A22">
              <w:rPr>
                <w:b/>
                <w:sz w:val="22"/>
                <w:lang w:val="sr-Latn-ME"/>
              </w:rPr>
              <w:t>(četiri ili šest 21</w:t>
            </w:r>
            <w:r w:rsidRPr="00B35A22">
              <w:rPr>
                <w:b/>
                <w:sz w:val="22"/>
                <w:lang w:val="sr-Latn-ME"/>
              </w:rPr>
              <w:noBreakHyphen/>
              <w:t>dnevnih ciklusa)</w:t>
            </w:r>
          </w:p>
        </w:tc>
        <w:tc>
          <w:tcPr>
            <w:tcW w:w="3147" w:type="dxa"/>
            <w:tcBorders>
              <w:top w:val="single" w:sz="4" w:space="0" w:color="auto"/>
              <w:left w:val="nil"/>
              <w:bottom w:val="single" w:sz="4" w:space="0" w:color="auto"/>
              <w:right w:val="single" w:sz="4" w:space="0" w:color="auto"/>
            </w:tcBorders>
            <w:vAlign w:val="bottom"/>
            <w:hideMark/>
          </w:tcPr>
          <w:p w14:paraId="556EC654" w14:textId="77777777" w:rsidR="00D261B6" w:rsidRPr="00B35A22" w:rsidRDefault="00D261B6" w:rsidP="00B35A22">
            <w:pPr>
              <w:widowControl w:val="0"/>
              <w:tabs>
                <w:tab w:val="left" w:pos="284"/>
              </w:tabs>
              <w:jc w:val="both"/>
              <w:rPr>
                <w:b/>
                <w:sz w:val="22"/>
                <w:lang w:val="sr-Latn-ME"/>
              </w:rPr>
            </w:pPr>
            <w:r w:rsidRPr="00B35A22">
              <w:rPr>
                <w:b/>
                <w:sz w:val="22"/>
                <w:lang w:val="sr-Latn-ME"/>
              </w:rPr>
              <w:t>Terapija održavanja</w:t>
            </w:r>
          </w:p>
          <w:p w14:paraId="15BB5A50" w14:textId="77777777" w:rsidR="00D261B6" w:rsidRPr="00B35A22" w:rsidRDefault="00D261B6" w:rsidP="00B35A22">
            <w:pPr>
              <w:widowControl w:val="0"/>
              <w:tabs>
                <w:tab w:val="left" w:pos="284"/>
              </w:tabs>
              <w:jc w:val="both"/>
              <w:rPr>
                <w:b/>
                <w:sz w:val="22"/>
                <w:lang w:val="sr-Latn-ME"/>
              </w:rPr>
            </w:pPr>
            <w:r w:rsidRPr="00B35A22">
              <w:rPr>
                <w:b/>
                <w:sz w:val="22"/>
                <w:lang w:val="sr-Latn-ME"/>
              </w:rPr>
              <w:t>(21</w:t>
            </w:r>
            <w:r w:rsidRPr="00B35A22">
              <w:rPr>
                <w:b/>
                <w:sz w:val="22"/>
                <w:lang w:val="sr-Latn-ME"/>
              </w:rPr>
              <w:noBreakHyphen/>
              <w:t>dnevni ciklusi)</w:t>
            </w:r>
          </w:p>
        </w:tc>
      </w:tr>
      <w:tr w:rsidR="00D261B6" w:rsidRPr="00B35A22" w14:paraId="1AB286AA" w14:textId="77777777" w:rsidTr="0065270B">
        <w:trPr>
          <w:trHeight w:val="721"/>
        </w:trPr>
        <w:tc>
          <w:tcPr>
            <w:tcW w:w="1531" w:type="dxa"/>
            <w:tcBorders>
              <w:top w:val="single" w:sz="4" w:space="0" w:color="auto"/>
              <w:left w:val="single" w:sz="4" w:space="0" w:color="auto"/>
              <w:bottom w:val="nil"/>
              <w:right w:val="nil"/>
            </w:tcBorders>
            <w:hideMark/>
          </w:tcPr>
          <w:p w14:paraId="24A57B3B" w14:textId="77777777" w:rsidR="00D261B6" w:rsidRPr="00B35A22" w:rsidRDefault="00D261B6" w:rsidP="00B35A22">
            <w:pPr>
              <w:widowControl w:val="0"/>
              <w:tabs>
                <w:tab w:val="left" w:pos="284"/>
              </w:tabs>
              <w:jc w:val="both"/>
              <w:rPr>
                <w:sz w:val="22"/>
                <w:lang w:val="sr-Latn-ME"/>
              </w:rPr>
            </w:pPr>
            <w:r w:rsidRPr="00B35A22">
              <w:rPr>
                <w:sz w:val="22"/>
                <w:lang w:val="sr-Latn-ME"/>
              </w:rPr>
              <w:t>A</w:t>
            </w:r>
          </w:p>
        </w:tc>
        <w:tc>
          <w:tcPr>
            <w:tcW w:w="4394" w:type="dxa"/>
            <w:gridSpan w:val="2"/>
            <w:tcBorders>
              <w:top w:val="single" w:sz="4" w:space="0" w:color="auto"/>
              <w:left w:val="nil"/>
              <w:bottom w:val="nil"/>
              <w:right w:val="nil"/>
            </w:tcBorders>
          </w:tcPr>
          <w:p w14:paraId="7B75406D" w14:textId="4241847F" w:rsidR="00D261B6" w:rsidRPr="00B35A22" w:rsidRDefault="00D261B6" w:rsidP="00B35A22">
            <w:pPr>
              <w:widowControl w:val="0"/>
              <w:tabs>
                <w:tab w:val="left" w:pos="284"/>
              </w:tabs>
              <w:jc w:val="both"/>
              <w:rPr>
                <w:sz w:val="22"/>
                <w:lang w:val="sr-Latn-ME"/>
              </w:rPr>
            </w:pPr>
            <w:r w:rsidRPr="00B35A22">
              <w:rPr>
                <w:sz w:val="22"/>
                <w:lang w:val="sr-Latn-ME"/>
              </w:rPr>
              <w:t>Atezolizumab (1200 mg)</w:t>
            </w:r>
            <w:r w:rsidRPr="00B35A22">
              <w:rPr>
                <w:sz w:val="22"/>
                <w:vertAlign w:val="superscript"/>
                <w:lang w:val="sr-Latn-ME"/>
              </w:rPr>
              <w:t>a</w:t>
            </w:r>
            <w:r w:rsidRPr="00B35A22">
              <w:rPr>
                <w:sz w:val="22"/>
                <w:lang w:val="sr-Latn-ME"/>
              </w:rPr>
              <w:t xml:space="preserve"> + nab</w:t>
            </w:r>
            <w:r w:rsidRPr="00B35A22">
              <w:rPr>
                <w:sz w:val="22"/>
                <w:lang w:val="sr-Latn-ME"/>
              </w:rPr>
              <w:noBreakHyphen/>
              <w:t>paklitaksel (100 mg/m</w:t>
            </w:r>
            <w:r w:rsidRPr="00B35A22">
              <w:rPr>
                <w:sz w:val="22"/>
                <w:vertAlign w:val="superscript"/>
                <w:lang w:val="sr-Latn-ME"/>
              </w:rPr>
              <w:t>2</w:t>
            </w:r>
            <w:r w:rsidRPr="00B35A22">
              <w:rPr>
                <w:sz w:val="22"/>
                <w:lang w:val="sr-Latn-ME"/>
              </w:rPr>
              <w:t>)</w:t>
            </w:r>
            <w:r w:rsidRPr="00B35A22">
              <w:rPr>
                <w:sz w:val="22"/>
                <w:vertAlign w:val="superscript"/>
                <w:lang w:val="sr-Latn-ME"/>
              </w:rPr>
              <w:t>b,c</w:t>
            </w:r>
            <w:r w:rsidRPr="00B35A22">
              <w:rPr>
                <w:sz w:val="22"/>
                <w:lang w:val="sr-Latn-ME"/>
              </w:rPr>
              <w:t xml:space="preserve"> + karboplatin (AUC 6)</w:t>
            </w:r>
            <w:r w:rsidRPr="00B35A22">
              <w:rPr>
                <w:sz w:val="22"/>
                <w:vertAlign w:val="superscript"/>
                <w:lang w:val="sr-Latn-ME"/>
              </w:rPr>
              <w:t>c</w:t>
            </w:r>
          </w:p>
          <w:p w14:paraId="5C358610" w14:textId="77777777" w:rsidR="00D261B6" w:rsidRPr="00B35A22" w:rsidRDefault="00D261B6" w:rsidP="00B35A22">
            <w:pPr>
              <w:widowControl w:val="0"/>
              <w:tabs>
                <w:tab w:val="left" w:pos="284"/>
              </w:tabs>
              <w:jc w:val="both"/>
              <w:rPr>
                <w:sz w:val="22"/>
                <w:lang w:val="sr-Latn-ME"/>
              </w:rPr>
            </w:pPr>
          </w:p>
        </w:tc>
        <w:tc>
          <w:tcPr>
            <w:tcW w:w="3147" w:type="dxa"/>
            <w:tcBorders>
              <w:top w:val="single" w:sz="4" w:space="0" w:color="auto"/>
              <w:left w:val="nil"/>
              <w:bottom w:val="nil"/>
              <w:right w:val="single" w:sz="4" w:space="0" w:color="auto"/>
            </w:tcBorders>
            <w:hideMark/>
          </w:tcPr>
          <w:p w14:paraId="0C650662" w14:textId="77777777" w:rsidR="00D261B6" w:rsidRPr="00B35A22" w:rsidRDefault="00D261B6" w:rsidP="00B35A22">
            <w:pPr>
              <w:widowControl w:val="0"/>
              <w:tabs>
                <w:tab w:val="left" w:pos="284"/>
              </w:tabs>
              <w:jc w:val="both"/>
              <w:rPr>
                <w:sz w:val="22"/>
                <w:lang w:val="sr-Latn-ME"/>
              </w:rPr>
            </w:pPr>
            <w:r w:rsidRPr="00B35A22">
              <w:rPr>
                <w:sz w:val="22"/>
                <w:lang w:val="sr-Latn-ME"/>
              </w:rPr>
              <w:t>Atezolizumab (1200 mg)</w:t>
            </w:r>
            <w:r w:rsidRPr="00B35A22">
              <w:rPr>
                <w:sz w:val="22"/>
                <w:vertAlign w:val="superscript"/>
                <w:lang w:val="sr-Latn-ME"/>
              </w:rPr>
              <w:t>a</w:t>
            </w:r>
          </w:p>
        </w:tc>
      </w:tr>
      <w:tr w:rsidR="00D261B6" w:rsidRPr="00B35A22" w14:paraId="37A6DBBD" w14:textId="77777777" w:rsidTr="0065270B">
        <w:trPr>
          <w:trHeight w:val="484"/>
        </w:trPr>
        <w:tc>
          <w:tcPr>
            <w:tcW w:w="1531" w:type="dxa"/>
            <w:tcBorders>
              <w:top w:val="nil"/>
              <w:left w:val="single" w:sz="4" w:space="0" w:color="auto"/>
              <w:bottom w:val="single" w:sz="4" w:space="0" w:color="auto"/>
              <w:right w:val="nil"/>
            </w:tcBorders>
            <w:hideMark/>
          </w:tcPr>
          <w:p w14:paraId="4DE4EFEA" w14:textId="77777777" w:rsidR="00D261B6" w:rsidRPr="00B35A22" w:rsidRDefault="00D261B6" w:rsidP="00B35A22">
            <w:pPr>
              <w:widowControl w:val="0"/>
              <w:tabs>
                <w:tab w:val="left" w:pos="284"/>
              </w:tabs>
              <w:jc w:val="both"/>
              <w:rPr>
                <w:sz w:val="22"/>
                <w:lang w:val="sr-Latn-ME"/>
              </w:rPr>
            </w:pPr>
            <w:r w:rsidRPr="00B35A22">
              <w:rPr>
                <w:sz w:val="22"/>
                <w:lang w:val="sr-Latn-ME"/>
              </w:rPr>
              <w:t>B</w:t>
            </w:r>
          </w:p>
        </w:tc>
        <w:tc>
          <w:tcPr>
            <w:tcW w:w="4394" w:type="dxa"/>
            <w:gridSpan w:val="2"/>
            <w:tcBorders>
              <w:top w:val="nil"/>
              <w:left w:val="nil"/>
              <w:bottom w:val="single" w:sz="4" w:space="0" w:color="auto"/>
              <w:right w:val="nil"/>
            </w:tcBorders>
            <w:hideMark/>
          </w:tcPr>
          <w:p w14:paraId="62D4BAC6" w14:textId="77777777" w:rsidR="00D261B6" w:rsidRPr="00B35A22" w:rsidRDefault="00D261B6" w:rsidP="00B35A22">
            <w:pPr>
              <w:widowControl w:val="0"/>
              <w:tabs>
                <w:tab w:val="left" w:pos="284"/>
              </w:tabs>
              <w:jc w:val="both"/>
              <w:rPr>
                <w:sz w:val="22"/>
                <w:lang w:val="sr-Latn-ME"/>
              </w:rPr>
            </w:pPr>
            <w:r w:rsidRPr="00B35A22">
              <w:rPr>
                <w:sz w:val="22"/>
                <w:lang w:val="sr-Latn-ME"/>
              </w:rPr>
              <w:t>Nab</w:t>
            </w:r>
            <w:r w:rsidRPr="00B35A22">
              <w:rPr>
                <w:sz w:val="22"/>
                <w:lang w:val="sr-Latn-ME"/>
              </w:rPr>
              <w:noBreakHyphen/>
              <w:t>paklitaksel (100 mg/m</w:t>
            </w:r>
            <w:r w:rsidRPr="00B35A22">
              <w:rPr>
                <w:sz w:val="22"/>
                <w:vertAlign w:val="superscript"/>
                <w:lang w:val="sr-Latn-ME"/>
              </w:rPr>
              <w:t>2</w:t>
            </w:r>
            <w:r w:rsidRPr="00B35A22">
              <w:rPr>
                <w:sz w:val="22"/>
                <w:lang w:val="sr-Latn-ME"/>
              </w:rPr>
              <w:t>)</w:t>
            </w:r>
            <w:r w:rsidRPr="00B35A22">
              <w:rPr>
                <w:sz w:val="22"/>
                <w:vertAlign w:val="superscript"/>
                <w:lang w:val="sr-Latn-ME"/>
              </w:rPr>
              <w:t>b,c</w:t>
            </w:r>
            <w:r w:rsidRPr="00B35A22">
              <w:rPr>
                <w:sz w:val="22"/>
                <w:lang w:val="sr-Latn-ME"/>
              </w:rPr>
              <w:t xml:space="preserve"> + karboplatin (AUC 6)</w:t>
            </w:r>
            <w:r w:rsidRPr="00B35A22">
              <w:rPr>
                <w:sz w:val="22"/>
                <w:vertAlign w:val="superscript"/>
                <w:lang w:val="sr-Latn-ME"/>
              </w:rPr>
              <w:t>c</w:t>
            </w:r>
            <w:r w:rsidRPr="00B35A22">
              <w:rPr>
                <w:sz w:val="22"/>
                <w:lang w:val="sr-Latn-ME"/>
              </w:rPr>
              <w:t> </w:t>
            </w:r>
          </w:p>
        </w:tc>
        <w:tc>
          <w:tcPr>
            <w:tcW w:w="3147" w:type="dxa"/>
            <w:tcBorders>
              <w:top w:val="nil"/>
              <w:left w:val="nil"/>
              <w:bottom w:val="single" w:sz="4" w:space="0" w:color="auto"/>
              <w:right w:val="single" w:sz="4" w:space="0" w:color="auto"/>
            </w:tcBorders>
            <w:hideMark/>
          </w:tcPr>
          <w:p w14:paraId="160E24CF" w14:textId="63481FF8" w:rsidR="00D261B6" w:rsidRPr="00B35A22" w:rsidRDefault="00D261B6" w:rsidP="00B35A22">
            <w:pPr>
              <w:widowControl w:val="0"/>
              <w:tabs>
                <w:tab w:val="left" w:pos="284"/>
              </w:tabs>
              <w:jc w:val="both"/>
              <w:rPr>
                <w:sz w:val="22"/>
                <w:lang w:val="sr-Latn-ME"/>
              </w:rPr>
            </w:pPr>
            <w:r w:rsidRPr="00B35A22">
              <w:rPr>
                <w:sz w:val="22"/>
                <w:lang w:val="sr-Latn-ME"/>
              </w:rPr>
              <w:t xml:space="preserve">Najbolja </w:t>
            </w:r>
            <w:r w:rsidR="00D52D7D" w:rsidRPr="00B35A22">
              <w:rPr>
                <w:sz w:val="22"/>
                <w:lang w:val="sr-Latn-ME"/>
              </w:rPr>
              <w:t>potporna</w:t>
            </w:r>
            <w:r w:rsidRPr="00B35A22">
              <w:rPr>
                <w:sz w:val="22"/>
                <w:lang w:val="sr-Latn-ME"/>
              </w:rPr>
              <w:t xml:space="preserve"> n</w:t>
            </w:r>
            <w:r w:rsidR="00EC6683" w:rsidRPr="00B35A22">
              <w:rPr>
                <w:sz w:val="22"/>
                <w:lang w:val="sr-Latn-ME"/>
              </w:rPr>
              <w:t>j</w:t>
            </w:r>
            <w:r w:rsidRPr="00B35A22">
              <w:rPr>
                <w:sz w:val="22"/>
                <w:lang w:val="sr-Latn-ME"/>
              </w:rPr>
              <w:t>ega ili pemetreksed</w:t>
            </w:r>
          </w:p>
        </w:tc>
      </w:tr>
    </w:tbl>
    <w:p w14:paraId="1748A087" w14:textId="32F6945C" w:rsidR="00D261B6" w:rsidRPr="00B35A22" w:rsidRDefault="00D261B6" w:rsidP="00B35A22">
      <w:pPr>
        <w:widowControl w:val="0"/>
        <w:tabs>
          <w:tab w:val="left" w:pos="284"/>
        </w:tabs>
        <w:jc w:val="both"/>
        <w:rPr>
          <w:sz w:val="20"/>
          <w:lang w:val="sr-Latn-ME"/>
        </w:rPr>
      </w:pPr>
      <w:r w:rsidRPr="00B35A22">
        <w:rPr>
          <w:sz w:val="20"/>
          <w:vertAlign w:val="superscript"/>
          <w:lang w:val="sr-Latn-ME"/>
        </w:rPr>
        <w:t xml:space="preserve">a </w:t>
      </w:r>
      <w:r w:rsidRPr="00B35A22">
        <w:rPr>
          <w:sz w:val="20"/>
          <w:lang w:val="sr-Latn-ME"/>
        </w:rPr>
        <w:t>Atezolizumab se prim</w:t>
      </w:r>
      <w:r w:rsidR="00525B32" w:rsidRPr="00B35A22">
        <w:rPr>
          <w:sz w:val="20"/>
          <w:lang w:val="sr-Latn-ME"/>
        </w:rPr>
        <w:t>j</w:t>
      </w:r>
      <w:r w:rsidRPr="00B35A22">
        <w:rPr>
          <w:sz w:val="20"/>
          <w:lang w:val="sr-Latn-ME"/>
        </w:rPr>
        <w:t>enjuje do gubitka kliničkog benefita prema oc</w:t>
      </w:r>
      <w:r w:rsidR="00525B32" w:rsidRPr="00B35A22">
        <w:rPr>
          <w:sz w:val="20"/>
          <w:lang w:val="sr-Latn-ME"/>
        </w:rPr>
        <w:t>j</w:t>
      </w:r>
      <w:r w:rsidRPr="00B35A22">
        <w:rPr>
          <w:sz w:val="20"/>
          <w:lang w:val="sr-Latn-ME"/>
        </w:rPr>
        <w:t>eni istraživača</w:t>
      </w:r>
    </w:p>
    <w:p w14:paraId="58431DBA" w14:textId="1EF7BAAA" w:rsidR="00D261B6" w:rsidRPr="00B35A22" w:rsidRDefault="00D261B6" w:rsidP="00B35A22">
      <w:pPr>
        <w:widowControl w:val="0"/>
        <w:tabs>
          <w:tab w:val="left" w:pos="284"/>
        </w:tabs>
        <w:jc w:val="both"/>
        <w:rPr>
          <w:sz w:val="20"/>
          <w:lang w:val="sr-Latn-ME"/>
        </w:rPr>
      </w:pPr>
      <w:r w:rsidRPr="00B35A22">
        <w:rPr>
          <w:sz w:val="20"/>
          <w:vertAlign w:val="superscript"/>
          <w:lang w:val="sr-Latn-ME"/>
        </w:rPr>
        <w:t xml:space="preserve">b </w:t>
      </w:r>
      <w:r w:rsidRPr="00B35A22">
        <w:rPr>
          <w:sz w:val="20"/>
          <w:lang w:val="sr-Latn-ME"/>
        </w:rPr>
        <w:t>Nab</w:t>
      </w:r>
      <w:r w:rsidRPr="00B35A22">
        <w:rPr>
          <w:sz w:val="20"/>
          <w:lang w:val="sr-Latn-ME"/>
        </w:rPr>
        <w:noBreakHyphen/>
        <w:t>paklitaksel se prim</w:t>
      </w:r>
      <w:r w:rsidR="00525B32" w:rsidRPr="00B35A22">
        <w:rPr>
          <w:sz w:val="20"/>
          <w:lang w:val="sr-Latn-ME"/>
        </w:rPr>
        <w:t>jenjuje 1</w:t>
      </w:r>
      <w:r w:rsidRPr="00B35A22">
        <w:rPr>
          <w:sz w:val="20"/>
          <w:lang w:val="sr-Latn-ME"/>
        </w:rPr>
        <w:t>, 8. i 15. dana svakog ciklusa</w:t>
      </w:r>
    </w:p>
    <w:p w14:paraId="21D85BBD" w14:textId="32797E22" w:rsidR="00D261B6" w:rsidRPr="00B35A22" w:rsidRDefault="00D261B6" w:rsidP="00B35A22">
      <w:pPr>
        <w:widowControl w:val="0"/>
        <w:tabs>
          <w:tab w:val="left" w:pos="284"/>
        </w:tabs>
        <w:jc w:val="both"/>
        <w:rPr>
          <w:sz w:val="20"/>
          <w:lang w:val="sr-Latn-ME"/>
        </w:rPr>
      </w:pPr>
      <w:r w:rsidRPr="00B35A22">
        <w:rPr>
          <w:sz w:val="20"/>
          <w:vertAlign w:val="superscript"/>
          <w:lang w:val="sr-Latn-ME"/>
        </w:rPr>
        <w:t xml:space="preserve">c </w:t>
      </w:r>
      <w:r w:rsidRPr="00B35A22">
        <w:rPr>
          <w:sz w:val="20"/>
          <w:lang w:val="sr-Latn-ME"/>
        </w:rPr>
        <w:t>Nab</w:t>
      </w:r>
      <w:r w:rsidRPr="00B35A22">
        <w:rPr>
          <w:sz w:val="20"/>
          <w:lang w:val="sr-Latn-ME"/>
        </w:rPr>
        <w:noBreakHyphen/>
        <w:t>paklitaksel i karboplatin prim</w:t>
      </w:r>
      <w:r w:rsidR="00525B32" w:rsidRPr="00B35A22">
        <w:rPr>
          <w:sz w:val="20"/>
          <w:lang w:val="sr-Latn-ME"/>
        </w:rPr>
        <w:t>j</w:t>
      </w:r>
      <w:r w:rsidRPr="00B35A22">
        <w:rPr>
          <w:sz w:val="20"/>
          <w:lang w:val="sr-Latn-ME"/>
        </w:rPr>
        <w:t>enjuju se dok se ne završi 4 </w:t>
      </w:r>
      <w:r w:rsidRPr="00B35A22">
        <w:rPr>
          <w:sz w:val="20"/>
          <w:lang w:val="sr-Latn-ME"/>
        </w:rPr>
        <w:noBreakHyphen/>
        <w:t> 6 ciklusa l</w:t>
      </w:r>
      <w:r w:rsidR="00525B32" w:rsidRPr="00B35A22">
        <w:rPr>
          <w:sz w:val="20"/>
          <w:lang w:val="sr-Latn-ME"/>
        </w:rPr>
        <w:t>ij</w:t>
      </w:r>
      <w:r w:rsidRPr="00B35A22">
        <w:rPr>
          <w:sz w:val="20"/>
          <w:lang w:val="sr-Latn-ME"/>
        </w:rPr>
        <w:t>ečenja ili do progresije bolesti ili pojave neprihvatljive toksičnosti, šta god nastupi pr</w:t>
      </w:r>
      <w:r w:rsidR="00551CF9" w:rsidRPr="00B35A22">
        <w:rPr>
          <w:sz w:val="20"/>
          <w:lang w:val="sr-Latn-ME"/>
        </w:rPr>
        <w:t>ij</w:t>
      </w:r>
      <w:r w:rsidRPr="00B35A22">
        <w:rPr>
          <w:sz w:val="20"/>
          <w:lang w:val="sr-Latn-ME"/>
        </w:rPr>
        <w:t>e</w:t>
      </w:r>
    </w:p>
    <w:p w14:paraId="04441C1C" w14:textId="303A9236" w:rsidR="00D261B6" w:rsidRPr="00B35A22" w:rsidRDefault="00D261B6" w:rsidP="00B35A22">
      <w:pPr>
        <w:widowControl w:val="0"/>
        <w:tabs>
          <w:tab w:val="left" w:pos="284"/>
        </w:tabs>
        <w:jc w:val="both"/>
        <w:rPr>
          <w:sz w:val="22"/>
          <w:lang w:val="sr-Latn-ME"/>
        </w:rPr>
      </w:pPr>
      <w:r w:rsidRPr="00B35A22">
        <w:rPr>
          <w:sz w:val="22"/>
          <w:lang w:val="sr-Latn-ME"/>
        </w:rPr>
        <w:br/>
      </w:r>
      <w:r w:rsidR="00525B32" w:rsidRPr="00B35A22">
        <w:rPr>
          <w:sz w:val="22"/>
          <w:lang w:val="sr-Latn-ME"/>
        </w:rPr>
        <w:t>Početne</w:t>
      </w:r>
      <w:r w:rsidRPr="00B35A22">
        <w:rPr>
          <w:sz w:val="22"/>
          <w:lang w:val="sr-Latn-ME"/>
        </w:rPr>
        <w:t xml:space="preserve"> i prognostičke </w:t>
      </w:r>
      <w:r w:rsidR="00525B32" w:rsidRPr="00B35A22">
        <w:rPr>
          <w:sz w:val="22"/>
          <w:lang w:val="sr-Latn-ME"/>
        </w:rPr>
        <w:t>karakteristike</w:t>
      </w:r>
      <w:r w:rsidRPr="00B35A22">
        <w:rPr>
          <w:sz w:val="22"/>
          <w:lang w:val="sr-Latn-ME"/>
        </w:rPr>
        <w:t xml:space="preserve"> bolesti u ispitivanoj populaciji koja se definisala kao ITT populacija sa tumorom divljeg tipa (ITT-WT) (n=679) bile su dobro ujednačene između l</w:t>
      </w:r>
      <w:r w:rsidR="00525B32" w:rsidRPr="00B35A22">
        <w:rPr>
          <w:sz w:val="22"/>
          <w:lang w:val="sr-Latn-ME"/>
        </w:rPr>
        <w:t>ij</w:t>
      </w:r>
      <w:r w:rsidRPr="00B35A22">
        <w:rPr>
          <w:sz w:val="22"/>
          <w:lang w:val="sr-Latn-ME"/>
        </w:rPr>
        <w:t>ečenih grupa. Medijana starosti bila je 64 godine (raspon: 18 </w:t>
      </w:r>
      <w:r w:rsidRPr="00B35A22">
        <w:rPr>
          <w:sz w:val="22"/>
          <w:lang w:val="sr-Latn-ME"/>
        </w:rPr>
        <w:noBreakHyphen/>
        <w:t> 86 godina). Većina pa</w:t>
      </w:r>
      <w:r w:rsidR="0053402D" w:rsidRPr="00B35A22">
        <w:rPr>
          <w:sz w:val="22"/>
          <w:lang w:val="sr-Latn-ME"/>
        </w:rPr>
        <w:t>c</w:t>
      </w:r>
      <w:r w:rsidRPr="00B35A22">
        <w:rPr>
          <w:sz w:val="22"/>
          <w:lang w:val="sr-Latn-ME"/>
        </w:rPr>
        <w:t>ijenata bila je muškog pola (59%) i b</w:t>
      </w:r>
      <w:r w:rsidR="00525B32" w:rsidRPr="00B35A22">
        <w:rPr>
          <w:sz w:val="22"/>
          <w:lang w:val="sr-Latn-ME"/>
        </w:rPr>
        <w:t>ij</w:t>
      </w:r>
      <w:r w:rsidRPr="00B35A22">
        <w:rPr>
          <w:sz w:val="22"/>
          <w:lang w:val="sr-Latn-ME"/>
        </w:rPr>
        <w:t>ele rase (90%), 14,7% pacijenata imalo je jetrene metastaze na početku ispitivanja, a većina pacijenata bili su aktivni ili bivši pušači (90%). Većina pacijenata imala je početni funkcionalni ECOG status 1 (59%) i PD</w:t>
      </w:r>
      <w:r w:rsidRPr="00B35A22">
        <w:rPr>
          <w:sz w:val="22"/>
          <w:lang w:val="sr-Latn-ME"/>
        </w:rPr>
        <w:noBreakHyphen/>
        <w:t>L1  ekspresiju &lt; 1% (približno 52%). Među 107 pacijenata iz grupe B koji su nakon početnog l</w:t>
      </w:r>
      <w:r w:rsidR="007D1F43" w:rsidRPr="00B35A22">
        <w:rPr>
          <w:sz w:val="22"/>
          <w:lang w:val="sr-Latn-ME"/>
        </w:rPr>
        <w:t>ij</w:t>
      </w:r>
      <w:r w:rsidRPr="00B35A22">
        <w:rPr>
          <w:sz w:val="22"/>
          <w:lang w:val="sr-Latn-ME"/>
        </w:rPr>
        <w:t>ečenja kao odgovor imali stabilnu bolest, d</w:t>
      </w:r>
      <w:r w:rsidR="007D1F43" w:rsidRPr="00B35A22">
        <w:rPr>
          <w:sz w:val="22"/>
          <w:lang w:val="sr-Latn-ME"/>
        </w:rPr>
        <w:t>j</w:t>
      </w:r>
      <w:r w:rsidRPr="00B35A22">
        <w:rPr>
          <w:sz w:val="22"/>
          <w:lang w:val="sr-Latn-ME"/>
        </w:rPr>
        <w:t xml:space="preserve">elimičan odgovor ili potpuni odgovor, njih </w:t>
      </w:r>
      <w:r w:rsidRPr="00B35A22">
        <w:rPr>
          <w:sz w:val="22"/>
          <w:lang w:val="sr-Latn-ME"/>
        </w:rPr>
        <w:lastRenderedPageBreak/>
        <w:t xml:space="preserve">40 prešlo je na terapiju održavanja pemetreksedom. </w:t>
      </w:r>
    </w:p>
    <w:p w14:paraId="43F7055C" w14:textId="77777777" w:rsidR="00D261B6" w:rsidRPr="00B35A22" w:rsidRDefault="00D261B6" w:rsidP="00B35A22">
      <w:pPr>
        <w:widowControl w:val="0"/>
        <w:tabs>
          <w:tab w:val="left" w:pos="284"/>
        </w:tabs>
        <w:jc w:val="both"/>
        <w:rPr>
          <w:sz w:val="22"/>
          <w:lang w:val="sr-Latn-ME"/>
        </w:rPr>
      </w:pPr>
    </w:p>
    <w:p w14:paraId="7695742F" w14:textId="6B938F78" w:rsidR="00D261B6" w:rsidRPr="00B35A22" w:rsidRDefault="00D261B6" w:rsidP="00B35A22">
      <w:pPr>
        <w:widowControl w:val="0"/>
        <w:tabs>
          <w:tab w:val="left" w:pos="284"/>
        </w:tabs>
        <w:jc w:val="both"/>
        <w:rPr>
          <w:sz w:val="22"/>
          <w:lang w:val="sr-Latn-ME"/>
        </w:rPr>
      </w:pPr>
      <w:r w:rsidRPr="00B35A22">
        <w:rPr>
          <w:sz w:val="22"/>
          <w:lang w:val="sr-Latn-ME"/>
        </w:rPr>
        <w:t>Primarna analiza obuhvatila je sve pacijente osim onih sa EGFR mutacijama ili izm</w:t>
      </w:r>
      <w:r w:rsidR="00525B32" w:rsidRPr="00B35A22">
        <w:rPr>
          <w:sz w:val="22"/>
          <w:lang w:val="sr-Latn-ME"/>
        </w:rPr>
        <w:t>j</w:t>
      </w:r>
      <w:r w:rsidRPr="00B35A22">
        <w:rPr>
          <w:sz w:val="22"/>
          <w:lang w:val="sr-Latn-ME"/>
        </w:rPr>
        <w:t>enama u redosl</w:t>
      </w:r>
      <w:r w:rsidR="0053402D" w:rsidRPr="00B35A22">
        <w:rPr>
          <w:sz w:val="22"/>
          <w:lang w:val="sr-Latn-ME"/>
        </w:rPr>
        <w:t>j</w:t>
      </w:r>
      <w:r w:rsidRPr="00B35A22">
        <w:rPr>
          <w:sz w:val="22"/>
          <w:lang w:val="sr-Latn-ME"/>
        </w:rPr>
        <w:t>edu baza u genu ALK, koji su se definisali kao ITT populacija sa tumorom divljeg tipa (ITT-WT) (n=679). Medijana praćenja preživljavanja pacijenata iznosila je 18,6 m</w:t>
      </w:r>
      <w:r w:rsidR="00525B32" w:rsidRPr="00B35A22">
        <w:rPr>
          <w:sz w:val="22"/>
          <w:lang w:val="sr-Latn-ME"/>
        </w:rPr>
        <w:t>j</w:t>
      </w:r>
      <w:r w:rsidRPr="00B35A22">
        <w:rPr>
          <w:sz w:val="22"/>
          <w:lang w:val="sr-Latn-ME"/>
        </w:rPr>
        <w:t>eseci i zab</w:t>
      </w:r>
      <w:r w:rsidR="00EC6683" w:rsidRPr="00B35A22">
        <w:rPr>
          <w:sz w:val="22"/>
          <w:lang w:val="sr-Latn-ME"/>
        </w:rPr>
        <w:t>i</w:t>
      </w:r>
      <w:r w:rsidRPr="00B35A22">
        <w:rPr>
          <w:sz w:val="22"/>
          <w:lang w:val="sr-Latn-ME"/>
        </w:rPr>
        <w:t>l</w:t>
      </w:r>
      <w:r w:rsidR="00EC6683" w:rsidRPr="00B35A22">
        <w:rPr>
          <w:sz w:val="22"/>
          <w:lang w:val="sr-Latn-ME"/>
        </w:rPr>
        <w:t>j</w:t>
      </w:r>
      <w:r w:rsidRPr="00B35A22">
        <w:rPr>
          <w:sz w:val="22"/>
          <w:lang w:val="sr-Latn-ME"/>
        </w:rPr>
        <w:t>eženo je produženje OS-a i PFS-a kod pacijenata koji su primali atezolizumab, nab</w:t>
      </w:r>
      <w:r w:rsidRPr="00B35A22">
        <w:rPr>
          <w:sz w:val="22"/>
          <w:lang w:val="sr-Latn-ME"/>
        </w:rPr>
        <w:noBreakHyphen/>
        <w:t>paklitaksel i karboplatin u odnosu na kontrolnu grupu. Ključni rezultati sažeto su prikazani u Tabeli </w:t>
      </w:r>
      <w:r w:rsidR="00E14959" w:rsidRPr="00B35A22">
        <w:rPr>
          <w:sz w:val="22"/>
          <w:lang w:val="sr-Latn-ME"/>
        </w:rPr>
        <w:t>1</w:t>
      </w:r>
      <w:r w:rsidR="00D52D7D" w:rsidRPr="00B35A22">
        <w:rPr>
          <w:sz w:val="22"/>
          <w:lang w:val="sr-Latn-ME"/>
        </w:rPr>
        <w:t>2</w:t>
      </w:r>
      <w:r w:rsidRPr="00B35A22">
        <w:rPr>
          <w:sz w:val="22"/>
          <w:lang w:val="sr-Latn-ME"/>
        </w:rPr>
        <w:t>, a Kaplan</w:t>
      </w:r>
      <w:r w:rsidRPr="00B35A22">
        <w:rPr>
          <w:sz w:val="22"/>
          <w:lang w:val="sr-Latn-ME"/>
        </w:rPr>
        <w:noBreakHyphen/>
        <w:t>Meierove krive za OS i PFS prikazane su na Slici </w:t>
      </w:r>
      <w:r w:rsidR="00D5115F" w:rsidRPr="00B35A22">
        <w:rPr>
          <w:sz w:val="22"/>
          <w:lang w:val="sr-Latn-ME"/>
        </w:rPr>
        <w:t>8</w:t>
      </w:r>
      <w:r w:rsidRPr="00B35A22">
        <w:rPr>
          <w:sz w:val="22"/>
          <w:lang w:val="sr-Latn-ME"/>
        </w:rPr>
        <w:t>, odnosno Slici </w:t>
      </w:r>
      <w:r w:rsidR="00D5115F" w:rsidRPr="00B35A22">
        <w:rPr>
          <w:sz w:val="22"/>
          <w:lang w:val="sr-Latn-ME"/>
        </w:rPr>
        <w:t>10</w:t>
      </w:r>
      <w:r w:rsidRPr="00B35A22">
        <w:rPr>
          <w:sz w:val="22"/>
          <w:lang w:val="sr-Latn-ME"/>
        </w:rPr>
        <w:t>. Rezultati istraživanja za OS i PFS za podgrupe pacijenata prema PD</w:t>
      </w:r>
      <w:r w:rsidRPr="00B35A22">
        <w:rPr>
          <w:sz w:val="22"/>
          <w:lang w:val="sr-Latn-ME"/>
        </w:rPr>
        <w:noBreakHyphen/>
        <w:t>L1 ekspresiji prikazani su na Slici </w:t>
      </w:r>
      <w:r w:rsidR="00D5115F" w:rsidRPr="00B35A22">
        <w:rPr>
          <w:sz w:val="22"/>
          <w:lang w:val="sr-Latn-ME"/>
        </w:rPr>
        <w:t>9</w:t>
      </w:r>
      <w:r w:rsidRPr="00B35A22">
        <w:rPr>
          <w:sz w:val="22"/>
          <w:lang w:val="sr-Latn-ME"/>
        </w:rPr>
        <w:t>, odnosno Slici </w:t>
      </w:r>
      <w:r w:rsidR="00D5115F" w:rsidRPr="00B35A22">
        <w:rPr>
          <w:sz w:val="22"/>
          <w:lang w:val="sr-Latn-ME"/>
        </w:rPr>
        <w:t>11</w:t>
      </w:r>
      <w:r w:rsidRPr="00B35A22">
        <w:rPr>
          <w:sz w:val="22"/>
          <w:lang w:val="sr-Latn-ME"/>
        </w:rPr>
        <w:t>. Kod pacijenata sa metastazama u jetri nije zab</w:t>
      </w:r>
      <w:r w:rsidR="00EC6683" w:rsidRPr="00B35A22">
        <w:rPr>
          <w:sz w:val="22"/>
          <w:lang w:val="sr-Latn-ME"/>
        </w:rPr>
        <w:t>i</w:t>
      </w:r>
      <w:r w:rsidRPr="00B35A22">
        <w:rPr>
          <w:sz w:val="22"/>
          <w:lang w:val="sr-Latn-ME"/>
        </w:rPr>
        <w:t>l</w:t>
      </w:r>
      <w:r w:rsidR="00EC6683" w:rsidRPr="00B35A22">
        <w:rPr>
          <w:sz w:val="22"/>
          <w:lang w:val="sr-Latn-ME"/>
        </w:rPr>
        <w:t>j</w:t>
      </w:r>
      <w:r w:rsidRPr="00B35A22">
        <w:rPr>
          <w:sz w:val="22"/>
          <w:lang w:val="sr-Latn-ME"/>
        </w:rPr>
        <w:t>eženo produženje PFS</w:t>
      </w:r>
      <w:r w:rsidRPr="00B35A22">
        <w:rPr>
          <w:sz w:val="22"/>
          <w:lang w:val="sr-Latn-ME"/>
        </w:rPr>
        <w:noBreakHyphen/>
        <w:t>a niti OS</w:t>
      </w:r>
      <w:r w:rsidRPr="00B35A22">
        <w:rPr>
          <w:sz w:val="22"/>
          <w:lang w:val="sr-Latn-ME"/>
        </w:rPr>
        <w:noBreakHyphen/>
        <w:t>a uz atezolizumab, nab</w:t>
      </w:r>
      <w:r w:rsidRPr="00B35A22">
        <w:rPr>
          <w:sz w:val="22"/>
          <w:lang w:val="sr-Latn-ME"/>
        </w:rPr>
        <w:noBreakHyphen/>
        <w:t>paklitaksel i karboplatin u odnosu na nab</w:t>
      </w:r>
      <w:r w:rsidRPr="00B35A22">
        <w:rPr>
          <w:sz w:val="22"/>
          <w:lang w:val="sr-Latn-ME"/>
        </w:rPr>
        <w:noBreakHyphen/>
        <w:t>paklitaksel i karboplatin (HR za PFS: 0,93; 95% CI: 0,59; 1,47; HR za OS: 1,04; 95% CI: 0,63; 1,72).</w:t>
      </w:r>
    </w:p>
    <w:p w14:paraId="5E972024" w14:textId="77777777" w:rsidR="00D261B6" w:rsidRPr="00B35A22" w:rsidRDefault="00D261B6" w:rsidP="00B35A22">
      <w:pPr>
        <w:widowControl w:val="0"/>
        <w:tabs>
          <w:tab w:val="left" w:pos="284"/>
        </w:tabs>
        <w:jc w:val="both"/>
        <w:rPr>
          <w:sz w:val="22"/>
          <w:lang w:val="sr-Latn-ME"/>
        </w:rPr>
      </w:pPr>
    </w:p>
    <w:p w14:paraId="66B8E2A9" w14:textId="598C6AA8" w:rsidR="00D261B6" w:rsidRPr="00B35A22" w:rsidRDefault="00D261B6" w:rsidP="00B35A22">
      <w:pPr>
        <w:widowControl w:val="0"/>
        <w:tabs>
          <w:tab w:val="left" w:pos="284"/>
        </w:tabs>
        <w:jc w:val="both"/>
        <w:rPr>
          <w:sz w:val="22"/>
          <w:lang w:val="sr-Latn-ME"/>
        </w:rPr>
      </w:pPr>
      <w:r w:rsidRPr="00B35A22">
        <w:rPr>
          <w:sz w:val="22"/>
          <w:lang w:val="sr-Latn-ME"/>
        </w:rPr>
        <w:t>Pedeset i devet posto (59%) pacijenata u grupi l</w:t>
      </w:r>
      <w:r w:rsidR="00525B32" w:rsidRPr="00B35A22">
        <w:rPr>
          <w:sz w:val="22"/>
          <w:lang w:val="sr-Latn-ME"/>
        </w:rPr>
        <w:t>ij</w:t>
      </w:r>
      <w:r w:rsidRPr="00B35A22">
        <w:rPr>
          <w:sz w:val="22"/>
          <w:lang w:val="sr-Latn-ME"/>
        </w:rPr>
        <w:t>ečenoj nab</w:t>
      </w:r>
      <w:r w:rsidRPr="00B35A22">
        <w:rPr>
          <w:sz w:val="22"/>
          <w:lang w:val="sr-Latn-ME"/>
        </w:rPr>
        <w:noBreakHyphen/>
        <w:t>paklitakselom i karboplatinom je nakon progresije bolesti primalo neki oblik kancerske imunoterapije, što uključuje i pacijente koji su prešli na l</w:t>
      </w:r>
      <w:r w:rsidR="00525B32" w:rsidRPr="00B35A22">
        <w:rPr>
          <w:sz w:val="22"/>
          <w:lang w:val="sr-Latn-ME"/>
        </w:rPr>
        <w:t>ij</w:t>
      </w:r>
      <w:r w:rsidRPr="00B35A22">
        <w:rPr>
          <w:sz w:val="22"/>
          <w:lang w:val="sr-Latn-ME"/>
        </w:rPr>
        <w:t>ečenje atezolizumabom (41% svih pacijenata), u poređenju sa 7,3% pacijenata u grupi koja je primala atezolizumab, nab</w:t>
      </w:r>
      <w:r w:rsidRPr="00B35A22">
        <w:rPr>
          <w:sz w:val="22"/>
          <w:lang w:val="sr-Latn-ME"/>
        </w:rPr>
        <w:noBreakHyphen/>
        <w:t>paklitaksel i karboplatin.</w:t>
      </w:r>
    </w:p>
    <w:p w14:paraId="5DDC6893" w14:textId="77777777" w:rsidR="00D261B6" w:rsidRPr="00B35A22" w:rsidRDefault="00D261B6" w:rsidP="00B35A22">
      <w:pPr>
        <w:widowControl w:val="0"/>
        <w:tabs>
          <w:tab w:val="left" w:pos="284"/>
        </w:tabs>
        <w:jc w:val="both"/>
        <w:rPr>
          <w:sz w:val="22"/>
          <w:lang w:val="sr-Latn-ME"/>
        </w:rPr>
      </w:pPr>
    </w:p>
    <w:p w14:paraId="4321FF2D" w14:textId="4F55A680" w:rsidR="00C84284" w:rsidRPr="00B35A22" w:rsidRDefault="00D261B6" w:rsidP="00B35A22">
      <w:pPr>
        <w:widowControl w:val="0"/>
        <w:tabs>
          <w:tab w:val="left" w:pos="284"/>
        </w:tabs>
        <w:jc w:val="both"/>
        <w:rPr>
          <w:sz w:val="22"/>
          <w:lang w:val="sr-Latn-ME"/>
        </w:rPr>
      </w:pPr>
      <w:r w:rsidRPr="00B35A22">
        <w:rPr>
          <w:sz w:val="22"/>
          <w:lang w:val="sr-Latn-ME"/>
        </w:rPr>
        <w:t>U eksploracijskoj analizi sa dužim praćenjem (medijana: 24,1 m</w:t>
      </w:r>
      <w:r w:rsidR="00525B32" w:rsidRPr="00B35A22">
        <w:rPr>
          <w:sz w:val="22"/>
          <w:lang w:val="sr-Latn-ME"/>
        </w:rPr>
        <w:t>j</w:t>
      </w:r>
      <w:r w:rsidRPr="00B35A22">
        <w:rPr>
          <w:sz w:val="22"/>
          <w:lang w:val="sr-Latn-ME"/>
        </w:rPr>
        <w:t>esec) medijana OS</w:t>
      </w:r>
      <w:r w:rsidRPr="00B35A22">
        <w:rPr>
          <w:sz w:val="22"/>
          <w:lang w:val="sr-Latn-ME"/>
        </w:rPr>
        <w:noBreakHyphen/>
        <w:t>a za ob</w:t>
      </w:r>
      <w:r w:rsidR="00EC6683" w:rsidRPr="00B35A22">
        <w:rPr>
          <w:sz w:val="22"/>
          <w:lang w:val="sr-Latn-ME"/>
        </w:rPr>
        <w:t>ij</w:t>
      </w:r>
      <w:r w:rsidRPr="00B35A22">
        <w:rPr>
          <w:sz w:val="22"/>
          <w:lang w:val="sr-Latn-ME"/>
        </w:rPr>
        <w:t>e grupe ostala je neprom</w:t>
      </w:r>
      <w:r w:rsidR="00EC6683" w:rsidRPr="00B35A22">
        <w:rPr>
          <w:sz w:val="22"/>
          <w:lang w:val="sr-Latn-ME"/>
        </w:rPr>
        <w:t>i</w:t>
      </w:r>
      <w:r w:rsidR="00525B32" w:rsidRPr="00B35A22">
        <w:rPr>
          <w:sz w:val="22"/>
          <w:lang w:val="sr-Latn-ME"/>
        </w:rPr>
        <w:t>j</w:t>
      </w:r>
      <w:r w:rsidRPr="00B35A22">
        <w:rPr>
          <w:sz w:val="22"/>
          <w:lang w:val="sr-Latn-ME"/>
        </w:rPr>
        <w:t>enjena u odnosu na primarnu analizu, uz HR = 0,82 (95% CI: 0,67; 1,01).</w:t>
      </w:r>
    </w:p>
    <w:p w14:paraId="77E7B9E2" w14:textId="7F1E9AD4" w:rsidR="00C84284" w:rsidRPr="00B35A22" w:rsidRDefault="00C84284" w:rsidP="00B35A22">
      <w:pPr>
        <w:widowControl w:val="0"/>
        <w:tabs>
          <w:tab w:val="left" w:pos="284"/>
        </w:tabs>
        <w:jc w:val="both"/>
        <w:rPr>
          <w:sz w:val="22"/>
          <w:lang w:val="sr-Latn-ME"/>
        </w:rPr>
      </w:pPr>
    </w:p>
    <w:p w14:paraId="053CEA28" w14:textId="77514937" w:rsidR="00D261B6" w:rsidRPr="00B35A22" w:rsidRDefault="00D261B6" w:rsidP="00B35A22">
      <w:pPr>
        <w:widowControl w:val="0"/>
        <w:tabs>
          <w:tab w:val="left" w:pos="284"/>
        </w:tabs>
        <w:jc w:val="both"/>
        <w:rPr>
          <w:b/>
          <w:sz w:val="22"/>
          <w:lang w:val="sr-Latn-ME"/>
        </w:rPr>
      </w:pPr>
      <w:r w:rsidRPr="00B35A22">
        <w:rPr>
          <w:b/>
          <w:sz w:val="22"/>
          <w:lang w:val="sr-Latn-ME"/>
        </w:rPr>
        <w:t>Tabela </w:t>
      </w:r>
      <w:r w:rsidR="00E14959" w:rsidRPr="00B35A22">
        <w:rPr>
          <w:b/>
          <w:sz w:val="22"/>
          <w:lang w:val="sr-Latn-ME"/>
        </w:rPr>
        <w:t>1</w:t>
      </w:r>
      <w:r w:rsidR="00D52D7D" w:rsidRPr="00B35A22">
        <w:rPr>
          <w:b/>
          <w:sz w:val="22"/>
          <w:lang w:val="sr-Latn-ME"/>
        </w:rPr>
        <w:t>2</w:t>
      </w:r>
      <w:r w:rsidRPr="00B35A22">
        <w:rPr>
          <w:b/>
          <w:sz w:val="22"/>
          <w:lang w:val="sr-Latn-ME"/>
        </w:rPr>
        <w:t>: Sažetak rezultata za efikasnost u primarnoj analizi podataka iz ispitivanja IMpower130 (ITT populacija sa tumorom divljeg tipa)</w:t>
      </w:r>
    </w:p>
    <w:p w14:paraId="0CEFB9A1" w14:textId="77777777" w:rsidR="00D261B6" w:rsidRPr="00B35A22" w:rsidRDefault="00D261B6" w:rsidP="00B35A22">
      <w:pPr>
        <w:widowControl w:val="0"/>
        <w:tabs>
          <w:tab w:val="left" w:pos="284"/>
        </w:tabs>
        <w:jc w:val="both"/>
        <w:rPr>
          <w:sz w:val="22"/>
          <w:lang w:val="sr-Latn-ME"/>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71"/>
        <w:gridCol w:w="2046"/>
        <w:gridCol w:w="2046"/>
      </w:tblGrid>
      <w:tr w:rsidR="00CC0044" w:rsidRPr="00B35A22" w14:paraId="5D9B8806" w14:textId="77777777" w:rsidTr="00B35A22">
        <w:trPr>
          <w:tblHeader/>
        </w:trPr>
        <w:tc>
          <w:tcPr>
            <w:tcW w:w="2742" w:type="pct"/>
            <w:tcBorders>
              <w:top w:val="single" w:sz="4" w:space="0" w:color="auto"/>
              <w:left w:val="single" w:sz="4" w:space="0" w:color="auto"/>
              <w:bottom w:val="single" w:sz="4" w:space="0" w:color="auto"/>
              <w:right w:val="nil"/>
            </w:tcBorders>
            <w:hideMark/>
          </w:tcPr>
          <w:p w14:paraId="63B118B2" w14:textId="7FABEB6B" w:rsidR="00D261B6" w:rsidRPr="00B35A22" w:rsidRDefault="00D261B6" w:rsidP="00B35A22">
            <w:pPr>
              <w:widowControl w:val="0"/>
              <w:tabs>
                <w:tab w:val="left" w:pos="284"/>
              </w:tabs>
              <w:jc w:val="both"/>
              <w:rPr>
                <w:b/>
                <w:sz w:val="22"/>
                <w:lang w:val="sr-Latn-ME"/>
              </w:rPr>
            </w:pPr>
            <w:r w:rsidRPr="00B35A22">
              <w:rPr>
                <w:b/>
                <w:sz w:val="22"/>
                <w:lang w:val="sr-Latn-ME"/>
              </w:rPr>
              <w:t>M</w:t>
            </w:r>
            <w:r w:rsidR="00525B32" w:rsidRPr="00B35A22">
              <w:rPr>
                <w:b/>
                <w:sz w:val="22"/>
                <w:lang w:val="sr-Latn-ME"/>
              </w:rPr>
              <w:t>j</w:t>
            </w:r>
            <w:r w:rsidRPr="00B35A22">
              <w:rPr>
                <w:b/>
                <w:sz w:val="22"/>
                <w:lang w:val="sr-Latn-ME"/>
              </w:rPr>
              <w:t>ere ishoda za efikasnost</w:t>
            </w:r>
          </w:p>
        </w:tc>
        <w:tc>
          <w:tcPr>
            <w:tcW w:w="1129" w:type="pct"/>
            <w:tcBorders>
              <w:top w:val="single" w:sz="4" w:space="0" w:color="auto"/>
              <w:left w:val="nil"/>
              <w:bottom w:val="single" w:sz="4" w:space="0" w:color="auto"/>
              <w:right w:val="nil"/>
            </w:tcBorders>
            <w:hideMark/>
          </w:tcPr>
          <w:p w14:paraId="1C0D623F" w14:textId="77777777" w:rsidR="00D261B6" w:rsidRPr="00B35A22" w:rsidRDefault="00D261B6" w:rsidP="00B35A22">
            <w:pPr>
              <w:widowControl w:val="0"/>
              <w:tabs>
                <w:tab w:val="left" w:pos="284"/>
              </w:tabs>
              <w:jc w:val="both"/>
              <w:rPr>
                <w:b/>
                <w:sz w:val="22"/>
                <w:lang w:val="sr-Latn-ME"/>
              </w:rPr>
            </w:pPr>
            <w:r w:rsidRPr="00B35A22">
              <w:rPr>
                <w:b/>
                <w:sz w:val="22"/>
                <w:lang w:val="sr-Latn-ME"/>
              </w:rPr>
              <w:t xml:space="preserve">Grupa A </w:t>
            </w:r>
          </w:p>
          <w:p w14:paraId="487ECED9" w14:textId="77777777" w:rsidR="00D261B6" w:rsidRPr="00B35A22" w:rsidRDefault="00D261B6" w:rsidP="00B35A22">
            <w:pPr>
              <w:widowControl w:val="0"/>
              <w:tabs>
                <w:tab w:val="left" w:pos="284"/>
              </w:tabs>
              <w:ind w:right="357"/>
              <w:jc w:val="both"/>
              <w:rPr>
                <w:b/>
                <w:sz w:val="22"/>
                <w:lang w:val="sr-Latn-ME"/>
              </w:rPr>
            </w:pPr>
            <w:r w:rsidRPr="00B35A22">
              <w:rPr>
                <w:b/>
                <w:sz w:val="22"/>
                <w:lang w:val="sr-Latn-ME"/>
              </w:rPr>
              <w:t>Atezolizumab + nab</w:t>
            </w:r>
            <w:r w:rsidRPr="00B35A22">
              <w:rPr>
                <w:b/>
                <w:sz w:val="22"/>
                <w:lang w:val="sr-Latn-ME"/>
              </w:rPr>
              <w:noBreakHyphen/>
              <w:t>paklitaksel + karboplatin</w:t>
            </w:r>
          </w:p>
        </w:tc>
        <w:tc>
          <w:tcPr>
            <w:tcW w:w="1129" w:type="pct"/>
            <w:tcBorders>
              <w:top w:val="single" w:sz="4" w:space="0" w:color="auto"/>
              <w:left w:val="nil"/>
              <w:bottom w:val="single" w:sz="4" w:space="0" w:color="auto"/>
              <w:right w:val="single" w:sz="4" w:space="0" w:color="auto"/>
            </w:tcBorders>
            <w:hideMark/>
          </w:tcPr>
          <w:p w14:paraId="43D22B01" w14:textId="77777777" w:rsidR="00D261B6" w:rsidRPr="00B35A22" w:rsidRDefault="00D261B6" w:rsidP="00B35A22">
            <w:pPr>
              <w:widowControl w:val="0"/>
              <w:tabs>
                <w:tab w:val="left" w:pos="284"/>
              </w:tabs>
              <w:jc w:val="both"/>
              <w:rPr>
                <w:b/>
                <w:sz w:val="22"/>
                <w:lang w:val="sr-Latn-ME"/>
              </w:rPr>
            </w:pPr>
            <w:r w:rsidRPr="00B35A22">
              <w:rPr>
                <w:b/>
                <w:sz w:val="22"/>
                <w:lang w:val="sr-Latn-ME"/>
              </w:rPr>
              <w:t>Grupa B</w:t>
            </w:r>
          </w:p>
          <w:p w14:paraId="70C8ACD6" w14:textId="77777777" w:rsidR="00D261B6" w:rsidRPr="00B35A22" w:rsidRDefault="00D261B6" w:rsidP="00B35A22">
            <w:pPr>
              <w:widowControl w:val="0"/>
              <w:tabs>
                <w:tab w:val="left" w:pos="284"/>
              </w:tabs>
              <w:ind w:right="130"/>
              <w:jc w:val="both"/>
              <w:rPr>
                <w:b/>
                <w:sz w:val="22"/>
                <w:lang w:val="sr-Latn-ME"/>
              </w:rPr>
            </w:pPr>
            <w:r w:rsidRPr="00B35A22">
              <w:rPr>
                <w:b/>
                <w:sz w:val="22"/>
                <w:lang w:val="sr-Latn-ME"/>
              </w:rPr>
              <w:t>Nab</w:t>
            </w:r>
            <w:r w:rsidRPr="00B35A22">
              <w:rPr>
                <w:b/>
                <w:sz w:val="22"/>
                <w:lang w:val="sr-Latn-ME"/>
              </w:rPr>
              <w:noBreakHyphen/>
              <w:t>paklitaksel + karboplatin</w:t>
            </w:r>
          </w:p>
        </w:tc>
      </w:tr>
      <w:tr w:rsidR="00CC0044" w:rsidRPr="00B35A22" w14:paraId="7E0D191D" w14:textId="77777777" w:rsidTr="00B35A22">
        <w:tc>
          <w:tcPr>
            <w:tcW w:w="2742" w:type="pct"/>
            <w:tcBorders>
              <w:top w:val="single" w:sz="4" w:space="0" w:color="auto"/>
              <w:left w:val="single" w:sz="4" w:space="0" w:color="auto"/>
              <w:bottom w:val="nil"/>
              <w:right w:val="nil"/>
            </w:tcBorders>
            <w:hideMark/>
          </w:tcPr>
          <w:p w14:paraId="32BE38CE" w14:textId="610E290D" w:rsidR="00D261B6" w:rsidRPr="00B35A22" w:rsidRDefault="00D261B6" w:rsidP="00B35A22">
            <w:pPr>
              <w:widowControl w:val="0"/>
              <w:tabs>
                <w:tab w:val="left" w:pos="284"/>
              </w:tabs>
              <w:jc w:val="both"/>
              <w:rPr>
                <w:b/>
                <w:sz w:val="22"/>
                <w:lang w:val="sr-Latn-ME"/>
              </w:rPr>
            </w:pPr>
            <w:r w:rsidRPr="00B35A22">
              <w:rPr>
                <w:b/>
                <w:sz w:val="22"/>
                <w:lang w:val="sr-Latn-ME"/>
              </w:rPr>
              <w:t>Ko-primarne m</w:t>
            </w:r>
            <w:r w:rsidR="00525B32" w:rsidRPr="00B35A22">
              <w:rPr>
                <w:b/>
                <w:sz w:val="22"/>
                <w:lang w:val="sr-Latn-ME"/>
              </w:rPr>
              <w:t>j</w:t>
            </w:r>
            <w:r w:rsidRPr="00B35A22">
              <w:rPr>
                <w:b/>
                <w:sz w:val="22"/>
                <w:lang w:val="sr-Latn-ME"/>
              </w:rPr>
              <w:t>ere ishoda za efikasnost</w:t>
            </w:r>
          </w:p>
        </w:tc>
        <w:tc>
          <w:tcPr>
            <w:tcW w:w="1129" w:type="pct"/>
            <w:tcBorders>
              <w:top w:val="single" w:sz="4" w:space="0" w:color="auto"/>
              <w:left w:val="nil"/>
              <w:bottom w:val="nil"/>
              <w:right w:val="nil"/>
            </w:tcBorders>
          </w:tcPr>
          <w:p w14:paraId="4695FC85" w14:textId="77777777" w:rsidR="00D261B6" w:rsidRPr="00B35A22" w:rsidRDefault="00D261B6" w:rsidP="00B35A22">
            <w:pPr>
              <w:widowControl w:val="0"/>
              <w:tabs>
                <w:tab w:val="left" w:pos="284"/>
              </w:tabs>
              <w:jc w:val="both"/>
              <w:rPr>
                <w:sz w:val="22"/>
                <w:lang w:val="sr-Latn-ME"/>
              </w:rPr>
            </w:pPr>
          </w:p>
        </w:tc>
        <w:tc>
          <w:tcPr>
            <w:tcW w:w="1129" w:type="pct"/>
            <w:tcBorders>
              <w:top w:val="single" w:sz="4" w:space="0" w:color="auto"/>
              <w:left w:val="nil"/>
              <w:bottom w:val="nil"/>
              <w:right w:val="single" w:sz="4" w:space="0" w:color="auto"/>
            </w:tcBorders>
          </w:tcPr>
          <w:p w14:paraId="03055150" w14:textId="77777777" w:rsidR="00D261B6" w:rsidRPr="00B35A22" w:rsidRDefault="00D261B6" w:rsidP="00B35A22">
            <w:pPr>
              <w:widowControl w:val="0"/>
              <w:tabs>
                <w:tab w:val="left" w:pos="284"/>
              </w:tabs>
              <w:jc w:val="both"/>
              <w:rPr>
                <w:sz w:val="22"/>
                <w:lang w:val="sr-Latn-ME"/>
              </w:rPr>
            </w:pPr>
          </w:p>
        </w:tc>
      </w:tr>
      <w:tr w:rsidR="00CC0044" w:rsidRPr="00B35A22" w14:paraId="6D8B4C06" w14:textId="77777777" w:rsidTr="00B35A22">
        <w:tc>
          <w:tcPr>
            <w:tcW w:w="2742" w:type="pct"/>
            <w:tcBorders>
              <w:top w:val="single" w:sz="4" w:space="0" w:color="auto"/>
              <w:left w:val="single" w:sz="4" w:space="0" w:color="auto"/>
              <w:bottom w:val="nil"/>
              <w:right w:val="nil"/>
            </w:tcBorders>
            <w:hideMark/>
          </w:tcPr>
          <w:p w14:paraId="57897070" w14:textId="77777777" w:rsidR="00D261B6" w:rsidRPr="00B35A22" w:rsidRDefault="00D261B6" w:rsidP="00B35A22">
            <w:pPr>
              <w:widowControl w:val="0"/>
              <w:tabs>
                <w:tab w:val="left" w:pos="284"/>
              </w:tabs>
              <w:jc w:val="both"/>
              <w:rPr>
                <w:b/>
                <w:i/>
                <w:sz w:val="22"/>
                <w:lang w:val="sr-Latn-ME"/>
              </w:rPr>
            </w:pPr>
            <w:r w:rsidRPr="00B35A22">
              <w:rPr>
                <w:b/>
                <w:i/>
                <w:sz w:val="22"/>
                <w:lang w:val="sr-Latn-ME"/>
              </w:rPr>
              <w:t>OS</w:t>
            </w:r>
          </w:p>
        </w:tc>
        <w:tc>
          <w:tcPr>
            <w:tcW w:w="1129" w:type="pct"/>
            <w:tcBorders>
              <w:top w:val="single" w:sz="4" w:space="0" w:color="auto"/>
              <w:left w:val="nil"/>
              <w:bottom w:val="nil"/>
              <w:right w:val="nil"/>
            </w:tcBorders>
            <w:hideMark/>
          </w:tcPr>
          <w:p w14:paraId="4EAB4FAE" w14:textId="77777777" w:rsidR="00D261B6" w:rsidRPr="00B35A22" w:rsidRDefault="00D261B6" w:rsidP="00B35A22">
            <w:pPr>
              <w:widowControl w:val="0"/>
              <w:tabs>
                <w:tab w:val="left" w:pos="284"/>
              </w:tabs>
              <w:jc w:val="center"/>
              <w:rPr>
                <w:sz w:val="22"/>
                <w:lang w:val="sr-Latn-ME"/>
              </w:rPr>
            </w:pPr>
            <w:r w:rsidRPr="00B35A22">
              <w:rPr>
                <w:sz w:val="22"/>
                <w:lang w:val="sr-Latn-ME"/>
              </w:rPr>
              <w:t>n=451</w:t>
            </w:r>
          </w:p>
        </w:tc>
        <w:tc>
          <w:tcPr>
            <w:tcW w:w="1129" w:type="pct"/>
            <w:tcBorders>
              <w:top w:val="single" w:sz="4" w:space="0" w:color="auto"/>
              <w:left w:val="nil"/>
              <w:bottom w:val="nil"/>
              <w:right w:val="single" w:sz="4" w:space="0" w:color="auto"/>
            </w:tcBorders>
            <w:hideMark/>
          </w:tcPr>
          <w:p w14:paraId="1D1C9BA2" w14:textId="77777777" w:rsidR="00D261B6" w:rsidRPr="00B35A22" w:rsidRDefault="00D261B6" w:rsidP="00B35A22">
            <w:pPr>
              <w:widowControl w:val="0"/>
              <w:tabs>
                <w:tab w:val="left" w:pos="284"/>
              </w:tabs>
              <w:jc w:val="center"/>
              <w:rPr>
                <w:sz w:val="22"/>
                <w:lang w:val="sr-Latn-ME"/>
              </w:rPr>
            </w:pPr>
            <w:r w:rsidRPr="00B35A22">
              <w:rPr>
                <w:sz w:val="22"/>
                <w:lang w:val="sr-Latn-ME"/>
              </w:rPr>
              <w:t>n=228</w:t>
            </w:r>
          </w:p>
        </w:tc>
      </w:tr>
      <w:tr w:rsidR="00CC0044" w:rsidRPr="00B35A22" w14:paraId="19371558" w14:textId="77777777" w:rsidTr="00B35A22">
        <w:tc>
          <w:tcPr>
            <w:tcW w:w="2742" w:type="pct"/>
            <w:tcBorders>
              <w:top w:val="nil"/>
              <w:left w:val="single" w:sz="4" w:space="0" w:color="auto"/>
              <w:bottom w:val="nil"/>
              <w:right w:val="nil"/>
            </w:tcBorders>
            <w:hideMark/>
          </w:tcPr>
          <w:p w14:paraId="13F06889" w14:textId="77777777" w:rsidR="00D261B6" w:rsidRPr="00B35A22" w:rsidRDefault="00D261B6" w:rsidP="00B35A22">
            <w:pPr>
              <w:widowControl w:val="0"/>
              <w:tabs>
                <w:tab w:val="left" w:pos="284"/>
              </w:tabs>
              <w:jc w:val="both"/>
              <w:rPr>
                <w:b/>
                <w:i/>
                <w:sz w:val="22"/>
                <w:lang w:val="sr-Latn-ME"/>
              </w:rPr>
            </w:pPr>
            <w:r w:rsidRPr="00B35A22">
              <w:rPr>
                <w:sz w:val="22"/>
                <w:lang w:val="sr-Latn-ME"/>
              </w:rPr>
              <w:t>Broj smrtnih slučajeva (%)</w:t>
            </w:r>
          </w:p>
        </w:tc>
        <w:tc>
          <w:tcPr>
            <w:tcW w:w="1129" w:type="pct"/>
            <w:tcBorders>
              <w:top w:val="nil"/>
              <w:left w:val="nil"/>
              <w:bottom w:val="nil"/>
              <w:right w:val="nil"/>
            </w:tcBorders>
            <w:hideMark/>
          </w:tcPr>
          <w:p w14:paraId="08E7080B" w14:textId="77777777" w:rsidR="00D261B6" w:rsidRPr="00B35A22" w:rsidRDefault="00D261B6" w:rsidP="00B35A22">
            <w:pPr>
              <w:widowControl w:val="0"/>
              <w:tabs>
                <w:tab w:val="left" w:pos="284"/>
              </w:tabs>
              <w:jc w:val="center"/>
              <w:rPr>
                <w:sz w:val="22"/>
                <w:lang w:val="sr-Latn-ME"/>
              </w:rPr>
            </w:pPr>
            <w:r w:rsidRPr="00B35A22">
              <w:rPr>
                <w:sz w:val="22"/>
                <w:lang w:val="sr-Latn-ME"/>
              </w:rPr>
              <w:t>226 (50,1%)</w:t>
            </w:r>
          </w:p>
        </w:tc>
        <w:tc>
          <w:tcPr>
            <w:tcW w:w="1129" w:type="pct"/>
            <w:tcBorders>
              <w:top w:val="nil"/>
              <w:left w:val="nil"/>
              <w:bottom w:val="nil"/>
              <w:right w:val="single" w:sz="4" w:space="0" w:color="auto"/>
            </w:tcBorders>
            <w:hideMark/>
          </w:tcPr>
          <w:p w14:paraId="222C5149" w14:textId="77777777" w:rsidR="00D261B6" w:rsidRPr="00B35A22" w:rsidRDefault="00D261B6" w:rsidP="00B35A22">
            <w:pPr>
              <w:widowControl w:val="0"/>
              <w:tabs>
                <w:tab w:val="left" w:pos="284"/>
              </w:tabs>
              <w:jc w:val="center"/>
              <w:rPr>
                <w:sz w:val="22"/>
                <w:lang w:val="sr-Latn-ME"/>
              </w:rPr>
            </w:pPr>
            <w:r w:rsidRPr="00B35A22">
              <w:rPr>
                <w:sz w:val="22"/>
                <w:lang w:val="sr-Latn-ME"/>
              </w:rPr>
              <w:t>131 (57,5%)</w:t>
            </w:r>
          </w:p>
        </w:tc>
      </w:tr>
      <w:tr w:rsidR="00CC0044" w:rsidRPr="00B35A22" w14:paraId="65F3733A" w14:textId="77777777" w:rsidTr="00B35A22">
        <w:tc>
          <w:tcPr>
            <w:tcW w:w="2742" w:type="pct"/>
            <w:tcBorders>
              <w:top w:val="nil"/>
              <w:left w:val="single" w:sz="4" w:space="0" w:color="auto"/>
              <w:bottom w:val="nil"/>
              <w:right w:val="nil"/>
            </w:tcBorders>
            <w:hideMark/>
          </w:tcPr>
          <w:p w14:paraId="713A90CE" w14:textId="05D1177B" w:rsidR="00D261B6" w:rsidRPr="00B35A22" w:rsidRDefault="00D261B6" w:rsidP="00B35A22">
            <w:pPr>
              <w:widowControl w:val="0"/>
              <w:tabs>
                <w:tab w:val="left" w:pos="284"/>
              </w:tabs>
              <w:jc w:val="both"/>
              <w:rPr>
                <w:b/>
                <w:i/>
                <w:sz w:val="22"/>
                <w:lang w:val="sr-Latn-ME"/>
              </w:rPr>
            </w:pPr>
            <w:r w:rsidRPr="00B35A22">
              <w:rPr>
                <w:sz w:val="22"/>
                <w:lang w:val="sr-Latn-ME"/>
              </w:rPr>
              <w:t>Medijana vremena do događaja (m</w:t>
            </w:r>
            <w:r w:rsidR="00525B32" w:rsidRPr="00B35A22">
              <w:rPr>
                <w:sz w:val="22"/>
                <w:lang w:val="sr-Latn-ME"/>
              </w:rPr>
              <w:t>j</w:t>
            </w:r>
            <w:r w:rsidRPr="00B35A22">
              <w:rPr>
                <w:sz w:val="22"/>
                <w:lang w:val="sr-Latn-ME"/>
              </w:rPr>
              <w:t>eseci)</w:t>
            </w:r>
          </w:p>
        </w:tc>
        <w:tc>
          <w:tcPr>
            <w:tcW w:w="1129" w:type="pct"/>
            <w:tcBorders>
              <w:top w:val="nil"/>
              <w:left w:val="nil"/>
              <w:bottom w:val="nil"/>
              <w:right w:val="nil"/>
            </w:tcBorders>
            <w:hideMark/>
          </w:tcPr>
          <w:p w14:paraId="6ED225BF" w14:textId="77777777" w:rsidR="00D261B6" w:rsidRPr="00B35A22" w:rsidRDefault="00D261B6" w:rsidP="00B35A22">
            <w:pPr>
              <w:widowControl w:val="0"/>
              <w:tabs>
                <w:tab w:val="left" w:pos="284"/>
              </w:tabs>
              <w:jc w:val="center"/>
              <w:rPr>
                <w:sz w:val="22"/>
                <w:lang w:val="sr-Latn-ME"/>
              </w:rPr>
            </w:pPr>
            <w:r w:rsidRPr="00B35A22">
              <w:rPr>
                <w:sz w:val="22"/>
                <w:lang w:val="sr-Latn-ME"/>
              </w:rPr>
              <w:t>18,6</w:t>
            </w:r>
          </w:p>
        </w:tc>
        <w:tc>
          <w:tcPr>
            <w:tcW w:w="1129" w:type="pct"/>
            <w:tcBorders>
              <w:top w:val="nil"/>
              <w:left w:val="nil"/>
              <w:bottom w:val="nil"/>
              <w:right w:val="single" w:sz="4" w:space="0" w:color="auto"/>
            </w:tcBorders>
            <w:hideMark/>
          </w:tcPr>
          <w:p w14:paraId="0EFEF46B" w14:textId="77777777" w:rsidR="00D261B6" w:rsidRPr="00B35A22" w:rsidRDefault="00D261B6" w:rsidP="00B35A22">
            <w:pPr>
              <w:widowControl w:val="0"/>
              <w:tabs>
                <w:tab w:val="left" w:pos="284"/>
              </w:tabs>
              <w:jc w:val="center"/>
              <w:rPr>
                <w:sz w:val="22"/>
                <w:lang w:val="sr-Latn-ME"/>
              </w:rPr>
            </w:pPr>
            <w:r w:rsidRPr="00B35A22">
              <w:rPr>
                <w:sz w:val="22"/>
                <w:lang w:val="sr-Latn-ME"/>
              </w:rPr>
              <w:t>13,9</w:t>
            </w:r>
          </w:p>
        </w:tc>
      </w:tr>
      <w:tr w:rsidR="00CC0044" w:rsidRPr="00B35A22" w14:paraId="5DBDC758" w14:textId="77777777" w:rsidTr="00B35A22">
        <w:tc>
          <w:tcPr>
            <w:tcW w:w="2742" w:type="pct"/>
            <w:tcBorders>
              <w:top w:val="nil"/>
              <w:left w:val="single" w:sz="4" w:space="0" w:color="auto"/>
              <w:bottom w:val="nil"/>
              <w:right w:val="nil"/>
            </w:tcBorders>
            <w:hideMark/>
          </w:tcPr>
          <w:p w14:paraId="4798676A" w14:textId="77777777" w:rsidR="00D261B6" w:rsidRPr="00B35A22" w:rsidRDefault="00D261B6" w:rsidP="00B35A22">
            <w:pPr>
              <w:widowControl w:val="0"/>
              <w:tabs>
                <w:tab w:val="left" w:pos="284"/>
              </w:tabs>
              <w:jc w:val="both"/>
              <w:rPr>
                <w:b/>
                <w:i/>
                <w:sz w:val="22"/>
                <w:lang w:val="sr-Latn-ME"/>
              </w:rPr>
            </w:pPr>
            <w:r w:rsidRPr="00B35A22">
              <w:rPr>
                <w:sz w:val="22"/>
                <w:lang w:val="sr-Latn-ME"/>
              </w:rPr>
              <w:t>95% CI</w:t>
            </w:r>
          </w:p>
        </w:tc>
        <w:tc>
          <w:tcPr>
            <w:tcW w:w="1129" w:type="pct"/>
            <w:tcBorders>
              <w:top w:val="nil"/>
              <w:left w:val="nil"/>
              <w:bottom w:val="nil"/>
              <w:right w:val="nil"/>
            </w:tcBorders>
            <w:hideMark/>
          </w:tcPr>
          <w:p w14:paraId="3CC42433" w14:textId="77777777" w:rsidR="00D261B6" w:rsidRPr="00B35A22" w:rsidRDefault="00D261B6" w:rsidP="00B35A22">
            <w:pPr>
              <w:widowControl w:val="0"/>
              <w:tabs>
                <w:tab w:val="left" w:pos="284"/>
              </w:tabs>
              <w:jc w:val="center"/>
              <w:rPr>
                <w:sz w:val="22"/>
                <w:lang w:val="sr-Latn-ME"/>
              </w:rPr>
            </w:pPr>
            <w:r w:rsidRPr="00B35A22">
              <w:rPr>
                <w:sz w:val="22"/>
                <w:lang w:val="sr-Latn-ME"/>
              </w:rPr>
              <w:t>(16,0; 21,2)</w:t>
            </w:r>
          </w:p>
        </w:tc>
        <w:tc>
          <w:tcPr>
            <w:tcW w:w="1129" w:type="pct"/>
            <w:tcBorders>
              <w:top w:val="nil"/>
              <w:left w:val="nil"/>
              <w:bottom w:val="nil"/>
              <w:right w:val="single" w:sz="4" w:space="0" w:color="auto"/>
            </w:tcBorders>
            <w:hideMark/>
          </w:tcPr>
          <w:p w14:paraId="4BAD986F" w14:textId="77777777" w:rsidR="00D261B6" w:rsidRPr="00B35A22" w:rsidRDefault="00D261B6" w:rsidP="00B35A22">
            <w:pPr>
              <w:widowControl w:val="0"/>
              <w:tabs>
                <w:tab w:val="left" w:pos="284"/>
              </w:tabs>
              <w:jc w:val="center"/>
              <w:rPr>
                <w:sz w:val="22"/>
                <w:lang w:val="sr-Latn-ME"/>
              </w:rPr>
            </w:pPr>
            <w:r w:rsidRPr="00B35A22">
              <w:rPr>
                <w:sz w:val="22"/>
                <w:lang w:val="sr-Latn-ME"/>
              </w:rPr>
              <w:t>(12,0; 18,7)</w:t>
            </w:r>
          </w:p>
        </w:tc>
      </w:tr>
      <w:tr w:rsidR="00D261B6" w:rsidRPr="00B35A22" w14:paraId="2290C455" w14:textId="77777777" w:rsidTr="00B35A22">
        <w:tc>
          <w:tcPr>
            <w:tcW w:w="2742" w:type="pct"/>
            <w:tcBorders>
              <w:top w:val="nil"/>
              <w:left w:val="single" w:sz="4" w:space="0" w:color="auto"/>
              <w:bottom w:val="nil"/>
              <w:right w:val="nil"/>
            </w:tcBorders>
            <w:hideMark/>
          </w:tcPr>
          <w:p w14:paraId="54955FD2" w14:textId="627D7DC7" w:rsidR="00D261B6" w:rsidRPr="00B35A22" w:rsidRDefault="00D261B6" w:rsidP="00B35A22">
            <w:pPr>
              <w:widowControl w:val="0"/>
              <w:tabs>
                <w:tab w:val="left" w:pos="284"/>
              </w:tabs>
              <w:jc w:val="both"/>
              <w:rPr>
                <w:b/>
                <w:i/>
                <w:sz w:val="22"/>
                <w:lang w:val="sr-Latn-ME"/>
              </w:rPr>
            </w:pPr>
            <w:r w:rsidRPr="00B35A22">
              <w:rPr>
                <w:sz w:val="22"/>
                <w:lang w:val="sr-Latn-ME"/>
              </w:rPr>
              <w:t>Strati</w:t>
            </w:r>
            <w:r w:rsidR="00525B32" w:rsidRPr="00B35A22">
              <w:rPr>
                <w:sz w:val="22"/>
                <w:lang w:val="sr-Latn-ME"/>
              </w:rPr>
              <w:t>fi</w:t>
            </w:r>
            <w:r w:rsidRPr="00B35A22">
              <w:rPr>
                <w:sz w:val="22"/>
                <w:lang w:val="sr-Latn-ME"/>
              </w:rPr>
              <w:t>kovan koeficijent rizika</w:t>
            </w:r>
            <w:r w:rsidRPr="00B35A22">
              <w:rPr>
                <w:sz w:val="22"/>
                <w:vertAlign w:val="superscript"/>
                <w:lang w:val="sr-Latn-ME"/>
              </w:rPr>
              <w:t>‡</w:t>
            </w:r>
            <w:r w:rsidRPr="00B35A22">
              <w:rPr>
                <w:sz w:val="22"/>
                <w:lang w:val="sr-Latn-ME"/>
              </w:rPr>
              <w:t xml:space="preserve"> (95% CI)</w:t>
            </w:r>
          </w:p>
        </w:tc>
        <w:tc>
          <w:tcPr>
            <w:tcW w:w="2258" w:type="pct"/>
            <w:gridSpan w:val="2"/>
            <w:tcBorders>
              <w:top w:val="nil"/>
              <w:left w:val="nil"/>
              <w:bottom w:val="nil"/>
              <w:right w:val="single" w:sz="4" w:space="0" w:color="auto"/>
            </w:tcBorders>
            <w:hideMark/>
          </w:tcPr>
          <w:p w14:paraId="0189E7DD" w14:textId="77777777" w:rsidR="00D261B6" w:rsidRPr="00B35A22" w:rsidRDefault="00D261B6" w:rsidP="00B35A22">
            <w:pPr>
              <w:widowControl w:val="0"/>
              <w:tabs>
                <w:tab w:val="left" w:pos="284"/>
              </w:tabs>
              <w:jc w:val="center"/>
              <w:rPr>
                <w:sz w:val="22"/>
                <w:lang w:val="sr-Latn-ME"/>
              </w:rPr>
            </w:pPr>
            <w:r w:rsidRPr="00B35A22">
              <w:rPr>
                <w:sz w:val="22"/>
                <w:lang w:val="sr-Latn-ME"/>
              </w:rPr>
              <w:t>0,79 (0,64; 0,98)</w:t>
            </w:r>
          </w:p>
        </w:tc>
      </w:tr>
      <w:tr w:rsidR="00D261B6" w:rsidRPr="00B35A22" w14:paraId="1E07240A" w14:textId="77777777" w:rsidTr="00B35A22">
        <w:tc>
          <w:tcPr>
            <w:tcW w:w="2742" w:type="pct"/>
            <w:tcBorders>
              <w:top w:val="nil"/>
              <w:left w:val="single" w:sz="4" w:space="0" w:color="auto"/>
              <w:bottom w:val="nil"/>
              <w:right w:val="nil"/>
            </w:tcBorders>
            <w:hideMark/>
          </w:tcPr>
          <w:p w14:paraId="26C8A974" w14:textId="766D2797" w:rsidR="00D261B6" w:rsidRPr="00B35A22" w:rsidRDefault="00D261B6" w:rsidP="00B35A22">
            <w:pPr>
              <w:widowControl w:val="0"/>
              <w:tabs>
                <w:tab w:val="left" w:pos="284"/>
              </w:tabs>
              <w:jc w:val="both"/>
              <w:rPr>
                <w:b/>
                <w:i/>
                <w:sz w:val="22"/>
                <w:lang w:val="sr-Latn-ME"/>
              </w:rPr>
            </w:pPr>
            <w:r w:rsidRPr="00B35A22">
              <w:rPr>
                <w:sz w:val="22"/>
                <w:lang w:val="sr-Latn-ME"/>
              </w:rPr>
              <w:t>p</w:t>
            </w:r>
            <w:r w:rsidRPr="00B35A22">
              <w:rPr>
                <w:sz w:val="22"/>
                <w:lang w:val="sr-Latn-ME"/>
              </w:rPr>
              <w:noBreakHyphen/>
              <w:t>vr</w:t>
            </w:r>
            <w:r w:rsidR="00C84284" w:rsidRPr="00B35A22">
              <w:rPr>
                <w:sz w:val="22"/>
                <w:lang w:val="sr-Latn-ME"/>
              </w:rPr>
              <w:t>ij</w:t>
            </w:r>
            <w:r w:rsidRPr="00B35A22">
              <w:rPr>
                <w:sz w:val="22"/>
                <w:lang w:val="sr-Latn-ME"/>
              </w:rPr>
              <w:t>ednost</w:t>
            </w:r>
          </w:p>
        </w:tc>
        <w:tc>
          <w:tcPr>
            <w:tcW w:w="2258" w:type="pct"/>
            <w:gridSpan w:val="2"/>
            <w:tcBorders>
              <w:top w:val="nil"/>
              <w:left w:val="nil"/>
              <w:bottom w:val="nil"/>
              <w:right w:val="single" w:sz="4" w:space="0" w:color="auto"/>
            </w:tcBorders>
            <w:hideMark/>
          </w:tcPr>
          <w:p w14:paraId="7B198B6F" w14:textId="77777777" w:rsidR="00D261B6" w:rsidRPr="00B35A22" w:rsidRDefault="00D261B6" w:rsidP="00B35A22">
            <w:pPr>
              <w:widowControl w:val="0"/>
              <w:tabs>
                <w:tab w:val="left" w:pos="284"/>
              </w:tabs>
              <w:jc w:val="center"/>
              <w:rPr>
                <w:sz w:val="22"/>
                <w:lang w:val="sr-Latn-ME"/>
              </w:rPr>
            </w:pPr>
            <w:r w:rsidRPr="00B35A22">
              <w:rPr>
                <w:sz w:val="22"/>
                <w:lang w:val="sr-Latn-ME"/>
              </w:rPr>
              <w:t>0,033</w:t>
            </w:r>
          </w:p>
        </w:tc>
      </w:tr>
      <w:tr w:rsidR="00CC0044" w:rsidRPr="00B35A22" w14:paraId="4202A614" w14:textId="77777777" w:rsidTr="00B35A22">
        <w:tc>
          <w:tcPr>
            <w:tcW w:w="2742" w:type="pct"/>
            <w:tcBorders>
              <w:top w:val="nil"/>
              <w:left w:val="single" w:sz="4" w:space="0" w:color="auto"/>
              <w:bottom w:val="single" w:sz="4" w:space="0" w:color="auto"/>
              <w:right w:val="nil"/>
            </w:tcBorders>
            <w:hideMark/>
          </w:tcPr>
          <w:p w14:paraId="12FE557F" w14:textId="071A058A" w:rsidR="00D261B6" w:rsidRPr="00B35A22" w:rsidRDefault="00D261B6" w:rsidP="00B35A22">
            <w:pPr>
              <w:widowControl w:val="0"/>
              <w:tabs>
                <w:tab w:val="left" w:pos="284"/>
              </w:tabs>
              <w:jc w:val="both"/>
              <w:rPr>
                <w:b/>
                <w:i/>
                <w:sz w:val="22"/>
                <w:lang w:val="sr-Latn-ME"/>
              </w:rPr>
            </w:pPr>
            <w:r w:rsidRPr="00B35A22">
              <w:rPr>
                <w:sz w:val="22"/>
                <w:lang w:val="sr-Latn-ME"/>
              </w:rPr>
              <w:t>12</w:t>
            </w:r>
            <w:r w:rsidRPr="00B35A22">
              <w:rPr>
                <w:sz w:val="22"/>
                <w:lang w:val="sr-Latn-ME"/>
              </w:rPr>
              <w:noBreakHyphen/>
              <w:t>m</w:t>
            </w:r>
            <w:r w:rsidR="00C84284" w:rsidRPr="00B35A22">
              <w:rPr>
                <w:sz w:val="22"/>
                <w:lang w:val="sr-Latn-ME"/>
              </w:rPr>
              <w:t>j</w:t>
            </w:r>
            <w:r w:rsidRPr="00B35A22">
              <w:rPr>
                <w:sz w:val="22"/>
                <w:lang w:val="sr-Latn-ME"/>
              </w:rPr>
              <w:t>esečni OS (%)</w:t>
            </w:r>
          </w:p>
        </w:tc>
        <w:tc>
          <w:tcPr>
            <w:tcW w:w="1129" w:type="pct"/>
            <w:tcBorders>
              <w:top w:val="nil"/>
              <w:left w:val="nil"/>
              <w:bottom w:val="single" w:sz="4" w:space="0" w:color="auto"/>
              <w:right w:val="nil"/>
            </w:tcBorders>
            <w:hideMark/>
          </w:tcPr>
          <w:p w14:paraId="4222B603" w14:textId="77777777" w:rsidR="00D261B6" w:rsidRPr="00B35A22" w:rsidRDefault="00D261B6" w:rsidP="00B35A22">
            <w:pPr>
              <w:widowControl w:val="0"/>
              <w:tabs>
                <w:tab w:val="left" w:pos="284"/>
              </w:tabs>
              <w:jc w:val="center"/>
              <w:rPr>
                <w:sz w:val="22"/>
                <w:lang w:val="sr-Latn-ME"/>
              </w:rPr>
            </w:pPr>
            <w:r w:rsidRPr="00B35A22">
              <w:rPr>
                <w:sz w:val="22"/>
                <w:lang w:val="sr-Latn-ME"/>
              </w:rPr>
              <w:t>63</w:t>
            </w:r>
          </w:p>
        </w:tc>
        <w:tc>
          <w:tcPr>
            <w:tcW w:w="1129" w:type="pct"/>
            <w:tcBorders>
              <w:top w:val="nil"/>
              <w:left w:val="nil"/>
              <w:bottom w:val="single" w:sz="4" w:space="0" w:color="auto"/>
              <w:right w:val="single" w:sz="4" w:space="0" w:color="auto"/>
            </w:tcBorders>
            <w:hideMark/>
          </w:tcPr>
          <w:p w14:paraId="48AD78DE" w14:textId="77777777" w:rsidR="00D261B6" w:rsidRPr="00B35A22" w:rsidRDefault="00D261B6" w:rsidP="00B35A22">
            <w:pPr>
              <w:widowControl w:val="0"/>
              <w:tabs>
                <w:tab w:val="left" w:pos="284"/>
              </w:tabs>
              <w:jc w:val="center"/>
              <w:rPr>
                <w:sz w:val="22"/>
                <w:lang w:val="sr-Latn-ME"/>
              </w:rPr>
            </w:pPr>
            <w:r w:rsidRPr="00B35A22">
              <w:rPr>
                <w:sz w:val="22"/>
                <w:lang w:val="sr-Latn-ME"/>
              </w:rPr>
              <w:t>56</w:t>
            </w:r>
          </w:p>
        </w:tc>
      </w:tr>
      <w:tr w:rsidR="00CC0044" w:rsidRPr="00B35A22" w14:paraId="368517C1" w14:textId="77777777" w:rsidTr="00B35A22">
        <w:tc>
          <w:tcPr>
            <w:tcW w:w="2742" w:type="pct"/>
            <w:tcBorders>
              <w:top w:val="single" w:sz="4" w:space="0" w:color="auto"/>
              <w:left w:val="single" w:sz="4" w:space="0" w:color="auto"/>
              <w:bottom w:val="nil"/>
              <w:right w:val="nil"/>
            </w:tcBorders>
            <w:hideMark/>
          </w:tcPr>
          <w:p w14:paraId="7AAA2767" w14:textId="76B3D6A0" w:rsidR="00D261B6" w:rsidRPr="00B35A22" w:rsidRDefault="00D261B6" w:rsidP="00B35A22">
            <w:pPr>
              <w:widowControl w:val="0"/>
              <w:tabs>
                <w:tab w:val="left" w:pos="284"/>
              </w:tabs>
              <w:jc w:val="both"/>
              <w:rPr>
                <w:b/>
                <w:i/>
                <w:sz w:val="22"/>
                <w:vertAlign w:val="superscript"/>
                <w:lang w:val="sr-Latn-ME"/>
              </w:rPr>
            </w:pPr>
            <w:r w:rsidRPr="00B35A22">
              <w:rPr>
                <w:b/>
                <w:i/>
                <w:sz w:val="22"/>
                <w:lang w:val="sr-Latn-ME"/>
              </w:rPr>
              <w:t>PFS prema oc</w:t>
            </w:r>
            <w:r w:rsidR="00C84284" w:rsidRPr="00B35A22">
              <w:rPr>
                <w:b/>
                <w:i/>
                <w:sz w:val="22"/>
                <w:lang w:val="sr-Latn-ME"/>
              </w:rPr>
              <w:t>j</w:t>
            </w:r>
            <w:r w:rsidRPr="00B35A22">
              <w:rPr>
                <w:b/>
                <w:i/>
                <w:sz w:val="22"/>
                <w:lang w:val="sr-Latn-ME"/>
              </w:rPr>
              <w:t>eni istraživača (RECIST v1.1</w:t>
            </w:r>
            <w:r w:rsidRPr="00B35A22">
              <w:rPr>
                <w:sz w:val="22"/>
                <w:lang w:val="sr-Latn-ME"/>
              </w:rPr>
              <w:t xml:space="preserve">) </w:t>
            </w:r>
          </w:p>
        </w:tc>
        <w:tc>
          <w:tcPr>
            <w:tcW w:w="1129" w:type="pct"/>
            <w:tcBorders>
              <w:top w:val="single" w:sz="4" w:space="0" w:color="auto"/>
              <w:left w:val="nil"/>
              <w:bottom w:val="nil"/>
              <w:right w:val="nil"/>
            </w:tcBorders>
            <w:hideMark/>
          </w:tcPr>
          <w:p w14:paraId="6CB687F6" w14:textId="77777777" w:rsidR="00D261B6" w:rsidRPr="00B35A22" w:rsidRDefault="00D261B6" w:rsidP="00B35A22">
            <w:pPr>
              <w:widowControl w:val="0"/>
              <w:tabs>
                <w:tab w:val="left" w:pos="284"/>
              </w:tabs>
              <w:jc w:val="center"/>
              <w:rPr>
                <w:sz w:val="22"/>
                <w:lang w:val="sr-Latn-ME"/>
              </w:rPr>
            </w:pPr>
            <w:r w:rsidRPr="00B35A22">
              <w:rPr>
                <w:sz w:val="22"/>
                <w:lang w:val="sr-Latn-ME"/>
              </w:rPr>
              <w:t>n=451</w:t>
            </w:r>
          </w:p>
        </w:tc>
        <w:tc>
          <w:tcPr>
            <w:tcW w:w="1129" w:type="pct"/>
            <w:tcBorders>
              <w:top w:val="single" w:sz="4" w:space="0" w:color="auto"/>
              <w:left w:val="nil"/>
              <w:bottom w:val="nil"/>
              <w:right w:val="single" w:sz="4" w:space="0" w:color="auto"/>
            </w:tcBorders>
            <w:hideMark/>
          </w:tcPr>
          <w:p w14:paraId="318AD7C9" w14:textId="77777777" w:rsidR="00D261B6" w:rsidRPr="00B35A22" w:rsidRDefault="00D261B6" w:rsidP="00B35A22">
            <w:pPr>
              <w:widowControl w:val="0"/>
              <w:tabs>
                <w:tab w:val="left" w:pos="284"/>
              </w:tabs>
              <w:jc w:val="center"/>
              <w:rPr>
                <w:sz w:val="22"/>
                <w:lang w:val="sr-Latn-ME"/>
              </w:rPr>
            </w:pPr>
            <w:r w:rsidRPr="00B35A22">
              <w:rPr>
                <w:sz w:val="22"/>
                <w:lang w:val="sr-Latn-ME"/>
              </w:rPr>
              <w:t>n=228</w:t>
            </w:r>
          </w:p>
        </w:tc>
      </w:tr>
      <w:tr w:rsidR="00CC0044" w:rsidRPr="00B35A22" w14:paraId="1022C880" w14:textId="77777777" w:rsidTr="00B35A22">
        <w:tc>
          <w:tcPr>
            <w:tcW w:w="2742" w:type="pct"/>
            <w:tcBorders>
              <w:top w:val="nil"/>
              <w:left w:val="single" w:sz="4" w:space="0" w:color="auto"/>
              <w:bottom w:val="nil"/>
              <w:right w:val="nil"/>
            </w:tcBorders>
            <w:hideMark/>
          </w:tcPr>
          <w:p w14:paraId="2AED29DF" w14:textId="77777777" w:rsidR="00D261B6" w:rsidRPr="00B35A22" w:rsidRDefault="00D261B6" w:rsidP="00B35A22">
            <w:pPr>
              <w:widowControl w:val="0"/>
              <w:tabs>
                <w:tab w:val="left" w:pos="284"/>
              </w:tabs>
              <w:jc w:val="both"/>
              <w:rPr>
                <w:sz w:val="22"/>
                <w:lang w:val="sr-Latn-ME"/>
              </w:rPr>
            </w:pPr>
            <w:r w:rsidRPr="00B35A22">
              <w:rPr>
                <w:sz w:val="22"/>
                <w:lang w:val="sr-Latn-ME"/>
              </w:rPr>
              <w:t>Broj događaja (%)</w:t>
            </w:r>
          </w:p>
        </w:tc>
        <w:tc>
          <w:tcPr>
            <w:tcW w:w="1129" w:type="pct"/>
            <w:tcBorders>
              <w:top w:val="nil"/>
              <w:left w:val="nil"/>
              <w:bottom w:val="nil"/>
              <w:right w:val="nil"/>
            </w:tcBorders>
            <w:hideMark/>
          </w:tcPr>
          <w:p w14:paraId="676C12EC" w14:textId="77777777" w:rsidR="00D261B6" w:rsidRPr="00B35A22" w:rsidRDefault="00D261B6" w:rsidP="00B35A22">
            <w:pPr>
              <w:widowControl w:val="0"/>
              <w:tabs>
                <w:tab w:val="left" w:pos="284"/>
              </w:tabs>
              <w:jc w:val="center"/>
              <w:rPr>
                <w:sz w:val="22"/>
                <w:lang w:val="sr-Latn-ME"/>
              </w:rPr>
            </w:pPr>
            <w:r w:rsidRPr="00B35A22">
              <w:rPr>
                <w:sz w:val="22"/>
                <w:lang w:val="sr-Latn-ME"/>
              </w:rPr>
              <w:t>347 (76,9%)</w:t>
            </w:r>
          </w:p>
        </w:tc>
        <w:tc>
          <w:tcPr>
            <w:tcW w:w="1129" w:type="pct"/>
            <w:tcBorders>
              <w:top w:val="nil"/>
              <w:left w:val="nil"/>
              <w:bottom w:val="nil"/>
              <w:right w:val="single" w:sz="4" w:space="0" w:color="auto"/>
            </w:tcBorders>
            <w:hideMark/>
          </w:tcPr>
          <w:p w14:paraId="381EC971" w14:textId="77777777" w:rsidR="00D261B6" w:rsidRPr="00B35A22" w:rsidRDefault="00D261B6" w:rsidP="00B35A22">
            <w:pPr>
              <w:widowControl w:val="0"/>
              <w:tabs>
                <w:tab w:val="left" w:pos="284"/>
              </w:tabs>
              <w:jc w:val="center"/>
              <w:rPr>
                <w:sz w:val="22"/>
                <w:lang w:val="sr-Latn-ME"/>
              </w:rPr>
            </w:pPr>
            <w:r w:rsidRPr="00B35A22">
              <w:rPr>
                <w:sz w:val="22"/>
                <w:lang w:val="sr-Latn-ME"/>
              </w:rPr>
              <w:t>198 (86,8%)</w:t>
            </w:r>
          </w:p>
        </w:tc>
      </w:tr>
      <w:tr w:rsidR="00CC0044" w:rsidRPr="00B35A22" w14:paraId="7ED88F44" w14:textId="77777777" w:rsidTr="00B35A22">
        <w:tc>
          <w:tcPr>
            <w:tcW w:w="2742" w:type="pct"/>
            <w:tcBorders>
              <w:top w:val="nil"/>
              <w:left w:val="single" w:sz="4" w:space="0" w:color="auto"/>
              <w:bottom w:val="nil"/>
              <w:right w:val="nil"/>
            </w:tcBorders>
            <w:hideMark/>
          </w:tcPr>
          <w:p w14:paraId="21727ED0" w14:textId="080CE99F" w:rsidR="00D261B6" w:rsidRPr="00B35A22" w:rsidRDefault="00D261B6" w:rsidP="00B35A22">
            <w:pPr>
              <w:widowControl w:val="0"/>
              <w:tabs>
                <w:tab w:val="left" w:pos="284"/>
              </w:tabs>
              <w:jc w:val="both"/>
              <w:rPr>
                <w:sz w:val="22"/>
                <w:lang w:val="sr-Latn-ME"/>
              </w:rPr>
            </w:pPr>
            <w:r w:rsidRPr="00B35A22">
              <w:rPr>
                <w:sz w:val="22"/>
                <w:lang w:val="sr-Latn-ME"/>
              </w:rPr>
              <w:t>Medijana trajanja PFS</w:t>
            </w:r>
            <w:r w:rsidRPr="00B35A22">
              <w:rPr>
                <w:sz w:val="22"/>
                <w:lang w:val="sr-Latn-ME"/>
              </w:rPr>
              <w:noBreakHyphen/>
              <w:t>a (m</w:t>
            </w:r>
            <w:r w:rsidR="00C84284" w:rsidRPr="00B35A22">
              <w:rPr>
                <w:sz w:val="22"/>
                <w:lang w:val="sr-Latn-ME"/>
              </w:rPr>
              <w:t>j</w:t>
            </w:r>
            <w:r w:rsidRPr="00B35A22">
              <w:rPr>
                <w:sz w:val="22"/>
                <w:lang w:val="sr-Latn-ME"/>
              </w:rPr>
              <w:t>eseci)</w:t>
            </w:r>
          </w:p>
        </w:tc>
        <w:tc>
          <w:tcPr>
            <w:tcW w:w="1129" w:type="pct"/>
            <w:tcBorders>
              <w:top w:val="nil"/>
              <w:left w:val="nil"/>
              <w:bottom w:val="nil"/>
              <w:right w:val="nil"/>
            </w:tcBorders>
            <w:hideMark/>
          </w:tcPr>
          <w:p w14:paraId="4077C0C3" w14:textId="77777777" w:rsidR="00D261B6" w:rsidRPr="00B35A22" w:rsidRDefault="00D261B6" w:rsidP="00B35A22">
            <w:pPr>
              <w:widowControl w:val="0"/>
              <w:tabs>
                <w:tab w:val="left" w:pos="284"/>
              </w:tabs>
              <w:jc w:val="center"/>
              <w:rPr>
                <w:sz w:val="22"/>
                <w:lang w:val="sr-Latn-ME"/>
              </w:rPr>
            </w:pPr>
            <w:r w:rsidRPr="00B35A22">
              <w:rPr>
                <w:sz w:val="22"/>
                <w:lang w:val="sr-Latn-ME"/>
              </w:rPr>
              <w:t>7,0</w:t>
            </w:r>
          </w:p>
        </w:tc>
        <w:tc>
          <w:tcPr>
            <w:tcW w:w="1129" w:type="pct"/>
            <w:tcBorders>
              <w:top w:val="nil"/>
              <w:left w:val="nil"/>
              <w:bottom w:val="nil"/>
              <w:right w:val="single" w:sz="4" w:space="0" w:color="auto"/>
            </w:tcBorders>
            <w:hideMark/>
          </w:tcPr>
          <w:p w14:paraId="4D2AD274" w14:textId="77777777" w:rsidR="00D261B6" w:rsidRPr="00B35A22" w:rsidRDefault="00D261B6" w:rsidP="00B35A22">
            <w:pPr>
              <w:widowControl w:val="0"/>
              <w:tabs>
                <w:tab w:val="left" w:pos="284"/>
              </w:tabs>
              <w:jc w:val="center"/>
              <w:rPr>
                <w:sz w:val="22"/>
                <w:lang w:val="sr-Latn-ME"/>
              </w:rPr>
            </w:pPr>
            <w:r w:rsidRPr="00B35A22">
              <w:rPr>
                <w:sz w:val="22"/>
                <w:lang w:val="sr-Latn-ME"/>
              </w:rPr>
              <w:t>5,5</w:t>
            </w:r>
          </w:p>
        </w:tc>
      </w:tr>
      <w:tr w:rsidR="00CC0044" w:rsidRPr="00B35A22" w14:paraId="2456D328" w14:textId="77777777" w:rsidTr="00B35A22">
        <w:tc>
          <w:tcPr>
            <w:tcW w:w="2742" w:type="pct"/>
            <w:tcBorders>
              <w:top w:val="nil"/>
              <w:left w:val="single" w:sz="4" w:space="0" w:color="auto"/>
              <w:bottom w:val="nil"/>
              <w:right w:val="nil"/>
            </w:tcBorders>
            <w:hideMark/>
          </w:tcPr>
          <w:p w14:paraId="54FD2FD1" w14:textId="77777777" w:rsidR="00D261B6" w:rsidRPr="00B35A22" w:rsidRDefault="00D261B6" w:rsidP="00B35A22">
            <w:pPr>
              <w:widowControl w:val="0"/>
              <w:tabs>
                <w:tab w:val="left" w:pos="284"/>
              </w:tabs>
              <w:jc w:val="both"/>
              <w:rPr>
                <w:sz w:val="22"/>
                <w:lang w:val="sr-Latn-ME"/>
              </w:rPr>
            </w:pPr>
            <w:r w:rsidRPr="00B35A22">
              <w:rPr>
                <w:sz w:val="22"/>
                <w:lang w:val="sr-Latn-ME"/>
              </w:rPr>
              <w:t>95% CI</w:t>
            </w:r>
          </w:p>
        </w:tc>
        <w:tc>
          <w:tcPr>
            <w:tcW w:w="1129" w:type="pct"/>
            <w:tcBorders>
              <w:top w:val="nil"/>
              <w:left w:val="nil"/>
              <w:bottom w:val="nil"/>
              <w:right w:val="nil"/>
            </w:tcBorders>
            <w:hideMark/>
          </w:tcPr>
          <w:p w14:paraId="1020588B" w14:textId="77777777" w:rsidR="00D261B6" w:rsidRPr="00B35A22" w:rsidRDefault="00D261B6" w:rsidP="00B35A22">
            <w:pPr>
              <w:widowControl w:val="0"/>
              <w:tabs>
                <w:tab w:val="left" w:pos="284"/>
              </w:tabs>
              <w:jc w:val="center"/>
              <w:rPr>
                <w:sz w:val="22"/>
                <w:lang w:val="sr-Latn-ME"/>
              </w:rPr>
            </w:pPr>
            <w:r w:rsidRPr="00B35A22">
              <w:rPr>
                <w:sz w:val="22"/>
                <w:lang w:val="sr-Latn-ME"/>
              </w:rPr>
              <w:t>(6,2; 7,3)</w:t>
            </w:r>
          </w:p>
        </w:tc>
        <w:tc>
          <w:tcPr>
            <w:tcW w:w="1129" w:type="pct"/>
            <w:tcBorders>
              <w:top w:val="nil"/>
              <w:left w:val="nil"/>
              <w:bottom w:val="nil"/>
              <w:right w:val="single" w:sz="4" w:space="0" w:color="auto"/>
            </w:tcBorders>
            <w:hideMark/>
          </w:tcPr>
          <w:p w14:paraId="43F18A63" w14:textId="77777777" w:rsidR="00D261B6" w:rsidRPr="00B35A22" w:rsidRDefault="00D261B6" w:rsidP="00B35A22">
            <w:pPr>
              <w:widowControl w:val="0"/>
              <w:tabs>
                <w:tab w:val="left" w:pos="284"/>
              </w:tabs>
              <w:jc w:val="center"/>
              <w:rPr>
                <w:sz w:val="22"/>
                <w:lang w:val="sr-Latn-ME"/>
              </w:rPr>
            </w:pPr>
            <w:r w:rsidRPr="00B35A22">
              <w:rPr>
                <w:sz w:val="22"/>
                <w:lang w:val="sr-Latn-ME"/>
              </w:rPr>
              <w:t>(4,4; 5,9)</w:t>
            </w:r>
          </w:p>
        </w:tc>
      </w:tr>
      <w:tr w:rsidR="00D261B6" w:rsidRPr="00B35A22" w14:paraId="2FEFE846" w14:textId="77777777" w:rsidTr="00B35A22">
        <w:tc>
          <w:tcPr>
            <w:tcW w:w="2742" w:type="pct"/>
            <w:tcBorders>
              <w:top w:val="nil"/>
              <w:left w:val="single" w:sz="4" w:space="0" w:color="auto"/>
              <w:bottom w:val="nil"/>
              <w:right w:val="nil"/>
            </w:tcBorders>
            <w:hideMark/>
          </w:tcPr>
          <w:p w14:paraId="31EF5B2E" w14:textId="77777777" w:rsidR="00D261B6" w:rsidRPr="00B35A22" w:rsidRDefault="00D261B6" w:rsidP="00B35A22">
            <w:pPr>
              <w:widowControl w:val="0"/>
              <w:tabs>
                <w:tab w:val="left" w:pos="284"/>
              </w:tabs>
              <w:jc w:val="both"/>
              <w:rPr>
                <w:sz w:val="22"/>
                <w:lang w:val="sr-Latn-ME"/>
              </w:rPr>
            </w:pPr>
            <w:r w:rsidRPr="00B35A22">
              <w:rPr>
                <w:sz w:val="22"/>
                <w:lang w:val="sr-Latn-ME"/>
              </w:rPr>
              <w:t>Stratifikovani koeficijent rizika</w:t>
            </w:r>
            <w:r w:rsidRPr="00B35A22">
              <w:rPr>
                <w:sz w:val="22"/>
                <w:vertAlign w:val="superscript"/>
                <w:lang w:val="sr-Latn-ME"/>
              </w:rPr>
              <w:t>‡</w:t>
            </w:r>
            <w:r w:rsidRPr="00B35A22">
              <w:rPr>
                <w:sz w:val="22"/>
                <w:lang w:val="sr-Latn-ME"/>
              </w:rPr>
              <w:t xml:space="preserve"> (95% CI)</w:t>
            </w:r>
          </w:p>
        </w:tc>
        <w:tc>
          <w:tcPr>
            <w:tcW w:w="2258" w:type="pct"/>
            <w:gridSpan w:val="2"/>
            <w:tcBorders>
              <w:top w:val="nil"/>
              <w:left w:val="nil"/>
              <w:bottom w:val="nil"/>
              <w:right w:val="single" w:sz="4" w:space="0" w:color="auto"/>
            </w:tcBorders>
            <w:hideMark/>
          </w:tcPr>
          <w:p w14:paraId="4689CFA6" w14:textId="77777777" w:rsidR="00D261B6" w:rsidRPr="00B35A22" w:rsidRDefault="00D261B6" w:rsidP="00B35A22">
            <w:pPr>
              <w:widowControl w:val="0"/>
              <w:tabs>
                <w:tab w:val="left" w:pos="284"/>
              </w:tabs>
              <w:jc w:val="center"/>
              <w:rPr>
                <w:sz w:val="22"/>
                <w:lang w:val="sr-Latn-ME"/>
              </w:rPr>
            </w:pPr>
            <w:r w:rsidRPr="00B35A22">
              <w:rPr>
                <w:sz w:val="22"/>
                <w:lang w:val="sr-Latn-ME"/>
              </w:rPr>
              <w:t>0,64 (0,54; 0,77)</w:t>
            </w:r>
          </w:p>
        </w:tc>
      </w:tr>
      <w:tr w:rsidR="00D261B6" w:rsidRPr="00B35A22" w14:paraId="12406825" w14:textId="77777777" w:rsidTr="00B35A22">
        <w:tc>
          <w:tcPr>
            <w:tcW w:w="2742" w:type="pct"/>
            <w:tcBorders>
              <w:top w:val="nil"/>
              <w:left w:val="single" w:sz="4" w:space="0" w:color="auto"/>
              <w:bottom w:val="nil"/>
              <w:right w:val="nil"/>
            </w:tcBorders>
            <w:hideMark/>
          </w:tcPr>
          <w:p w14:paraId="21AE9E86" w14:textId="3652243B" w:rsidR="00D261B6" w:rsidRPr="00B35A22" w:rsidRDefault="00D261B6" w:rsidP="00B35A22">
            <w:pPr>
              <w:widowControl w:val="0"/>
              <w:tabs>
                <w:tab w:val="left" w:pos="284"/>
              </w:tabs>
              <w:jc w:val="both"/>
              <w:rPr>
                <w:sz w:val="22"/>
                <w:lang w:val="sr-Latn-ME"/>
              </w:rPr>
            </w:pPr>
            <w:r w:rsidRPr="00B35A22">
              <w:rPr>
                <w:sz w:val="22"/>
                <w:lang w:val="sr-Latn-ME"/>
              </w:rPr>
              <w:t>p</w:t>
            </w:r>
            <w:r w:rsidRPr="00B35A22">
              <w:rPr>
                <w:sz w:val="22"/>
                <w:lang w:val="sr-Latn-ME"/>
              </w:rPr>
              <w:noBreakHyphen/>
              <w:t>vr</w:t>
            </w:r>
            <w:r w:rsidR="00525B32" w:rsidRPr="00B35A22">
              <w:rPr>
                <w:sz w:val="22"/>
                <w:lang w:val="sr-Latn-ME"/>
              </w:rPr>
              <w:t>ij</w:t>
            </w:r>
            <w:r w:rsidRPr="00B35A22">
              <w:rPr>
                <w:sz w:val="22"/>
                <w:lang w:val="sr-Latn-ME"/>
              </w:rPr>
              <w:t xml:space="preserve">ednost  </w:t>
            </w:r>
          </w:p>
        </w:tc>
        <w:tc>
          <w:tcPr>
            <w:tcW w:w="2258" w:type="pct"/>
            <w:gridSpan w:val="2"/>
            <w:tcBorders>
              <w:top w:val="nil"/>
              <w:left w:val="nil"/>
              <w:bottom w:val="nil"/>
              <w:right w:val="single" w:sz="4" w:space="0" w:color="auto"/>
            </w:tcBorders>
            <w:hideMark/>
          </w:tcPr>
          <w:p w14:paraId="43042D08" w14:textId="77777777" w:rsidR="00D261B6" w:rsidRPr="00B35A22" w:rsidRDefault="00D261B6" w:rsidP="00B35A22">
            <w:pPr>
              <w:widowControl w:val="0"/>
              <w:tabs>
                <w:tab w:val="left" w:pos="284"/>
              </w:tabs>
              <w:jc w:val="center"/>
              <w:rPr>
                <w:sz w:val="22"/>
                <w:lang w:val="sr-Latn-ME"/>
              </w:rPr>
            </w:pPr>
            <w:r w:rsidRPr="00B35A22">
              <w:rPr>
                <w:sz w:val="22"/>
                <w:lang w:val="sr-Latn-ME"/>
              </w:rPr>
              <w:t>&lt; 0,0001</w:t>
            </w:r>
          </w:p>
        </w:tc>
      </w:tr>
      <w:tr w:rsidR="00CC0044" w:rsidRPr="00B35A22" w14:paraId="43522470" w14:textId="77777777" w:rsidTr="00B35A22">
        <w:tc>
          <w:tcPr>
            <w:tcW w:w="2742" w:type="pct"/>
            <w:tcBorders>
              <w:top w:val="nil"/>
              <w:left w:val="single" w:sz="4" w:space="0" w:color="auto"/>
              <w:bottom w:val="single" w:sz="4" w:space="0" w:color="auto"/>
              <w:right w:val="nil"/>
            </w:tcBorders>
            <w:hideMark/>
          </w:tcPr>
          <w:p w14:paraId="4BE81DEB" w14:textId="279EFF28" w:rsidR="00D261B6" w:rsidRPr="00B35A22" w:rsidRDefault="00D261B6" w:rsidP="00B35A22">
            <w:pPr>
              <w:widowControl w:val="0"/>
              <w:tabs>
                <w:tab w:val="left" w:pos="284"/>
              </w:tabs>
              <w:jc w:val="both"/>
              <w:rPr>
                <w:sz w:val="22"/>
                <w:lang w:val="sr-Latn-ME"/>
              </w:rPr>
            </w:pPr>
            <w:r w:rsidRPr="00B35A22">
              <w:rPr>
                <w:sz w:val="22"/>
                <w:lang w:val="sr-Latn-ME"/>
              </w:rPr>
              <w:t>12</w:t>
            </w:r>
            <w:r w:rsidRPr="00B35A22">
              <w:rPr>
                <w:sz w:val="22"/>
                <w:lang w:val="sr-Latn-ME"/>
              </w:rPr>
              <w:noBreakHyphen/>
              <w:t>m</w:t>
            </w:r>
            <w:r w:rsidR="00525B32" w:rsidRPr="00B35A22">
              <w:rPr>
                <w:sz w:val="22"/>
                <w:lang w:val="sr-Latn-ME"/>
              </w:rPr>
              <w:t>j</w:t>
            </w:r>
            <w:r w:rsidRPr="00B35A22">
              <w:rPr>
                <w:sz w:val="22"/>
                <w:lang w:val="sr-Latn-ME"/>
              </w:rPr>
              <w:t>esečni PFS (%)</w:t>
            </w:r>
          </w:p>
        </w:tc>
        <w:tc>
          <w:tcPr>
            <w:tcW w:w="1129" w:type="pct"/>
            <w:tcBorders>
              <w:top w:val="nil"/>
              <w:left w:val="nil"/>
              <w:bottom w:val="single" w:sz="4" w:space="0" w:color="auto"/>
              <w:right w:val="nil"/>
            </w:tcBorders>
            <w:hideMark/>
          </w:tcPr>
          <w:p w14:paraId="22D0AF58" w14:textId="77777777" w:rsidR="00D261B6" w:rsidRPr="00B35A22" w:rsidRDefault="00D261B6" w:rsidP="00B35A22">
            <w:pPr>
              <w:widowControl w:val="0"/>
              <w:tabs>
                <w:tab w:val="left" w:pos="284"/>
              </w:tabs>
              <w:jc w:val="center"/>
              <w:rPr>
                <w:sz w:val="22"/>
                <w:lang w:val="sr-Latn-ME"/>
              </w:rPr>
            </w:pPr>
            <w:r w:rsidRPr="00B35A22">
              <w:rPr>
                <w:sz w:val="22"/>
                <w:lang w:val="sr-Latn-ME"/>
              </w:rPr>
              <w:t>29%</w:t>
            </w:r>
          </w:p>
        </w:tc>
        <w:tc>
          <w:tcPr>
            <w:tcW w:w="1129" w:type="pct"/>
            <w:tcBorders>
              <w:top w:val="nil"/>
              <w:left w:val="nil"/>
              <w:bottom w:val="single" w:sz="4" w:space="0" w:color="auto"/>
              <w:right w:val="single" w:sz="4" w:space="0" w:color="auto"/>
            </w:tcBorders>
            <w:hideMark/>
          </w:tcPr>
          <w:p w14:paraId="3AE376D2" w14:textId="77777777" w:rsidR="00D261B6" w:rsidRPr="00B35A22" w:rsidRDefault="00D261B6" w:rsidP="00B35A22">
            <w:pPr>
              <w:widowControl w:val="0"/>
              <w:tabs>
                <w:tab w:val="left" w:pos="284"/>
              </w:tabs>
              <w:jc w:val="center"/>
              <w:rPr>
                <w:sz w:val="22"/>
                <w:lang w:val="sr-Latn-ME"/>
              </w:rPr>
            </w:pPr>
            <w:r w:rsidRPr="00B35A22">
              <w:rPr>
                <w:sz w:val="22"/>
                <w:lang w:val="sr-Latn-ME"/>
              </w:rPr>
              <w:t>14%</w:t>
            </w:r>
          </w:p>
        </w:tc>
      </w:tr>
      <w:tr w:rsidR="00CC0044" w:rsidRPr="00B35A22" w14:paraId="4A67A313" w14:textId="77777777" w:rsidTr="00B35A22">
        <w:tc>
          <w:tcPr>
            <w:tcW w:w="2742" w:type="pct"/>
            <w:tcBorders>
              <w:top w:val="single" w:sz="4" w:space="0" w:color="auto"/>
              <w:left w:val="single" w:sz="4" w:space="0" w:color="auto"/>
              <w:bottom w:val="single" w:sz="4" w:space="0" w:color="auto"/>
              <w:right w:val="nil"/>
            </w:tcBorders>
            <w:hideMark/>
          </w:tcPr>
          <w:p w14:paraId="414CC7D6" w14:textId="0CD42DE8" w:rsidR="00D261B6" w:rsidRPr="00B35A22" w:rsidRDefault="00D261B6" w:rsidP="00B35A22">
            <w:pPr>
              <w:widowControl w:val="0"/>
              <w:tabs>
                <w:tab w:val="left" w:pos="284"/>
              </w:tabs>
              <w:jc w:val="both"/>
              <w:rPr>
                <w:sz w:val="22"/>
                <w:lang w:val="sr-Latn-ME"/>
              </w:rPr>
            </w:pPr>
            <w:r w:rsidRPr="00B35A22">
              <w:rPr>
                <w:b/>
                <w:sz w:val="22"/>
                <w:lang w:val="sr-Latn-ME"/>
              </w:rPr>
              <w:t>Ostale m</w:t>
            </w:r>
            <w:r w:rsidR="00525B32" w:rsidRPr="00B35A22">
              <w:rPr>
                <w:b/>
                <w:sz w:val="22"/>
                <w:lang w:val="sr-Latn-ME"/>
              </w:rPr>
              <w:t>j</w:t>
            </w:r>
            <w:r w:rsidRPr="00B35A22">
              <w:rPr>
                <w:b/>
                <w:sz w:val="22"/>
                <w:lang w:val="sr-Latn-ME"/>
              </w:rPr>
              <w:t xml:space="preserve">ere ishoda </w:t>
            </w:r>
          </w:p>
        </w:tc>
        <w:tc>
          <w:tcPr>
            <w:tcW w:w="1129" w:type="pct"/>
            <w:tcBorders>
              <w:top w:val="single" w:sz="4" w:space="0" w:color="auto"/>
              <w:left w:val="nil"/>
              <w:bottom w:val="single" w:sz="4" w:space="0" w:color="auto"/>
              <w:right w:val="nil"/>
            </w:tcBorders>
          </w:tcPr>
          <w:p w14:paraId="399B2CD7" w14:textId="77777777" w:rsidR="00D261B6" w:rsidRPr="00B35A22" w:rsidRDefault="00D261B6" w:rsidP="00B35A22">
            <w:pPr>
              <w:widowControl w:val="0"/>
              <w:tabs>
                <w:tab w:val="left" w:pos="284"/>
              </w:tabs>
              <w:jc w:val="center"/>
              <w:rPr>
                <w:sz w:val="22"/>
                <w:lang w:val="sr-Latn-ME"/>
              </w:rPr>
            </w:pPr>
          </w:p>
        </w:tc>
        <w:tc>
          <w:tcPr>
            <w:tcW w:w="1129" w:type="pct"/>
            <w:tcBorders>
              <w:top w:val="single" w:sz="4" w:space="0" w:color="auto"/>
              <w:left w:val="nil"/>
              <w:bottom w:val="single" w:sz="4" w:space="0" w:color="auto"/>
              <w:right w:val="single" w:sz="4" w:space="0" w:color="auto"/>
            </w:tcBorders>
          </w:tcPr>
          <w:p w14:paraId="1114149E" w14:textId="77777777" w:rsidR="00D261B6" w:rsidRPr="00B35A22" w:rsidRDefault="00D261B6" w:rsidP="00B35A22">
            <w:pPr>
              <w:widowControl w:val="0"/>
              <w:tabs>
                <w:tab w:val="left" w:pos="284"/>
              </w:tabs>
              <w:jc w:val="center"/>
              <w:rPr>
                <w:sz w:val="22"/>
                <w:lang w:val="sr-Latn-ME"/>
              </w:rPr>
            </w:pPr>
          </w:p>
        </w:tc>
      </w:tr>
      <w:tr w:rsidR="00CC0044" w:rsidRPr="00B35A22" w14:paraId="7F33D8B7" w14:textId="77777777" w:rsidTr="00B35A22">
        <w:tc>
          <w:tcPr>
            <w:tcW w:w="2742" w:type="pct"/>
            <w:tcBorders>
              <w:top w:val="single" w:sz="4" w:space="0" w:color="auto"/>
              <w:left w:val="single" w:sz="4" w:space="0" w:color="auto"/>
              <w:bottom w:val="nil"/>
              <w:right w:val="nil"/>
            </w:tcBorders>
            <w:hideMark/>
          </w:tcPr>
          <w:p w14:paraId="04E7FA28" w14:textId="3FCCFEB1" w:rsidR="00D261B6" w:rsidRPr="00B35A22" w:rsidRDefault="00D261B6" w:rsidP="00B35A22">
            <w:pPr>
              <w:widowControl w:val="0"/>
              <w:tabs>
                <w:tab w:val="left" w:pos="284"/>
              </w:tabs>
              <w:jc w:val="both"/>
              <w:rPr>
                <w:b/>
                <w:sz w:val="22"/>
                <w:lang w:val="sr-Latn-ME"/>
              </w:rPr>
            </w:pPr>
            <w:r w:rsidRPr="00B35A22">
              <w:rPr>
                <w:b/>
                <w:i/>
                <w:sz w:val="22"/>
                <w:lang w:val="sr-Latn-ME"/>
              </w:rPr>
              <w:t>ORR prema oc</w:t>
            </w:r>
            <w:r w:rsidR="00525B32" w:rsidRPr="00B35A22">
              <w:rPr>
                <w:b/>
                <w:i/>
                <w:sz w:val="22"/>
                <w:lang w:val="sr-Latn-ME"/>
              </w:rPr>
              <w:t>j</w:t>
            </w:r>
            <w:r w:rsidRPr="00B35A22">
              <w:rPr>
                <w:b/>
                <w:i/>
                <w:sz w:val="22"/>
                <w:lang w:val="sr-Latn-ME"/>
              </w:rPr>
              <w:t>eni istraživača (RECIST v1.1)</w:t>
            </w:r>
            <w:r w:rsidRPr="00B35A22">
              <w:rPr>
                <w:b/>
                <w:sz w:val="22"/>
                <w:lang w:val="sr-Latn-ME"/>
              </w:rPr>
              <w:t>^</w:t>
            </w:r>
          </w:p>
        </w:tc>
        <w:tc>
          <w:tcPr>
            <w:tcW w:w="1129" w:type="pct"/>
            <w:tcBorders>
              <w:top w:val="single" w:sz="4" w:space="0" w:color="auto"/>
              <w:left w:val="nil"/>
              <w:bottom w:val="nil"/>
              <w:right w:val="nil"/>
            </w:tcBorders>
            <w:hideMark/>
          </w:tcPr>
          <w:p w14:paraId="5274735F" w14:textId="77777777" w:rsidR="00D261B6" w:rsidRPr="00B35A22" w:rsidRDefault="00D261B6" w:rsidP="00B35A22">
            <w:pPr>
              <w:widowControl w:val="0"/>
              <w:tabs>
                <w:tab w:val="left" w:pos="284"/>
              </w:tabs>
              <w:jc w:val="center"/>
              <w:rPr>
                <w:sz w:val="22"/>
                <w:lang w:val="sr-Latn-ME"/>
              </w:rPr>
            </w:pPr>
            <w:r w:rsidRPr="00B35A22">
              <w:rPr>
                <w:sz w:val="22"/>
                <w:lang w:val="sr-Latn-ME"/>
              </w:rPr>
              <w:t>n=447</w:t>
            </w:r>
          </w:p>
        </w:tc>
        <w:tc>
          <w:tcPr>
            <w:tcW w:w="1129" w:type="pct"/>
            <w:tcBorders>
              <w:top w:val="single" w:sz="4" w:space="0" w:color="auto"/>
              <w:left w:val="nil"/>
              <w:bottom w:val="nil"/>
              <w:right w:val="single" w:sz="4" w:space="0" w:color="auto"/>
            </w:tcBorders>
            <w:hideMark/>
          </w:tcPr>
          <w:p w14:paraId="587AEF1C" w14:textId="77777777" w:rsidR="00D261B6" w:rsidRPr="00B35A22" w:rsidRDefault="00D261B6" w:rsidP="00B35A22">
            <w:pPr>
              <w:widowControl w:val="0"/>
              <w:tabs>
                <w:tab w:val="left" w:pos="284"/>
              </w:tabs>
              <w:jc w:val="center"/>
              <w:rPr>
                <w:sz w:val="22"/>
                <w:lang w:val="sr-Latn-ME"/>
              </w:rPr>
            </w:pPr>
            <w:r w:rsidRPr="00B35A22">
              <w:rPr>
                <w:sz w:val="22"/>
                <w:lang w:val="sr-Latn-ME"/>
              </w:rPr>
              <w:t>n=226</w:t>
            </w:r>
          </w:p>
        </w:tc>
      </w:tr>
      <w:tr w:rsidR="00CC0044" w:rsidRPr="00B35A22" w14:paraId="320DD4F0" w14:textId="77777777" w:rsidTr="00B35A22">
        <w:tc>
          <w:tcPr>
            <w:tcW w:w="2742" w:type="pct"/>
            <w:tcBorders>
              <w:top w:val="nil"/>
              <w:left w:val="single" w:sz="4" w:space="0" w:color="auto"/>
              <w:bottom w:val="nil"/>
              <w:right w:val="nil"/>
            </w:tcBorders>
            <w:hideMark/>
          </w:tcPr>
          <w:p w14:paraId="030DD2A1" w14:textId="77777777" w:rsidR="00D261B6" w:rsidRPr="00B35A22" w:rsidRDefault="00D261B6" w:rsidP="00B35A22">
            <w:pPr>
              <w:widowControl w:val="0"/>
              <w:tabs>
                <w:tab w:val="left" w:pos="284"/>
              </w:tabs>
              <w:jc w:val="both"/>
              <w:rPr>
                <w:b/>
                <w:i/>
                <w:sz w:val="22"/>
                <w:lang w:val="sr-Latn-ME"/>
              </w:rPr>
            </w:pPr>
            <w:r w:rsidRPr="00B35A22">
              <w:rPr>
                <w:sz w:val="22"/>
                <w:lang w:val="sr-Latn-ME"/>
              </w:rPr>
              <w:t>Broj pacijenata sa potvrđenim odgovorom (%)</w:t>
            </w:r>
          </w:p>
        </w:tc>
        <w:tc>
          <w:tcPr>
            <w:tcW w:w="1129" w:type="pct"/>
            <w:tcBorders>
              <w:top w:val="nil"/>
              <w:left w:val="nil"/>
              <w:bottom w:val="nil"/>
              <w:right w:val="nil"/>
            </w:tcBorders>
            <w:hideMark/>
          </w:tcPr>
          <w:p w14:paraId="44561E90" w14:textId="77777777" w:rsidR="00D261B6" w:rsidRPr="00B35A22" w:rsidRDefault="00D261B6" w:rsidP="00B35A22">
            <w:pPr>
              <w:widowControl w:val="0"/>
              <w:tabs>
                <w:tab w:val="left" w:pos="284"/>
              </w:tabs>
              <w:jc w:val="center"/>
              <w:rPr>
                <w:sz w:val="22"/>
                <w:lang w:val="sr-Latn-ME"/>
              </w:rPr>
            </w:pPr>
            <w:r w:rsidRPr="00B35A22">
              <w:rPr>
                <w:sz w:val="22"/>
                <w:lang w:val="sr-Latn-ME"/>
              </w:rPr>
              <w:t>220 (49,2%)</w:t>
            </w:r>
          </w:p>
        </w:tc>
        <w:tc>
          <w:tcPr>
            <w:tcW w:w="1129" w:type="pct"/>
            <w:tcBorders>
              <w:top w:val="nil"/>
              <w:left w:val="nil"/>
              <w:bottom w:val="nil"/>
              <w:right w:val="single" w:sz="4" w:space="0" w:color="auto"/>
            </w:tcBorders>
            <w:hideMark/>
          </w:tcPr>
          <w:p w14:paraId="36DF5D5F" w14:textId="77777777" w:rsidR="00D261B6" w:rsidRPr="00B35A22" w:rsidRDefault="00D261B6" w:rsidP="00B35A22">
            <w:pPr>
              <w:widowControl w:val="0"/>
              <w:tabs>
                <w:tab w:val="left" w:pos="284"/>
              </w:tabs>
              <w:jc w:val="center"/>
              <w:rPr>
                <w:sz w:val="22"/>
                <w:lang w:val="sr-Latn-ME"/>
              </w:rPr>
            </w:pPr>
            <w:r w:rsidRPr="00B35A22">
              <w:rPr>
                <w:sz w:val="22"/>
                <w:lang w:val="sr-Latn-ME"/>
              </w:rPr>
              <w:t>72 (31,9%)</w:t>
            </w:r>
          </w:p>
        </w:tc>
      </w:tr>
      <w:tr w:rsidR="00CC0044" w:rsidRPr="00B35A22" w14:paraId="016FECE3" w14:textId="77777777" w:rsidTr="00B35A22">
        <w:tc>
          <w:tcPr>
            <w:tcW w:w="2742" w:type="pct"/>
            <w:tcBorders>
              <w:top w:val="nil"/>
              <w:left w:val="single" w:sz="4" w:space="0" w:color="auto"/>
              <w:bottom w:val="nil"/>
              <w:right w:val="nil"/>
            </w:tcBorders>
            <w:hideMark/>
          </w:tcPr>
          <w:p w14:paraId="57AEC358" w14:textId="77777777" w:rsidR="00D261B6" w:rsidRPr="00B35A22" w:rsidRDefault="00D261B6" w:rsidP="00B35A22">
            <w:pPr>
              <w:widowControl w:val="0"/>
              <w:tabs>
                <w:tab w:val="left" w:pos="284"/>
              </w:tabs>
              <w:jc w:val="both"/>
              <w:rPr>
                <w:sz w:val="22"/>
                <w:lang w:val="sr-Latn-ME"/>
              </w:rPr>
            </w:pPr>
            <w:r w:rsidRPr="00B35A22">
              <w:rPr>
                <w:sz w:val="22"/>
                <w:lang w:val="sr-Latn-ME"/>
              </w:rPr>
              <w:t>95% CI</w:t>
            </w:r>
          </w:p>
        </w:tc>
        <w:tc>
          <w:tcPr>
            <w:tcW w:w="1129" w:type="pct"/>
            <w:tcBorders>
              <w:top w:val="nil"/>
              <w:left w:val="nil"/>
              <w:bottom w:val="nil"/>
              <w:right w:val="nil"/>
            </w:tcBorders>
            <w:hideMark/>
          </w:tcPr>
          <w:p w14:paraId="6688DDBC" w14:textId="77777777" w:rsidR="00D261B6" w:rsidRPr="00B35A22" w:rsidRDefault="00D261B6" w:rsidP="00B35A22">
            <w:pPr>
              <w:widowControl w:val="0"/>
              <w:tabs>
                <w:tab w:val="left" w:pos="284"/>
              </w:tabs>
              <w:jc w:val="center"/>
              <w:rPr>
                <w:sz w:val="22"/>
                <w:lang w:val="sr-Latn-ME"/>
              </w:rPr>
            </w:pPr>
            <w:r w:rsidRPr="00B35A22">
              <w:rPr>
                <w:sz w:val="22"/>
                <w:lang w:val="sr-Latn-ME"/>
              </w:rPr>
              <w:t>(44,5; 54,0)</w:t>
            </w:r>
          </w:p>
        </w:tc>
        <w:tc>
          <w:tcPr>
            <w:tcW w:w="1129" w:type="pct"/>
            <w:tcBorders>
              <w:top w:val="nil"/>
              <w:left w:val="nil"/>
              <w:bottom w:val="nil"/>
              <w:right w:val="single" w:sz="4" w:space="0" w:color="auto"/>
            </w:tcBorders>
            <w:hideMark/>
          </w:tcPr>
          <w:p w14:paraId="2BAF5C2D" w14:textId="77777777" w:rsidR="00D261B6" w:rsidRPr="00B35A22" w:rsidRDefault="00D261B6" w:rsidP="00B35A22">
            <w:pPr>
              <w:widowControl w:val="0"/>
              <w:tabs>
                <w:tab w:val="left" w:pos="284"/>
              </w:tabs>
              <w:jc w:val="center"/>
              <w:rPr>
                <w:sz w:val="22"/>
                <w:lang w:val="sr-Latn-ME"/>
              </w:rPr>
            </w:pPr>
            <w:r w:rsidRPr="00B35A22">
              <w:rPr>
                <w:sz w:val="22"/>
                <w:lang w:val="sr-Latn-ME"/>
              </w:rPr>
              <w:t>(25,8; 38,4)</w:t>
            </w:r>
          </w:p>
        </w:tc>
      </w:tr>
      <w:tr w:rsidR="00CC0044" w:rsidRPr="00B35A22" w14:paraId="70C93257" w14:textId="77777777" w:rsidTr="00B35A22">
        <w:tc>
          <w:tcPr>
            <w:tcW w:w="2742" w:type="pct"/>
            <w:tcBorders>
              <w:top w:val="nil"/>
              <w:left w:val="single" w:sz="4" w:space="0" w:color="auto"/>
              <w:bottom w:val="nil"/>
              <w:right w:val="nil"/>
            </w:tcBorders>
            <w:hideMark/>
          </w:tcPr>
          <w:p w14:paraId="3DDF7F55" w14:textId="77777777" w:rsidR="00D261B6" w:rsidRPr="00B35A22" w:rsidRDefault="00D261B6" w:rsidP="00B35A22">
            <w:pPr>
              <w:widowControl w:val="0"/>
              <w:tabs>
                <w:tab w:val="left" w:pos="284"/>
              </w:tabs>
              <w:jc w:val="both"/>
              <w:rPr>
                <w:sz w:val="22"/>
                <w:lang w:val="sr-Latn-ME"/>
              </w:rPr>
            </w:pPr>
            <w:r w:rsidRPr="00B35A22">
              <w:rPr>
                <w:sz w:val="22"/>
                <w:lang w:val="sr-Latn-ME"/>
              </w:rPr>
              <w:t>Broj pacijenata sa potpunim odgovorom (%)</w:t>
            </w:r>
          </w:p>
        </w:tc>
        <w:tc>
          <w:tcPr>
            <w:tcW w:w="1129" w:type="pct"/>
            <w:tcBorders>
              <w:top w:val="nil"/>
              <w:left w:val="nil"/>
              <w:bottom w:val="nil"/>
              <w:right w:val="nil"/>
            </w:tcBorders>
            <w:hideMark/>
          </w:tcPr>
          <w:p w14:paraId="4224A291" w14:textId="77777777" w:rsidR="00D261B6" w:rsidRPr="00B35A22" w:rsidRDefault="00D261B6" w:rsidP="00B35A22">
            <w:pPr>
              <w:widowControl w:val="0"/>
              <w:tabs>
                <w:tab w:val="left" w:pos="284"/>
              </w:tabs>
              <w:jc w:val="center"/>
              <w:rPr>
                <w:sz w:val="22"/>
                <w:lang w:val="sr-Latn-ME"/>
              </w:rPr>
            </w:pPr>
            <w:r w:rsidRPr="00B35A22">
              <w:rPr>
                <w:sz w:val="22"/>
                <w:lang w:val="sr-Latn-ME"/>
              </w:rPr>
              <w:t>11 (2,5%)</w:t>
            </w:r>
          </w:p>
        </w:tc>
        <w:tc>
          <w:tcPr>
            <w:tcW w:w="1129" w:type="pct"/>
            <w:tcBorders>
              <w:top w:val="nil"/>
              <w:left w:val="nil"/>
              <w:bottom w:val="nil"/>
              <w:right w:val="single" w:sz="4" w:space="0" w:color="auto"/>
            </w:tcBorders>
            <w:hideMark/>
          </w:tcPr>
          <w:p w14:paraId="127D6CF2" w14:textId="77777777" w:rsidR="00D261B6" w:rsidRPr="00B35A22" w:rsidRDefault="00D261B6" w:rsidP="00B35A22">
            <w:pPr>
              <w:widowControl w:val="0"/>
              <w:tabs>
                <w:tab w:val="left" w:pos="284"/>
              </w:tabs>
              <w:jc w:val="center"/>
              <w:rPr>
                <w:sz w:val="22"/>
                <w:lang w:val="sr-Latn-ME"/>
              </w:rPr>
            </w:pPr>
            <w:r w:rsidRPr="00B35A22">
              <w:rPr>
                <w:sz w:val="22"/>
                <w:lang w:val="sr-Latn-ME"/>
              </w:rPr>
              <w:t>3 (1,3%)</w:t>
            </w:r>
          </w:p>
        </w:tc>
      </w:tr>
      <w:tr w:rsidR="00CC0044" w:rsidRPr="00B35A22" w14:paraId="49FB980B" w14:textId="77777777" w:rsidTr="00B35A22">
        <w:tc>
          <w:tcPr>
            <w:tcW w:w="2742" w:type="pct"/>
            <w:tcBorders>
              <w:top w:val="nil"/>
              <w:left w:val="single" w:sz="4" w:space="0" w:color="auto"/>
              <w:bottom w:val="single" w:sz="4" w:space="0" w:color="auto"/>
              <w:right w:val="nil"/>
            </w:tcBorders>
            <w:hideMark/>
          </w:tcPr>
          <w:p w14:paraId="719D16CF" w14:textId="76D84086" w:rsidR="00D261B6" w:rsidRPr="00B35A22" w:rsidRDefault="00D261B6" w:rsidP="00B35A22">
            <w:pPr>
              <w:widowControl w:val="0"/>
              <w:tabs>
                <w:tab w:val="left" w:pos="284"/>
              </w:tabs>
              <w:jc w:val="both"/>
              <w:rPr>
                <w:sz w:val="22"/>
                <w:lang w:val="sr-Latn-ME"/>
              </w:rPr>
            </w:pPr>
            <w:r w:rsidRPr="00B35A22">
              <w:rPr>
                <w:sz w:val="22"/>
                <w:lang w:val="sr-Latn-ME"/>
              </w:rPr>
              <w:t>Broj pacijenata sa d</w:t>
            </w:r>
            <w:r w:rsidR="00525B32" w:rsidRPr="00B35A22">
              <w:rPr>
                <w:sz w:val="22"/>
                <w:lang w:val="sr-Latn-ME"/>
              </w:rPr>
              <w:t>j</w:t>
            </w:r>
            <w:r w:rsidRPr="00B35A22">
              <w:rPr>
                <w:sz w:val="22"/>
                <w:lang w:val="sr-Latn-ME"/>
              </w:rPr>
              <w:t>elimičnim odgovorom (%)</w:t>
            </w:r>
          </w:p>
        </w:tc>
        <w:tc>
          <w:tcPr>
            <w:tcW w:w="1129" w:type="pct"/>
            <w:tcBorders>
              <w:top w:val="nil"/>
              <w:left w:val="nil"/>
              <w:bottom w:val="single" w:sz="4" w:space="0" w:color="auto"/>
              <w:right w:val="nil"/>
            </w:tcBorders>
            <w:hideMark/>
          </w:tcPr>
          <w:p w14:paraId="3280EFEC" w14:textId="77777777" w:rsidR="00D261B6" w:rsidRPr="00B35A22" w:rsidRDefault="00D261B6" w:rsidP="00B35A22">
            <w:pPr>
              <w:widowControl w:val="0"/>
              <w:tabs>
                <w:tab w:val="left" w:pos="284"/>
              </w:tabs>
              <w:jc w:val="center"/>
              <w:rPr>
                <w:sz w:val="22"/>
                <w:lang w:val="sr-Latn-ME"/>
              </w:rPr>
            </w:pPr>
            <w:r w:rsidRPr="00B35A22">
              <w:rPr>
                <w:sz w:val="22"/>
                <w:lang w:val="sr-Latn-ME"/>
              </w:rPr>
              <w:t>209 (46,8%)</w:t>
            </w:r>
          </w:p>
        </w:tc>
        <w:tc>
          <w:tcPr>
            <w:tcW w:w="1129" w:type="pct"/>
            <w:tcBorders>
              <w:top w:val="nil"/>
              <w:left w:val="nil"/>
              <w:bottom w:val="single" w:sz="4" w:space="0" w:color="auto"/>
              <w:right w:val="single" w:sz="4" w:space="0" w:color="auto"/>
            </w:tcBorders>
            <w:hideMark/>
          </w:tcPr>
          <w:p w14:paraId="1780F9CB" w14:textId="77777777" w:rsidR="00D261B6" w:rsidRPr="00B35A22" w:rsidRDefault="00D261B6" w:rsidP="00B35A22">
            <w:pPr>
              <w:widowControl w:val="0"/>
              <w:tabs>
                <w:tab w:val="left" w:pos="284"/>
              </w:tabs>
              <w:jc w:val="center"/>
              <w:rPr>
                <w:sz w:val="22"/>
                <w:lang w:val="sr-Latn-ME"/>
              </w:rPr>
            </w:pPr>
            <w:r w:rsidRPr="00B35A22">
              <w:rPr>
                <w:sz w:val="22"/>
                <w:lang w:val="sr-Latn-ME"/>
              </w:rPr>
              <w:t>69 (30,5%)</w:t>
            </w:r>
          </w:p>
        </w:tc>
      </w:tr>
      <w:tr w:rsidR="00CC0044" w:rsidRPr="00B35A22" w14:paraId="0D06280E" w14:textId="77777777" w:rsidTr="00B35A22">
        <w:tc>
          <w:tcPr>
            <w:tcW w:w="2742" w:type="pct"/>
            <w:tcBorders>
              <w:top w:val="single" w:sz="4" w:space="0" w:color="auto"/>
              <w:left w:val="single" w:sz="4" w:space="0" w:color="auto"/>
              <w:bottom w:val="nil"/>
              <w:right w:val="nil"/>
            </w:tcBorders>
            <w:hideMark/>
          </w:tcPr>
          <w:p w14:paraId="5404B9C8" w14:textId="57957103" w:rsidR="00D261B6" w:rsidRPr="00B35A22" w:rsidRDefault="00D261B6" w:rsidP="00B35A22">
            <w:pPr>
              <w:widowControl w:val="0"/>
              <w:tabs>
                <w:tab w:val="left" w:pos="284"/>
              </w:tabs>
              <w:jc w:val="both"/>
              <w:rPr>
                <w:sz w:val="22"/>
                <w:lang w:val="sr-Latn-ME"/>
              </w:rPr>
            </w:pPr>
            <w:r w:rsidRPr="00B35A22">
              <w:rPr>
                <w:b/>
                <w:i/>
                <w:sz w:val="22"/>
                <w:lang w:val="sr-Latn-ME"/>
              </w:rPr>
              <w:t>Potvrđena dužina trajanja odgovora prema oc</w:t>
            </w:r>
            <w:r w:rsidR="00525B32" w:rsidRPr="00B35A22">
              <w:rPr>
                <w:b/>
                <w:i/>
                <w:sz w:val="22"/>
                <w:lang w:val="sr-Latn-ME"/>
              </w:rPr>
              <w:t>j</w:t>
            </w:r>
            <w:r w:rsidRPr="00B35A22">
              <w:rPr>
                <w:b/>
                <w:i/>
                <w:sz w:val="22"/>
                <w:lang w:val="sr-Latn-ME"/>
              </w:rPr>
              <w:t>eni istraživača  (RECIST 1.1)</w:t>
            </w:r>
            <w:r w:rsidRPr="00B35A22">
              <w:rPr>
                <w:b/>
                <w:sz w:val="22"/>
                <w:lang w:val="sr-Latn-ME"/>
              </w:rPr>
              <w:t>^</w:t>
            </w:r>
          </w:p>
        </w:tc>
        <w:tc>
          <w:tcPr>
            <w:tcW w:w="1129" w:type="pct"/>
            <w:tcBorders>
              <w:top w:val="single" w:sz="4" w:space="0" w:color="auto"/>
              <w:left w:val="nil"/>
              <w:bottom w:val="nil"/>
              <w:right w:val="nil"/>
            </w:tcBorders>
            <w:hideMark/>
          </w:tcPr>
          <w:p w14:paraId="54581B0D" w14:textId="77777777" w:rsidR="00D261B6" w:rsidRPr="00B35A22" w:rsidRDefault="00D261B6" w:rsidP="00B35A22">
            <w:pPr>
              <w:widowControl w:val="0"/>
              <w:tabs>
                <w:tab w:val="left" w:pos="284"/>
              </w:tabs>
              <w:jc w:val="center"/>
              <w:rPr>
                <w:sz w:val="22"/>
                <w:lang w:val="sr-Latn-ME"/>
              </w:rPr>
            </w:pPr>
            <w:r w:rsidRPr="00B35A22">
              <w:rPr>
                <w:sz w:val="22"/>
                <w:lang w:val="sr-Latn-ME"/>
              </w:rPr>
              <w:t>n=220</w:t>
            </w:r>
          </w:p>
        </w:tc>
        <w:tc>
          <w:tcPr>
            <w:tcW w:w="1129" w:type="pct"/>
            <w:tcBorders>
              <w:top w:val="single" w:sz="4" w:space="0" w:color="auto"/>
              <w:left w:val="nil"/>
              <w:bottom w:val="nil"/>
              <w:right w:val="single" w:sz="4" w:space="0" w:color="auto"/>
            </w:tcBorders>
            <w:hideMark/>
          </w:tcPr>
          <w:p w14:paraId="5312A30E" w14:textId="77777777" w:rsidR="00D261B6" w:rsidRPr="00B35A22" w:rsidRDefault="00D261B6" w:rsidP="00B35A22">
            <w:pPr>
              <w:widowControl w:val="0"/>
              <w:tabs>
                <w:tab w:val="left" w:pos="284"/>
              </w:tabs>
              <w:jc w:val="center"/>
              <w:rPr>
                <w:sz w:val="22"/>
                <w:lang w:val="sr-Latn-ME"/>
              </w:rPr>
            </w:pPr>
            <w:r w:rsidRPr="00B35A22">
              <w:rPr>
                <w:sz w:val="22"/>
                <w:lang w:val="sr-Latn-ME"/>
              </w:rPr>
              <w:t>n=72</w:t>
            </w:r>
          </w:p>
        </w:tc>
      </w:tr>
      <w:tr w:rsidR="00CC0044" w:rsidRPr="00B35A22" w14:paraId="03A5DBF7" w14:textId="77777777" w:rsidTr="00B35A22">
        <w:tc>
          <w:tcPr>
            <w:tcW w:w="2742" w:type="pct"/>
            <w:tcBorders>
              <w:top w:val="nil"/>
              <w:left w:val="single" w:sz="4" w:space="0" w:color="auto"/>
              <w:bottom w:val="nil"/>
              <w:right w:val="nil"/>
            </w:tcBorders>
            <w:hideMark/>
          </w:tcPr>
          <w:p w14:paraId="403B5E01" w14:textId="39218204" w:rsidR="00D261B6" w:rsidRPr="00B35A22" w:rsidRDefault="00D261B6" w:rsidP="00B35A22">
            <w:pPr>
              <w:widowControl w:val="0"/>
              <w:tabs>
                <w:tab w:val="left" w:pos="284"/>
              </w:tabs>
              <w:jc w:val="both"/>
              <w:rPr>
                <w:b/>
                <w:i/>
                <w:sz w:val="22"/>
                <w:lang w:val="sr-Latn-ME"/>
              </w:rPr>
            </w:pPr>
            <w:r w:rsidRPr="00B35A22">
              <w:rPr>
                <w:sz w:val="22"/>
                <w:lang w:val="sr-Latn-ME"/>
              </w:rPr>
              <w:t>Medijana u m</w:t>
            </w:r>
            <w:r w:rsidR="00525B32" w:rsidRPr="00B35A22">
              <w:rPr>
                <w:sz w:val="22"/>
                <w:lang w:val="sr-Latn-ME"/>
              </w:rPr>
              <w:t>j</w:t>
            </w:r>
            <w:r w:rsidRPr="00B35A22">
              <w:rPr>
                <w:sz w:val="22"/>
                <w:lang w:val="sr-Latn-ME"/>
              </w:rPr>
              <w:t>esecima</w:t>
            </w:r>
          </w:p>
        </w:tc>
        <w:tc>
          <w:tcPr>
            <w:tcW w:w="1129" w:type="pct"/>
            <w:tcBorders>
              <w:top w:val="nil"/>
              <w:left w:val="nil"/>
              <w:bottom w:val="nil"/>
              <w:right w:val="nil"/>
            </w:tcBorders>
            <w:hideMark/>
          </w:tcPr>
          <w:p w14:paraId="409219B1" w14:textId="17EF850C" w:rsidR="00D261B6" w:rsidRPr="00B35A22" w:rsidRDefault="00D261B6" w:rsidP="00B35A22">
            <w:pPr>
              <w:widowControl w:val="0"/>
              <w:tabs>
                <w:tab w:val="left" w:pos="284"/>
              </w:tabs>
              <w:jc w:val="center"/>
              <w:rPr>
                <w:sz w:val="22"/>
                <w:lang w:val="sr-Latn-ME"/>
              </w:rPr>
            </w:pPr>
            <w:r w:rsidRPr="00B35A22">
              <w:rPr>
                <w:sz w:val="22"/>
                <w:lang w:val="sr-Latn-ME"/>
              </w:rPr>
              <w:t>8,4</w:t>
            </w:r>
          </w:p>
        </w:tc>
        <w:tc>
          <w:tcPr>
            <w:tcW w:w="1129" w:type="pct"/>
            <w:tcBorders>
              <w:top w:val="nil"/>
              <w:left w:val="nil"/>
              <w:bottom w:val="nil"/>
              <w:right w:val="single" w:sz="4" w:space="0" w:color="auto"/>
            </w:tcBorders>
            <w:hideMark/>
          </w:tcPr>
          <w:p w14:paraId="3FF06029" w14:textId="77777777" w:rsidR="00D261B6" w:rsidRPr="00B35A22" w:rsidRDefault="00D261B6" w:rsidP="00B35A22">
            <w:pPr>
              <w:widowControl w:val="0"/>
              <w:tabs>
                <w:tab w:val="left" w:pos="284"/>
              </w:tabs>
              <w:jc w:val="center"/>
              <w:rPr>
                <w:sz w:val="22"/>
                <w:lang w:val="sr-Latn-ME"/>
              </w:rPr>
            </w:pPr>
            <w:r w:rsidRPr="00B35A22">
              <w:rPr>
                <w:sz w:val="22"/>
                <w:lang w:val="sr-Latn-ME"/>
              </w:rPr>
              <w:t>6,1</w:t>
            </w:r>
          </w:p>
        </w:tc>
      </w:tr>
      <w:tr w:rsidR="00CC0044" w:rsidRPr="00B35A22" w14:paraId="379DA988" w14:textId="77777777" w:rsidTr="00B35A22">
        <w:tc>
          <w:tcPr>
            <w:tcW w:w="2742" w:type="pct"/>
            <w:tcBorders>
              <w:top w:val="nil"/>
              <w:left w:val="single" w:sz="4" w:space="0" w:color="auto"/>
              <w:bottom w:val="single" w:sz="4" w:space="0" w:color="auto"/>
              <w:right w:val="nil"/>
            </w:tcBorders>
            <w:hideMark/>
          </w:tcPr>
          <w:p w14:paraId="0CF448C2" w14:textId="77777777" w:rsidR="00D261B6" w:rsidRPr="00B35A22" w:rsidRDefault="00D261B6" w:rsidP="00B35A22">
            <w:pPr>
              <w:widowControl w:val="0"/>
              <w:tabs>
                <w:tab w:val="left" w:pos="284"/>
              </w:tabs>
              <w:jc w:val="both"/>
              <w:rPr>
                <w:sz w:val="22"/>
                <w:lang w:val="sr-Latn-ME"/>
              </w:rPr>
            </w:pPr>
            <w:r w:rsidRPr="00B35A22">
              <w:rPr>
                <w:sz w:val="22"/>
                <w:lang w:val="sr-Latn-ME"/>
              </w:rPr>
              <w:t>95% CI</w:t>
            </w:r>
          </w:p>
        </w:tc>
        <w:tc>
          <w:tcPr>
            <w:tcW w:w="1129" w:type="pct"/>
            <w:tcBorders>
              <w:top w:val="nil"/>
              <w:left w:val="nil"/>
              <w:bottom w:val="single" w:sz="4" w:space="0" w:color="auto"/>
              <w:right w:val="nil"/>
            </w:tcBorders>
            <w:hideMark/>
          </w:tcPr>
          <w:p w14:paraId="1297EC88" w14:textId="77777777" w:rsidR="00D261B6" w:rsidRPr="00B35A22" w:rsidRDefault="00D261B6" w:rsidP="00B35A22">
            <w:pPr>
              <w:widowControl w:val="0"/>
              <w:tabs>
                <w:tab w:val="left" w:pos="284"/>
              </w:tabs>
              <w:jc w:val="center"/>
              <w:rPr>
                <w:sz w:val="22"/>
                <w:lang w:val="sr-Latn-ME"/>
              </w:rPr>
            </w:pPr>
            <w:r w:rsidRPr="00B35A22">
              <w:rPr>
                <w:sz w:val="22"/>
                <w:lang w:val="sr-Latn-ME"/>
              </w:rPr>
              <w:t>(6,9; 11,8)</w:t>
            </w:r>
          </w:p>
        </w:tc>
        <w:tc>
          <w:tcPr>
            <w:tcW w:w="1129" w:type="pct"/>
            <w:tcBorders>
              <w:top w:val="nil"/>
              <w:left w:val="nil"/>
              <w:bottom w:val="single" w:sz="4" w:space="0" w:color="auto"/>
              <w:right w:val="single" w:sz="4" w:space="0" w:color="auto"/>
            </w:tcBorders>
            <w:hideMark/>
          </w:tcPr>
          <w:p w14:paraId="6959DDC4" w14:textId="77777777" w:rsidR="00D261B6" w:rsidRPr="00B35A22" w:rsidRDefault="00D261B6" w:rsidP="00B35A22">
            <w:pPr>
              <w:widowControl w:val="0"/>
              <w:tabs>
                <w:tab w:val="left" w:pos="284"/>
              </w:tabs>
              <w:jc w:val="center"/>
              <w:rPr>
                <w:sz w:val="22"/>
                <w:lang w:val="sr-Latn-ME"/>
              </w:rPr>
            </w:pPr>
            <w:r w:rsidRPr="00B35A22">
              <w:rPr>
                <w:sz w:val="22"/>
                <w:lang w:val="sr-Latn-ME"/>
              </w:rPr>
              <w:t>(5,5; 7,9)</w:t>
            </w:r>
          </w:p>
        </w:tc>
      </w:tr>
    </w:tbl>
    <w:p w14:paraId="367D8D84" w14:textId="77777777" w:rsidR="00D261B6" w:rsidRPr="00B35A22" w:rsidRDefault="00D261B6" w:rsidP="00B35A22">
      <w:pPr>
        <w:widowControl w:val="0"/>
        <w:tabs>
          <w:tab w:val="left" w:pos="284"/>
        </w:tabs>
        <w:jc w:val="both"/>
        <w:rPr>
          <w:sz w:val="20"/>
          <w:lang w:val="sr-Latn-ME"/>
        </w:rPr>
      </w:pPr>
      <w:r w:rsidRPr="00B35A22">
        <w:rPr>
          <w:sz w:val="20"/>
          <w:vertAlign w:val="superscript"/>
          <w:lang w:val="sr-Latn-ME"/>
        </w:rPr>
        <w:t>‡</w:t>
      </w:r>
      <w:r w:rsidRPr="00B35A22">
        <w:rPr>
          <w:sz w:val="20"/>
          <w:lang w:val="sr-Latn-ME"/>
        </w:rPr>
        <w:t>Stratifikovano prema polu i PD</w:t>
      </w:r>
      <w:r w:rsidRPr="00B35A22">
        <w:rPr>
          <w:sz w:val="20"/>
          <w:lang w:val="sr-Latn-ME"/>
        </w:rPr>
        <w:noBreakHyphen/>
        <w:t xml:space="preserve">L1 ekspresiji na tumorskim ćelijama i ćelijama imunskog sistema koje se infiltriraju u tumor </w:t>
      </w:r>
    </w:p>
    <w:p w14:paraId="09AAC2E5" w14:textId="1ABB9601" w:rsidR="00D261B6" w:rsidRPr="00B35A22" w:rsidRDefault="00D261B6" w:rsidP="00B35A22">
      <w:pPr>
        <w:widowControl w:val="0"/>
        <w:tabs>
          <w:tab w:val="left" w:pos="284"/>
        </w:tabs>
        <w:jc w:val="both"/>
        <w:rPr>
          <w:sz w:val="20"/>
          <w:lang w:val="sr-Latn-ME"/>
        </w:rPr>
      </w:pPr>
      <w:r w:rsidRPr="00B35A22">
        <w:rPr>
          <w:sz w:val="20"/>
          <w:lang w:val="sr-Latn-ME"/>
        </w:rPr>
        <w:t>^Potvrđeni ORR i trajanje odgovora su eksploracijske m</w:t>
      </w:r>
      <w:r w:rsidR="00525B32" w:rsidRPr="00B35A22">
        <w:rPr>
          <w:sz w:val="20"/>
          <w:lang w:val="sr-Latn-ME"/>
        </w:rPr>
        <w:t>j</w:t>
      </w:r>
      <w:r w:rsidRPr="00B35A22">
        <w:rPr>
          <w:sz w:val="20"/>
          <w:lang w:val="sr-Latn-ME"/>
        </w:rPr>
        <w:t>ere ishoda</w:t>
      </w:r>
    </w:p>
    <w:p w14:paraId="6C255810" w14:textId="3C6E6ABF" w:rsidR="00544AD0" w:rsidRPr="00B35A22" w:rsidRDefault="00D261B6" w:rsidP="00B35A22">
      <w:pPr>
        <w:widowControl w:val="0"/>
        <w:tabs>
          <w:tab w:val="left" w:pos="284"/>
        </w:tabs>
        <w:jc w:val="both"/>
        <w:rPr>
          <w:sz w:val="20"/>
          <w:lang w:val="sr-Latn-ME"/>
        </w:rPr>
      </w:pPr>
      <w:r w:rsidRPr="00B35A22">
        <w:rPr>
          <w:sz w:val="20"/>
          <w:lang w:val="sr-Latn-ME"/>
        </w:rPr>
        <w:t>PFS = preživljavanje bez progresije bolesti; RECIST v1.1 = verzija 1.1 Kriterijum za oc</w:t>
      </w:r>
      <w:r w:rsidR="00CB768B" w:rsidRPr="00B35A22">
        <w:rPr>
          <w:sz w:val="20"/>
          <w:lang w:val="sr-Latn-ME"/>
        </w:rPr>
        <w:t>j</w:t>
      </w:r>
      <w:r w:rsidRPr="00B35A22">
        <w:rPr>
          <w:sz w:val="20"/>
          <w:lang w:val="sr-Latn-ME"/>
        </w:rPr>
        <w:t>enu odgovora kod solidnih tumora; CI = interval pouzdanosti; ORR = stopa objektivnog odgovora; OS = ukupno preživljavanje</w:t>
      </w:r>
    </w:p>
    <w:p w14:paraId="609056AE" w14:textId="09E436CD" w:rsidR="00D261B6" w:rsidRPr="00B35A22" w:rsidRDefault="00D261B6" w:rsidP="00B35A22">
      <w:pPr>
        <w:widowControl w:val="0"/>
        <w:tabs>
          <w:tab w:val="left" w:pos="284"/>
        </w:tabs>
        <w:jc w:val="both"/>
        <w:rPr>
          <w:sz w:val="22"/>
          <w:lang w:val="sr-Latn-ME"/>
        </w:rPr>
      </w:pPr>
    </w:p>
    <w:p w14:paraId="30D6FAF0" w14:textId="16F3DD1E" w:rsidR="00525B32" w:rsidRPr="00B35A22" w:rsidRDefault="00525B32" w:rsidP="00B35A22">
      <w:pPr>
        <w:widowControl w:val="0"/>
        <w:tabs>
          <w:tab w:val="left" w:pos="284"/>
        </w:tabs>
        <w:jc w:val="both"/>
        <w:rPr>
          <w:b/>
          <w:sz w:val="22"/>
          <w:lang w:val="sr-Latn-ME"/>
        </w:rPr>
      </w:pPr>
      <w:r w:rsidRPr="00B35A22">
        <w:rPr>
          <w:b/>
          <w:sz w:val="22"/>
          <w:lang w:val="sr-Latn-ME"/>
        </w:rPr>
        <w:lastRenderedPageBreak/>
        <w:t xml:space="preserve">Slika </w:t>
      </w:r>
      <w:r w:rsidR="00D5115F" w:rsidRPr="00B35A22">
        <w:rPr>
          <w:b/>
          <w:sz w:val="22"/>
          <w:lang w:val="sr-Latn-ME"/>
        </w:rPr>
        <w:t>8</w:t>
      </w:r>
      <w:r w:rsidRPr="00B35A22">
        <w:rPr>
          <w:b/>
          <w:sz w:val="22"/>
          <w:lang w:val="sr-Latn-ME"/>
        </w:rPr>
        <w:t xml:space="preserve">: </w:t>
      </w:r>
      <w:r w:rsidRPr="00B35A22">
        <w:rPr>
          <w:b/>
          <w:i/>
          <w:sz w:val="22"/>
          <w:lang w:val="sr-Latn-ME"/>
        </w:rPr>
        <w:t>Kaplan-Meier</w:t>
      </w:r>
      <w:r w:rsidRPr="00B35A22">
        <w:rPr>
          <w:b/>
          <w:sz w:val="22"/>
          <w:lang w:val="sr-Latn-ME"/>
        </w:rPr>
        <w:t>-ov</w:t>
      </w:r>
      <w:r w:rsidR="00544AD0" w:rsidRPr="00B35A22">
        <w:rPr>
          <w:b/>
          <w:sz w:val="22"/>
          <w:lang w:val="sr-Latn-ME"/>
        </w:rPr>
        <w:t>a</w:t>
      </w:r>
      <w:r w:rsidRPr="00B35A22">
        <w:rPr>
          <w:b/>
          <w:sz w:val="22"/>
          <w:lang w:val="sr-Latn-ME"/>
        </w:rPr>
        <w:t xml:space="preserve"> kriva ukupnog preživljavanja (IMpower130)</w:t>
      </w:r>
    </w:p>
    <w:p w14:paraId="131717E3" w14:textId="6F1E1E54" w:rsidR="00525B32" w:rsidRPr="00B35A22" w:rsidRDefault="00525B32" w:rsidP="00B35A22">
      <w:pPr>
        <w:widowControl w:val="0"/>
        <w:tabs>
          <w:tab w:val="left" w:pos="284"/>
        </w:tabs>
        <w:jc w:val="both"/>
        <w:rPr>
          <w:sz w:val="22"/>
          <w:lang w:val="sr-Latn-ME"/>
        </w:rPr>
      </w:pPr>
    </w:p>
    <w:p w14:paraId="7A56D7D9" w14:textId="77777777" w:rsidR="00693B62" w:rsidRPr="00B35A22" w:rsidRDefault="00EC6683" w:rsidP="00B35A22">
      <w:pPr>
        <w:widowControl w:val="0"/>
        <w:tabs>
          <w:tab w:val="left" w:pos="284"/>
        </w:tabs>
        <w:jc w:val="both"/>
        <w:rPr>
          <w:sz w:val="22"/>
          <w:lang w:val="sr-Latn-ME"/>
        </w:rPr>
      </w:pPr>
      <w:r w:rsidRPr="00B35A22">
        <w:rPr>
          <w:sz w:val="22"/>
          <w:lang w:val="sr-Latn-ME" w:eastAsia="sr-Latn-ME"/>
        </w:rPr>
        <w:drawing>
          <wp:inline distT="0" distB="0" distL="0" distR="0" wp14:anchorId="4E5F408A" wp14:editId="60542AB8">
            <wp:extent cx="4866134" cy="250354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6134" cy="2503546"/>
                    </a:xfrm>
                    <a:prstGeom prst="rect">
                      <a:avLst/>
                    </a:prstGeom>
                  </pic:spPr>
                </pic:pic>
              </a:graphicData>
            </a:graphic>
          </wp:inline>
        </w:drawing>
      </w:r>
    </w:p>
    <w:p w14:paraId="70A39385" w14:textId="77777777" w:rsidR="00F917B3" w:rsidRPr="00B35A22" w:rsidRDefault="00F917B3" w:rsidP="00B35A22">
      <w:pPr>
        <w:widowControl w:val="0"/>
        <w:tabs>
          <w:tab w:val="left" w:pos="284"/>
        </w:tabs>
        <w:jc w:val="both"/>
        <w:rPr>
          <w:b/>
          <w:sz w:val="22"/>
          <w:szCs w:val="22"/>
          <w:lang w:val="sr-Latn-ME"/>
        </w:rPr>
      </w:pPr>
    </w:p>
    <w:p w14:paraId="65A02C27" w14:textId="24767861" w:rsidR="00693B62" w:rsidRPr="00B35A22" w:rsidRDefault="00544AD0" w:rsidP="00B35A22">
      <w:pPr>
        <w:widowControl w:val="0"/>
        <w:tabs>
          <w:tab w:val="left" w:pos="284"/>
        </w:tabs>
        <w:jc w:val="both"/>
        <w:rPr>
          <w:b/>
          <w:sz w:val="22"/>
          <w:lang w:val="sr-Latn-ME"/>
        </w:rPr>
      </w:pPr>
      <w:r w:rsidRPr="00B35A22">
        <w:rPr>
          <w:b/>
          <w:sz w:val="22"/>
          <w:lang w:val="sr-Latn-ME"/>
        </w:rPr>
        <w:t xml:space="preserve">Slika </w:t>
      </w:r>
      <w:r w:rsidR="00D5115F" w:rsidRPr="00B35A22">
        <w:rPr>
          <w:b/>
          <w:sz w:val="22"/>
          <w:lang w:val="sr-Latn-ME"/>
        </w:rPr>
        <w:t>9</w:t>
      </w:r>
      <w:r w:rsidRPr="00B35A22">
        <w:rPr>
          <w:b/>
          <w:sz w:val="22"/>
          <w:lang w:val="sr-Latn-ME"/>
        </w:rPr>
        <w:t>:</w:t>
      </w:r>
      <w:r w:rsidRPr="00B35A22">
        <w:rPr>
          <w:b/>
          <w:i/>
          <w:sz w:val="22"/>
          <w:lang w:val="sr-Latn-ME"/>
        </w:rPr>
        <w:t xml:space="preserve"> </w:t>
      </w:r>
      <w:r w:rsidRPr="00B35A22">
        <w:rPr>
          <w:b/>
          <w:sz w:val="22"/>
          <w:lang w:val="sr-Latn-ME"/>
        </w:rPr>
        <w:t>Grafikon raspona pouzdanosti (engl. forest plot) za ukupno preživljavanje prema PD-L1 ekspresiji (IMpower130</w:t>
      </w:r>
      <w:r w:rsidR="00693B62" w:rsidRPr="00B35A22">
        <w:rPr>
          <w:b/>
          <w:sz w:val="22"/>
          <w:lang w:val="sr-Latn-ME"/>
        </w:rPr>
        <w:t>)</w:t>
      </w:r>
    </w:p>
    <w:p w14:paraId="0B167958" w14:textId="51C352F8" w:rsidR="00A442CF" w:rsidRPr="00B35A22" w:rsidRDefault="00A442CF" w:rsidP="00B35A22">
      <w:pPr>
        <w:widowControl w:val="0"/>
        <w:tabs>
          <w:tab w:val="left" w:pos="284"/>
        </w:tabs>
        <w:jc w:val="both"/>
        <w:rPr>
          <w:b/>
          <w:sz w:val="22"/>
          <w:lang w:val="sr-Latn-ME"/>
        </w:rPr>
      </w:pPr>
      <w:r w:rsidRPr="00B35A22">
        <w:rPr>
          <w:lang w:val="sr-Latn-ME" w:eastAsia="sr-Latn-ME"/>
        </w:rPr>
        <w:drawing>
          <wp:inline distT="0" distB="0" distL="0" distR="0" wp14:anchorId="4D52E011" wp14:editId="73380EFC">
            <wp:extent cx="5768975" cy="2354580"/>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975" cy="2354580"/>
                    </a:xfrm>
                    <a:prstGeom prst="rect">
                      <a:avLst/>
                    </a:prstGeom>
                  </pic:spPr>
                </pic:pic>
              </a:graphicData>
            </a:graphic>
          </wp:inline>
        </w:drawing>
      </w:r>
    </w:p>
    <w:p w14:paraId="7A4B078E" w14:textId="77777777" w:rsidR="00857F7D" w:rsidRPr="00B35A22" w:rsidRDefault="00857F7D" w:rsidP="00B35A22">
      <w:pPr>
        <w:widowControl w:val="0"/>
        <w:tabs>
          <w:tab w:val="left" w:pos="284"/>
        </w:tabs>
        <w:jc w:val="both"/>
        <w:rPr>
          <w:b/>
          <w:sz w:val="22"/>
          <w:lang w:val="sr-Latn-ME"/>
        </w:rPr>
      </w:pPr>
    </w:p>
    <w:p w14:paraId="0AFC4534" w14:textId="6FF4E8B8" w:rsidR="00857F7D" w:rsidRPr="00B35A22" w:rsidRDefault="00857F7D" w:rsidP="00B35A22">
      <w:pPr>
        <w:widowControl w:val="0"/>
        <w:tabs>
          <w:tab w:val="left" w:pos="284"/>
        </w:tabs>
        <w:jc w:val="both"/>
        <w:rPr>
          <w:b/>
          <w:sz w:val="22"/>
          <w:lang w:val="sr-Latn-ME"/>
        </w:rPr>
      </w:pPr>
      <w:r w:rsidRPr="00B35A22">
        <w:rPr>
          <w:b/>
          <w:sz w:val="22"/>
          <w:lang w:val="sr-Latn-ME"/>
        </w:rPr>
        <w:t xml:space="preserve">Slika </w:t>
      </w:r>
      <w:r w:rsidR="00D5115F" w:rsidRPr="00B35A22">
        <w:rPr>
          <w:b/>
          <w:sz w:val="22"/>
          <w:lang w:val="sr-Latn-ME"/>
        </w:rPr>
        <w:t>10</w:t>
      </w:r>
      <w:r w:rsidRPr="00B35A22">
        <w:rPr>
          <w:b/>
          <w:sz w:val="22"/>
          <w:lang w:val="sr-Latn-ME"/>
        </w:rPr>
        <w:t>:</w:t>
      </w:r>
      <w:r w:rsidRPr="00B35A22">
        <w:rPr>
          <w:b/>
          <w:i/>
          <w:sz w:val="22"/>
          <w:lang w:val="sr-Latn-ME"/>
        </w:rPr>
        <w:t xml:space="preserve"> Kaplan-Meier-</w:t>
      </w:r>
      <w:r w:rsidRPr="00B35A22">
        <w:rPr>
          <w:b/>
          <w:sz w:val="22"/>
          <w:lang w:val="sr-Latn-ME"/>
        </w:rPr>
        <w:t>ov</w:t>
      </w:r>
      <w:r w:rsidR="00D60B4D" w:rsidRPr="00B35A22">
        <w:rPr>
          <w:b/>
          <w:sz w:val="22"/>
          <w:lang w:val="sr-Latn-ME"/>
        </w:rPr>
        <w:t>a</w:t>
      </w:r>
      <w:r w:rsidRPr="00B35A22">
        <w:rPr>
          <w:b/>
          <w:i/>
          <w:sz w:val="22"/>
          <w:lang w:val="sr-Latn-ME"/>
        </w:rPr>
        <w:t xml:space="preserve"> </w:t>
      </w:r>
      <w:r w:rsidRPr="00B35A22">
        <w:rPr>
          <w:b/>
          <w:sz w:val="22"/>
          <w:lang w:val="sr-Latn-ME"/>
        </w:rPr>
        <w:t>kriv</w:t>
      </w:r>
      <w:r w:rsidR="00D60B4D" w:rsidRPr="00B35A22">
        <w:rPr>
          <w:b/>
          <w:sz w:val="22"/>
          <w:lang w:val="sr-Latn-ME"/>
        </w:rPr>
        <w:t>a</w:t>
      </w:r>
      <w:r w:rsidRPr="00B35A22">
        <w:rPr>
          <w:b/>
          <w:sz w:val="22"/>
          <w:lang w:val="sr-Latn-ME"/>
        </w:rPr>
        <w:t xml:space="preserve"> preživljavanja bez progresije bolesti (IMpower130)</w:t>
      </w:r>
    </w:p>
    <w:p w14:paraId="06E69499" w14:textId="77777777" w:rsidR="00857F7D" w:rsidRPr="00B35A22" w:rsidRDefault="00857F7D" w:rsidP="00B35A22">
      <w:pPr>
        <w:widowControl w:val="0"/>
        <w:tabs>
          <w:tab w:val="left" w:pos="284"/>
        </w:tabs>
        <w:jc w:val="both"/>
        <w:rPr>
          <w:b/>
          <w:i/>
          <w:sz w:val="22"/>
          <w:lang w:val="sr-Latn-ME"/>
        </w:rPr>
      </w:pPr>
    </w:p>
    <w:p w14:paraId="4BB298C9" w14:textId="7A6FD96C" w:rsidR="00895828" w:rsidRPr="00B35A22" w:rsidRDefault="00857F7D" w:rsidP="00B35A22">
      <w:pPr>
        <w:widowControl w:val="0"/>
        <w:tabs>
          <w:tab w:val="left" w:pos="284"/>
        </w:tabs>
        <w:jc w:val="both"/>
        <w:rPr>
          <w:b/>
          <w:sz w:val="22"/>
          <w:lang w:val="sr-Latn-ME"/>
        </w:rPr>
      </w:pPr>
      <w:r w:rsidRPr="00B35A22">
        <w:rPr>
          <w:b/>
          <w:i/>
          <w:sz w:val="22"/>
          <w:szCs w:val="22"/>
          <w:lang w:val="sr-Latn-ME" w:eastAsia="sr-Latn-ME"/>
        </w:rPr>
        <w:drawing>
          <wp:inline distT="0" distB="0" distL="0" distR="0" wp14:anchorId="64478050" wp14:editId="40ADA307">
            <wp:extent cx="5768975" cy="265747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rotWithShape="1">
                    <a:blip r:embed="rId23" cstate="print">
                      <a:extLst>
                        <a:ext uri="{28A0092B-C50C-407E-A947-70E740481C1C}">
                          <a14:useLocalDpi xmlns:a14="http://schemas.microsoft.com/office/drawing/2010/main" val="0"/>
                        </a:ext>
                      </a:extLst>
                    </a:blip>
                    <a:srcRect t="6337"/>
                    <a:stretch/>
                  </pic:blipFill>
                  <pic:spPr bwMode="auto">
                    <a:xfrm>
                      <a:off x="0" y="0"/>
                      <a:ext cx="5768975" cy="2657475"/>
                    </a:xfrm>
                    <a:prstGeom prst="rect">
                      <a:avLst/>
                    </a:prstGeom>
                    <a:ln>
                      <a:noFill/>
                    </a:ln>
                    <a:extLst>
                      <a:ext uri="{53640926-AAD7-44D8-BBD7-CCE9431645EC}">
                        <a14:shadowObscured xmlns:a14="http://schemas.microsoft.com/office/drawing/2010/main"/>
                      </a:ext>
                    </a:extLst>
                  </pic:spPr>
                </pic:pic>
              </a:graphicData>
            </a:graphic>
          </wp:inline>
        </w:drawing>
      </w:r>
    </w:p>
    <w:p w14:paraId="326EE630" w14:textId="77777777" w:rsidR="00895828" w:rsidRPr="00B35A22" w:rsidRDefault="00895828" w:rsidP="00B35A22">
      <w:pPr>
        <w:widowControl w:val="0"/>
        <w:tabs>
          <w:tab w:val="left" w:pos="284"/>
        </w:tabs>
        <w:jc w:val="both"/>
        <w:rPr>
          <w:b/>
          <w:sz w:val="22"/>
          <w:lang w:val="sr-Latn-ME"/>
        </w:rPr>
      </w:pPr>
    </w:p>
    <w:p w14:paraId="4013BC7E" w14:textId="2190BFA0" w:rsidR="00544AD0" w:rsidRPr="00B35A22" w:rsidRDefault="00544AD0" w:rsidP="00B35A22">
      <w:pPr>
        <w:widowControl w:val="0"/>
        <w:tabs>
          <w:tab w:val="left" w:pos="284"/>
        </w:tabs>
        <w:jc w:val="both"/>
        <w:rPr>
          <w:b/>
          <w:sz w:val="22"/>
          <w:lang w:val="sr-Latn-ME"/>
        </w:rPr>
      </w:pPr>
      <w:r w:rsidRPr="00B35A22">
        <w:rPr>
          <w:b/>
          <w:sz w:val="22"/>
          <w:lang w:val="sr-Latn-ME"/>
        </w:rPr>
        <w:t>Slika </w:t>
      </w:r>
      <w:r w:rsidR="00D5115F" w:rsidRPr="00B35A22">
        <w:rPr>
          <w:b/>
          <w:sz w:val="22"/>
          <w:lang w:val="sr-Latn-ME"/>
        </w:rPr>
        <w:t>11</w:t>
      </w:r>
      <w:r w:rsidRPr="00B35A22">
        <w:rPr>
          <w:b/>
          <w:sz w:val="22"/>
          <w:lang w:val="sr-Latn-ME"/>
        </w:rPr>
        <w:t xml:space="preserve">: Grafikon raspona pouzdanosti </w:t>
      </w:r>
      <w:r w:rsidR="00551CF9" w:rsidRPr="00B35A22">
        <w:rPr>
          <w:b/>
          <w:sz w:val="22"/>
          <w:lang w:val="sr-Latn-ME"/>
        </w:rPr>
        <w:t xml:space="preserve">(engl. forest plot) </w:t>
      </w:r>
      <w:r w:rsidRPr="00B35A22">
        <w:rPr>
          <w:b/>
          <w:sz w:val="22"/>
          <w:lang w:val="sr-Latn-ME"/>
        </w:rPr>
        <w:t>za preživljavanje bez progresije bolesti prema PD-L1 ekspresiji (IMpower130)</w:t>
      </w:r>
    </w:p>
    <w:p w14:paraId="12FFC07A" w14:textId="627AC890" w:rsidR="00544AD0" w:rsidRPr="00B35A22" w:rsidRDefault="00544AD0" w:rsidP="00B35A22">
      <w:pPr>
        <w:widowControl w:val="0"/>
        <w:tabs>
          <w:tab w:val="left" w:pos="284"/>
        </w:tabs>
        <w:jc w:val="both"/>
        <w:rPr>
          <w:i/>
          <w:sz w:val="22"/>
          <w:lang w:val="sr-Latn-ME"/>
        </w:rPr>
      </w:pPr>
    </w:p>
    <w:p w14:paraId="2A9976B3" w14:textId="77777777" w:rsidR="00551CF9" w:rsidRPr="00B35A22" w:rsidRDefault="00817C06" w:rsidP="00B35A22">
      <w:pPr>
        <w:widowControl w:val="0"/>
        <w:tabs>
          <w:tab w:val="left" w:pos="284"/>
        </w:tabs>
        <w:jc w:val="both"/>
        <w:rPr>
          <w:i/>
          <w:sz w:val="22"/>
          <w:lang w:val="sr-Latn-ME"/>
        </w:rPr>
      </w:pPr>
      <w:r w:rsidRPr="00B35A22">
        <w:rPr>
          <w:lang w:val="sr-Latn-ME" w:eastAsia="sr-Latn-ME"/>
        </w:rPr>
        <w:lastRenderedPageBreak/>
        <w:drawing>
          <wp:inline distT="0" distB="0" distL="0" distR="0" wp14:anchorId="5C6B89E4" wp14:editId="2495DA01">
            <wp:extent cx="5768975" cy="23241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8975" cy="2324100"/>
                    </a:xfrm>
                    <a:prstGeom prst="rect">
                      <a:avLst/>
                    </a:prstGeom>
                  </pic:spPr>
                </pic:pic>
              </a:graphicData>
            </a:graphic>
          </wp:inline>
        </w:drawing>
      </w:r>
    </w:p>
    <w:p w14:paraId="176CE8DA" w14:textId="77777777" w:rsidR="00857F7D" w:rsidRPr="00B35A22" w:rsidRDefault="00857F7D" w:rsidP="00B35A22">
      <w:pPr>
        <w:widowControl w:val="0"/>
        <w:tabs>
          <w:tab w:val="left" w:pos="284"/>
        </w:tabs>
        <w:jc w:val="both"/>
        <w:rPr>
          <w:i/>
          <w:sz w:val="22"/>
          <w:lang w:val="sr-Latn-ME"/>
        </w:rPr>
      </w:pPr>
    </w:p>
    <w:p w14:paraId="2593490C" w14:textId="3D111FFA" w:rsidR="00241BDE" w:rsidRPr="00B35A22" w:rsidRDefault="00241BDE" w:rsidP="00B35A22">
      <w:pPr>
        <w:widowControl w:val="0"/>
        <w:jc w:val="both"/>
        <w:rPr>
          <w:i/>
          <w:sz w:val="22"/>
          <w:lang w:val="sr-Latn-ME"/>
        </w:rPr>
      </w:pPr>
      <w:r w:rsidRPr="00B35A22">
        <w:rPr>
          <w:i/>
          <w:sz w:val="22"/>
          <w:lang w:val="sr-Latn-ME"/>
        </w:rPr>
        <w:t>IMpower110 (GO29431): Randomizovano ispitivanje faze III kod pacijenata sa metastatskim NSCLC</w:t>
      </w:r>
      <w:r w:rsidRPr="00B35A22">
        <w:rPr>
          <w:i/>
          <w:sz w:val="22"/>
          <w:lang w:val="sr-Latn-ME"/>
        </w:rPr>
        <w:noBreakHyphen/>
        <w:t>om koji prijethodno nijesu primali hemioterapiju</w:t>
      </w:r>
    </w:p>
    <w:p w14:paraId="1E660F07" w14:textId="77777777" w:rsidR="00241BDE" w:rsidRPr="00B35A22" w:rsidRDefault="00241BDE" w:rsidP="00B35A22">
      <w:pPr>
        <w:widowControl w:val="0"/>
        <w:jc w:val="both"/>
        <w:rPr>
          <w:i/>
          <w:sz w:val="22"/>
          <w:lang w:val="sr-Latn-ME"/>
        </w:rPr>
      </w:pPr>
    </w:p>
    <w:p w14:paraId="4C5B45D3" w14:textId="6CD422AC" w:rsidR="00241BDE" w:rsidRPr="00B35A22" w:rsidRDefault="00241BDE" w:rsidP="00B35A22">
      <w:pPr>
        <w:widowControl w:val="0"/>
        <w:jc w:val="both"/>
        <w:rPr>
          <w:sz w:val="22"/>
          <w:lang w:val="sr-Latn-ME"/>
        </w:rPr>
      </w:pPr>
      <w:r w:rsidRPr="00B35A22">
        <w:rPr>
          <w:sz w:val="22"/>
          <w:lang w:val="sr-Latn-ME"/>
        </w:rPr>
        <w:t>Otvoreno, multicentrično, randomizovano ispitivanje faze III (IMpower110) sprovedeno je radi procjene efikasnosti i bezbjednosti atezolizumaba kod pacijenata sa metastatskim NSCLC-om koji prethodno nijesu primali hemioterapiju. Pacijenti su imali ekspresiju PD</w:t>
      </w:r>
      <w:r w:rsidRPr="00B35A22">
        <w:rPr>
          <w:sz w:val="22"/>
          <w:lang w:val="sr-Latn-ME"/>
        </w:rPr>
        <w:noBreakHyphen/>
        <w:t>L1 ≥ 1% na tumorskim ćelijama - TC (obojenje na PD</w:t>
      </w:r>
      <w:r w:rsidRPr="00B35A22">
        <w:rPr>
          <w:sz w:val="22"/>
          <w:lang w:val="sr-Latn-ME"/>
        </w:rPr>
        <w:noBreakHyphen/>
        <w:t>L1 u ≥ 1% tumorskih ćelija) ili ≥ 1% na ćelijama imunog sistema - IC (obojenje ćelija imunog sistema koje se infiltriraju u tumor na PD</w:t>
      </w:r>
      <w:r w:rsidRPr="00B35A22">
        <w:rPr>
          <w:sz w:val="22"/>
          <w:lang w:val="sr-Latn-ME"/>
        </w:rPr>
        <w:noBreakHyphen/>
        <w:t>L1 u ≥ 1% tumorskog područja) na osnovu testa VENTANA PD</w:t>
      </w:r>
      <w:r w:rsidRPr="00B35A22">
        <w:rPr>
          <w:sz w:val="22"/>
          <w:lang w:val="sr-Latn-ME"/>
        </w:rPr>
        <w:noBreakHyphen/>
        <w:t>L1 (SP142).</w:t>
      </w:r>
    </w:p>
    <w:p w14:paraId="64929807" w14:textId="0A2B6259" w:rsidR="00241BDE" w:rsidRPr="00B35A22" w:rsidRDefault="00241BDE" w:rsidP="00B35A22">
      <w:pPr>
        <w:widowControl w:val="0"/>
        <w:jc w:val="both"/>
        <w:rPr>
          <w:sz w:val="22"/>
          <w:lang w:val="sr-Latn-ME"/>
        </w:rPr>
      </w:pPr>
      <w:r w:rsidRPr="00B35A22">
        <w:rPr>
          <w:sz w:val="22"/>
          <w:lang w:val="sr-Latn-ME"/>
        </w:rPr>
        <w:t>Ukupno je 572 pacijenta randomizovano u odnosu 1:1 za primanje atezolizumaba (grupa A) ili hemioterapije (grupa B). Atezolizumab se primjenjivao u fiksnoj dozi od 1200 mg intravenskom infuzijom svake 3 nedjelje do gubitka kliničke koristi prema procjeni istraživača ili pojave neprihvatljive toksičnosti. Hemioterapijski protokoli opisani su u Tabeli 1</w:t>
      </w:r>
      <w:r w:rsidR="00D52D7D" w:rsidRPr="00B35A22">
        <w:rPr>
          <w:sz w:val="22"/>
          <w:lang w:val="sr-Latn-ME"/>
        </w:rPr>
        <w:t>3</w:t>
      </w:r>
      <w:r w:rsidRPr="00B35A22">
        <w:rPr>
          <w:sz w:val="22"/>
          <w:lang w:val="sr-Latn-ME"/>
        </w:rPr>
        <w:t>. Randomizacija je bila stratifikovana prema polu, ECOG performans statusu, histološkom tipu i tumorskoj PD-L1 ekspresiji na tumorskim ćelijama - TC i ćelijama imunog sistema koje se infiltriraju u tumor - IC.</w:t>
      </w:r>
    </w:p>
    <w:p w14:paraId="66DF1F5B" w14:textId="77777777" w:rsidR="00241BDE" w:rsidRPr="00B35A22" w:rsidRDefault="00241BDE" w:rsidP="00B35A22">
      <w:pPr>
        <w:widowControl w:val="0"/>
        <w:jc w:val="both"/>
        <w:rPr>
          <w:i/>
          <w:sz w:val="22"/>
          <w:highlight w:val="yellow"/>
          <w:lang w:val="sr-Latn-ME"/>
        </w:rPr>
      </w:pPr>
    </w:p>
    <w:p w14:paraId="03232267" w14:textId="61B4C593" w:rsidR="00241BDE" w:rsidRPr="00B35A22" w:rsidRDefault="00241BDE" w:rsidP="00B35A22">
      <w:pPr>
        <w:widowControl w:val="0"/>
        <w:jc w:val="both"/>
        <w:rPr>
          <w:b/>
          <w:i/>
          <w:sz w:val="22"/>
          <w:lang w:val="sr-Latn-ME"/>
        </w:rPr>
      </w:pPr>
      <w:r w:rsidRPr="00B35A22">
        <w:rPr>
          <w:b/>
          <w:i/>
          <w:sz w:val="22"/>
          <w:lang w:val="sr-Latn-ME"/>
        </w:rPr>
        <w:t>Tabela 1</w:t>
      </w:r>
      <w:r w:rsidR="00D52D7D" w:rsidRPr="00B35A22">
        <w:rPr>
          <w:b/>
          <w:i/>
          <w:sz w:val="22"/>
          <w:lang w:val="sr-Latn-ME"/>
        </w:rPr>
        <w:t>3</w:t>
      </w:r>
      <w:r w:rsidRPr="00B35A22">
        <w:rPr>
          <w:b/>
          <w:i/>
          <w:sz w:val="22"/>
          <w:lang w:val="sr-Latn-ME"/>
        </w:rPr>
        <w:t>: Intravenski hemioterapijski protokoli (IMpower110)</w:t>
      </w:r>
    </w:p>
    <w:p w14:paraId="75EB7626" w14:textId="77777777" w:rsidR="00241BDE" w:rsidRPr="00B35A22" w:rsidRDefault="00241BDE" w:rsidP="00B35A22">
      <w:pPr>
        <w:widowControl w:val="0"/>
        <w:jc w:val="both"/>
        <w:rPr>
          <w:b/>
          <w:i/>
          <w:sz w:val="22"/>
          <w:lang w:val="sr-Latn-ME"/>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4923"/>
        <w:gridCol w:w="2080"/>
      </w:tblGrid>
      <w:tr w:rsidR="00241BDE" w:rsidRPr="00B35A22" w14:paraId="187CDA5C" w14:textId="77777777" w:rsidTr="00E14959">
        <w:trPr>
          <w:jc w:val="center"/>
        </w:trPr>
        <w:tc>
          <w:tcPr>
            <w:tcW w:w="1838" w:type="dxa"/>
            <w:tcBorders>
              <w:top w:val="single" w:sz="4" w:space="0" w:color="auto"/>
              <w:left w:val="single" w:sz="4" w:space="0" w:color="auto"/>
              <w:bottom w:val="single" w:sz="4" w:space="0" w:color="auto"/>
              <w:right w:val="nil"/>
            </w:tcBorders>
            <w:hideMark/>
          </w:tcPr>
          <w:p w14:paraId="65207A81" w14:textId="77777777" w:rsidR="00241BDE" w:rsidRPr="00B35A22" w:rsidRDefault="00241BDE" w:rsidP="00B35A22">
            <w:pPr>
              <w:widowControl w:val="0"/>
              <w:jc w:val="both"/>
              <w:rPr>
                <w:b/>
                <w:sz w:val="22"/>
                <w:lang w:val="sr-Latn-ME"/>
              </w:rPr>
            </w:pPr>
            <w:r w:rsidRPr="00B35A22">
              <w:rPr>
                <w:b/>
                <w:sz w:val="22"/>
                <w:lang w:val="sr-Latn-ME"/>
              </w:rPr>
              <w:t>Terapijski protokol</w:t>
            </w:r>
          </w:p>
        </w:tc>
        <w:tc>
          <w:tcPr>
            <w:tcW w:w="4923" w:type="dxa"/>
            <w:tcBorders>
              <w:top w:val="single" w:sz="4" w:space="0" w:color="auto"/>
              <w:left w:val="nil"/>
              <w:bottom w:val="single" w:sz="4" w:space="0" w:color="auto"/>
              <w:right w:val="nil"/>
            </w:tcBorders>
            <w:hideMark/>
          </w:tcPr>
          <w:p w14:paraId="2A088A98" w14:textId="04D83BCA" w:rsidR="00241BDE" w:rsidRPr="00B35A22" w:rsidRDefault="00241BDE" w:rsidP="00B35A22">
            <w:pPr>
              <w:widowControl w:val="0"/>
              <w:jc w:val="both"/>
              <w:rPr>
                <w:b/>
                <w:sz w:val="22"/>
                <w:lang w:val="sr-Latn-ME"/>
              </w:rPr>
            </w:pPr>
            <w:r w:rsidRPr="00B35A22">
              <w:rPr>
                <w:b/>
                <w:sz w:val="22"/>
                <w:lang w:val="sr-Latn-ME"/>
              </w:rPr>
              <w:t>Uvodno liječenje</w:t>
            </w:r>
          </w:p>
          <w:p w14:paraId="24B9B9FE" w14:textId="77777777" w:rsidR="00241BDE" w:rsidRPr="00B35A22" w:rsidRDefault="00241BDE" w:rsidP="00B35A22">
            <w:pPr>
              <w:widowControl w:val="0"/>
              <w:jc w:val="both"/>
              <w:rPr>
                <w:b/>
                <w:sz w:val="22"/>
                <w:lang w:val="sr-Latn-ME"/>
              </w:rPr>
            </w:pPr>
            <w:r w:rsidRPr="00B35A22">
              <w:rPr>
                <w:b/>
                <w:sz w:val="22"/>
                <w:lang w:val="sr-Latn-ME"/>
              </w:rPr>
              <w:t>(četiri ili šest 21</w:t>
            </w:r>
            <w:r w:rsidRPr="00B35A22">
              <w:rPr>
                <w:b/>
                <w:sz w:val="22"/>
                <w:lang w:val="sr-Latn-ME"/>
              </w:rPr>
              <w:noBreakHyphen/>
              <w:t>dnevnih ciklusa)</w:t>
            </w:r>
          </w:p>
        </w:tc>
        <w:tc>
          <w:tcPr>
            <w:tcW w:w="2080" w:type="dxa"/>
            <w:tcBorders>
              <w:top w:val="single" w:sz="4" w:space="0" w:color="auto"/>
              <w:left w:val="nil"/>
              <w:bottom w:val="single" w:sz="4" w:space="0" w:color="auto"/>
              <w:right w:val="single" w:sz="4" w:space="0" w:color="auto"/>
            </w:tcBorders>
            <w:hideMark/>
          </w:tcPr>
          <w:p w14:paraId="042117C6" w14:textId="77777777" w:rsidR="00241BDE" w:rsidRPr="00B35A22" w:rsidRDefault="00241BDE" w:rsidP="00B35A22">
            <w:pPr>
              <w:widowControl w:val="0"/>
              <w:jc w:val="both"/>
              <w:rPr>
                <w:b/>
                <w:sz w:val="22"/>
                <w:lang w:val="sr-Latn-ME"/>
              </w:rPr>
            </w:pPr>
            <w:r w:rsidRPr="00B35A22">
              <w:rPr>
                <w:b/>
                <w:sz w:val="22"/>
                <w:lang w:val="sr-Latn-ME"/>
              </w:rPr>
              <w:t>Terapija održavanja</w:t>
            </w:r>
          </w:p>
          <w:p w14:paraId="0499B9E3" w14:textId="77777777" w:rsidR="00241BDE" w:rsidRPr="00B35A22" w:rsidRDefault="00241BDE" w:rsidP="00B35A22">
            <w:pPr>
              <w:widowControl w:val="0"/>
              <w:jc w:val="both"/>
              <w:rPr>
                <w:b/>
                <w:sz w:val="22"/>
                <w:lang w:val="sr-Latn-ME"/>
              </w:rPr>
            </w:pPr>
            <w:r w:rsidRPr="00B35A22">
              <w:rPr>
                <w:b/>
                <w:sz w:val="22"/>
                <w:lang w:val="sr-Latn-ME"/>
              </w:rPr>
              <w:t>(21-dnevni ciklusi)</w:t>
            </w:r>
          </w:p>
        </w:tc>
      </w:tr>
      <w:tr w:rsidR="00241BDE" w:rsidRPr="00B35A22" w14:paraId="79A4D579" w14:textId="77777777" w:rsidTr="00E14959">
        <w:trPr>
          <w:jc w:val="center"/>
        </w:trPr>
        <w:tc>
          <w:tcPr>
            <w:tcW w:w="1838" w:type="dxa"/>
            <w:tcBorders>
              <w:top w:val="nil"/>
              <w:left w:val="single" w:sz="4" w:space="0" w:color="auto"/>
              <w:bottom w:val="nil"/>
              <w:right w:val="nil"/>
            </w:tcBorders>
            <w:hideMark/>
          </w:tcPr>
          <w:p w14:paraId="08D1CB4D" w14:textId="77777777" w:rsidR="00241BDE" w:rsidRPr="00B35A22" w:rsidRDefault="00241BDE" w:rsidP="00B35A22">
            <w:pPr>
              <w:widowControl w:val="0"/>
              <w:jc w:val="both"/>
              <w:rPr>
                <w:sz w:val="22"/>
                <w:lang w:val="sr-Latn-ME"/>
              </w:rPr>
            </w:pPr>
            <w:r w:rsidRPr="00B35A22">
              <w:rPr>
                <w:sz w:val="22"/>
                <w:lang w:val="sr-Latn-ME"/>
              </w:rPr>
              <w:t>B (neskvamozni)</w:t>
            </w:r>
          </w:p>
        </w:tc>
        <w:tc>
          <w:tcPr>
            <w:tcW w:w="4923" w:type="dxa"/>
            <w:tcBorders>
              <w:top w:val="nil"/>
              <w:left w:val="nil"/>
              <w:bottom w:val="nil"/>
              <w:right w:val="nil"/>
            </w:tcBorders>
          </w:tcPr>
          <w:p w14:paraId="7370EE36" w14:textId="77777777" w:rsidR="00241BDE" w:rsidRPr="00B35A22" w:rsidRDefault="00241BDE" w:rsidP="00B35A22">
            <w:pPr>
              <w:widowControl w:val="0"/>
              <w:jc w:val="both"/>
              <w:rPr>
                <w:sz w:val="22"/>
                <w:lang w:val="sr-Latn-ME"/>
              </w:rPr>
            </w:pPr>
            <w:r w:rsidRPr="00B35A22">
              <w:rPr>
                <w:sz w:val="22"/>
                <w:lang w:val="sr-Latn-ME"/>
              </w:rPr>
              <w:t>Cisplatin</w:t>
            </w:r>
            <w:r w:rsidRPr="00B35A22">
              <w:rPr>
                <w:sz w:val="22"/>
                <w:vertAlign w:val="superscript"/>
                <w:lang w:val="sr-Latn-ME"/>
              </w:rPr>
              <w:t>a</w:t>
            </w:r>
            <w:r w:rsidRPr="00B35A22">
              <w:rPr>
                <w:sz w:val="22"/>
                <w:lang w:val="sr-Latn-ME"/>
              </w:rPr>
              <w:t xml:space="preserve"> (75 mg/m²) + pemetreksed</w:t>
            </w:r>
            <w:r w:rsidRPr="00B35A22">
              <w:rPr>
                <w:sz w:val="22"/>
                <w:vertAlign w:val="superscript"/>
                <w:lang w:val="sr-Latn-ME"/>
              </w:rPr>
              <w:t>a</w:t>
            </w:r>
            <w:r w:rsidRPr="00B35A22">
              <w:rPr>
                <w:sz w:val="22"/>
                <w:lang w:val="sr-Latn-ME"/>
              </w:rPr>
              <w:t xml:space="preserve"> (500 mg/m²) ILI </w:t>
            </w:r>
          </w:p>
          <w:p w14:paraId="4E6F7205" w14:textId="77777777" w:rsidR="00241BDE" w:rsidRPr="00B35A22" w:rsidRDefault="00241BDE" w:rsidP="00B35A22">
            <w:pPr>
              <w:widowControl w:val="0"/>
              <w:jc w:val="both"/>
              <w:rPr>
                <w:sz w:val="22"/>
                <w:lang w:val="sr-Latn-ME"/>
              </w:rPr>
            </w:pPr>
            <w:r w:rsidRPr="00B35A22">
              <w:rPr>
                <w:sz w:val="22"/>
                <w:lang w:val="sr-Latn-ME"/>
              </w:rPr>
              <w:t>karboplatin</w:t>
            </w:r>
            <w:r w:rsidRPr="00B35A22">
              <w:rPr>
                <w:sz w:val="22"/>
                <w:vertAlign w:val="superscript"/>
                <w:lang w:val="sr-Latn-ME"/>
              </w:rPr>
              <w:t>a</w:t>
            </w:r>
            <w:r w:rsidRPr="00B35A22">
              <w:rPr>
                <w:sz w:val="22"/>
                <w:lang w:val="sr-Latn-ME"/>
              </w:rPr>
              <w:t xml:space="preserve"> (AUC 6) + pemetreksed</w:t>
            </w:r>
            <w:r w:rsidRPr="00B35A22">
              <w:rPr>
                <w:sz w:val="22"/>
                <w:vertAlign w:val="superscript"/>
                <w:lang w:val="sr-Latn-ME"/>
              </w:rPr>
              <w:t>a</w:t>
            </w:r>
            <w:r w:rsidRPr="00B35A22">
              <w:rPr>
                <w:sz w:val="22"/>
                <w:lang w:val="sr-Latn-ME"/>
              </w:rPr>
              <w:t xml:space="preserve"> (500 mg/m²)</w:t>
            </w:r>
          </w:p>
          <w:p w14:paraId="247612F1" w14:textId="77777777" w:rsidR="00241BDE" w:rsidRPr="00B35A22" w:rsidRDefault="00241BDE" w:rsidP="00B35A22">
            <w:pPr>
              <w:widowControl w:val="0"/>
              <w:jc w:val="both"/>
              <w:rPr>
                <w:sz w:val="22"/>
                <w:lang w:val="sr-Latn-ME"/>
              </w:rPr>
            </w:pPr>
          </w:p>
        </w:tc>
        <w:tc>
          <w:tcPr>
            <w:tcW w:w="2080" w:type="dxa"/>
            <w:tcBorders>
              <w:top w:val="nil"/>
              <w:left w:val="nil"/>
              <w:bottom w:val="nil"/>
              <w:right w:val="single" w:sz="4" w:space="0" w:color="auto"/>
            </w:tcBorders>
            <w:hideMark/>
          </w:tcPr>
          <w:p w14:paraId="60C17B52" w14:textId="77777777" w:rsidR="00241BDE" w:rsidRPr="00B35A22" w:rsidRDefault="00241BDE" w:rsidP="00B35A22">
            <w:pPr>
              <w:widowControl w:val="0"/>
              <w:jc w:val="both"/>
              <w:rPr>
                <w:sz w:val="22"/>
                <w:lang w:val="sr-Latn-ME"/>
              </w:rPr>
            </w:pPr>
            <w:r w:rsidRPr="00B35A22">
              <w:rPr>
                <w:sz w:val="22"/>
                <w:lang w:val="sr-Latn-ME"/>
              </w:rPr>
              <w:t>Pemetreksed</w:t>
            </w:r>
            <w:r w:rsidRPr="00B35A22">
              <w:rPr>
                <w:sz w:val="22"/>
                <w:vertAlign w:val="superscript"/>
                <w:lang w:val="sr-Latn-ME"/>
              </w:rPr>
              <w:t>b,d</w:t>
            </w:r>
            <w:r w:rsidRPr="00B35A22">
              <w:rPr>
                <w:sz w:val="22"/>
                <w:lang w:val="sr-Latn-ME"/>
              </w:rPr>
              <w:t xml:space="preserve"> (500 mg/m²)</w:t>
            </w:r>
          </w:p>
        </w:tc>
      </w:tr>
      <w:tr w:rsidR="00241BDE" w:rsidRPr="00B35A22" w14:paraId="4F3D1E80" w14:textId="77777777" w:rsidTr="00E14959">
        <w:trPr>
          <w:jc w:val="center"/>
        </w:trPr>
        <w:tc>
          <w:tcPr>
            <w:tcW w:w="1838" w:type="dxa"/>
            <w:tcBorders>
              <w:top w:val="nil"/>
              <w:left w:val="single" w:sz="4" w:space="0" w:color="auto"/>
              <w:bottom w:val="single" w:sz="4" w:space="0" w:color="auto"/>
              <w:right w:val="nil"/>
            </w:tcBorders>
            <w:hideMark/>
          </w:tcPr>
          <w:p w14:paraId="439E773F" w14:textId="77777777" w:rsidR="00241BDE" w:rsidRPr="00B35A22" w:rsidRDefault="00241BDE" w:rsidP="00B35A22">
            <w:pPr>
              <w:widowControl w:val="0"/>
              <w:jc w:val="both"/>
              <w:rPr>
                <w:sz w:val="22"/>
                <w:lang w:val="sr-Latn-ME"/>
              </w:rPr>
            </w:pPr>
            <w:r w:rsidRPr="00B35A22">
              <w:rPr>
                <w:sz w:val="22"/>
                <w:lang w:val="sr-Latn-ME"/>
              </w:rPr>
              <w:t>B (skvamozni)</w:t>
            </w:r>
          </w:p>
        </w:tc>
        <w:tc>
          <w:tcPr>
            <w:tcW w:w="4923" w:type="dxa"/>
            <w:tcBorders>
              <w:top w:val="nil"/>
              <w:left w:val="nil"/>
              <w:bottom w:val="single" w:sz="4" w:space="0" w:color="auto"/>
              <w:right w:val="nil"/>
            </w:tcBorders>
            <w:hideMark/>
          </w:tcPr>
          <w:p w14:paraId="31518221" w14:textId="77777777" w:rsidR="00241BDE" w:rsidRPr="00B35A22" w:rsidRDefault="00241BDE" w:rsidP="00B35A22">
            <w:pPr>
              <w:widowControl w:val="0"/>
              <w:jc w:val="both"/>
              <w:rPr>
                <w:sz w:val="22"/>
                <w:lang w:val="sr-Latn-ME"/>
              </w:rPr>
            </w:pPr>
            <w:r w:rsidRPr="00B35A22">
              <w:rPr>
                <w:sz w:val="22"/>
                <w:lang w:val="sr-Latn-ME"/>
              </w:rPr>
              <w:t>Cisplatin</w:t>
            </w:r>
            <w:r w:rsidRPr="00B35A22">
              <w:rPr>
                <w:sz w:val="22"/>
                <w:vertAlign w:val="superscript"/>
                <w:lang w:val="sr-Latn-ME"/>
              </w:rPr>
              <w:t>a</w:t>
            </w:r>
            <w:r w:rsidRPr="00B35A22">
              <w:rPr>
                <w:sz w:val="22"/>
                <w:lang w:val="sr-Latn-ME"/>
              </w:rPr>
              <w:t xml:space="preserve"> (75 mg/m²) + gemcitabin</w:t>
            </w:r>
            <w:r w:rsidRPr="00B35A22">
              <w:rPr>
                <w:sz w:val="22"/>
                <w:vertAlign w:val="superscript"/>
                <w:lang w:val="sr-Latn-ME"/>
              </w:rPr>
              <w:t>a,c</w:t>
            </w:r>
            <w:r w:rsidRPr="00B35A22">
              <w:rPr>
                <w:sz w:val="22"/>
                <w:lang w:val="sr-Latn-ME"/>
              </w:rPr>
              <w:t xml:space="preserve"> (1250 mg/m</w:t>
            </w:r>
            <w:r w:rsidRPr="00B35A22">
              <w:rPr>
                <w:sz w:val="22"/>
                <w:vertAlign w:val="superscript"/>
                <w:lang w:val="sr-Latn-ME"/>
              </w:rPr>
              <w:t>2</w:t>
            </w:r>
            <w:r w:rsidRPr="00B35A22">
              <w:rPr>
                <w:sz w:val="22"/>
                <w:lang w:val="sr-Latn-ME"/>
              </w:rPr>
              <w:t xml:space="preserve">) ILI </w:t>
            </w:r>
          </w:p>
          <w:p w14:paraId="1EFA0874" w14:textId="77777777" w:rsidR="00241BDE" w:rsidRPr="00B35A22" w:rsidRDefault="00241BDE" w:rsidP="00B35A22">
            <w:pPr>
              <w:widowControl w:val="0"/>
              <w:jc w:val="both"/>
              <w:rPr>
                <w:sz w:val="22"/>
                <w:lang w:val="sr-Latn-ME"/>
              </w:rPr>
            </w:pPr>
            <w:r w:rsidRPr="00B35A22">
              <w:rPr>
                <w:sz w:val="22"/>
                <w:lang w:val="sr-Latn-ME"/>
              </w:rPr>
              <w:t>karboplatin</w:t>
            </w:r>
            <w:r w:rsidRPr="00B35A22">
              <w:rPr>
                <w:sz w:val="22"/>
                <w:vertAlign w:val="superscript"/>
                <w:lang w:val="sr-Latn-ME"/>
              </w:rPr>
              <w:t>a</w:t>
            </w:r>
            <w:r w:rsidRPr="00B35A22">
              <w:rPr>
                <w:sz w:val="22"/>
                <w:lang w:val="sr-Latn-ME"/>
              </w:rPr>
              <w:t xml:space="preserve"> (AUC 5) + gemcitabin</w:t>
            </w:r>
            <w:r w:rsidRPr="00B35A22">
              <w:rPr>
                <w:sz w:val="22"/>
                <w:vertAlign w:val="superscript"/>
                <w:lang w:val="sr-Latn-ME"/>
              </w:rPr>
              <w:t>a,c</w:t>
            </w:r>
            <w:r w:rsidRPr="00B35A22">
              <w:rPr>
                <w:sz w:val="22"/>
                <w:lang w:val="sr-Latn-ME"/>
              </w:rPr>
              <w:t xml:space="preserve"> (1000 mg/m</w:t>
            </w:r>
            <w:r w:rsidRPr="00B35A22">
              <w:rPr>
                <w:sz w:val="22"/>
                <w:vertAlign w:val="superscript"/>
                <w:lang w:val="sr-Latn-ME"/>
              </w:rPr>
              <w:t>2</w:t>
            </w:r>
            <w:r w:rsidRPr="00B35A22">
              <w:rPr>
                <w:sz w:val="22"/>
                <w:lang w:val="sr-Latn-ME"/>
              </w:rPr>
              <w:t>)</w:t>
            </w:r>
          </w:p>
        </w:tc>
        <w:tc>
          <w:tcPr>
            <w:tcW w:w="2080" w:type="dxa"/>
            <w:tcBorders>
              <w:top w:val="nil"/>
              <w:left w:val="nil"/>
              <w:bottom w:val="single" w:sz="4" w:space="0" w:color="auto"/>
              <w:right w:val="single" w:sz="4" w:space="0" w:color="auto"/>
            </w:tcBorders>
            <w:hideMark/>
          </w:tcPr>
          <w:p w14:paraId="79230328" w14:textId="77777777" w:rsidR="00241BDE" w:rsidRPr="00B35A22" w:rsidRDefault="00241BDE" w:rsidP="00B35A22">
            <w:pPr>
              <w:widowControl w:val="0"/>
              <w:jc w:val="both"/>
              <w:rPr>
                <w:sz w:val="22"/>
                <w:lang w:val="sr-Latn-ME"/>
              </w:rPr>
            </w:pPr>
            <w:r w:rsidRPr="00B35A22">
              <w:rPr>
                <w:sz w:val="22"/>
                <w:lang w:val="sr-Latn-ME"/>
              </w:rPr>
              <w:t>Najbolja suporativna terapija</w:t>
            </w:r>
            <w:r w:rsidRPr="00B35A22">
              <w:rPr>
                <w:sz w:val="22"/>
                <w:vertAlign w:val="superscript"/>
                <w:lang w:val="sr-Latn-ME"/>
              </w:rPr>
              <w:t>d</w:t>
            </w:r>
          </w:p>
        </w:tc>
      </w:tr>
    </w:tbl>
    <w:p w14:paraId="76C7EFD6" w14:textId="1FD02AD7" w:rsidR="00241BDE" w:rsidRPr="00B35A22" w:rsidRDefault="00241BDE" w:rsidP="00B35A22">
      <w:pPr>
        <w:widowControl w:val="0"/>
        <w:jc w:val="both"/>
        <w:rPr>
          <w:sz w:val="20"/>
          <w:lang w:val="sr-Latn-ME"/>
        </w:rPr>
      </w:pPr>
      <w:r w:rsidRPr="00B35A22">
        <w:rPr>
          <w:sz w:val="20"/>
          <w:vertAlign w:val="superscript"/>
          <w:lang w:val="sr-Latn-ME"/>
        </w:rPr>
        <w:t xml:space="preserve">a </w:t>
      </w:r>
      <w:r w:rsidRPr="00B35A22">
        <w:rPr>
          <w:sz w:val="20"/>
          <w:lang w:val="sr-Latn-ME"/>
        </w:rPr>
        <w:t xml:space="preserve">Cisplatin, karboplatin, pemetreksed i gemcitabin primjenjuju se dok se ne završi 4 ili 6 ciklusa liječenja, ili do progresije bolesti ili pojave neprihvatljive toksičnosti </w:t>
      </w:r>
    </w:p>
    <w:p w14:paraId="6F48CEB0" w14:textId="5A0519BA" w:rsidR="00241BDE" w:rsidRPr="00B35A22" w:rsidRDefault="00241BDE" w:rsidP="00B35A22">
      <w:pPr>
        <w:widowControl w:val="0"/>
        <w:jc w:val="both"/>
        <w:rPr>
          <w:sz w:val="20"/>
          <w:lang w:val="sr-Latn-ME"/>
        </w:rPr>
      </w:pPr>
      <w:r w:rsidRPr="00B35A22">
        <w:rPr>
          <w:sz w:val="20"/>
          <w:vertAlign w:val="superscript"/>
          <w:lang w:val="sr-Latn-ME"/>
        </w:rPr>
        <w:t>b</w:t>
      </w:r>
      <w:r w:rsidRPr="00B35A22">
        <w:rPr>
          <w:sz w:val="20"/>
          <w:lang w:val="sr-Latn-ME"/>
        </w:rPr>
        <w:t xml:space="preserve"> Pemetreksed se primjenjuje kao terapija održavanja svakih 21 dan do progresije bolesti ili pojave neprihvatljive toksičnosti</w:t>
      </w:r>
    </w:p>
    <w:p w14:paraId="572E3025" w14:textId="74357528" w:rsidR="00241BDE" w:rsidRPr="00B35A22" w:rsidRDefault="00241BDE" w:rsidP="00B35A22">
      <w:pPr>
        <w:widowControl w:val="0"/>
        <w:jc w:val="both"/>
        <w:rPr>
          <w:sz w:val="20"/>
          <w:lang w:val="sr-Latn-ME"/>
        </w:rPr>
      </w:pPr>
      <w:r w:rsidRPr="00B35A22">
        <w:rPr>
          <w:sz w:val="20"/>
          <w:vertAlign w:val="superscript"/>
          <w:lang w:val="sr-Latn-ME"/>
        </w:rPr>
        <w:t xml:space="preserve">c </w:t>
      </w:r>
      <w:r w:rsidRPr="00B35A22">
        <w:rPr>
          <w:sz w:val="20"/>
          <w:lang w:val="sr-Latn-ME"/>
        </w:rPr>
        <w:t>Gemcitabin se primjenjuje 1. i 8. dana svakog ciklusa</w:t>
      </w:r>
    </w:p>
    <w:p w14:paraId="21F9DF2C" w14:textId="7FF6ACDC" w:rsidR="00241BDE" w:rsidRPr="00B35A22" w:rsidRDefault="00241BDE" w:rsidP="00B35A22">
      <w:pPr>
        <w:pStyle w:val="Paragraph"/>
        <w:widowControl w:val="0"/>
        <w:spacing w:after="0"/>
        <w:jc w:val="both"/>
        <w:rPr>
          <w:rFonts w:ascii="Times New Roman" w:hAnsi="Times New Roman" w:cs="Times New Roman"/>
          <w:sz w:val="20"/>
        </w:rPr>
      </w:pPr>
      <w:r w:rsidRPr="00B35A22">
        <w:rPr>
          <w:rFonts w:ascii="Times New Roman" w:hAnsi="Times New Roman" w:cs="Times New Roman"/>
          <w:sz w:val="20"/>
          <w:vertAlign w:val="superscript"/>
        </w:rPr>
        <w:t xml:space="preserve">d </w:t>
      </w:r>
      <w:r w:rsidRPr="00B35A22">
        <w:rPr>
          <w:rFonts w:ascii="Times New Roman" w:hAnsi="Times New Roman" w:cs="Times New Roman"/>
          <w:sz w:val="20"/>
        </w:rPr>
        <w:t xml:space="preserve">Nije bio dopušten prelazak iz kontrolne grupe (hemioterapija na bazi platine) u grupu liječenu atezolizumabom (grupa A) </w:t>
      </w:r>
    </w:p>
    <w:p w14:paraId="09F36BC3" w14:textId="3CDF9AAC" w:rsidR="00241BDE" w:rsidRPr="00B35A22" w:rsidRDefault="00241BDE" w:rsidP="00B35A22">
      <w:pPr>
        <w:widowControl w:val="0"/>
        <w:jc w:val="both"/>
        <w:rPr>
          <w:sz w:val="22"/>
          <w:szCs w:val="22"/>
          <w:lang w:val="sr-Latn-ME"/>
        </w:rPr>
      </w:pPr>
      <w:r w:rsidRPr="00B35A22">
        <w:rPr>
          <w:sz w:val="22"/>
          <w:lang w:val="sr-Latn-ME"/>
        </w:rPr>
        <w:t>U</w:t>
      </w:r>
      <w:r w:rsidRPr="00B35A22">
        <w:rPr>
          <w:sz w:val="22"/>
          <w:szCs w:val="22"/>
          <w:lang w:val="sr-Latn-ME" w:eastAsia="de-DE"/>
        </w:rPr>
        <w:t xml:space="preserve"> </w:t>
      </w:r>
      <w:r w:rsidRPr="00B35A22">
        <w:rPr>
          <w:sz w:val="22"/>
          <w:lang w:val="sr-Latn-ME"/>
        </w:rPr>
        <w:t>ispitivanje</w:t>
      </w:r>
      <w:r w:rsidRPr="00B35A22">
        <w:rPr>
          <w:sz w:val="22"/>
          <w:szCs w:val="22"/>
          <w:lang w:val="sr-Latn-ME" w:eastAsia="de-DE"/>
        </w:rPr>
        <w:t xml:space="preserve"> </w:t>
      </w:r>
      <w:r w:rsidRPr="00B35A22">
        <w:rPr>
          <w:sz w:val="22"/>
          <w:lang w:val="sr-Latn-ME"/>
        </w:rPr>
        <w:t>nijesu</w:t>
      </w:r>
      <w:r w:rsidRPr="00B35A22">
        <w:rPr>
          <w:sz w:val="22"/>
          <w:szCs w:val="22"/>
          <w:lang w:val="sr-Latn-ME" w:eastAsia="de-DE"/>
        </w:rPr>
        <w:t xml:space="preserve"> </w:t>
      </w:r>
      <w:r w:rsidRPr="00B35A22">
        <w:rPr>
          <w:sz w:val="22"/>
          <w:lang w:val="sr-Latn-ME"/>
        </w:rPr>
        <w:t>bili</w:t>
      </w:r>
      <w:r w:rsidRPr="00B35A22">
        <w:rPr>
          <w:sz w:val="22"/>
          <w:szCs w:val="22"/>
          <w:lang w:val="sr-Latn-ME" w:eastAsia="de-DE"/>
        </w:rPr>
        <w:t xml:space="preserve"> </w:t>
      </w:r>
      <w:r w:rsidRPr="00B35A22">
        <w:rPr>
          <w:sz w:val="22"/>
          <w:lang w:val="sr-Latn-ME"/>
        </w:rPr>
        <w:t>uklju</w:t>
      </w:r>
      <w:r w:rsidRPr="00B35A22">
        <w:rPr>
          <w:sz w:val="22"/>
          <w:szCs w:val="22"/>
          <w:lang w:val="sr-Latn-ME" w:eastAsia="de-DE"/>
        </w:rPr>
        <w:t>č</w:t>
      </w:r>
      <w:r w:rsidRPr="00B35A22">
        <w:rPr>
          <w:sz w:val="22"/>
          <w:lang w:val="sr-Latn-ME"/>
        </w:rPr>
        <w:t>eni</w:t>
      </w:r>
      <w:r w:rsidRPr="00B35A22">
        <w:rPr>
          <w:sz w:val="22"/>
          <w:szCs w:val="22"/>
          <w:lang w:val="sr-Latn-ME" w:eastAsia="de-DE"/>
        </w:rPr>
        <w:t xml:space="preserve"> </w:t>
      </w:r>
      <w:r w:rsidRPr="00B35A22">
        <w:rPr>
          <w:sz w:val="22"/>
          <w:lang w:val="sr-Latn-ME"/>
        </w:rPr>
        <w:t>pacijenti</w:t>
      </w:r>
      <w:r w:rsidRPr="00B35A22">
        <w:rPr>
          <w:sz w:val="22"/>
          <w:szCs w:val="22"/>
          <w:lang w:val="sr-Latn-ME" w:eastAsia="de-DE"/>
        </w:rPr>
        <w:t xml:space="preserve"> </w:t>
      </w:r>
      <w:r w:rsidRPr="00B35A22">
        <w:rPr>
          <w:sz w:val="22"/>
          <w:lang w:val="sr-Latn-ME"/>
        </w:rPr>
        <w:t>koji</w:t>
      </w:r>
      <w:r w:rsidRPr="00B35A22">
        <w:rPr>
          <w:sz w:val="22"/>
          <w:szCs w:val="22"/>
          <w:lang w:val="sr-Latn-ME" w:eastAsia="de-DE"/>
        </w:rPr>
        <w:t xml:space="preserve"> </w:t>
      </w:r>
      <w:r w:rsidRPr="00B35A22">
        <w:rPr>
          <w:sz w:val="22"/>
          <w:lang w:val="sr-Latn-ME"/>
        </w:rPr>
        <w:t>su</w:t>
      </w:r>
      <w:r w:rsidRPr="00B35A22">
        <w:rPr>
          <w:sz w:val="22"/>
          <w:szCs w:val="22"/>
          <w:lang w:val="sr-Latn-ME" w:eastAsia="de-DE"/>
        </w:rPr>
        <w:t xml:space="preserve"> </w:t>
      </w:r>
      <w:r w:rsidRPr="00B35A22">
        <w:rPr>
          <w:sz w:val="22"/>
          <w:lang w:val="sr-Latn-ME"/>
        </w:rPr>
        <w:t>imali</w:t>
      </w:r>
      <w:r w:rsidRPr="00B35A22">
        <w:rPr>
          <w:sz w:val="22"/>
          <w:szCs w:val="22"/>
          <w:lang w:val="sr-Latn-ME" w:eastAsia="de-DE"/>
        </w:rPr>
        <w:t xml:space="preserve"> </w:t>
      </w:r>
      <w:r w:rsidRPr="00B35A22">
        <w:rPr>
          <w:sz w:val="22"/>
          <w:lang w:val="sr-Latn-ME"/>
        </w:rPr>
        <w:t>autoimunsku</w:t>
      </w:r>
      <w:r w:rsidRPr="00B35A22">
        <w:rPr>
          <w:sz w:val="22"/>
          <w:szCs w:val="22"/>
          <w:lang w:val="sr-Latn-ME" w:eastAsia="de-DE"/>
        </w:rPr>
        <w:t xml:space="preserve"> </w:t>
      </w:r>
      <w:r w:rsidRPr="00B35A22">
        <w:rPr>
          <w:sz w:val="22"/>
          <w:lang w:val="sr-Latn-ME"/>
        </w:rPr>
        <w:t>bolest</w:t>
      </w:r>
      <w:r w:rsidRPr="00B35A22">
        <w:rPr>
          <w:sz w:val="22"/>
          <w:szCs w:val="22"/>
          <w:lang w:val="sr-Latn-ME" w:eastAsia="de-DE"/>
        </w:rPr>
        <w:t xml:space="preserve"> </w:t>
      </w:r>
      <w:r w:rsidRPr="00B35A22">
        <w:rPr>
          <w:sz w:val="22"/>
          <w:lang w:val="sr-Latn-ME"/>
        </w:rPr>
        <w:t>u</w:t>
      </w:r>
      <w:r w:rsidRPr="00B35A22">
        <w:rPr>
          <w:sz w:val="22"/>
          <w:szCs w:val="22"/>
          <w:lang w:val="sr-Latn-ME" w:eastAsia="de-DE"/>
        </w:rPr>
        <w:t xml:space="preserve"> </w:t>
      </w:r>
      <w:r w:rsidRPr="00B35A22">
        <w:rPr>
          <w:sz w:val="22"/>
          <w:lang w:val="sr-Latn-ME"/>
        </w:rPr>
        <w:t>anamnezi</w:t>
      </w:r>
      <w:r w:rsidRPr="00B35A22">
        <w:rPr>
          <w:sz w:val="22"/>
          <w:szCs w:val="22"/>
          <w:lang w:val="sr-Latn-ME" w:eastAsia="de-DE"/>
        </w:rPr>
        <w:t xml:space="preserve">, </w:t>
      </w:r>
      <w:r w:rsidRPr="00B35A22">
        <w:rPr>
          <w:sz w:val="22"/>
          <w:lang w:val="sr-Latn-ME"/>
        </w:rPr>
        <w:t>koji</w:t>
      </w:r>
      <w:r w:rsidRPr="00B35A22">
        <w:rPr>
          <w:sz w:val="22"/>
          <w:szCs w:val="22"/>
          <w:lang w:val="sr-Latn-ME" w:eastAsia="de-DE"/>
        </w:rPr>
        <w:t xml:space="preserve"> </w:t>
      </w:r>
      <w:r w:rsidRPr="00B35A22">
        <w:rPr>
          <w:sz w:val="22"/>
          <w:lang w:val="sr-Latn-ME"/>
        </w:rPr>
        <w:t>su</w:t>
      </w:r>
      <w:r w:rsidRPr="00B35A22">
        <w:rPr>
          <w:sz w:val="22"/>
          <w:szCs w:val="22"/>
          <w:lang w:val="sr-Latn-ME" w:eastAsia="de-DE"/>
        </w:rPr>
        <w:t xml:space="preserve"> </w:t>
      </w:r>
      <w:r w:rsidRPr="00B35A22">
        <w:rPr>
          <w:sz w:val="22"/>
          <w:lang w:val="sr-Latn-ME"/>
        </w:rPr>
        <w:t>primili</w:t>
      </w:r>
      <w:r w:rsidRPr="00B35A22">
        <w:rPr>
          <w:sz w:val="22"/>
          <w:szCs w:val="22"/>
          <w:lang w:val="sr-Latn-ME" w:eastAsia="de-DE"/>
        </w:rPr>
        <w:t xml:space="preserve"> ž</w:t>
      </w:r>
      <w:r w:rsidRPr="00B35A22">
        <w:rPr>
          <w:sz w:val="22"/>
          <w:lang w:val="sr-Latn-ME"/>
        </w:rPr>
        <w:t>ivu</w:t>
      </w:r>
      <w:r w:rsidRPr="00B35A22">
        <w:rPr>
          <w:sz w:val="22"/>
          <w:szCs w:val="22"/>
          <w:lang w:val="sr-Latn-ME" w:eastAsia="de-DE"/>
        </w:rPr>
        <w:t xml:space="preserve"> </w:t>
      </w:r>
      <w:r w:rsidRPr="00B35A22">
        <w:rPr>
          <w:sz w:val="22"/>
          <w:lang w:val="sr-Latn-ME"/>
        </w:rPr>
        <w:t>atenuisanu</w:t>
      </w:r>
      <w:r w:rsidRPr="00B35A22">
        <w:rPr>
          <w:sz w:val="22"/>
          <w:szCs w:val="22"/>
          <w:lang w:val="sr-Latn-ME" w:eastAsia="de-DE"/>
        </w:rPr>
        <w:t xml:space="preserve"> </w:t>
      </w:r>
      <w:r w:rsidRPr="00B35A22">
        <w:rPr>
          <w:sz w:val="22"/>
          <w:lang w:val="sr-Latn-ME"/>
        </w:rPr>
        <w:t>vakcinu</w:t>
      </w:r>
      <w:r w:rsidRPr="00B35A22">
        <w:rPr>
          <w:sz w:val="22"/>
          <w:szCs w:val="22"/>
          <w:lang w:val="sr-Latn-ME" w:eastAsia="de-DE"/>
        </w:rPr>
        <w:t xml:space="preserve"> </w:t>
      </w:r>
      <w:r w:rsidRPr="00B35A22">
        <w:rPr>
          <w:sz w:val="22"/>
          <w:lang w:val="sr-Latn-ME"/>
        </w:rPr>
        <w:t>u</w:t>
      </w:r>
      <w:r w:rsidRPr="00B35A22">
        <w:rPr>
          <w:sz w:val="22"/>
          <w:szCs w:val="22"/>
          <w:lang w:val="sr-Latn-ME" w:eastAsia="de-DE"/>
        </w:rPr>
        <w:t xml:space="preserve"> </w:t>
      </w:r>
      <w:r w:rsidRPr="00B35A22">
        <w:rPr>
          <w:sz w:val="22"/>
          <w:lang w:val="sr-Latn-ME"/>
        </w:rPr>
        <w:t>roku</w:t>
      </w:r>
      <w:r w:rsidRPr="00B35A22">
        <w:rPr>
          <w:sz w:val="22"/>
          <w:szCs w:val="22"/>
          <w:lang w:val="sr-Latn-ME" w:eastAsia="de-DE"/>
        </w:rPr>
        <w:t xml:space="preserve"> </w:t>
      </w:r>
      <w:r w:rsidRPr="00B35A22">
        <w:rPr>
          <w:sz w:val="22"/>
          <w:lang w:val="sr-Latn-ME"/>
        </w:rPr>
        <w:t>od</w:t>
      </w:r>
      <w:r w:rsidRPr="00B35A22">
        <w:rPr>
          <w:sz w:val="22"/>
          <w:szCs w:val="22"/>
          <w:lang w:val="sr-Latn-ME" w:eastAsia="de-DE"/>
        </w:rPr>
        <w:t xml:space="preserve"> 28</w:t>
      </w:r>
      <w:r w:rsidRPr="00B35A22">
        <w:rPr>
          <w:sz w:val="22"/>
          <w:lang w:val="sr-Latn-ME"/>
        </w:rPr>
        <w:t> dana</w:t>
      </w:r>
      <w:r w:rsidRPr="00B35A22">
        <w:rPr>
          <w:sz w:val="22"/>
          <w:szCs w:val="22"/>
          <w:lang w:val="sr-Latn-ME" w:eastAsia="de-DE"/>
        </w:rPr>
        <w:t xml:space="preserve"> </w:t>
      </w:r>
      <w:r w:rsidRPr="00B35A22">
        <w:rPr>
          <w:sz w:val="22"/>
          <w:lang w:val="sr-Latn-ME"/>
        </w:rPr>
        <w:t>prije</w:t>
      </w:r>
      <w:r w:rsidRPr="00B35A22">
        <w:rPr>
          <w:sz w:val="22"/>
          <w:szCs w:val="22"/>
          <w:lang w:val="sr-Latn-ME" w:eastAsia="de-DE"/>
        </w:rPr>
        <w:t xml:space="preserve"> </w:t>
      </w:r>
      <w:r w:rsidRPr="00B35A22">
        <w:rPr>
          <w:sz w:val="22"/>
          <w:lang w:val="sr-Latn-ME"/>
        </w:rPr>
        <w:t>randomizacije</w:t>
      </w:r>
      <w:r w:rsidRPr="00B35A22">
        <w:rPr>
          <w:sz w:val="22"/>
          <w:szCs w:val="22"/>
          <w:lang w:val="sr-Latn-ME" w:eastAsia="de-DE"/>
        </w:rPr>
        <w:t xml:space="preserve">, </w:t>
      </w:r>
      <w:r w:rsidRPr="00B35A22">
        <w:rPr>
          <w:sz w:val="22"/>
          <w:lang w:val="sr-Latn-ME"/>
        </w:rPr>
        <w:t>koji</w:t>
      </w:r>
      <w:r w:rsidRPr="00B35A22">
        <w:rPr>
          <w:sz w:val="22"/>
          <w:szCs w:val="22"/>
          <w:lang w:val="sr-Latn-ME" w:eastAsia="de-DE"/>
        </w:rPr>
        <w:t xml:space="preserve"> </w:t>
      </w:r>
      <w:r w:rsidRPr="00B35A22">
        <w:rPr>
          <w:sz w:val="22"/>
          <w:lang w:val="sr-Latn-ME"/>
        </w:rPr>
        <w:t>su</w:t>
      </w:r>
      <w:r w:rsidRPr="00B35A22">
        <w:rPr>
          <w:sz w:val="22"/>
          <w:szCs w:val="22"/>
          <w:lang w:val="sr-Latn-ME" w:eastAsia="de-DE"/>
        </w:rPr>
        <w:t xml:space="preserve"> </w:t>
      </w:r>
      <w:r w:rsidRPr="00B35A22">
        <w:rPr>
          <w:sz w:val="22"/>
          <w:lang w:val="sr-Latn-ME"/>
        </w:rPr>
        <w:t>primili</w:t>
      </w:r>
      <w:r w:rsidRPr="00B35A22">
        <w:rPr>
          <w:sz w:val="22"/>
          <w:szCs w:val="22"/>
          <w:lang w:val="sr-Latn-ME" w:eastAsia="de-DE"/>
        </w:rPr>
        <w:t xml:space="preserve"> </w:t>
      </w:r>
      <w:r w:rsidRPr="00B35A22">
        <w:rPr>
          <w:sz w:val="22"/>
          <w:lang w:val="sr-Latn-ME"/>
        </w:rPr>
        <w:t>sistemske</w:t>
      </w:r>
      <w:r w:rsidRPr="00B35A22">
        <w:rPr>
          <w:sz w:val="22"/>
          <w:szCs w:val="22"/>
          <w:lang w:val="sr-Latn-ME" w:eastAsia="de-DE"/>
        </w:rPr>
        <w:t xml:space="preserve"> </w:t>
      </w:r>
      <w:r w:rsidRPr="00B35A22">
        <w:rPr>
          <w:sz w:val="22"/>
          <w:lang w:val="sr-Latn-ME"/>
        </w:rPr>
        <w:t>imunostimulatore</w:t>
      </w:r>
      <w:r w:rsidRPr="00B35A22">
        <w:rPr>
          <w:sz w:val="22"/>
          <w:szCs w:val="22"/>
          <w:lang w:val="sr-Latn-ME" w:eastAsia="de-DE"/>
        </w:rPr>
        <w:t xml:space="preserve"> </w:t>
      </w:r>
      <w:r w:rsidRPr="00B35A22">
        <w:rPr>
          <w:sz w:val="22"/>
          <w:lang w:val="sr-Latn-ME"/>
        </w:rPr>
        <w:t>u</w:t>
      </w:r>
      <w:r w:rsidRPr="00B35A22">
        <w:rPr>
          <w:sz w:val="22"/>
          <w:szCs w:val="22"/>
          <w:lang w:val="sr-Latn-ME" w:eastAsia="de-DE"/>
        </w:rPr>
        <w:t xml:space="preserve"> </w:t>
      </w:r>
      <w:r w:rsidRPr="00B35A22">
        <w:rPr>
          <w:sz w:val="22"/>
          <w:lang w:val="sr-Latn-ME"/>
        </w:rPr>
        <w:t>roku</w:t>
      </w:r>
      <w:r w:rsidRPr="00B35A22">
        <w:rPr>
          <w:sz w:val="22"/>
          <w:szCs w:val="22"/>
          <w:lang w:val="sr-Latn-ME" w:eastAsia="de-DE"/>
        </w:rPr>
        <w:t xml:space="preserve"> </w:t>
      </w:r>
      <w:r w:rsidRPr="00B35A22">
        <w:rPr>
          <w:sz w:val="22"/>
          <w:lang w:val="sr-Latn-ME"/>
        </w:rPr>
        <w:t>od</w:t>
      </w:r>
      <w:r w:rsidRPr="00B35A22">
        <w:rPr>
          <w:sz w:val="22"/>
          <w:szCs w:val="22"/>
          <w:lang w:val="sr-Latn-ME" w:eastAsia="de-DE"/>
        </w:rPr>
        <w:t xml:space="preserve"> 4 </w:t>
      </w:r>
      <w:r w:rsidRPr="00B35A22">
        <w:rPr>
          <w:sz w:val="22"/>
          <w:lang w:val="sr-Latn-ME"/>
        </w:rPr>
        <w:t>nedjelje</w:t>
      </w:r>
      <w:r w:rsidRPr="00B35A22">
        <w:rPr>
          <w:sz w:val="22"/>
          <w:szCs w:val="22"/>
          <w:lang w:val="sr-Latn-ME" w:eastAsia="de-DE"/>
        </w:rPr>
        <w:t xml:space="preserve"> </w:t>
      </w:r>
      <w:r w:rsidRPr="00B35A22">
        <w:rPr>
          <w:sz w:val="22"/>
          <w:lang w:val="sr-Latn-ME"/>
        </w:rPr>
        <w:t>ili</w:t>
      </w:r>
      <w:r w:rsidRPr="00B35A22">
        <w:rPr>
          <w:sz w:val="22"/>
          <w:szCs w:val="22"/>
          <w:lang w:val="sr-Latn-ME" w:eastAsia="de-DE"/>
        </w:rPr>
        <w:t xml:space="preserve"> </w:t>
      </w:r>
      <w:r w:rsidRPr="00B35A22">
        <w:rPr>
          <w:sz w:val="22"/>
          <w:lang w:val="sr-Latn-ME"/>
        </w:rPr>
        <w:t>sistemske</w:t>
      </w:r>
      <w:r w:rsidRPr="00B35A22">
        <w:rPr>
          <w:sz w:val="22"/>
          <w:szCs w:val="22"/>
          <w:lang w:val="sr-Latn-ME" w:eastAsia="de-DE"/>
        </w:rPr>
        <w:t xml:space="preserve"> </w:t>
      </w:r>
      <w:r w:rsidRPr="00B35A22">
        <w:rPr>
          <w:sz w:val="22"/>
          <w:lang w:val="sr-Latn-ME"/>
        </w:rPr>
        <w:t>imunosupresive</w:t>
      </w:r>
      <w:r w:rsidRPr="00B35A22">
        <w:rPr>
          <w:sz w:val="22"/>
          <w:szCs w:val="22"/>
          <w:lang w:val="sr-Latn-ME" w:eastAsia="de-DE"/>
        </w:rPr>
        <w:t xml:space="preserve"> </w:t>
      </w:r>
      <w:r w:rsidRPr="00B35A22">
        <w:rPr>
          <w:sz w:val="22"/>
          <w:lang w:val="sr-Latn-ME"/>
        </w:rPr>
        <w:t>u</w:t>
      </w:r>
      <w:r w:rsidRPr="00B35A22">
        <w:rPr>
          <w:sz w:val="22"/>
          <w:szCs w:val="22"/>
          <w:lang w:val="sr-Latn-ME" w:eastAsia="de-DE"/>
        </w:rPr>
        <w:t xml:space="preserve"> </w:t>
      </w:r>
      <w:r w:rsidRPr="00B35A22">
        <w:rPr>
          <w:sz w:val="22"/>
          <w:lang w:val="sr-Latn-ME"/>
        </w:rPr>
        <w:t>roku</w:t>
      </w:r>
      <w:r w:rsidRPr="00B35A22">
        <w:rPr>
          <w:sz w:val="22"/>
          <w:szCs w:val="22"/>
          <w:lang w:val="sr-Latn-ME" w:eastAsia="de-DE"/>
        </w:rPr>
        <w:t xml:space="preserve"> </w:t>
      </w:r>
      <w:r w:rsidRPr="00B35A22">
        <w:rPr>
          <w:sz w:val="22"/>
          <w:lang w:val="sr-Latn-ME"/>
        </w:rPr>
        <w:t>od</w:t>
      </w:r>
      <w:r w:rsidRPr="00B35A22">
        <w:rPr>
          <w:sz w:val="22"/>
          <w:szCs w:val="22"/>
          <w:lang w:val="sr-Latn-ME" w:eastAsia="de-DE"/>
        </w:rPr>
        <w:t xml:space="preserve"> 2</w:t>
      </w:r>
      <w:r w:rsidRPr="00B35A22">
        <w:rPr>
          <w:sz w:val="22"/>
          <w:lang w:val="sr-Latn-ME"/>
        </w:rPr>
        <w:t> nedjelje</w:t>
      </w:r>
      <w:r w:rsidRPr="00B35A22">
        <w:rPr>
          <w:sz w:val="22"/>
          <w:szCs w:val="22"/>
          <w:lang w:val="sr-Latn-ME" w:eastAsia="de-DE"/>
        </w:rPr>
        <w:t xml:space="preserve"> </w:t>
      </w:r>
      <w:r w:rsidRPr="00B35A22">
        <w:rPr>
          <w:sz w:val="22"/>
          <w:lang w:val="sr-Latn-ME"/>
        </w:rPr>
        <w:t>prije</w:t>
      </w:r>
      <w:r w:rsidRPr="00B35A22">
        <w:rPr>
          <w:sz w:val="22"/>
          <w:szCs w:val="22"/>
          <w:lang w:val="sr-Latn-ME" w:eastAsia="de-DE"/>
        </w:rPr>
        <w:t xml:space="preserve"> </w:t>
      </w:r>
      <w:r w:rsidRPr="00B35A22">
        <w:rPr>
          <w:sz w:val="22"/>
          <w:lang w:val="sr-Latn-ME"/>
        </w:rPr>
        <w:t>randomizacije</w:t>
      </w:r>
      <w:r w:rsidRPr="00B35A22">
        <w:rPr>
          <w:sz w:val="22"/>
          <w:szCs w:val="22"/>
          <w:lang w:val="sr-Latn-ME" w:eastAsia="de-DE"/>
        </w:rPr>
        <w:t xml:space="preserve"> </w:t>
      </w:r>
      <w:r w:rsidRPr="00B35A22">
        <w:rPr>
          <w:sz w:val="22"/>
          <w:lang w:val="sr-Latn-ME"/>
        </w:rPr>
        <w:t>ili</w:t>
      </w:r>
      <w:r w:rsidRPr="00B35A22">
        <w:rPr>
          <w:sz w:val="22"/>
          <w:szCs w:val="22"/>
          <w:lang w:val="sr-Latn-ME" w:eastAsia="de-DE"/>
        </w:rPr>
        <w:t xml:space="preserve"> </w:t>
      </w:r>
      <w:r w:rsidRPr="00B35A22">
        <w:rPr>
          <w:sz w:val="22"/>
          <w:lang w:val="sr-Latn-ME"/>
        </w:rPr>
        <w:t>koji</w:t>
      </w:r>
      <w:r w:rsidRPr="00B35A22">
        <w:rPr>
          <w:sz w:val="22"/>
          <w:szCs w:val="22"/>
          <w:lang w:val="sr-Latn-ME" w:eastAsia="de-DE"/>
        </w:rPr>
        <w:t xml:space="preserve"> </w:t>
      </w:r>
      <w:r w:rsidRPr="00B35A22">
        <w:rPr>
          <w:sz w:val="22"/>
          <w:lang w:val="sr-Latn-ME"/>
        </w:rPr>
        <w:t>su</w:t>
      </w:r>
      <w:r w:rsidRPr="00B35A22">
        <w:rPr>
          <w:sz w:val="22"/>
          <w:szCs w:val="22"/>
          <w:lang w:val="sr-Latn-ME" w:eastAsia="de-DE"/>
        </w:rPr>
        <w:t xml:space="preserve"> </w:t>
      </w:r>
      <w:r w:rsidRPr="00B35A22">
        <w:rPr>
          <w:sz w:val="22"/>
          <w:lang w:val="sr-Latn-ME"/>
        </w:rPr>
        <w:t>imali</w:t>
      </w:r>
      <w:r w:rsidRPr="00B35A22">
        <w:rPr>
          <w:sz w:val="22"/>
          <w:szCs w:val="22"/>
          <w:lang w:val="sr-Latn-ME" w:eastAsia="de-DE"/>
        </w:rPr>
        <w:t xml:space="preserve"> </w:t>
      </w:r>
      <w:r w:rsidRPr="00B35A22">
        <w:rPr>
          <w:sz w:val="22"/>
          <w:lang w:val="sr-Latn-ME"/>
        </w:rPr>
        <w:t>aktivne</w:t>
      </w:r>
      <w:r w:rsidRPr="00B35A22">
        <w:rPr>
          <w:sz w:val="22"/>
          <w:szCs w:val="22"/>
          <w:lang w:val="sr-Latn-ME" w:eastAsia="de-DE"/>
        </w:rPr>
        <w:t xml:space="preserve"> </w:t>
      </w:r>
      <w:r w:rsidRPr="00B35A22">
        <w:rPr>
          <w:sz w:val="22"/>
          <w:lang w:val="sr-Latn-ME"/>
        </w:rPr>
        <w:t>ili</w:t>
      </w:r>
      <w:r w:rsidRPr="00B35A22">
        <w:rPr>
          <w:sz w:val="22"/>
          <w:szCs w:val="22"/>
          <w:lang w:val="sr-Latn-ME" w:eastAsia="de-DE"/>
        </w:rPr>
        <w:t xml:space="preserve"> </w:t>
      </w:r>
      <w:r w:rsidRPr="00B35A22">
        <w:rPr>
          <w:sz w:val="22"/>
          <w:lang w:val="sr-Latn-ME"/>
        </w:rPr>
        <w:t>nelije</w:t>
      </w:r>
      <w:r w:rsidRPr="00B35A22">
        <w:rPr>
          <w:sz w:val="22"/>
          <w:szCs w:val="22"/>
          <w:lang w:val="sr-Latn-ME" w:eastAsia="de-DE"/>
        </w:rPr>
        <w:t>č</w:t>
      </w:r>
      <w:r w:rsidRPr="00B35A22">
        <w:rPr>
          <w:sz w:val="22"/>
          <w:lang w:val="sr-Latn-ME"/>
        </w:rPr>
        <w:t>ene</w:t>
      </w:r>
      <w:r w:rsidRPr="00B35A22">
        <w:rPr>
          <w:sz w:val="22"/>
          <w:szCs w:val="22"/>
          <w:lang w:val="sr-Latn-ME" w:eastAsia="de-DE"/>
        </w:rPr>
        <w:t xml:space="preserve"> </w:t>
      </w:r>
      <w:r w:rsidRPr="00B35A22">
        <w:rPr>
          <w:sz w:val="22"/>
          <w:lang w:val="sr-Latn-ME"/>
        </w:rPr>
        <w:t>metastaze</w:t>
      </w:r>
      <w:r w:rsidRPr="00B35A22">
        <w:rPr>
          <w:sz w:val="22"/>
          <w:szCs w:val="22"/>
          <w:lang w:val="sr-Latn-ME" w:eastAsia="de-DE"/>
        </w:rPr>
        <w:t xml:space="preserve"> </w:t>
      </w:r>
      <w:r w:rsidRPr="00B35A22">
        <w:rPr>
          <w:sz w:val="22"/>
          <w:lang w:val="sr-Latn-ME"/>
        </w:rPr>
        <w:t>u</w:t>
      </w:r>
      <w:r w:rsidRPr="00B35A22">
        <w:rPr>
          <w:sz w:val="22"/>
          <w:szCs w:val="22"/>
          <w:lang w:val="sr-Latn-ME" w:eastAsia="de-DE"/>
        </w:rPr>
        <w:t xml:space="preserve"> </w:t>
      </w:r>
      <w:r w:rsidRPr="00B35A22">
        <w:rPr>
          <w:sz w:val="22"/>
          <w:lang w:val="sr-Latn-ME"/>
        </w:rPr>
        <w:t>centralnom</w:t>
      </w:r>
      <w:r w:rsidRPr="00B35A22">
        <w:rPr>
          <w:sz w:val="22"/>
          <w:szCs w:val="22"/>
          <w:lang w:val="sr-Latn-ME" w:eastAsia="de-DE"/>
        </w:rPr>
        <w:t xml:space="preserve"> </w:t>
      </w:r>
      <w:r w:rsidRPr="00B35A22">
        <w:rPr>
          <w:sz w:val="22"/>
          <w:lang w:val="sr-Latn-ME"/>
        </w:rPr>
        <w:t>nervnom</w:t>
      </w:r>
      <w:r w:rsidRPr="00B35A22">
        <w:rPr>
          <w:sz w:val="22"/>
          <w:szCs w:val="22"/>
          <w:lang w:val="sr-Latn-ME" w:eastAsia="de-DE"/>
        </w:rPr>
        <w:t xml:space="preserve"> </w:t>
      </w:r>
      <w:r w:rsidRPr="00B35A22">
        <w:rPr>
          <w:sz w:val="22"/>
          <w:lang w:val="sr-Latn-ME"/>
        </w:rPr>
        <w:t>sistemu</w:t>
      </w:r>
      <w:r w:rsidRPr="00B35A22">
        <w:rPr>
          <w:sz w:val="22"/>
          <w:szCs w:val="22"/>
          <w:lang w:val="sr-Latn-ME" w:eastAsia="de-DE"/>
        </w:rPr>
        <w:t xml:space="preserve"> (</w:t>
      </w:r>
      <w:r w:rsidRPr="00B35A22">
        <w:rPr>
          <w:sz w:val="22"/>
          <w:lang w:val="sr-Latn-ME"/>
        </w:rPr>
        <w:t>CNS</w:t>
      </w:r>
      <w:r w:rsidRPr="00B35A22">
        <w:rPr>
          <w:sz w:val="22"/>
          <w:szCs w:val="22"/>
          <w:lang w:val="sr-Latn-ME" w:eastAsia="de-DE"/>
        </w:rPr>
        <w:t xml:space="preserve">). </w:t>
      </w:r>
      <w:r w:rsidRPr="00B35A22">
        <w:rPr>
          <w:sz w:val="22"/>
          <w:lang w:val="sr-Latn-ME"/>
        </w:rPr>
        <w:t>Procjene</w:t>
      </w:r>
      <w:r w:rsidRPr="00B35A22">
        <w:rPr>
          <w:sz w:val="22"/>
          <w:szCs w:val="22"/>
          <w:lang w:val="sr-Latn-ME"/>
        </w:rPr>
        <w:t xml:space="preserve"> </w:t>
      </w:r>
      <w:r w:rsidRPr="00B35A22">
        <w:rPr>
          <w:sz w:val="22"/>
          <w:lang w:val="sr-Latn-ME"/>
        </w:rPr>
        <w:t>tumorskog</w:t>
      </w:r>
      <w:r w:rsidRPr="00B35A22">
        <w:rPr>
          <w:sz w:val="22"/>
          <w:szCs w:val="22"/>
          <w:lang w:val="sr-Latn-ME"/>
        </w:rPr>
        <w:t xml:space="preserve"> </w:t>
      </w:r>
      <w:r w:rsidRPr="00B35A22">
        <w:rPr>
          <w:sz w:val="22"/>
          <w:lang w:val="sr-Latn-ME"/>
        </w:rPr>
        <w:t>odgovora</w:t>
      </w:r>
      <w:r w:rsidRPr="00B35A22">
        <w:rPr>
          <w:sz w:val="22"/>
          <w:szCs w:val="22"/>
          <w:lang w:val="sr-Latn-ME"/>
        </w:rPr>
        <w:t xml:space="preserve"> </w:t>
      </w:r>
      <w:r w:rsidRPr="00B35A22">
        <w:rPr>
          <w:sz w:val="22"/>
          <w:lang w:val="sr-Latn-ME"/>
        </w:rPr>
        <w:t>sprovodile</w:t>
      </w:r>
      <w:r w:rsidRPr="00B35A22">
        <w:rPr>
          <w:sz w:val="22"/>
          <w:szCs w:val="22"/>
          <w:lang w:val="sr-Latn-ME"/>
        </w:rPr>
        <w:t xml:space="preserve"> </w:t>
      </w:r>
      <w:r w:rsidRPr="00B35A22">
        <w:rPr>
          <w:sz w:val="22"/>
          <w:lang w:val="sr-Latn-ME"/>
        </w:rPr>
        <w:t>su</w:t>
      </w:r>
      <w:r w:rsidRPr="00B35A22">
        <w:rPr>
          <w:sz w:val="22"/>
          <w:szCs w:val="22"/>
          <w:lang w:val="sr-Latn-ME"/>
        </w:rPr>
        <w:t xml:space="preserve"> </w:t>
      </w:r>
      <w:r w:rsidRPr="00B35A22">
        <w:rPr>
          <w:sz w:val="22"/>
          <w:lang w:val="sr-Latn-ME"/>
        </w:rPr>
        <w:t>se</w:t>
      </w:r>
      <w:r w:rsidRPr="00B35A22">
        <w:rPr>
          <w:sz w:val="22"/>
          <w:szCs w:val="22"/>
          <w:lang w:val="sr-Latn-ME"/>
        </w:rPr>
        <w:t xml:space="preserve"> </w:t>
      </w:r>
      <w:r w:rsidRPr="00B35A22">
        <w:rPr>
          <w:sz w:val="22"/>
          <w:lang w:val="sr-Latn-ME"/>
        </w:rPr>
        <w:t>svakih</w:t>
      </w:r>
      <w:r w:rsidRPr="00B35A22">
        <w:rPr>
          <w:sz w:val="22"/>
          <w:szCs w:val="22"/>
          <w:lang w:val="sr-Latn-ME"/>
        </w:rPr>
        <w:t xml:space="preserve"> 6</w:t>
      </w:r>
      <w:r w:rsidRPr="00B35A22">
        <w:rPr>
          <w:sz w:val="22"/>
          <w:lang w:val="sr-Latn-ME"/>
        </w:rPr>
        <w:t> nedjelja</w:t>
      </w:r>
      <w:r w:rsidRPr="00B35A22">
        <w:rPr>
          <w:sz w:val="22"/>
          <w:szCs w:val="22"/>
          <w:lang w:val="sr-Latn-ME"/>
        </w:rPr>
        <w:t xml:space="preserve"> </w:t>
      </w:r>
      <w:r w:rsidRPr="00B35A22">
        <w:rPr>
          <w:sz w:val="22"/>
          <w:lang w:val="sr-Latn-ME"/>
        </w:rPr>
        <w:t>tokom</w:t>
      </w:r>
      <w:r w:rsidRPr="00B35A22">
        <w:rPr>
          <w:sz w:val="22"/>
          <w:szCs w:val="22"/>
          <w:lang w:val="sr-Latn-ME"/>
        </w:rPr>
        <w:t xml:space="preserve"> </w:t>
      </w:r>
      <w:r w:rsidRPr="00B35A22">
        <w:rPr>
          <w:sz w:val="22"/>
          <w:lang w:val="sr-Latn-ME"/>
        </w:rPr>
        <w:t>prvih</w:t>
      </w:r>
      <w:r w:rsidRPr="00B35A22">
        <w:rPr>
          <w:sz w:val="22"/>
          <w:szCs w:val="22"/>
          <w:lang w:val="sr-Latn-ME"/>
        </w:rPr>
        <w:t xml:space="preserve"> 48</w:t>
      </w:r>
      <w:r w:rsidRPr="00B35A22">
        <w:rPr>
          <w:sz w:val="22"/>
          <w:lang w:val="sr-Latn-ME"/>
        </w:rPr>
        <w:t> nedjelja</w:t>
      </w:r>
      <w:r w:rsidRPr="00B35A22">
        <w:rPr>
          <w:sz w:val="22"/>
          <w:szCs w:val="22"/>
          <w:lang w:val="sr-Latn-ME"/>
        </w:rPr>
        <w:t xml:space="preserve"> </w:t>
      </w:r>
      <w:r w:rsidRPr="00B35A22">
        <w:rPr>
          <w:sz w:val="22"/>
          <w:lang w:val="sr-Latn-ME"/>
        </w:rPr>
        <w:t>nakon</w:t>
      </w:r>
      <w:r w:rsidRPr="00B35A22">
        <w:rPr>
          <w:sz w:val="22"/>
          <w:szCs w:val="22"/>
          <w:lang w:val="sr-Latn-ME"/>
        </w:rPr>
        <w:t xml:space="preserve"> 1.</w:t>
      </w:r>
      <w:r w:rsidRPr="00B35A22">
        <w:rPr>
          <w:sz w:val="22"/>
          <w:lang w:val="sr-Latn-ME"/>
        </w:rPr>
        <w:t> dana</w:t>
      </w:r>
      <w:r w:rsidRPr="00B35A22">
        <w:rPr>
          <w:sz w:val="22"/>
          <w:szCs w:val="22"/>
          <w:lang w:val="sr-Latn-ME"/>
        </w:rPr>
        <w:t xml:space="preserve"> 1.</w:t>
      </w:r>
      <w:r w:rsidRPr="00B35A22">
        <w:rPr>
          <w:sz w:val="22"/>
          <w:lang w:val="sr-Latn-ME"/>
        </w:rPr>
        <w:t> ciklusa</w:t>
      </w:r>
      <w:r w:rsidRPr="00B35A22">
        <w:rPr>
          <w:sz w:val="22"/>
          <w:szCs w:val="22"/>
          <w:lang w:val="sr-Latn-ME"/>
        </w:rPr>
        <w:t xml:space="preserve">, </w:t>
      </w:r>
      <w:r w:rsidRPr="00B35A22">
        <w:rPr>
          <w:sz w:val="22"/>
          <w:lang w:val="sr-Latn-ME"/>
        </w:rPr>
        <w:t>a</w:t>
      </w:r>
      <w:r w:rsidRPr="00B35A22">
        <w:rPr>
          <w:sz w:val="22"/>
          <w:szCs w:val="22"/>
          <w:lang w:val="sr-Latn-ME"/>
        </w:rPr>
        <w:t xml:space="preserve"> </w:t>
      </w:r>
      <w:r w:rsidRPr="00B35A22">
        <w:rPr>
          <w:sz w:val="22"/>
          <w:lang w:val="sr-Latn-ME"/>
        </w:rPr>
        <w:t>zatim</w:t>
      </w:r>
      <w:r w:rsidRPr="00B35A22">
        <w:rPr>
          <w:sz w:val="22"/>
          <w:szCs w:val="22"/>
          <w:lang w:val="sr-Latn-ME"/>
        </w:rPr>
        <w:t xml:space="preserve"> </w:t>
      </w:r>
      <w:r w:rsidRPr="00B35A22">
        <w:rPr>
          <w:sz w:val="22"/>
          <w:lang w:val="sr-Latn-ME"/>
        </w:rPr>
        <w:t>na</w:t>
      </w:r>
      <w:r w:rsidRPr="00B35A22">
        <w:rPr>
          <w:sz w:val="22"/>
          <w:szCs w:val="22"/>
          <w:lang w:val="sr-Latn-ME"/>
        </w:rPr>
        <w:t xml:space="preserve"> </w:t>
      </w:r>
      <w:r w:rsidRPr="00B35A22">
        <w:rPr>
          <w:sz w:val="22"/>
          <w:lang w:val="sr-Latn-ME"/>
        </w:rPr>
        <w:t>svakih</w:t>
      </w:r>
      <w:r w:rsidRPr="00B35A22">
        <w:rPr>
          <w:sz w:val="22"/>
          <w:szCs w:val="22"/>
          <w:lang w:val="sr-Latn-ME"/>
        </w:rPr>
        <w:t xml:space="preserve"> 9</w:t>
      </w:r>
      <w:r w:rsidRPr="00B35A22">
        <w:rPr>
          <w:sz w:val="22"/>
          <w:lang w:val="sr-Latn-ME"/>
        </w:rPr>
        <w:t> nedjelja</w:t>
      </w:r>
      <w:r w:rsidRPr="00B35A22">
        <w:rPr>
          <w:sz w:val="22"/>
          <w:szCs w:val="22"/>
          <w:lang w:val="sr-Latn-ME"/>
        </w:rPr>
        <w:t>.</w:t>
      </w:r>
    </w:p>
    <w:p w14:paraId="5A79C3F9" w14:textId="77777777" w:rsidR="00241BDE" w:rsidRPr="00B35A22" w:rsidRDefault="00241BDE" w:rsidP="00B35A22">
      <w:pPr>
        <w:widowControl w:val="0"/>
        <w:jc w:val="both"/>
        <w:rPr>
          <w:sz w:val="22"/>
          <w:szCs w:val="22"/>
          <w:lang w:val="sr-Latn-ME"/>
        </w:rPr>
      </w:pPr>
    </w:p>
    <w:p w14:paraId="0C6000C6" w14:textId="5806E7F9" w:rsidR="00241BDE" w:rsidRPr="00B35A22" w:rsidRDefault="00241BDE" w:rsidP="00B35A22">
      <w:pPr>
        <w:widowControl w:val="0"/>
        <w:jc w:val="both"/>
        <w:rPr>
          <w:sz w:val="22"/>
          <w:lang w:val="sr-Latn-ME"/>
        </w:rPr>
      </w:pPr>
      <w:r w:rsidRPr="00B35A22">
        <w:rPr>
          <w:sz w:val="22"/>
          <w:lang w:val="sr-Latn-ME"/>
        </w:rPr>
        <w:t>Demografske</w:t>
      </w:r>
      <w:r w:rsidRPr="00B35A22">
        <w:rPr>
          <w:sz w:val="22"/>
          <w:szCs w:val="22"/>
          <w:lang w:val="sr-Latn-ME" w:eastAsia="de-DE"/>
        </w:rPr>
        <w:t xml:space="preserve"> </w:t>
      </w:r>
      <w:r w:rsidRPr="00B35A22">
        <w:rPr>
          <w:sz w:val="22"/>
          <w:lang w:val="sr-Latn-ME"/>
        </w:rPr>
        <w:t>i</w:t>
      </w:r>
      <w:r w:rsidRPr="00B35A22">
        <w:rPr>
          <w:sz w:val="22"/>
          <w:szCs w:val="22"/>
          <w:lang w:val="sr-Latn-ME" w:eastAsia="de-DE"/>
        </w:rPr>
        <w:t xml:space="preserve"> </w:t>
      </w:r>
      <w:r w:rsidRPr="00B35A22">
        <w:rPr>
          <w:sz w:val="22"/>
          <w:lang w:val="sr-Latn-ME"/>
        </w:rPr>
        <w:t>po</w:t>
      </w:r>
      <w:r w:rsidRPr="00B35A22">
        <w:rPr>
          <w:sz w:val="22"/>
          <w:szCs w:val="22"/>
          <w:lang w:val="sr-Latn-ME" w:eastAsia="de-DE"/>
        </w:rPr>
        <w:t>č</w:t>
      </w:r>
      <w:r w:rsidRPr="00B35A22">
        <w:rPr>
          <w:sz w:val="22"/>
          <w:lang w:val="sr-Latn-ME"/>
        </w:rPr>
        <w:t>etne</w:t>
      </w:r>
      <w:r w:rsidRPr="00B35A22">
        <w:rPr>
          <w:sz w:val="22"/>
          <w:szCs w:val="22"/>
          <w:lang w:val="sr-Latn-ME" w:eastAsia="de-DE"/>
        </w:rPr>
        <w:t xml:space="preserve"> </w:t>
      </w:r>
      <w:r w:rsidRPr="00B35A22">
        <w:rPr>
          <w:sz w:val="22"/>
          <w:lang w:val="sr-Latn-ME"/>
        </w:rPr>
        <w:t>karakteristike</w:t>
      </w:r>
      <w:r w:rsidRPr="00B35A22">
        <w:rPr>
          <w:sz w:val="22"/>
          <w:szCs w:val="22"/>
          <w:lang w:val="sr-Latn-ME" w:eastAsia="de-DE"/>
        </w:rPr>
        <w:t xml:space="preserve"> </w:t>
      </w:r>
      <w:r w:rsidRPr="00B35A22">
        <w:rPr>
          <w:sz w:val="22"/>
          <w:lang w:val="sr-Latn-ME"/>
        </w:rPr>
        <w:t>bolesti</w:t>
      </w:r>
      <w:r w:rsidRPr="00B35A22">
        <w:rPr>
          <w:sz w:val="22"/>
          <w:szCs w:val="22"/>
          <w:lang w:val="sr-Latn-ME" w:eastAsia="de-DE"/>
        </w:rPr>
        <w:t xml:space="preserve"> </w:t>
      </w:r>
      <w:r w:rsidRPr="00B35A22">
        <w:rPr>
          <w:sz w:val="22"/>
          <w:lang w:val="sr-Latn-ME"/>
        </w:rPr>
        <w:t>kod</w:t>
      </w:r>
      <w:r w:rsidRPr="00B35A22">
        <w:rPr>
          <w:sz w:val="22"/>
          <w:szCs w:val="22"/>
          <w:lang w:val="sr-Latn-ME" w:eastAsia="de-DE"/>
        </w:rPr>
        <w:t xml:space="preserve"> </w:t>
      </w:r>
      <w:r w:rsidRPr="00B35A22">
        <w:rPr>
          <w:sz w:val="22"/>
          <w:lang w:val="sr-Latn-ME"/>
        </w:rPr>
        <w:t>pacijenata</w:t>
      </w:r>
      <w:r w:rsidRPr="00B35A22">
        <w:rPr>
          <w:sz w:val="22"/>
          <w:szCs w:val="22"/>
          <w:lang w:val="sr-Latn-ME" w:eastAsia="de-DE"/>
        </w:rPr>
        <w:t xml:space="preserve"> </w:t>
      </w:r>
      <w:r w:rsidRPr="00B35A22">
        <w:rPr>
          <w:sz w:val="22"/>
          <w:lang w:val="sr-Latn-ME"/>
        </w:rPr>
        <w:t>sa</w:t>
      </w:r>
      <w:r w:rsidRPr="00B35A22">
        <w:rPr>
          <w:sz w:val="22"/>
          <w:szCs w:val="22"/>
          <w:lang w:val="sr-Latn-ME" w:eastAsia="de-DE"/>
        </w:rPr>
        <w:t xml:space="preserve"> </w:t>
      </w:r>
      <w:r w:rsidRPr="00B35A22">
        <w:rPr>
          <w:sz w:val="22"/>
          <w:lang w:val="sr-Latn-ME"/>
        </w:rPr>
        <w:t>ekspresijom</w:t>
      </w:r>
      <w:r w:rsidRPr="00B35A22">
        <w:rPr>
          <w:sz w:val="22"/>
          <w:szCs w:val="22"/>
          <w:lang w:val="sr-Latn-ME" w:eastAsia="de-DE"/>
        </w:rPr>
        <w:t xml:space="preserve"> </w:t>
      </w:r>
      <w:r w:rsidRPr="00B35A22">
        <w:rPr>
          <w:sz w:val="22"/>
          <w:lang w:val="sr-Latn-ME"/>
        </w:rPr>
        <w:t>PD</w:t>
      </w:r>
      <w:r w:rsidRPr="00B35A22">
        <w:rPr>
          <w:sz w:val="22"/>
          <w:szCs w:val="22"/>
          <w:lang w:val="sr-Latn-ME" w:eastAsia="de-DE"/>
        </w:rPr>
        <w:noBreakHyphen/>
      </w:r>
      <w:r w:rsidRPr="00B35A22">
        <w:rPr>
          <w:sz w:val="22"/>
          <w:lang w:val="sr-Latn-ME"/>
        </w:rPr>
        <w:t>L</w:t>
      </w:r>
      <w:r w:rsidRPr="00B35A22">
        <w:rPr>
          <w:sz w:val="22"/>
          <w:szCs w:val="22"/>
          <w:lang w:val="sr-Latn-ME" w:eastAsia="de-DE"/>
        </w:rPr>
        <w:t>1</w:t>
      </w:r>
      <w:r w:rsidRPr="00B35A22">
        <w:rPr>
          <w:sz w:val="22"/>
          <w:lang w:val="sr-Latn-ME"/>
        </w:rPr>
        <w:t> </w:t>
      </w:r>
      <w:r w:rsidRPr="00B35A22">
        <w:rPr>
          <w:sz w:val="22"/>
          <w:szCs w:val="22"/>
          <w:lang w:val="sr-Latn-ME" w:eastAsia="de-DE"/>
        </w:rPr>
        <w:t>≥</w:t>
      </w:r>
      <w:r w:rsidRPr="00B35A22">
        <w:rPr>
          <w:sz w:val="22"/>
          <w:lang w:val="sr-Latn-ME"/>
        </w:rPr>
        <w:t> </w:t>
      </w:r>
      <w:r w:rsidRPr="00B35A22">
        <w:rPr>
          <w:sz w:val="22"/>
          <w:szCs w:val="22"/>
          <w:lang w:val="sr-Latn-ME" w:eastAsia="de-DE"/>
        </w:rPr>
        <w:t xml:space="preserve">1% </w:t>
      </w:r>
      <w:r w:rsidRPr="00B35A22">
        <w:rPr>
          <w:sz w:val="22"/>
          <w:lang w:val="sr-Latn-ME"/>
        </w:rPr>
        <w:t>na</w:t>
      </w:r>
      <w:r w:rsidRPr="00B35A22">
        <w:rPr>
          <w:sz w:val="22"/>
          <w:szCs w:val="22"/>
          <w:lang w:val="sr-Latn-ME"/>
        </w:rPr>
        <w:t xml:space="preserve"> </w:t>
      </w:r>
      <w:r w:rsidRPr="00B35A22">
        <w:rPr>
          <w:sz w:val="22"/>
          <w:lang w:val="sr-Latn-ME"/>
        </w:rPr>
        <w:t>tumorskim</w:t>
      </w:r>
      <w:r w:rsidRPr="00B35A22">
        <w:rPr>
          <w:sz w:val="22"/>
          <w:szCs w:val="22"/>
          <w:lang w:val="sr-Latn-ME"/>
        </w:rPr>
        <w:t xml:space="preserve"> </w:t>
      </w:r>
      <w:r w:rsidRPr="00B35A22">
        <w:rPr>
          <w:sz w:val="22"/>
          <w:szCs w:val="22"/>
          <w:lang w:val="sr-Latn-ME"/>
        </w:rPr>
        <w:lastRenderedPageBreak/>
        <w:t>ć</w:t>
      </w:r>
      <w:r w:rsidRPr="00B35A22">
        <w:rPr>
          <w:sz w:val="22"/>
          <w:lang w:val="sr-Latn-ME"/>
        </w:rPr>
        <w:t>elijama</w:t>
      </w:r>
      <w:r w:rsidRPr="00B35A22">
        <w:rPr>
          <w:sz w:val="22"/>
          <w:szCs w:val="22"/>
          <w:lang w:val="sr-Latn-ME"/>
        </w:rPr>
        <w:t xml:space="preserve"> </w:t>
      </w:r>
      <w:r w:rsidRPr="00B35A22">
        <w:rPr>
          <w:sz w:val="22"/>
          <w:lang w:val="sr-Latn-ME"/>
        </w:rPr>
        <w:t>ili</w:t>
      </w:r>
      <w:r w:rsidRPr="00B35A22">
        <w:rPr>
          <w:sz w:val="22"/>
          <w:szCs w:val="22"/>
          <w:lang w:val="sr-Latn-ME"/>
        </w:rPr>
        <w:t xml:space="preserve"> ≥</w:t>
      </w:r>
      <w:r w:rsidRPr="00B35A22">
        <w:rPr>
          <w:sz w:val="22"/>
          <w:lang w:val="sr-Latn-ME"/>
        </w:rPr>
        <w:t> </w:t>
      </w:r>
      <w:r w:rsidRPr="00B35A22">
        <w:rPr>
          <w:sz w:val="22"/>
          <w:szCs w:val="22"/>
          <w:lang w:val="sr-Latn-ME"/>
        </w:rPr>
        <w:t xml:space="preserve">1% </w:t>
      </w:r>
      <w:r w:rsidRPr="00B35A22">
        <w:rPr>
          <w:sz w:val="22"/>
          <w:lang w:val="sr-Latn-ME"/>
        </w:rPr>
        <w:t>na</w:t>
      </w:r>
      <w:r w:rsidRPr="00B35A22">
        <w:rPr>
          <w:sz w:val="22"/>
          <w:szCs w:val="22"/>
          <w:lang w:val="sr-Latn-ME"/>
        </w:rPr>
        <w:t xml:space="preserve"> ć</w:t>
      </w:r>
      <w:r w:rsidRPr="00B35A22">
        <w:rPr>
          <w:sz w:val="22"/>
          <w:lang w:val="sr-Latn-ME"/>
        </w:rPr>
        <w:t>elijama</w:t>
      </w:r>
      <w:r w:rsidRPr="00B35A22">
        <w:rPr>
          <w:sz w:val="22"/>
          <w:szCs w:val="22"/>
          <w:lang w:val="sr-Latn-ME"/>
        </w:rPr>
        <w:t xml:space="preserve"> </w:t>
      </w:r>
      <w:r w:rsidRPr="00B35A22">
        <w:rPr>
          <w:sz w:val="22"/>
          <w:lang w:val="sr-Latn-ME"/>
        </w:rPr>
        <w:t>imunog</w:t>
      </w:r>
      <w:r w:rsidRPr="00B35A22">
        <w:rPr>
          <w:sz w:val="22"/>
          <w:szCs w:val="22"/>
          <w:lang w:val="sr-Latn-ME"/>
        </w:rPr>
        <w:t xml:space="preserve"> </w:t>
      </w:r>
      <w:r w:rsidRPr="00B35A22">
        <w:rPr>
          <w:sz w:val="22"/>
          <w:lang w:val="sr-Latn-ME"/>
        </w:rPr>
        <w:t>sistema</w:t>
      </w:r>
      <w:r w:rsidRPr="00B35A22">
        <w:rPr>
          <w:sz w:val="22"/>
          <w:szCs w:val="22"/>
          <w:lang w:val="sr-Latn-ME"/>
        </w:rPr>
        <w:t xml:space="preserve"> </w:t>
      </w:r>
      <w:r w:rsidRPr="00B35A22">
        <w:rPr>
          <w:sz w:val="22"/>
          <w:lang w:val="sr-Latn-ME"/>
        </w:rPr>
        <w:t>koje</w:t>
      </w:r>
      <w:r w:rsidRPr="00B35A22">
        <w:rPr>
          <w:sz w:val="22"/>
          <w:szCs w:val="22"/>
          <w:lang w:val="sr-Latn-ME"/>
        </w:rPr>
        <w:t xml:space="preserve"> </w:t>
      </w:r>
      <w:r w:rsidRPr="00B35A22">
        <w:rPr>
          <w:sz w:val="22"/>
          <w:lang w:val="sr-Latn-ME"/>
        </w:rPr>
        <w:t>se</w:t>
      </w:r>
      <w:r w:rsidRPr="00B35A22">
        <w:rPr>
          <w:sz w:val="22"/>
          <w:szCs w:val="22"/>
          <w:lang w:val="sr-Latn-ME"/>
        </w:rPr>
        <w:t xml:space="preserve"> </w:t>
      </w:r>
      <w:r w:rsidRPr="00B35A22">
        <w:rPr>
          <w:sz w:val="22"/>
          <w:lang w:val="sr-Latn-ME"/>
        </w:rPr>
        <w:t>infiltriraju</w:t>
      </w:r>
      <w:r w:rsidRPr="00B35A22">
        <w:rPr>
          <w:sz w:val="22"/>
          <w:szCs w:val="22"/>
          <w:lang w:val="sr-Latn-ME"/>
        </w:rPr>
        <w:t xml:space="preserve"> </w:t>
      </w:r>
      <w:r w:rsidRPr="00B35A22">
        <w:rPr>
          <w:sz w:val="22"/>
          <w:lang w:val="sr-Latn-ME"/>
        </w:rPr>
        <w:t>u</w:t>
      </w:r>
      <w:r w:rsidRPr="00B35A22">
        <w:rPr>
          <w:sz w:val="22"/>
          <w:szCs w:val="22"/>
          <w:lang w:val="sr-Latn-ME"/>
        </w:rPr>
        <w:t xml:space="preserve"> </w:t>
      </w:r>
      <w:r w:rsidRPr="00B35A22">
        <w:rPr>
          <w:sz w:val="22"/>
          <w:lang w:val="sr-Latn-ME"/>
        </w:rPr>
        <w:t>tumor</w:t>
      </w:r>
      <w:r w:rsidRPr="00B35A22">
        <w:rPr>
          <w:sz w:val="22"/>
          <w:szCs w:val="22"/>
          <w:lang w:val="sr-Latn-ME"/>
        </w:rPr>
        <w:t xml:space="preserve"> </w:t>
      </w:r>
      <w:r w:rsidRPr="00B35A22">
        <w:rPr>
          <w:sz w:val="22"/>
          <w:lang w:val="sr-Latn-ME"/>
        </w:rPr>
        <w:t>i</w:t>
      </w:r>
      <w:r w:rsidRPr="00B35A22">
        <w:rPr>
          <w:sz w:val="22"/>
          <w:szCs w:val="22"/>
          <w:lang w:val="sr-Latn-ME"/>
        </w:rPr>
        <w:t xml:space="preserve"> </w:t>
      </w:r>
      <w:r w:rsidRPr="00B35A22">
        <w:rPr>
          <w:sz w:val="22"/>
          <w:lang w:val="sr-Latn-ME"/>
        </w:rPr>
        <w:t>koji</w:t>
      </w:r>
      <w:r w:rsidRPr="00B35A22">
        <w:rPr>
          <w:sz w:val="22"/>
          <w:szCs w:val="22"/>
          <w:lang w:val="sr-Latn-ME"/>
        </w:rPr>
        <w:t xml:space="preserve"> </w:t>
      </w:r>
      <w:r w:rsidRPr="00B35A22">
        <w:rPr>
          <w:sz w:val="22"/>
          <w:lang w:val="sr-Latn-ME"/>
        </w:rPr>
        <w:t>nemaju</w:t>
      </w:r>
      <w:r w:rsidRPr="00B35A22">
        <w:rPr>
          <w:sz w:val="22"/>
          <w:szCs w:val="22"/>
          <w:lang w:val="sr-Latn-ME"/>
        </w:rPr>
        <w:t xml:space="preserve"> </w:t>
      </w:r>
      <w:r w:rsidRPr="00B35A22">
        <w:rPr>
          <w:sz w:val="22"/>
          <w:lang w:val="sr-Latn-ME"/>
        </w:rPr>
        <w:t>EGFR</w:t>
      </w:r>
      <w:r w:rsidRPr="00B35A22">
        <w:rPr>
          <w:sz w:val="22"/>
          <w:szCs w:val="22"/>
          <w:lang w:val="sr-Latn-ME"/>
        </w:rPr>
        <w:t xml:space="preserve"> </w:t>
      </w:r>
      <w:r w:rsidRPr="00B35A22">
        <w:rPr>
          <w:sz w:val="22"/>
          <w:lang w:val="sr-Latn-ME"/>
        </w:rPr>
        <w:t>mutacije</w:t>
      </w:r>
      <w:r w:rsidRPr="00B35A22">
        <w:rPr>
          <w:sz w:val="22"/>
          <w:szCs w:val="22"/>
          <w:lang w:val="sr-Latn-ME"/>
        </w:rPr>
        <w:t xml:space="preserve"> </w:t>
      </w:r>
      <w:r w:rsidRPr="00B35A22">
        <w:rPr>
          <w:sz w:val="22"/>
          <w:lang w:val="sr-Latn-ME"/>
        </w:rPr>
        <w:t>ni</w:t>
      </w:r>
      <w:r w:rsidRPr="00B35A22">
        <w:rPr>
          <w:sz w:val="22"/>
          <w:szCs w:val="22"/>
          <w:lang w:val="sr-Latn-ME"/>
        </w:rPr>
        <w:t xml:space="preserve"> </w:t>
      </w:r>
      <w:r w:rsidRPr="00B35A22">
        <w:rPr>
          <w:sz w:val="22"/>
          <w:lang w:val="sr-Latn-ME"/>
        </w:rPr>
        <w:t>izmjene</w:t>
      </w:r>
      <w:r w:rsidRPr="00B35A22">
        <w:rPr>
          <w:sz w:val="22"/>
          <w:szCs w:val="22"/>
          <w:lang w:val="sr-Latn-ME"/>
        </w:rPr>
        <w:t xml:space="preserve"> </w:t>
      </w:r>
      <w:r w:rsidRPr="00B35A22">
        <w:rPr>
          <w:sz w:val="22"/>
          <w:lang w:val="sr-Latn-ME"/>
        </w:rPr>
        <w:t>u</w:t>
      </w:r>
      <w:r w:rsidRPr="00B35A22">
        <w:rPr>
          <w:sz w:val="22"/>
          <w:szCs w:val="22"/>
          <w:lang w:val="sr-Latn-ME"/>
        </w:rPr>
        <w:t xml:space="preserve"> </w:t>
      </w:r>
      <w:r w:rsidRPr="00B35A22">
        <w:rPr>
          <w:sz w:val="22"/>
          <w:lang w:val="sr-Latn-ME"/>
        </w:rPr>
        <w:t>redosl</w:t>
      </w:r>
      <w:r w:rsidR="00647DC6" w:rsidRPr="00B35A22">
        <w:rPr>
          <w:sz w:val="22"/>
          <w:lang w:val="sr-Latn-ME"/>
        </w:rPr>
        <w:t>j</w:t>
      </w:r>
      <w:r w:rsidRPr="00B35A22">
        <w:rPr>
          <w:sz w:val="22"/>
          <w:lang w:val="sr-Latn-ME"/>
        </w:rPr>
        <w:t>edu</w:t>
      </w:r>
      <w:r w:rsidRPr="00B35A22">
        <w:rPr>
          <w:sz w:val="22"/>
          <w:szCs w:val="22"/>
          <w:lang w:val="sr-Latn-ME"/>
        </w:rPr>
        <w:t xml:space="preserve"> </w:t>
      </w:r>
      <w:r w:rsidRPr="00B35A22">
        <w:rPr>
          <w:sz w:val="22"/>
          <w:lang w:val="sr-Latn-ME"/>
        </w:rPr>
        <w:t>baza</w:t>
      </w:r>
      <w:r w:rsidRPr="00B35A22">
        <w:rPr>
          <w:sz w:val="22"/>
          <w:szCs w:val="22"/>
          <w:lang w:val="sr-Latn-ME"/>
        </w:rPr>
        <w:t xml:space="preserve"> </w:t>
      </w:r>
      <w:r w:rsidRPr="00B35A22">
        <w:rPr>
          <w:sz w:val="22"/>
          <w:lang w:val="sr-Latn-ME"/>
        </w:rPr>
        <w:t>u</w:t>
      </w:r>
      <w:r w:rsidRPr="00B35A22">
        <w:rPr>
          <w:sz w:val="22"/>
          <w:szCs w:val="22"/>
          <w:lang w:val="sr-Latn-ME"/>
        </w:rPr>
        <w:t xml:space="preserve"> </w:t>
      </w:r>
      <w:r w:rsidRPr="00B35A22">
        <w:rPr>
          <w:sz w:val="22"/>
          <w:lang w:val="sr-Latn-ME"/>
        </w:rPr>
        <w:t>genu</w:t>
      </w:r>
      <w:r w:rsidRPr="00B35A22">
        <w:rPr>
          <w:sz w:val="22"/>
          <w:szCs w:val="22"/>
          <w:lang w:val="sr-Latn-ME"/>
        </w:rPr>
        <w:t xml:space="preserve"> </w:t>
      </w:r>
      <w:r w:rsidRPr="00B35A22">
        <w:rPr>
          <w:sz w:val="22"/>
          <w:lang w:val="sr-Latn-ME"/>
        </w:rPr>
        <w:t>ALK</w:t>
      </w:r>
      <w:r w:rsidRPr="00B35A22">
        <w:rPr>
          <w:sz w:val="22"/>
          <w:szCs w:val="22"/>
          <w:lang w:val="sr-Latn-ME"/>
        </w:rPr>
        <w:t xml:space="preserve"> (</w:t>
      </w:r>
      <w:r w:rsidRPr="00B35A22">
        <w:rPr>
          <w:sz w:val="22"/>
          <w:lang w:val="sr-Latn-ME"/>
        </w:rPr>
        <w:t>ALK</w:t>
      </w:r>
      <w:r w:rsidRPr="00B35A22">
        <w:rPr>
          <w:sz w:val="22"/>
          <w:szCs w:val="22"/>
          <w:lang w:val="sr-Latn-ME"/>
        </w:rPr>
        <w:t xml:space="preserve"> </w:t>
      </w:r>
      <w:r w:rsidRPr="00B35A22">
        <w:rPr>
          <w:sz w:val="22"/>
          <w:lang w:val="sr-Latn-ME"/>
        </w:rPr>
        <w:t>rearan</w:t>
      </w:r>
      <w:r w:rsidRPr="00B35A22">
        <w:rPr>
          <w:sz w:val="22"/>
          <w:szCs w:val="22"/>
          <w:lang w:val="sr-Latn-ME"/>
        </w:rPr>
        <w:t>ž</w:t>
      </w:r>
      <w:r w:rsidRPr="00B35A22">
        <w:rPr>
          <w:sz w:val="22"/>
          <w:lang w:val="sr-Latn-ME"/>
        </w:rPr>
        <w:t>man</w:t>
      </w:r>
      <w:r w:rsidRPr="00B35A22">
        <w:rPr>
          <w:sz w:val="22"/>
          <w:szCs w:val="22"/>
          <w:lang w:val="sr-Latn-ME"/>
        </w:rPr>
        <w:t>) (</w:t>
      </w:r>
      <w:r w:rsidRPr="00B35A22">
        <w:rPr>
          <w:sz w:val="22"/>
          <w:lang w:val="sr-Latn-ME"/>
        </w:rPr>
        <w:t>n</w:t>
      </w:r>
      <w:r w:rsidRPr="00B35A22">
        <w:rPr>
          <w:sz w:val="22"/>
          <w:szCs w:val="22"/>
          <w:lang w:val="sr-Latn-ME"/>
        </w:rPr>
        <w:t xml:space="preserve">=554) </w:t>
      </w:r>
      <w:r w:rsidRPr="00B35A22">
        <w:rPr>
          <w:sz w:val="22"/>
          <w:lang w:val="sr-Latn-ME"/>
        </w:rPr>
        <w:t>bile</w:t>
      </w:r>
      <w:r w:rsidRPr="00B35A22">
        <w:rPr>
          <w:sz w:val="22"/>
          <w:szCs w:val="22"/>
          <w:lang w:val="sr-Latn-ME"/>
        </w:rPr>
        <w:t xml:space="preserve"> </w:t>
      </w:r>
      <w:r w:rsidRPr="00B35A22">
        <w:rPr>
          <w:sz w:val="22"/>
          <w:lang w:val="sr-Latn-ME"/>
        </w:rPr>
        <w:t>su</w:t>
      </w:r>
      <w:r w:rsidRPr="00B35A22">
        <w:rPr>
          <w:sz w:val="22"/>
          <w:szCs w:val="22"/>
          <w:lang w:val="sr-Latn-ME"/>
        </w:rPr>
        <w:t xml:space="preserve"> </w:t>
      </w:r>
      <w:r w:rsidRPr="00B35A22">
        <w:rPr>
          <w:sz w:val="22"/>
          <w:lang w:val="sr-Latn-ME"/>
        </w:rPr>
        <w:t>dobro</w:t>
      </w:r>
      <w:r w:rsidRPr="00B35A22">
        <w:rPr>
          <w:sz w:val="22"/>
          <w:szCs w:val="22"/>
          <w:lang w:val="sr-Latn-ME"/>
        </w:rPr>
        <w:t xml:space="preserve"> </w:t>
      </w:r>
      <w:r w:rsidRPr="00B35A22">
        <w:rPr>
          <w:sz w:val="22"/>
          <w:lang w:val="sr-Latn-ME"/>
        </w:rPr>
        <w:t>ujedna</w:t>
      </w:r>
      <w:r w:rsidRPr="00B35A22">
        <w:rPr>
          <w:sz w:val="22"/>
          <w:szCs w:val="22"/>
          <w:lang w:val="sr-Latn-ME"/>
        </w:rPr>
        <w:t>č</w:t>
      </w:r>
      <w:r w:rsidRPr="00B35A22">
        <w:rPr>
          <w:sz w:val="22"/>
          <w:lang w:val="sr-Latn-ME"/>
        </w:rPr>
        <w:t>ene</w:t>
      </w:r>
      <w:r w:rsidRPr="00B35A22">
        <w:rPr>
          <w:sz w:val="22"/>
          <w:szCs w:val="22"/>
          <w:lang w:val="sr-Latn-ME"/>
        </w:rPr>
        <w:t xml:space="preserve"> </w:t>
      </w:r>
      <w:r w:rsidRPr="00B35A22">
        <w:rPr>
          <w:sz w:val="22"/>
          <w:lang w:val="sr-Latn-ME"/>
        </w:rPr>
        <w:t>izme</w:t>
      </w:r>
      <w:r w:rsidRPr="00B35A22">
        <w:rPr>
          <w:sz w:val="22"/>
          <w:szCs w:val="22"/>
          <w:lang w:val="sr-Latn-ME"/>
        </w:rPr>
        <w:t>đ</w:t>
      </w:r>
      <w:r w:rsidRPr="00B35A22">
        <w:rPr>
          <w:sz w:val="22"/>
          <w:lang w:val="sr-Latn-ME"/>
        </w:rPr>
        <w:t>u</w:t>
      </w:r>
      <w:r w:rsidRPr="00B35A22">
        <w:rPr>
          <w:sz w:val="22"/>
          <w:szCs w:val="22"/>
          <w:lang w:val="sr-Latn-ME"/>
        </w:rPr>
        <w:t xml:space="preserve"> </w:t>
      </w:r>
      <w:r w:rsidRPr="00B35A22">
        <w:rPr>
          <w:sz w:val="22"/>
          <w:lang w:val="sr-Latn-ME"/>
        </w:rPr>
        <w:t>lije</w:t>
      </w:r>
      <w:r w:rsidRPr="00B35A22">
        <w:rPr>
          <w:sz w:val="22"/>
          <w:szCs w:val="22"/>
          <w:lang w:val="sr-Latn-ME"/>
        </w:rPr>
        <w:t>č</w:t>
      </w:r>
      <w:r w:rsidRPr="00B35A22">
        <w:rPr>
          <w:sz w:val="22"/>
          <w:lang w:val="sr-Latn-ME"/>
        </w:rPr>
        <w:t>enih</w:t>
      </w:r>
      <w:r w:rsidRPr="00B35A22">
        <w:rPr>
          <w:sz w:val="22"/>
          <w:szCs w:val="22"/>
          <w:lang w:val="sr-Latn-ME"/>
        </w:rPr>
        <w:t xml:space="preserve"> </w:t>
      </w:r>
      <w:r w:rsidRPr="00B35A22">
        <w:rPr>
          <w:sz w:val="22"/>
          <w:lang w:val="sr-Latn-ME"/>
        </w:rPr>
        <w:t>grupa</w:t>
      </w:r>
      <w:r w:rsidRPr="00B35A22">
        <w:rPr>
          <w:sz w:val="22"/>
          <w:szCs w:val="22"/>
          <w:lang w:val="sr-Latn-ME"/>
        </w:rPr>
        <w:t xml:space="preserve">. </w:t>
      </w:r>
      <w:r w:rsidRPr="00B35A22">
        <w:rPr>
          <w:sz w:val="22"/>
          <w:lang w:val="sr-Latn-ME"/>
        </w:rPr>
        <w:t>Medijana uzrasta bila je 64,5 godina (raspon: 30 – 87), a 70% pacijenata bili su muškarci. Većina pacijenata bila je bijele rase (84%) i azijskog por</w:t>
      </w:r>
      <w:r w:rsidR="00647DC6" w:rsidRPr="00B35A22">
        <w:rPr>
          <w:sz w:val="22"/>
          <w:lang w:val="sr-Latn-ME"/>
        </w:rPr>
        <w:t>ij</w:t>
      </w:r>
      <w:r w:rsidRPr="00B35A22">
        <w:rPr>
          <w:sz w:val="22"/>
          <w:lang w:val="sr-Latn-ME"/>
        </w:rPr>
        <w:t>ekla (14%). Većina pacijenata bili su aktivni ili bivši pušači (87%), a početni ECOG performans status pacijenata bio je 0 (36%) ili 1 (64%). Ukupno je 69% pacijenata imalo neskvamozni, a 31% pacijenata skvamozni tip bolesti. Demografske karakteristike pacijenata i početne karakteristike bolesti kod onih sa visokom ekspresijom PD</w:t>
      </w:r>
      <w:r w:rsidRPr="00B35A22">
        <w:rPr>
          <w:sz w:val="22"/>
          <w:lang w:val="sr-Latn-ME"/>
        </w:rPr>
        <w:noBreakHyphen/>
        <w:t>L1 (PD-L1 ≥ 50% na tumorskim ćelijama ili ≥ 10% ćelijama imunog sistema koje se infiltriraju u tumor) i koji nemaju EGFR mutacije ni izmjene u redosl</w:t>
      </w:r>
      <w:r w:rsidR="00647DC6" w:rsidRPr="00B35A22">
        <w:rPr>
          <w:sz w:val="22"/>
          <w:lang w:val="sr-Latn-ME"/>
        </w:rPr>
        <w:t>j</w:t>
      </w:r>
      <w:r w:rsidRPr="00B35A22">
        <w:rPr>
          <w:sz w:val="22"/>
          <w:lang w:val="sr-Latn-ME"/>
        </w:rPr>
        <w:t>edu baza u genu ALK (n=205) načelno su dobro predstavljale širu ispitivanu populaciju i bile su ujednačene između liječenih grupa.</w:t>
      </w:r>
    </w:p>
    <w:p w14:paraId="5A0A732F" w14:textId="77777777" w:rsidR="00241BDE" w:rsidRPr="00B35A22" w:rsidRDefault="00241BDE" w:rsidP="00B35A22">
      <w:pPr>
        <w:widowControl w:val="0"/>
        <w:jc w:val="both"/>
        <w:rPr>
          <w:sz w:val="22"/>
          <w:lang w:val="sr-Latn-ME"/>
        </w:rPr>
      </w:pPr>
    </w:p>
    <w:p w14:paraId="5DF1C84F" w14:textId="7EA90916" w:rsidR="00241BDE" w:rsidRPr="00B35A22" w:rsidRDefault="00241BDE" w:rsidP="00B35A22">
      <w:pPr>
        <w:widowControl w:val="0"/>
        <w:jc w:val="both"/>
        <w:rPr>
          <w:sz w:val="22"/>
          <w:lang w:val="sr-Latn-ME"/>
        </w:rPr>
      </w:pPr>
      <w:r w:rsidRPr="00B35A22">
        <w:rPr>
          <w:sz w:val="22"/>
          <w:lang w:val="sr-Latn-ME"/>
        </w:rPr>
        <w:t>Primarni  cilj studije bilo je ukupno preživljavanje (OS). U trenutku sprovođenja interim analize OS</w:t>
      </w:r>
      <w:r w:rsidRPr="00B35A22">
        <w:rPr>
          <w:sz w:val="22"/>
          <w:lang w:val="sr-Latn-ME"/>
        </w:rPr>
        <w:noBreakHyphen/>
        <w:t>a, kod pacijenata sa visokom ekspresijom PD</w:t>
      </w:r>
      <w:r w:rsidRPr="00B35A22">
        <w:rPr>
          <w:sz w:val="22"/>
          <w:lang w:val="sr-Latn-ME"/>
        </w:rPr>
        <w:noBreakHyphen/>
        <w:t xml:space="preserve">L1, </w:t>
      </w:r>
      <w:r w:rsidRPr="00B35A22">
        <w:rPr>
          <w:color w:val="000000"/>
          <w:sz w:val="22"/>
          <w:lang w:val="sr-Latn-ME"/>
        </w:rPr>
        <w:t xml:space="preserve">osim onih sa </w:t>
      </w:r>
      <w:r w:rsidRPr="00B35A22">
        <w:rPr>
          <w:sz w:val="22"/>
          <w:lang w:val="sr-Latn-ME"/>
        </w:rPr>
        <w:t>EGFR mutacijama ili izmjenama u redosl</w:t>
      </w:r>
      <w:r w:rsidR="004F0665" w:rsidRPr="00B35A22">
        <w:rPr>
          <w:sz w:val="22"/>
          <w:lang w:val="sr-Latn-ME"/>
        </w:rPr>
        <w:t>j</w:t>
      </w:r>
      <w:r w:rsidRPr="00B35A22">
        <w:rPr>
          <w:sz w:val="22"/>
          <w:lang w:val="sr-Latn-ME"/>
        </w:rPr>
        <w:t>edu baza u genu ALK (n=205), koji su randomizovani u grup</w:t>
      </w:r>
      <w:r w:rsidR="004F0665" w:rsidRPr="00B35A22">
        <w:rPr>
          <w:sz w:val="22"/>
          <w:lang w:val="sr-Latn-ME"/>
        </w:rPr>
        <w:t>i</w:t>
      </w:r>
      <w:r w:rsidRPr="00B35A22">
        <w:rPr>
          <w:sz w:val="22"/>
          <w:lang w:val="sr-Latn-ME"/>
        </w:rPr>
        <w:t xml:space="preserve"> liječen</w:t>
      </w:r>
      <w:r w:rsidR="004F0665" w:rsidRPr="00B35A22">
        <w:rPr>
          <w:sz w:val="22"/>
          <w:lang w:val="sr-Latn-ME"/>
        </w:rPr>
        <w:t>oj</w:t>
      </w:r>
      <w:r w:rsidRPr="00B35A22">
        <w:rPr>
          <w:sz w:val="22"/>
          <w:lang w:val="sr-Latn-ME"/>
        </w:rPr>
        <w:t xml:space="preserve"> atezolizumabom (grupa A) prim</w:t>
      </w:r>
      <w:r w:rsidR="004F0665" w:rsidRPr="00B35A22">
        <w:rPr>
          <w:sz w:val="22"/>
          <w:lang w:val="sr-Latn-ME"/>
        </w:rPr>
        <w:t>ij</w:t>
      </w:r>
      <w:r w:rsidRPr="00B35A22">
        <w:rPr>
          <w:sz w:val="22"/>
          <w:lang w:val="sr-Latn-ME"/>
        </w:rPr>
        <w:t>ećeno je statistički značajno produženje OS</w:t>
      </w:r>
      <w:r w:rsidRPr="00B35A22">
        <w:rPr>
          <w:sz w:val="22"/>
          <w:lang w:val="sr-Latn-ME"/>
        </w:rPr>
        <w:noBreakHyphen/>
        <w:t>a u odnosu na grupu koja je primala hemioterapiju (grupa B) (HR: 0,59; 95% CI: 0,40; 0,89; medijana OS</w:t>
      </w:r>
      <w:r w:rsidRPr="00B35A22">
        <w:rPr>
          <w:sz w:val="22"/>
          <w:lang w:val="sr-Latn-ME"/>
        </w:rPr>
        <w:noBreakHyphen/>
        <w:t>a: 20,2 mjeseca u odnosu na 13,1 mjesec) uz dvostranu p</w:t>
      </w:r>
      <w:r w:rsidRPr="00B35A22">
        <w:rPr>
          <w:sz w:val="22"/>
          <w:lang w:val="sr-Latn-ME"/>
        </w:rPr>
        <w:noBreakHyphen/>
        <w:t>vrijednost od 0,0106. Medijana trajanja praćenja preživljavanja kod pacijenata sa visokom ekspresijom PD</w:t>
      </w:r>
      <w:r w:rsidRPr="00B35A22">
        <w:rPr>
          <w:sz w:val="22"/>
          <w:lang w:val="sr-Latn-ME"/>
        </w:rPr>
        <w:noBreakHyphen/>
        <w:t xml:space="preserve">L1 bila je 15,7 mjeseci. </w:t>
      </w:r>
    </w:p>
    <w:p w14:paraId="1F9E70AB" w14:textId="77777777" w:rsidR="00241BDE" w:rsidRPr="00B35A22" w:rsidRDefault="00241BDE" w:rsidP="00B35A22">
      <w:pPr>
        <w:widowControl w:val="0"/>
        <w:jc w:val="both"/>
        <w:rPr>
          <w:sz w:val="22"/>
          <w:lang w:val="sr-Latn-ME"/>
        </w:rPr>
      </w:pPr>
    </w:p>
    <w:p w14:paraId="1C550E2A" w14:textId="43E8BEE0" w:rsidR="00241BDE" w:rsidRPr="00B35A22" w:rsidRDefault="00241BDE" w:rsidP="00B35A22">
      <w:pPr>
        <w:widowControl w:val="0"/>
        <w:jc w:val="both"/>
        <w:rPr>
          <w:sz w:val="22"/>
          <w:lang w:val="sr-Latn-ME"/>
        </w:rPr>
      </w:pPr>
      <w:r w:rsidRPr="00B35A22">
        <w:rPr>
          <w:sz w:val="22"/>
          <w:lang w:val="sr-Latn-ME"/>
        </w:rPr>
        <w:t>U eksploratornoj analizi OS</w:t>
      </w:r>
      <w:r w:rsidRPr="00B35A22">
        <w:rPr>
          <w:sz w:val="22"/>
          <w:lang w:val="sr-Latn-ME"/>
        </w:rPr>
        <w:noBreakHyphen/>
        <w:t xml:space="preserve">a nakon dužeg praćenja (medijana: 31,3 mjeseca) tih pacijenata, </w:t>
      </w:r>
      <w:r w:rsidRPr="00B35A22">
        <w:rPr>
          <w:color w:val="000000"/>
          <w:sz w:val="22"/>
          <w:lang w:val="sr-Latn-ME"/>
        </w:rPr>
        <w:t>medijana OS</w:t>
      </w:r>
      <w:r w:rsidRPr="00B35A22">
        <w:rPr>
          <w:color w:val="000000"/>
          <w:sz w:val="22"/>
          <w:lang w:val="sr-Latn-ME"/>
        </w:rPr>
        <w:noBreakHyphen/>
        <w:t>a u grupi liječenoj atezolizumabom ostala je nepromijenjena u odnosu na primarnu interim analizu</w:t>
      </w:r>
      <w:r w:rsidRPr="00B35A22">
        <w:rPr>
          <w:sz w:val="22"/>
          <w:lang w:val="sr-Latn-ME"/>
        </w:rPr>
        <w:t xml:space="preserve"> OS</w:t>
      </w:r>
      <w:r w:rsidRPr="00B35A22">
        <w:rPr>
          <w:sz w:val="22"/>
          <w:lang w:val="sr-Latn-ME"/>
        </w:rPr>
        <w:noBreakHyphen/>
        <w:t>a (20,2 mejseca), dok je u grupi koja je primala hemioterapiju bila 14,7 mjeseci (HR: 0,76; 95% CI: 0,54; 1,09). Najvažniji rezultati eksploratorne analize sažeto su prikazani u Tabeli 1</w:t>
      </w:r>
      <w:r w:rsidR="00D52D7D" w:rsidRPr="00B35A22">
        <w:rPr>
          <w:sz w:val="22"/>
          <w:lang w:val="sr-Latn-ME"/>
        </w:rPr>
        <w:t>4</w:t>
      </w:r>
      <w:r w:rsidRPr="00B35A22">
        <w:rPr>
          <w:sz w:val="22"/>
          <w:lang w:val="sr-Latn-ME"/>
        </w:rPr>
        <w:t xml:space="preserve">. </w:t>
      </w:r>
      <w:r w:rsidRPr="00B35A22">
        <w:rPr>
          <w:i/>
          <w:sz w:val="22"/>
          <w:lang w:val="sr-Latn-ME"/>
        </w:rPr>
        <w:t>Kaplan</w:t>
      </w:r>
      <w:r w:rsidRPr="00B35A22">
        <w:rPr>
          <w:i/>
          <w:sz w:val="22"/>
          <w:lang w:val="sr-Latn-ME"/>
        </w:rPr>
        <w:noBreakHyphen/>
        <w:t>Meier</w:t>
      </w:r>
      <w:r w:rsidRPr="00B35A22">
        <w:rPr>
          <w:sz w:val="22"/>
          <w:lang w:val="sr-Latn-ME"/>
        </w:rPr>
        <w:t>-ove krive za OS i PFS kod pacijenata sa visokom ekspresijom PD</w:t>
      </w:r>
      <w:r w:rsidRPr="00B35A22">
        <w:rPr>
          <w:sz w:val="22"/>
          <w:lang w:val="sr-Latn-ME"/>
        </w:rPr>
        <w:noBreakHyphen/>
        <w:t>L1 prikazane su na slikama </w:t>
      </w:r>
      <w:r w:rsidR="00D5115F" w:rsidRPr="00B35A22">
        <w:rPr>
          <w:sz w:val="22"/>
          <w:lang w:val="sr-Latn-ME"/>
        </w:rPr>
        <w:t xml:space="preserve">12 </w:t>
      </w:r>
      <w:r w:rsidRPr="00B35A22">
        <w:rPr>
          <w:sz w:val="22"/>
          <w:lang w:val="sr-Latn-ME"/>
        </w:rPr>
        <w:t xml:space="preserve">i </w:t>
      </w:r>
      <w:r w:rsidR="00D5115F" w:rsidRPr="00B35A22">
        <w:rPr>
          <w:sz w:val="22"/>
          <w:lang w:val="sr-Latn-ME"/>
        </w:rPr>
        <w:t>13</w:t>
      </w:r>
      <w:r w:rsidRPr="00B35A22">
        <w:rPr>
          <w:sz w:val="22"/>
          <w:lang w:val="sr-Latn-ME"/>
        </w:rPr>
        <w:t>. Više smrtnih ishoda unutar prva 2,5 mjeseca desilo se u grupi koja je liječena atezolizumabom</w:t>
      </w:r>
      <w:r w:rsidRPr="00B35A22" w:rsidDel="006336F8">
        <w:rPr>
          <w:sz w:val="22"/>
          <w:lang w:val="sr-Latn-ME"/>
        </w:rPr>
        <w:t xml:space="preserve"> </w:t>
      </w:r>
      <w:r w:rsidRPr="00B35A22">
        <w:rPr>
          <w:sz w:val="22"/>
          <w:lang w:val="sr-Latn-ME"/>
        </w:rPr>
        <w:t xml:space="preserve">(16/107; 15,0%) u odnosu na grupu liječenu hemioterapijom (10/98; 10,2%). Nije se mogao utvrditi nijedan specifičan faktor povezan sa ranim smrtnim ishodom. </w:t>
      </w:r>
    </w:p>
    <w:p w14:paraId="060D2406" w14:textId="77777777" w:rsidR="00241BDE" w:rsidRPr="00B35A22" w:rsidRDefault="00241BDE" w:rsidP="00B35A22">
      <w:pPr>
        <w:widowControl w:val="0"/>
        <w:jc w:val="both"/>
        <w:rPr>
          <w:i/>
          <w:sz w:val="22"/>
          <w:lang w:val="sr-Latn-ME"/>
        </w:rPr>
      </w:pPr>
    </w:p>
    <w:p w14:paraId="412BA796" w14:textId="2AA1F5F2" w:rsidR="00241BDE" w:rsidRPr="00B35A22" w:rsidRDefault="00241BDE" w:rsidP="00B35A22">
      <w:pPr>
        <w:widowControl w:val="0"/>
        <w:jc w:val="both"/>
        <w:rPr>
          <w:b/>
          <w:sz w:val="22"/>
          <w:lang w:val="sr-Latn-ME"/>
        </w:rPr>
      </w:pPr>
      <w:r w:rsidRPr="00B35A22">
        <w:rPr>
          <w:b/>
          <w:sz w:val="22"/>
          <w:lang w:val="sr-Latn-ME"/>
        </w:rPr>
        <w:t>Tabela 1</w:t>
      </w:r>
      <w:r w:rsidR="00D52D7D" w:rsidRPr="00B35A22">
        <w:rPr>
          <w:b/>
          <w:sz w:val="22"/>
          <w:lang w:val="sr-Latn-ME"/>
        </w:rPr>
        <w:t>4</w:t>
      </w:r>
      <w:r w:rsidRPr="00B35A22">
        <w:rPr>
          <w:b/>
          <w:sz w:val="22"/>
          <w:lang w:val="sr-Latn-ME"/>
        </w:rPr>
        <w:t>: Sažetak podataka o efikasnosti kod pacijenata sa visokom ekspresijom PD</w:t>
      </w:r>
      <w:r w:rsidRPr="00B35A22">
        <w:rPr>
          <w:b/>
          <w:sz w:val="22"/>
          <w:lang w:val="sr-Latn-ME"/>
        </w:rPr>
        <w:noBreakHyphen/>
        <w:t>L1 od ≥ 50% na tumorskim ćelijama ili ≥ 10% na ćelijama imunskog sistema koje se infiltriraju u tumor (IMpower110)</w:t>
      </w:r>
    </w:p>
    <w:p w14:paraId="42C9022E" w14:textId="77777777" w:rsidR="00241BDE" w:rsidRPr="00B35A22" w:rsidRDefault="00241BDE" w:rsidP="00B35A22">
      <w:pPr>
        <w:widowControl w:val="0"/>
        <w:jc w:val="both"/>
        <w:rPr>
          <w:b/>
          <w:sz w:val="22"/>
          <w:lang w:val="sr-Latn-ME"/>
        </w:rPr>
      </w:pPr>
    </w:p>
    <w:tbl>
      <w:tblPr>
        <w:tblW w:w="9214"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1793"/>
      </w:tblGrid>
      <w:tr w:rsidR="00CC0044" w:rsidRPr="00B35A22" w14:paraId="29268D6B" w14:textId="77777777" w:rsidTr="005124BA">
        <w:trPr>
          <w:tblHeader/>
        </w:trPr>
        <w:tc>
          <w:tcPr>
            <w:tcW w:w="4811" w:type="dxa"/>
            <w:tcBorders>
              <w:top w:val="single" w:sz="4" w:space="0" w:color="auto"/>
              <w:left w:val="single" w:sz="4" w:space="0" w:color="auto"/>
              <w:bottom w:val="single" w:sz="4" w:space="0" w:color="auto"/>
              <w:right w:val="nil"/>
            </w:tcBorders>
            <w:hideMark/>
          </w:tcPr>
          <w:p w14:paraId="34656CA3" w14:textId="239C11D6" w:rsidR="00241BDE" w:rsidRPr="00B35A22" w:rsidRDefault="00241BDE" w:rsidP="00B35A22">
            <w:pPr>
              <w:widowControl w:val="0"/>
              <w:jc w:val="both"/>
              <w:rPr>
                <w:b/>
                <w:sz w:val="22"/>
                <w:lang w:val="sr-Latn-ME"/>
              </w:rPr>
            </w:pPr>
            <w:r w:rsidRPr="00B35A22">
              <w:rPr>
                <w:b/>
                <w:sz w:val="22"/>
                <w:lang w:val="sr-Latn-ME"/>
              </w:rPr>
              <w:t>Mjere ishoda za efikasnost</w:t>
            </w:r>
          </w:p>
        </w:tc>
        <w:tc>
          <w:tcPr>
            <w:tcW w:w="2610" w:type="dxa"/>
            <w:gridSpan w:val="2"/>
            <w:tcBorders>
              <w:top w:val="single" w:sz="4" w:space="0" w:color="auto"/>
              <w:left w:val="nil"/>
              <w:bottom w:val="single" w:sz="4" w:space="0" w:color="auto"/>
              <w:right w:val="nil"/>
            </w:tcBorders>
            <w:hideMark/>
          </w:tcPr>
          <w:p w14:paraId="32057F75" w14:textId="77777777" w:rsidR="00241BDE" w:rsidRPr="00B35A22" w:rsidRDefault="00241BDE" w:rsidP="00B35A22">
            <w:pPr>
              <w:widowControl w:val="0"/>
              <w:jc w:val="both"/>
              <w:rPr>
                <w:b/>
                <w:sz w:val="22"/>
                <w:lang w:val="sr-Latn-ME"/>
              </w:rPr>
            </w:pPr>
            <w:r w:rsidRPr="00B35A22">
              <w:rPr>
                <w:b/>
                <w:sz w:val="22"/>
                <w:lang w:val="sr-Latn-ME"/>
              </w:rPr>
              <w:t xml:space="preserve">Grupa A </w:t>
            </w:r>
          </w:p>
          <w:p w14:paraId="17F787F8" w14:textId="77777777" w:rsidR="00241BDE" w:rsidRPr="00B35A22" w:rsidRDefault="00241BDE" w:rsidP="00B35A22">
            <w:pPr>
              <w:widowControl w:val="0"/>
              <w:jc w:val="both"/>
              <w:rPr>
                <w:sz w:val="22"/>
                <w:lang w:val="sr-Latn-ME"/>
              </w:rPr>
            </w:pPr>
            <w:r w:rsidRPr="00B35A22">
              <w:rPr>
                <w:sz w:val="22"/>
                <w:lang w:val="sr-Latn-ME"/>
              </w:rPr>
              <w:t>(Atezolizumab)</w:t>
            </w:r>
          </w:p>
        </w:tc>
        <w:tc>
          <w:tcPr>
            <w:tcW w:w="1793" w:type="dxa"/>
            <w:tcBorders>
              <w:top w:val="single" w:sz="4" w:space="0" w:color="auto"/>
              <w:left w:val="nil"/>
              <w:bottom w:val="single" w:sz="4" w:space="0" w:color="auto"/>
              <w:right w:val="single" w:sz="4" w:space="0" w:color="auto"/>
            </w:tcBorders>
            <w:hideMark/>
          </w:tcPr>
          <w:p w14:paraId="0E27EE1E" w14:textId="77777777" w:rsidR="00241BDE" w:rsidRPr="00B35A22" w:rsidRDefault="00241BDE" w:rsidP="00B35A22">
            <w:pPr>
              <w:widowControl w:val="0"/>
              <w:jc w:val="both"/>
              <w:rPr>
                <w:b/>
                <w:sz w:val="22"/>
                <w:lang w:val="sr-Latn-ME"/>
              </w:rPr>
            </w:pPr>
            <w:r w:rsidRPr="00B35A22">
              <w:rPr>
                <w:b/>
                <w:sz w:val="22"/>
                <w:lang w:val="sr-Latn-ME"/>
              </w:rPr>
              <w:t>Grupa B</w:t>
            </w:r>
          </w:p>
          <w:p w14:paraId="2CE6B124" w14:textId="77777777" w:rsidR="00241BDE" w:rsidRPr="00B35A22" w:rsidRDefault="00241BDE" w:rsidP="00B35A22">
            <w:pPr>
              <w:widowControl w:val="0"/>
              <w:jc w:val="both"/>
              <w:rPr>
                <w:b/>
                <w:sz w:val="22"/>
                <w:lang w:val="sr-Latn-ME"/>
              </w:rPr>
            </w:pPr>
            <w:r w:rsidRPr="00B35A22">
              <w:rPr>
                <w:sz w:val="22"/>
                <w:lang w:val="sr-Latn-ME"/>
              </w:rPr>
              <w:t>(Hemioterapija)</w:t>
            </w:r>
          </w:p>
        </w:tc>
      </w:tr>
      <w:tr w:rsidR="00CC0044" w:rsidRPr="00B35A22" w14:paraId="3A88E9EF" w14:textId="77777777" w:rsidTr="005124BA">
        <w:tc>
          <w:tcPr>
            <w:tcW w:w="4811" w:type="dxa"/>
            <w:tcBorders>
              <w:top w:val="single" w:sz="4" w:space="0" w:color="auto"/>
              <w:left w:val="single" w:sz="4" w:space="0" w:color="auto"/>
              <w:bottom w:val="nil"/>
              <w:right w:val="nil"/>
            </w:tcBorders>
            <w:hideMark/>
          </w:tcPr>
          <w:p w14:paraId="470C0575" w14:textId="2D0737D2" w:rsidR="00241BDE" w:rsidRPr="00B35A22" w:rsidRDefault="00241BDE" w:rsidP="00B35A22">
            <w:pPr>
              <w:widowControl w:val="0"/>
              <w:jc w:val="both"/>
              <w:rPr>
                <w:b/>
                <w:i/>
                <w:sz w:val="22"/>
                <w:lang w:val="sr-Latn-ME"/>
              </w:rPr>
            </w:pPr>
            <w:r w:rsidRPr="00B35A22">
              <w:rPr>
                <w:b/>
                <w:i/>
                <w:sz w:val="22"/>
                <w:lang w:val="sr-Latn-ME"/>
              </w:rPr>
              <w:t>Primarna mjera ishoda</w:t>
            </w:r>
          </w:p>
        </w:tc>
        <w:tc>
          <w:tcPr>
            <w:tcW w:w="2610" w:type="dxa"/>
            <w:gridSpan w:val="2"/>
            <w:tcBorders>
              <w:top w:val="single" w:sz="4" w:space="0" w:color="auto"/>
              <w:left w:val="nil"/>
              <w:bottom w:val="nil"/>
              <w:right w:val="nil"/>
            </w:tcBorders>
          </w:tcPr>
          <w:p w14:paraId="333A2D33" w14:textId="77777777" w:rsidR="00241BDE" w:rsidRPr="00B35A22" w:rsidRDefault="00241BDE" w:rsidP="00B35A22">
            <w:pPr>
              <w:widowControl w:val="0"/>
              <w:jc w:val="both"/>
              <w:rPr>
                <w:sz w:val="22"/>
                <w:lang w:val="sr-Latn-ME"/>
              </w:rPr>
            </w:pPr>
          </w:p>
        </w:tc>
        <w:tc>
          <w:tcPr>
            <w:tcW w:w="1793" w:type="dxa"/>
            <w:tcBorders>
              <w:top w:val="single" w:sz="4" w:space="0" w:color="auto"/>
              <w:left w:val="nil"/>
              <w:bottom w:val="nil"/>
              <w:right w:val="single" w:sz="4" w:space="0" w:color="auto"/>
            </w:tcBorders>
          </w:tcPr>
          <w:p w14:paraId="59E4D33E" w14:textId="77777777" w:rsidR="00241BDE" w:rsidRPr="00B35A22" w:rsidRDefault="00241BDE" w:rsidP="00B35A22">
            <w:pPr>
              <w:widowControl w:val="0"/>
              <w:jc w:val="both"/>
              <w:rPr>
                <w:sz w:val="22"/>
                <w:lang w:val="sr-Latn-ME"/>
              </w:rPr>
            </w:pPr>
          </w:p>
        </w:tc>
      </w:tr>
      <w:tr w:rsidR="00CC0044" w:rsidRPr="00B35A22" w14:paraId="564BFF2C" w14:textId="77777777" w:rsidTr="005124BA">
        <w:tc>
          <w:tcPr>
            <w:tcW w:w="4811" w:type="dxa"/>
            <w:tcBorders>
              <w:top w:val="single" w:sz="4" w:space="0" w:color="auto"/>
              <w:left w:val="single" w:sz="4" w:space="0" w:color="auto"/>
              <w:bottom w:val="nil"/>
              <w:right w:val="nil"/>
            </w:tcBorders>
            <w:hideMark/>
          </w:tcPr>
          <w:p w14:paraId="31834BB1" w14:textId="77777777" w:rsidR="00241BDE" w:rsidRPr="00B35A22" w:rsidRDefault="00241BDE" w:rsidP="00B35A22">
            <w:pPr>
              <w:widowControl w:val="0"/>
              <w:jc w:val="both"/>
              <w:rPr>
                <w:b/>
                <w:i/>
                <w:sz w:val="22"/>
                <w:lang w:val="sr-Latn-ME"/>
              </w:rPr>
            </w:pPr>
            <w:r w:rsidRPr="00B35A22">
              <w:rPr>
                <w:b/>
                <w:i/>
                <w:sz w:val="22"/>
                <w:lang w:val="sr-Latn-ME"/>
              </w:rPr>
              <w:t>OS</w:t>
            </w:r>
          </w:p>
        </w:tc>
        <w:tc>
          <w:tcPr>
            <w:tcW w:w="2610" w:type="dxa"/>
            <w:gridSpan w:val="2"/>
            <w:tcBorders>
              <w:top w:val="single" w:sz="4" w:space="0" w:color="auto"/>
              <w:left w:val="nil"/>
              <w:bottom w:val="nil"/>
              <w:right w:val="nil"/>
            </w:tcBorders>
            <w:hideMark/>
          </w:tcPr>
          <w:p w14:paraId="14FBA549" w14:textId="77777777" w:rsidR="00241BDE" w:rsidRPr="00B35A22" w:rsidRDefault="00241BDE" w:rsidP="00B35A22">
            <w:pPr>
              <w:widowControl w:val="0"/>
              <w:jc w:val="both"/>
              <w:rPr>
                <w:sz w:val="22"/>
                <w:lang w:val="sr-Latn-ME"/>
              </w:rPr>
            </w:pPr>
            <w:r w:rsidRPr="00B35A22">
              <w:rPr>
                <w:sz w:val="22"/>
                <w:lang w:val="sr-Latn-ME"/>
              </w:rPr>
              <w:t>n = 107</w:t>
            </w:r>
          </w:p>
        </w:tc>
        <w:tc>
          <w:tcPr>
            <w:tcW w:w="1793" w:type="dxa"/>
            <w:tcBorders>
              <w:top w:val="single" w:sz="4" w:space="0" w:color="auto"/>
              <w:left w:val="nil"/>
              <w:bottom w:val="nil"/>
              <w:right w:val="single" w:sz="4" w:space="0" w:color="auto"/>
            </w:tcBorders>
            <w:hideMark/>
          </w:tcPr>
          <w:p w14:paraId="1500AF26" w14:textId="77777777" w:rsidR="00241BDE" w:rsidRPr="00B35A22" w:rsidRDefault="00241BDE" w:rsidP="00B35A22">
            <w:pPr>
              <w:widowControl w:val="0"/>
              <w:jc w:val="both"/>
              <w:rPr>
                <w:sz w:val="22"/>
                <w:lang w:val="sr-Latn-ME"/>
              </w:rPr>
            </w:pPr>
            <w:r w:rsidRPr="00B35A22">
              <w:rPr>
                <w:sz w:val="22"/>
                <w:lang w:val="sr-Latn-ME"/>
              </w:rPr>
              <w:t>n = 98</w:t>
            </w:r>
          </w:p>
        </w:tc>
      </w:tr>
      <w:tr w:rsidR="00CC0044" w:rsidRPr="00B35A22" w14:paraId="740C5F6C" w14:textId="77777777" w:rsidTr="005124BA">
        <w:tc>
          <w:tcPr>
            <w:tcW w:w="4811" w:type="dxa"/>
            <w:tcBorders>
              <w:top w:val="nil"/>
              <w:left w:val="single" w:sz="4" w:space="0" w:color="auto"/>
              <w:bottom w:val="nil"/>
              <w:right w:val="nil"/>
            </w:tcBorders>
            <w:hideMark/>
          </w:tcPr>
          <w:p w14:paraId="3C8927EE" w14:textId="77777777" w:rsidR="00241BDE" w:rsidRPr="00B35A22" w:rsidRDefault="00241BDE" w:rsidP="00B35A22">
            <w:pPr>
              <w:widowControl w:val="0"/>
              <w:jc w:val="both"/>
              <w:rPr>
                <w:b/>
                <w:sz w:val="22"/>
                <w:lang w:val="sr-Latn-ME"/>
              </w:rPr>
            </w:pPr>
            <w:r w:rsidRPr="00B35A22">
              <w:rPr>
                <w:sz w:val="22"/>
                <w:lang w:val="sr-Latn-ME"/>
              </w:rPr>
              <w:t>Broj smrtnih slučajeva (%)</w:t>
            </w:r>
          </w:p>
        </w:tc>
        <w:tc>
          <w:tcPr>
            <w:tcW w:w="2610" w:type="dxa"/>
            <w:gridSpan w:val="2"/>
            <w:tcBorders>
              <w:top w:val="nil"/>
              <w:left w:val="nil"/>
              <w:bottom w:val="nil"/>
              <w:right w:val="nil"/>
            </w:tcBorders>
            <w:hideMark/>
          </w:tcPr>
          <w:p w14:paraId="74CDB358" w14:textId="77777777" w:rsidR="00241BDE" w:rsidRPr="00B35A22" w:rsidRDefault="00241BDE" w:rsidP="00B35A22">
            <w:pPr>
              <w:widowControl w:val="0"/>
              <w:jc w:val="both"/>
              <w:rPr>
                <w:sz w:val="22"/>
                <w:lang w:val="sr-Latn-ME"/>
              </w:rPr>
            </w:pPr>
            <w:r w:rsidRPr="00B35A22">
              <w:rPr>
                <w:sz w:val="22"/>
                <w:lang w:val="sr-Latn-ME"/>
              </w:rPr>
              <w:t>64 (59,8%)</w:t>
            </w:r>
          </w:p>
        </w:tc>
        <w:tc>
          <w:tcPr>
            <w:tcW w:w="1793" w:type="dxa"/>
            <w:tcBorders>
              <w:top w:val="nil"/>
              <w:left w:val="nil"/>
              <w:bottom w:val="nil"/>
              <w:right w:val="single" w:sz="4" w:space="0" w:color="auto"/>
            </w:tcBorders>
            <w:hideMark/>
          </w:tcPr>
          <w:p w14:paraId="126627AA" w14:textId="77777777" w:rsidR="00241BDE" w:rsidRPr="00B35A22" w:rsidRDefault="00241BDE" w:rsidP="00B35A22">
            <w:pPr>
              <w:widowControl w:val="0"/>
              <w:jc w:val="both"/>
              <w:rPr>
                <w:sz w:val="22"/>
                <w:lang w:val="sr-Latn-ME"/>
              </w:rPr>
            </w:pPr>
            <w:r w:rsidRPr="00B35A22">
              <w:rPr>
                <w:sz w:val="22"/>
                <w:lang w:val="sr-Latn-ME"/>
              </w:rPr>
              <w:t>64 (65,3%)</w:t>
            </w:r>
          </w:p>
        </w:tc>
      </w:tr>
      <w:tr w:rsidR="00CC0044" w:rsidRPr="00B35A22" w14:paraId="74461309" w14:textId="77777777" w:rsidTr="005124BA">
        <w:tc>
          <w:tcPr>
            <w:tcW w:w="4811" w:type="dxa"/>
            <w:tcBorders>
              <w:top w:val="nil"/>
              <w:left w:val="single" w:sz="4" w:space="0" w:color="auto"/>
              <w:bottom w:val="nil"/>
              <w:right w:val="nil"/>
            </w:tcBorders>
            <w:hideMark/>
          </w:tcPr>
          <w:p w14:paraId="19B5BB0E" w14:textId="27C08EDB" w:rsidR="00241BDE" w:rsidRPr="00B35A22" w:rsidRDefault="00241BDE" w:rsidP="00B35A22">
            <w:pPr>
              <w:widowControl w:val="0"/>
              <w:jc w:val="both"/>
              <w:rPr>
                <w:b/>
                <w:sz w:val="22"/>
                <w:lang w:val="sr-Latn-ME"/>
              </w:rPr>
            </w:pPr>
            <w:r w:rsidRPr="00B35A22">
              <w:rPr>
                <w:sz w:val="22"/>
                <w:lang w:val="sr-Latn-ME"/>
              </w:rPr>
              <w:t>Medijana vremena do događaja (mjeseci)</w:t>
            </w:r>
          </w:p>
        </w:tc>
        <w:tc>
          <w:tcPr>
            <w:tcW w:w="2610" w:type="dxa"/>
            <w:gridSpan w:val="2"/>
            <w:tcBorders>
              <w:top w:val="nil"/>
              <w:left w:val="nil"/>
              <w:bottom w:val="nil"/>
              <w:right w:val="nil"/>
            </w:tcBorders>
            <w:hideMark/>
          </w:tcPr>
          <w:p w14:paraId="6BD5D5A2" w14:textId="77777777" w:rsidR="00241BDE" w:rsidRPr="00B35A22" w:rsidRDefault="00241BDE" w:rsidP="00B35A22">
            <w:pPr>
              <w:widowControl w:val="0"/>
              <w:jc w:val="both"/>
              <w:rPr>
                <w:sz w:val="22"/>
                <w:lang w:val="sr-Latn-ME"/>
              </w:rPr>
            </w:pPr>
            <w:r w:rsidRPr="00B35A22">
              <w:rPr>
                <w:sz w:val="22"/>
                <w:lang w:val="sr-Latn-ME"/>
              </w:rPr>
              <w:t>20,2</w:t>
            </w:r>
          </w:p>
        </w:tc>
        <w:tc>
          <w:tcPr>
            <w:tcW w:w="1793" w:type="dxa"/>
            <w:tcBorders>
              <w:top w:val="nil"/>
              <w:left w:val="nil"/>
              <w:bottom w:val="nil"/>
              <w:right w:val="single" w:sz="4" w:space="0" w:color="auto"/>
            </w:tcBorders>
            <w:hideMark/>
          </w:tcPr>
          <w:p w14:paraId="0571A7FC" w14:textId="77777777" w:rsidR="00241BDE" w:rsidRPr="00B35A22" w:rsidRDefault="00241BDE" w:rsidP="00B35A22">
            <w:pPr>
              <w:widowControl w:val="0"/>
              <w:jc w:val="both"/>
              <w:rPr>
                <w:sz w:val="22"/>
                <w:lang w:val="sr-Latn-ME"/>
              </w:rPr>
            </w:pPr>
            <w:r w:rsidRPr="00B35A22">
              <w:rPr>
                <w:sz w:val="22"/>
                <w:lang w:val="sr-Latn-ME"/>
              </w:rPr>
              <w:t>14,7</w:t>
            </w:r>
          </w:p>
        </w:tc>
      </w:tr>
      <w:tr w:rsidR="00CC0044" w:rsidRPr="00B35A22" w14:paraId="47EB1194" w14:textId="77777777" w:rsidTr="005124BA">
        <w:tc>
          <w:tcPr>
            <w:tcW w:w="4811" w:type="dxa"/>
            <w:tcBorders>
              <w:top w:val="nil"/>
              <w:left w:val="single" w:sz="4" w:space="0" w:color="auto"/>
              <w:bottom w:val="nil"/>
              <w:right w:val="nil"/>
            </w:tcBorders>
            <w:hideMark/>
          </w:tcPr>
          <w:p w14:paraId="3F552BB8" w14:textId="77777777" w:rsidR="00241BDE" w:rsidRPr="00B35A22" w:rsidRDefault="00241BDE" w:rsidP="00B35A22">
            <w:pPr>
              <w:widowControl w:val="0"/>
              <w:jc w:val="both"/>
              <w:rPr>
                <w:b/>
                <w:sz w:val="22"/>
                <w:lang w:val="sr-Latn-ME"/>
              </w:rPr>
            </w:pPr>
            <w:r w:rsidRPr="00B35A22">
              <w:rPr>
                <w:sz w:val="22"/>
                <w:lang w:val="sr-Latn-ME"/>
              </w:rPr>
              <w:t>95% CI</w:t>
            </w:r>
          </w:p>
        </w:tc>
        <w:tc>
          <w:tcPr>
            <w:tcW w:w="2610" w:type="dxa"/>
            <w:gridSpan w:val="2"/>
            <w:tcBorders>
              <w:top w:val="nil"/>
              <w:left w:val="nil"/>
              <w:bottom w:val="nil"/>
              <w:right w:val="nil"/>
            </w:tcBorders>
            <w:hideMark/>
          </w:tcPr>
          <w:p w14:paraId="417AF79A" w14:textId="77777777" w:rsidR="00241BDE" w:rsidRPr="00B35A22" w:rsidRDefault="00241BDE" w:rsidP="00B35A22">
            <w:pPr>
              <w:widowControl w:val="0"/>
              <w:jc w:val="both"/>
              <w:rPr>
                <w:sz w:val="22"/>
                <w:lang w:val="sr-Latn-ME"/>
              </w:rPr>
            </w:pPr>
            <w:r w:rsidRPr="00B35A22">
              <w:rPr>
                <w:sz w:val="22"/>
                <w:lang w:val="sr-Latn-ME"/>
              </w:rPr>
              <w:t>(17,2; 27,9)</w:t>
            </w:r>
          </w:p>
        </w:tc>
        <w:tc>
          <w:tcPr>
            <w:tcW w:w="1793" w:type="dxa"/>
            <w:tcBorders>
              <w:top w:val="nil"/>
              <w:left w:val="nil"/>
              <w:bottom w:val="nil"/>
              <w:right w:val="single" w:sz="4" w:space="0" w:color="auto"/>
            </w:tcBorders>
            <w:hideMark/>
          </w:tcPr>
          <w:p w14:paraId="2579ACE8" w14:textId="77777777" w:rsidR="00241BDE" w:rsidRPr="00B35A22" w:rsidRDefault="00241BDE" w:rsidP="00B35A22">
            <w:pPr>
              <w:widowControl w:val="0"/>
              <w:jc w:val="both"/>
              <w:rPr>
                <w:sz w:val="22"/>
                <w:lang w:val="sr-Latn-ME"/>
              </w:rPr>
            </w:pPr>
            <w:r w:rsidRPr="00B35A22">
              <w:rPr>
                <w:sz w:val="22"/>
                <w:lang w:val="sr-Latn-ME"/>
              </w:rPr>
              <w:t>(7,4; 17,7)</w:t>
            </w:r>
          </w:p>
        </w:tc>
      </w:tr>
      <w:tr w:rsidR="00241BDE" w:rsidRPr="00B35A22" w14:paraId="6DBE3F16" w14:textId="77777777" w:rsidTr="0065270B">
        <w:tc>
          <w:tcPr>
            <w:tcW w:w="4811" w:type="dxa"/>
            <w:tcBorders>
              <w:top w:val="nil"/>
              <w:left w:val="single" w:sz="4" w:space="0" w:color="auto"/>
              <w:bottom w:val="nil"/>
              <w:right w:val="nil"/>
            </w:tcBorders>
            <w:hideMark/>
          </w:tcPr>
          <w:p w14:paraId="200E37AE" w14:textId="77777777" w:rsidR="00241BDE" w:rsidRPr="00B35A22" w:rsidRDefault="00241BDE" w:rsidP="00B35A22">
            <w:pPr>
              <w:widowControl w:val="0"/>
              <w:jc w:val="both"/>
              <w:rPr>
                <w:b/>
                <w:sz w:val="22"/>
                <w:lang w:val="sr-Latn-ME"/>
              </w:rPr>
            </w:pPr>
            <w:r w:rsidRPr="00B35A22">
              <w:rPr>
                <w:sz w:val="22"/>
                <w:lang w:val="sr-Latn-ME"/>
              </w:rPr>
              <w:t>Stratifikovani koeficijent rizika (</w:t>
            </w:r>
            <w:r w:rsidRPr="00B35A22">
              <w:rPr>
                <w:i/>
                <w:sz w:val="22"/>
                <w:lang w:val="sr-Latn-ME"/>
              </w:rPr>
              <w:t>hazard ratio</w:t>
            </w:r>
            <w:r w:rsidRPr="00B35A22">
              <w:rPr>
                <w:sz w:val="22"/>
                <w:lang w:val="sr-Latn-ME"/>
              </w:rPr>
              <w:t>)</w:t>
            </w:r>
            <w:r w:rsidRPr="00B35A22">
              <w:rPr>
                <w:sz w:val="22"/>
                <w:vertAlign w:val="superscript"/>
                <w:lang w:val="sr-Latn-ME"/>
              </w:rPr>
              <w:t>‡</w:t>
            </w:r>
            <w:r w:rsidRPr="00B35A22">
              <w:rPr>
                <w:sz w:val="22"/>
                <w:lang w:val="sr-Latn-ME"/>
              </w:rPr>
              <w:t xml:space="preserve"> (95% CI)</w:t>
            </w:r>
          </w:p>
        </w:tc>
        <w:tc>
          <w:tcPr>
            <w:tcW w:w="4403" w:type="dxa"/>
            <w:gridSpan w:val="3"/>
            <w:tcBorders>
              <w:top w:val="nil"/>
              <w:left w:val="nil"/>
              <w:bottom w:val="nil"/>
              <w:right w:val="single" w:sz="4" w:space="0" w:color="auto"/>
            </w:tcBorders>
            <w:hideMark/>
          </w:tcPr>
          <w:p w14:paraId="5C7ACAAD" w14:textId="77777777" w:rsidR="00241BDE" w:rsidRPr="00B35A22" w:rsidRDefault="00241BDE" w:rsidP="00B35A22">
            <w:pPr>
              <w:widowControl w:val="0"/>
              <w:jc w:val="both"/>
              <w:rPr>
                <w:sz w:val="22"/>
                <w:lang w:val="sr-Latn-ME"/>
              </w:rPr>
            </w:pPr>
            <w:r w:rsidRPr="00B35A22">
              <w:rPr>
                <w:sz w:val="22"/>
                <w:lang w:val="sr-Latn-ME"/>
              </w:rPr>
              <w:t xml:space="preserve">                0,76 (0,54; 1,09)</w:t>
            </w:r>
          </w:p>
        </w:tc>
      </w:tr>
      <w:tr w:rsidR="00CC0044" w:rsidRPr="00B35A22" w14:paraId="55144B9B" w14:textId="77777777" w:rsidTr="005124BA">
        <w:tc>
          <w:tcPr>
            <w:tcW w:w="4811" w:type="dxa"/>
            <w:tcBorders>
              <w:top w:val="nil"/>
              <w:left w:val="single" w:sz="4" w:space="0" w:color="auto"/>
              <w:bottom w:val="single" w:sz="4" w:space="0" w:color="auto"/>
              <w:right w:val="nil"/>
            </w:tcBorders>
            <w:hideMark/>
          </w:tcPr>
          <w:p w14:paraId="368732F1" w14:textId="2A4CAE62" w:rsidR="00241BDE" w:rsidRPr="00B35A22" w:rsidRDefault="00241BDE" w:rsidP="00B35A22">
            <w:pPr>
              <w:widowControl w:val="0"/>
              <w:jc w:val="both"/>
              <w:rPr>
                <w:b/>
                <w:sz w:val="22"/>
                <w:lang w:val="sr-Latn-ME"/>
              </w:rPr>
            </w:pPr>
            <w:r w:rsidRPr="00B35A22">
              <w:rPr>
                <w:sz w:val="22"/>
                <w:lang w:val="sr-Latn-ME"/>
              </w:rPr>
              <w:t>12</w:t>
            </w:r>
            <w:r w:rsidRPr="00B35A22">
              <w:rPr>
                <w:sz w:val="22"/>
                <w:lang w:val="sr-Latn-ME"/>
              </w:rPr>
              <w:noBreakHyphen/>
              <w:t>mjesečni OS (%)</w:t>
            </w:r>
          </w:p>
        </w:tc>
        <w:tc>
          <w:tcPr>
            <w:tcW w:w="2610" w:type="dxa"/>
            <w:gridSpan w:val="2"/>
            <w:tcBorders>
              <w:top w:val="nil"/>
              <w:left w:val="nil"/>
              <w:bottom w:val="single" w:sz="4" w:space="0" w:color="auto"/>
              <w:right w:val="nil"/>
            </w:tcBorders>
            <w:hideMark/>
          </w:tcPr>
          <w:p w14:paraId="7BBA1C71" w14:textId="77777777" w:rsidR="00241BDE" w:rsidRPr="00B35A22" w:rsidRDefault="00241BDE" w:rsidP="00B35A22">
            <w:pPr>
              <w:widowControl w:val="0"/>
              <w:jc w:val="both"/>
              <w:rPr>
                <w:sz w:val="22"/>
                <w:lang w:val="sr-Latn-ME"/>
              </w:rPr>
            </w:pPr>
            <w:r w:rsidRPr="00B35A22">
              <w:rPr>
                <w:sz w:val="22"/>
                <w:lang w:val="sr-Latn-ME"/>
              </w:rPr>
              <w:t>66,1</w:t>
            </w:r>
          </w:p>
        </w:tc>
        <w:tc>
          <w:tcPr>
            <w:tcW w:w="1793" w:type="dxa"/>
            <w:tcBorders>
              <w:top w:val="nil"/>
              <w:left w:val="nil"/>
              <w:bottom w:val="single" w:sz="4" w:space="0" w:color="auto"/>
              <w:right w:val="single" w:sz="4" w:space="0" w:color="auto"/>
            </w:tcBorders>
            <w:hideMark/>
          </w:tcPr>
          <w:p w14:paraId="2DE21389" w14:textId="77777777" w:rsidR="00241BDE" w:rsidRPr="00B35A22" w:rsidRDefault="00241BDE" w:rsidP="00B35A22">
            <w:pPr>
              <w:widowControl w:val="0"/>
              <w:jc w:val="both"/>
              <w:rPr>
                <w:sz w:val="22"/>
                <w:lang w:val="sr-Latn-ME"/>
              </w:rPr>
            </w:pPr>
            <w:r w:rsidRPr="00B35A22">
              <w:rPr>
                <w:sz w:val="22"/>
                <w:lang w:val="sr-Latn-ME"/>
              </w:rPr>
              <w:t>52,3</w:t>
            </w:r>
          </w:p>
        </w:tc>
      </w:tr>
      <w:tr w:rsidR="00CC0044" w:rsidRPr="00B35A22" w14:paraId="49BC00D1" w14:textId="77777777" w:rsidTr="005124BA">
        <w:tc>
          <w:tcPr>
            <w:tcW w:w="4811" w:type="dxa"/>
            <w:tcBorders>
              <w:top w:val="single" w:sz="4" w:space="0" w:color="auto"/>
              <w:left w:val="single" w:sz="4" w:space="0" w:color="auto"/>
              <w:bottom w:val="nil"/>
              <w:right w:val="nil"/>
            </w:tcBorders>
            <w:hideMark/>
          </w:tcPr>
          <w:p w14:paraId="06A5552D" w14:textId="335DFA47" w:rsidR="00241BDE" w:rsidRPr="00B35A22" w:rsidRDefault="00241BDE" w:rsidP="00B35A22">
            <w:pPr>
              <w:widowControl w:val="0"/>
              <w:jc w:val="both"/>
              <w:rPr>
                <w:b/>
                <w:i/>
                <w:sz w:val="22"/>
                <w:lang w:val="sr-Latn-ME"/>
              </w:rPr>
            </w:pPr>
            <w:r w:rsidRPr="00B35A22">
              <w:rPr>
                <w:b/>
                <w:i/>
                <w:sz w:val="22"/>
                <w:lang w:val="sr-Latn-ME"/>
              </w:rPr>
              <w:t>Sekundarne mjere ishoda</w:t>
            </w:r>
          </w:p>
        </w:tc>
        <w:tc>
          <w:tcPr>
            <w:tcW w:w="2610" w:type="dxa"/>
            <w:gridSpan w:val="2"/>
            <w:tcBorders>
              <w:top w:val="single" w:sz="4" w:space="0" w:color="auto"/>
              <w:left w:val="nil"/>
              <w:bottom w:val="nil"/>
              <w:right w:val="nil"/>
            </w:tcBorders>
          </w:tcPr>
          <w:p w14:paraId="0FC146FD" w14:textId="77777777" w:rsidR="00241BDE" w:rsidRPr="00B35A22" w:rsidRDefault="00241BDE" w:rsidP="00B35A22">
            <w:pPr>
              <w:widowControl w:val="0"/>
              <w:jc w:val="both"/>
              <w:rPr>
                <w:sz w:val="22"/>
                <w:lang w:val="sr-Latn-ME"/>
              </w:rPr>
            </w:pPr>
          </w:p>
        </w:tc>
        <w:tc>
          <w:tcPr>
            <w:tcW w:w="1793" w:type="dxa"/>
            <w:tcBorders>
              <w:top w:val="single" w:sz="4" w:space="0" w:color="auto"/>
              <w:left w:val="nil"/>
              <w:bottom w:val="nil"/>
              <w:right w:val="single" w:sz="4" w:space="0" w:color="auto"/>
            </w:tcBorders>
          </w:tcPr>
          <w:p w14:paraId="04CD0EC3" w14:textId="77777777" w:rsidR="00241BDE" w:rsidRPr="00B35A22" w:rsidRDefault="00241BDE" w:rsidP="00B35A22">
            <w:pPr>
              <w:widowControl w:val="0"/>
              <w:jc w:val="both"/>
              <w:rPr>
                <w:sz w:val="22"/>
                <w:lang w:val="sr-Latn-ME"/>
              </w:rPr>
            </w:pPr>
          </w:p>
        </w:tc>
      </w:tr>
      <w:tr w:rsidR="00CC0044" w:rsidRPr="00B35A22" w14:paraId="7DCFF672" w14:textId="77777777" w:rsidTr="005124BA">
        <w:tc>
          <w:tcPr>
            <w:tcW w:w="4811" w:type="dxa"/>
            <w:tcBorders>
              <w:top w:val="single" w:sz="4" w:space="0" w:color="auto"/>
              <w:left w:val="single" w:sz="4" w:space="0" w:color="auto"/>
              <w:bottom w:val="nil"/>
              <w:right w:val="nil"/>
            </w:tcBorders>
            <w:hideMark/>
          </w:tcPr>
          <w:p w14:paraId="4C7831AF" w14:textId="2B651B69" w:rsidR="00241BDE" w:rsidRPr="00B35A22" w:rsidRDefault="00241BDE" w:rsidP="00B35A22">
            <w:pPr>
              <w:widowControl w:val="0"/>
              <w:jc w:val="both"/>
              <w:rPr>
                <w:b/>
                <w:i/>
                <w:sz w:val="22"/>
                <w:vertAlign w:val="superscript"/>
                <w:lang w:val="sr-Latn-ME"/>
              </w:rPr>
            </w:pPr>
            <w:r w:rsidRPr="00B35A22">
              <w:rPr>
                <w:b/>
                <w:i/>
                <w:sz w:val="22"/>
                <w:lang w:val="sr-Latn-ME"/>
              </w:rPr>
              <w:t>PFS prema procjeni istraživača (RECIST v1.1</w:t>
            </w:r>
            <w:r w:rsidRPr="00B35A22">
              <w:rPr>
                <w:i/>
                <w:sz w:val="22"/>
                <w:lang w:val="sr-Latn-ME"/>
              </w:rPr>
              <w:t xml:space="preserve">) </w:t>
            </w:r>
          </w:p>
        </w:tc>
        <w:tc>
          <w:tcPr>
            <w:tcW w:w="2610" w:type="dxa"/>
            <w:gridSpan w:val="2"/>
            <w:tcBorders>
              <w:top w:val="single" w:sz="4" w:space="0" w:color="auto"/>
              <w:left w:val="nil"/>
              <w:bottom w:val="nil"/>
              <w:right w:val="nil"/>
            </w:tcBorders>
            <w:hideMark/>
          </w:tcPr>
          <w:p w14:paraId="3A16E5A9" w14:textId="77777777" w:rsidR="00241BDE" w:rsidRPr="00B35A22" w:rsidRDefault="00241BDE" w:rsidP="00B35A22">
            <w:pPr>
              <w:widowControl w:val="0"/>
              <w:jc w:val="both"/>
              <w:rPr>
                <w:sz w:val="22"/>
                <w:lang w:val="sr-Latn-ME"/>
              </w:rPr>
            </w:pPr>
            <w:r w:rsidRPr="00B35A22">
              <w:rPr>
                <w:sz w:val="22"/>
                <w:lang w:val="sr-Latn-ME"/>
              </w:rPr>
              <w:t>n = 107</w:t>
            </w:r>
          </w:p>
        </w:tc>
        <w:tc>
          <w:tcPr>
            <w:tcW w:w="1793" w:type="dxa"/>
            <w:tcBorders>
              <w:top w:val="single" w:sz="4" w:space="0" w:color="auto"/>
              <w:left w:val="nil"/>
              <w:bottom w:val="nil"/>
              <w:right w:val="single" w:sz="4" w:space="0" w:color="auto"/>
            </w:tcBorders>
            <w:hideMark/>
          </w:tcPr>
          <w:p w14:paraId="1B754B21" w14:textId="77777777" w:rsidR="00241BDE" w:rsidRPr="00B35A22" w:rsidRDefault="00241BDE" w:rsidP="00B35A22">
            <w:pPr>
              <w:widowControl w:val="0"/>
              <w:jc w:val="both"/>
              <w:rPr>
                <w:sz w:val="22"/>
                <w:lang w:val="sr-Latn-ME"/>
              </w:rPr>
            </w:pPr>
            <w:r w:rsidRPr="00B35A22">
              <w:rPr>
                <w:sz w:val="22"/>
                <w:lang w:val="sr-Latn-ME"/>
              </w:rPr>
              <w:t>n = 98</w:t>
            </w:r>
          </w:p>
        </w:tc>
      </w:tr>
      <w:tr w:rsidR="00CC0044" w:rsidRPr="00B35A22" w14:paraId="01B07132" w14:textId="77777777" w:rsidTr="005124BA">
        <w:tc>
          <w:tcPr>
            <w:tcW w:w="4811" w:type="dxa"/>
            <w:tcBorders>
              <w:top w:val="nil"/>
              <w:left w:val="single" w:sz="4" w:space="0" w:color="auto"/>
              <w:bottom w:val="nil"/>
              <w:right w:val="nil"/>
            </w:tcBorders>
            <w:hideMark/>
          </w:tcPr>
          <w:p w14:paraId="2E2E5BDE" w14:textId="77777777" w:rsidR="00241BDE" w:rsidRPr="00B35A22" w:rsidRDefault="00241BDE" w:rsidP="00B35A22">
            <w:pPr>
              <w:widowControl w:val="0"/>
              <w:jc w:val="both"/>
              <w:rPr>
                <w:sz w:val="22"/>
                <w:lang w:val="sr-Latn-ME"/>
              </w:rPr>
            </w:pPr>
            <w:r w:rsidRPr="00B35A22">
              <w:rPr>
                <w:sz w:val="22"/>
                <w:lang w:val="sr-Latn-ME"/>
              </w:rPr>
              <w:t>Broj događaja (%)</w:t>
            </w:r>
          </w:p>
        </w:tc>
        <w:tc>
          <w:tcPr>
            <w:tcW w:w="2610" w:type="dxa"/>
            <w:gridSpan w:val="2"/>
            <w:tcBorders>
              <w:top w:val="nil"/>
              <w:left w:val="nil"/>
              <w:bottom w:val="nil"/>
              <w:right w:val="nil"/>
            </w:tcBorders>
            <w:hideMark/>
          </w:tcPr>
          <w:p w14:paraId="43870F37" w14:textId="77777777" w:rsidR="00241BDE" w:rsidRPr="00B35A22" w:rsidRDefault="00241BDE" w:rsidP="00B35A22">
            <w:pPr>
              <w:widowControl w:val="0"/>
              <w:jc w:val="both"/>
              <w:rPr>
                <w:sz w:val="22"/>
                <w:lang w:val="sr-Latn-ME"/>
              </w:rPr>
            </w:pPr>
            <w:r w:rsidRPr="00B35A22">
              <w:rPr>
                <w:sz w:val="22"/>
                <w:lang w:val="sr-Latn-ME"/>
              </w:rPr>
              <w:t>82 (76,6%)</w:t>
            </w:r>
          </w:p>
        </w:tc>
        <w:tc>
          <w:tcPr>
            <w:tcW w:w="1793" w:type="dxa"/>
            <w:tcBorders>
              <w:top w:val="nil"/>
              <w:left w:val="nil"/>
              <w:bottom w:val="nil"/>
              <w:right w:val="single" w:sz="4" w:space="0" w:color="auto"/>
            </w:tcBorders>
            <w:hideMark/>
          </w:tcPr>
          <w:p w14:paraId="2F5F9A55" w14:textId="77777777" w:rsidR="00241BDE" w:rsidRPr="00B35A22" w:rsidRDefault="00241BDE" w:rsidP="00B35A22">
            <w:pPr>
              <w:widowControl w:val="0"/>
              <w:jc w:val="both"/>
              <w:rPr>
                <w:sz w:val="22"/>
                <w:lang w:val="sr-Latn-ME"/>
              </w:rPr>
            </w:pPr>
            <w:r w:rsidRPr="00B35A22">
              <w:rPr>
                <w:sz w:val="22"/>
                <w:lang w:val="sr-Latn-ME"/>
              </w:rPr>
              <w:t>87 (88,8%)</w:t>
            </w:r>
          </w:p>
        </w:tc>
      </w:tr>
      <w:tr w:rsidR="00CC0044" w:rsidRPr="00B35A22" w14:paraId="1DA0435A" w14:textId="77777777" w:rsidTr="005124BA">
        <w:tc>
          <w:tcPr>
            <w:tcW w:w="4811" w:type="dxa"/>
            <w:tcBorders>
              <w:top w:val="nil"/>
              <w:left w:val="single" w:sz="4" w:space="0" w:color="auto"/>
              <w:bottom w:val="nil"/>
              <w:right w:val="nil"/>
            </w:tcBorders>
            <w:hideMark/>
          </w:tcPr>
          <w:p w14:paraId="68F3351F" w14:textId="3E31A555" w:rsidR="00241BDE" w:rsidRPr="00B35A22" w:rsidRDefault="00241BDE" w:rsidP="00B35A22">
            <w:pPr>
              <w:widowControl w:val="0"/>
              <w:jc w:val="both"/>
              <w:rPr>
                <w:sz w:val="22"/>
                <w:lang w:val="sr-Latn-ME"/>
              </w:rPr>
            </w:pPr>
            <w:r w:rsidRPr="00B35A22">
              <w:rPr>
                <w:sz w:val="22"/>
                <w:lang w:val="sr-Latn-ME"/>
              </w:rPr>
              <w:t>Medijana trajanja PFS</w:t>
            </w:r>
            <w:r w:rsidRPr="00B35A22">
              <w:rPr>
                <w:sz w:val="22"/>
                <w:lang w:val="sr-Latn-ME"/>
              </w:rPr>
              <w:noBreakHyphen/>
              <w:t>a (mjeseci)</w:t>
            </w:r>
          </w:p>
        </w:tc>
        <w:tc>
          <w:tcPr>
            <w:tcW w:w="2610" w:type="dxa"/>
            <w:gridSpan w:val="2"/>
            <w:tcBorders>
              <w:top w:val="nil"/>
              <w:left w:val="nil"/>
              <w:bottom w:val="nil"/>
              <w:right w:val="nil"/>
            </w:tcBorders>
            <w:hideMark/>
          </w:tcPr>
          <w:p w14:paraId="5549DBAD" w14:textId="77777777" w:rsidR="00241BDE" w:rsidRPr="00B35A22" w:rsidRDefault="00241BDE" w:rsidP="00B35A22">
            <w:pPr>
              <w:widowControl w:val="0"/>
              <w:jc w:val="both"/>
              <w:rPr>
                <w:sz w:val="22"/>
                <w:lang w:val="sr-Latn-ME"/>
              </w:rPr>
            </w:pPr>
            <w:r w:rsidRPr="00B35A22">
              <w:rPr>
                <w:sz w:val="22"/>
                <w:lang w:val="sr-Latn-ME"/>
              </w:rPr>
              <w:t>8,2</w:t>
            </w:r>
          </w:p>
        </w:tc>
        <w:tc>
          <w:tcPr>
            <w:tcW w:w="1793" w:type="dxa"/>
            <w:tcBorders>
              <w:top w:val="nil"/>
              <w:left w:val="nil"/>
              <w:bottom w:val="nil"/>
              <w:right w:val="single" w:sz="4" w:space="0" w:color="auto"/>
            </w:tcBorders>
            <w:hideMark/>
          </w:tcPr>
          <w:p w14:paraId="0D7D5E88" w14:textId="77777777" w:rsidR="00241BDE" w:rsidRPr="00B35A22" w:rsidRDefault="00241BDE" w:rsidP="00B35A22">
            <w:pPr>
              <w:widowControl w:val="0"/>
              <w:jc w:val="both"/>
              <w:rPr>
                <w:sz w:val="22"/>
                <w:lang w:val="sr-Latn-ME"/>
              </w:rPr>
            </w:pPr>
            <w:r w:rsidRPr="00B35A22">
              <w:rPr>
                <w:sz w:val="22"/>
                <w:lang w:val="sr-Latn-ME"/>
              </w:rPr>
              <w:t>5,0</w:t>
            </w:r>
          </w:p>
        </w:tc>
      </w:tr>
      <w:tr w:rsidR="00CC0044" w:rsidRPr="00B35A22" w14:paraId="32145FE7" w14:textId="77777777" w:rsidTr="005124BA">
        <w:tc>
          <w:tcPr>
            <w:tcW w:w="4811" w:type="dxa"/>
            <w:tcBorders>
              <w:top w:val="nil"/>
              <w:left w:val="single" w:sz="4" w:space="0" w:color="auto"/>
              <w:bottom w:val="nil"/>
              <w:right w:val="nil"/>
            </w:tcBorders>
            <w:hideMark/>
          </w:tcPr>
          <w:p w14:paraId="28449329" w14:textId="77777777" w:rsidR="00241BDE" w:rsidRPr="00B35A22" w:rsidRDefault="00241BDE" w:rsidP="00B35A22">
            <w:pPr>
              <w:widowControl w:val="0"/>
              <w:jc w:val="both"/>
              <w:rPr>
                <w:sz w:val="22"/>
                <w:lang w:val="sr-Latn-ME"/>
              </w:rPr>
            </w:pPr>
            <w:r w:rsidRPr="00B35A22">
              <w:rPr>
                <w:sz w:val="22"/>
                <w:lang w:val="sr-Latn-ME"/>
              </w:rPr>
              <w:t>95% CI</w:t>
            </w:r>
          </w:p>
        </w:tc>
        <w:tc>
          <w:tcPr>
            <w:tcW w:w="2610" w:type="dxa"/>
            <w:gridSpan w:val="2"/>
            <w:tcBorders>
              <w:top w:val="nil"/>
              <w:left w:val="nil"/>
              <w:bottom w:val="nil"/>
              <w:right w:val="nil"/>
            </w:tcBorders>
            <w:hideMark/>
          </w:tcPr>
          <w:p w14:paraId="69CE5FF6" w14:textId="77777777" w:rsidR="00241BDE" w:rsidRPr="00B35A22" w:rsidRDefault="00241BDE" w:rsidP="00B35A22">
            <w:pPr>
              <w:widowControl w:val="0"/>
              <w:jc w:val="both"/>
              <w:rPr>
                <w:sz w:val="22"/>
                <w:lang w:val="sr-Latn-ME"/>
              </w:rPr>
            </w:pPr>
            <w:r w:rsidRPr="00B35A22">
              <w:rPr>
                <w:sz w:val="22"/>
                <w:lang w:val="sr-Latn-ME"/>
              </w:rPr>
              <w:t>(6,8; 11,4)</w:t>
            </w:r>
          </w:p>
        </w:tc>
        <w:tc>
          <w:tcPr>
            <w:tcW w:w="1793" w:type="dxa"/>
            <w:tcBorders>
              <w:top w:val="nil"/>
              <w:left w:val="nil"/>
              <w:bottom w:val="nil"/>
              <w:right w:val="single" w:sz="4" w:space="0" w:color="auto"/>
            </w:tcBorders>
            <w:hideMark/>
          </w:tcPr>
          <w:p w14:paraId="2D4458EE" w14:textId="77777777" w:rsidR="00241BDE" w:rsidRPr="00B35A22" w:rsidRDefault="00241BDE" w:rsidP="00B35A22">
            <w:pPr>
              <w:widowControl w:val="0"/>
              <w:jc w:val="both"/>
              <w:rPr>
                <w:sz w:val="22"/>
                <w:lang w:val="sr-Latn-ME"/>
              </w:rPr>
            </w:pPr>
            <w:r w:rsidRPr="00B35A22">
              <w:rPr>
                <w:sz w:val="22"/>
                <w:lang w:val="sr-Latn-ME"/>
              </w:rPr>
              <w:t>(4,2; 5,7)</w:t>
            </w:r>
          </w:p>
        </w:tc>
      </w:tr>
      <w:tr w:rsidR="00241BDE" w:rsidRPr="00B35A22" w14:paraId="7F2C1441" w14:textId="77777777" w:rsidTr="0065270B">
        <w:tc>
          <w:tcPr>
            <w:tcW w:w="4811" w:type="dxa"/>
            <w:tcBorders>
              <w:top w:val="nil"/>
              <w:left w:val="single" w:sz="4" w:space="0" w:color="auto"/>
              <w:bottom w:val="nil"/>
              <w:right w:val="nil"/>
            </w:tcBorders>
            <w:hideMark/>
          </w:tcPr>
          <w:p w14:paraId="52AFF8A8" w14:textId="77777777" w:rsidR="00241BDE" w:rsidRPr="00B35A22" w:rsidRDefault="00241BDE" w:rsidP="00B35A22">
            <w:pPr>
              <w:widowControl w:val="0"/>
              <w:jc w:val="both"/>
              <w:rPr>
                <w:sz w:val="22"/>
                <w:lang w:val="sr-Latn-ME"/>
              </w:rPr>
            </w:pPr>
            <w:r w:rsidRPr="00B35A22">
              <w:rPr>
                <w:sz w:val="22"/>
                <w:lang w:val="sr-Latn-ME"/>
              </w:rPr>
              <w:t>Stratifikovani koeficijent rizika (</w:t>
            </w:r>
            <w:r w:rsidRPr="00B35A22">
              <w:rPr>
                <w:i/>
                <w:sz w:val="22"/>
                <w:lang w:val="sr-Latn-ME"/>
              </w:rPr>
              <w:t>hazard ratio</w:t>
            </w:r>
            <w:r w:rsidRPr="00B35A22">
              <w:rPr>
                <w:sz w:val="22"/>
                <w:lang w:val="sr-Latn-ME"/>
              </w:rPr>
              <w:t>)</w:t>
            </w:r>
            <w:r w:rsidRPr="00B35A22">
              <w:rPr>
                <w:sz w:val="22"/>
                <w:vertAlign w:val="superscript"/>
                <w:lang w:val="sr-Latn-ME"/>
              </w:rPr>
              <w:t>‡</w:t>
            </w:r>
            <w:r w:rsidRPr="00B35A22">
              <w:rPr>
                <w:sz w:val="22"/>
                <w:lang w:val="sr-Latn-ME"/>
              </w:rPr>
              <w:t xml:space="preserve"> (95% CI)</w:t>
            </w:r>
          </w:p>
        </w:tc>
        <w:tc>
          <w:tcPr>
            <w:tcW w:w="4403" w:type="dxa"/>
            <w:gridSpan w:val="3"/>
            <w:tcBorders>
              <w:top w:val="nil"/>
              <w:left w:val="nil"/>
              <w:bottom w:val="nil"/>
              <w:right w:val="single" w:sz="4" w:space="0" w:color="auto"/>
            </w:tcBorders>
            <w:hideMark/>
          </w:tcPr>
          <w:p w14:paraId="43E339C5" w14:textId="77777777" w:rsidR="00241BDE" w:rsidRPr="00B35A22" w:rsidRDefault="00241BDE" w:rsidP="00B35A22">
            <w:pPr>
              <w:widowControl w:val="0"/>
              <w:jc w:val="both"/>
              <w:rPr>
                <w:sz w:val="22"/>
                <w:lang w:val="sr-Latn-ME"/>
              </w:rPr>
            </w:pPr>
            <w:r w:rsidRPr="00B35A22">
              <w:rPr>
                <w:sz w:val="22"/>
                <w:lang w:val="sr-Latn-ME"/>
              </w:rPr>
              <w:t xml:space="preserve">                 0,59 (0,43; 0,81)</w:t>
            </w:r>
          </w:p>
        </w:tc>
      </w:tr>
      <w:tr w:rsidR="00CC0044" w:rsidRPr="00B35A22" w14:paraId="234520DE" w14:textId="77777777" w:rsidTr="005124BA">
        <w:tc>
          <w:tcPr>
            <w:tcW w:w="4811" w:type="dxa"/>
            <w:tcBorders>
              <w:top w:val="nil"/>
              <w:left w:val="single" w:sz="4" w:space="0" w:color="auto"/>
              <w:bottom w:val="nil"/>
              <w:right w:val="nil"/>
            </w:tcBorders>
            <w:hideMark/>
          </w:tcPr>
          <w:p w14:paraId="5911EBB6" w14:textId="449436EF" w:rsidR="00241BDE" w:rsidRPr="00B35A22" w:rsidRDefault="00241BDE" w:rsidP="00B35A22">
            <w:pPr>
              <w:widowControl w:val="0"/>
              <w:jc w:val="both"/>
              <w:rPr>
                <w:sz w:val="22"/>
                <w:lang w:val="sr-Latn-ME"/>
              </w:rPr>
            </w:pPr>
            <w:r w:rsidRPr="00B35A22">
              <w:rPr>
                <w:sz w:val="22"/>
                <w:lang w:val="sr-Latn-ME"/>
              </w:rPr>
              <w:t>12</w:t>
            </w:r>
            <w:r w:rsidRPr="00B35A22">
              <w:rPr>
                <w:sz w:val="22"/>
                <w:lang w:val="sr-Latn-ME"/>
              </w:rPr>
              <w:noBreakHyphen/>
              <w:t>mjesečni PFS (%)</w:t>
            </w:r>
          </w:p>
        </w:tc>
        <w:tc>
          <w:tcPr>
            <w:tcW w:w="2532" w:type="dxa"/>
            <w:tcBorders>
              <w:top w:val="nil"/>
              <w:left w:val="nil"/>
              <w:bottom w:val="nil"/>
              <w:right w:val="nil"/>
            </w:tcBorders>
            <w:hideMark/>
          </w:tcPr>
          <w:p w14:paraId="1F8C86C0" w14:textId="77777777" w:rsidR="00241BDE" w:rsidRPr="00B35A22" w:rsidRDefault="00241BDE" w:rsidP="00B35A22">
            <w:pPr>
              <w:widowControl w:val="0"/>
              <w:jc w:val="both"/>
              <w:rPr>
                <w:sz w:val="22"/>
                <w:lang w:val="sr-Latn-ME"/>
              </w:rPr>
            </w:pPr>
            <w:r w:rsidRPr="00B35A22">
              <w:rPr>
                <w:sz w:val="22"/>
                <w:lang w:val="sr-Latn-ME"/>
              </w:rPr>
              <w:t>39,2</w:t>
            </w:r>
          </w:p>
        </w:tc>
        <w:tc>
          <w:tcPr>
            <w:tcW w:w="1871" w:type="dxa"/>
            <w:gridSpan w:val="2"/>
            <w:tcBorders>
              <w:top w:val="nil"/>
              <w:left w:val="nil"/>
              <w:bottom w:val="nil"/>
              <w:right w:val="single" w:sz="4" w:space="0" w:color="auto"/>
            </w:tcBorders>
            <w:hideMark/>
          </w:tcPr>
          <w:p w14:paraId="6D1A4139" w14:textId="77777777" w:rsidR="00241BDE" w:rsidRPr="00B35A22" w:rsidRDefault="00241BDE" w:rsidP="00B35A22">
            <w:pPr>
              <w:widowControl w:val="0"/>
              <w:jc w:val="both"/>
              <w:rPr>
                <w:sz w:val="22"/>
                <w:lang w:val="sr-Latn-ME"/>
              </w:rPr>
            </w:pPr>
            <w:r w:rsidRPr="00B35A22">
              <w:rPr>
                <w:sz w:val="22"/>
                <w:lang w:val="sr-Latn-ME"/>
              </w:rPr>
              <w:t>19,2</w:t>
            </w:r>
          </w:p>
        </w:tc>
      </w:tr>
      <w:tr w:rsidR="00CC0044" w:rsidRPr="00B35A22" w14:paraId="1CB5DE84" w14:textId="77777777" w:rsidTr="005124BA">
        <w:tc>
          <w:tcPr>
            <w:tcW w:w="4811" w:type="dxa"/>
            <w:tcBorders>
              <w:top w:val="single" w:sz="4" w:space="0" w:color="auto"/>
              <w:left w:val="single" w:sz="4" w:space="0" w:color="auto"/>
              <w:bottom w:val="nil"/>
              <w:right w:val="nil"/>
            </w:tcBorders>
            <w:hideMark/>
          </w:tcPr>
          <w:p w14:paraId="2E0AB38D" w14:textId="3350CEFB" w:rsidR="00241BDE" w:rsidRPr="00B35A22" w:rsidRDefault="00241BDE" w:rsidP="00B35A22">
            <w:pPr>
              <w:widowControl w:val="0"/>
              <w:jc w:val="both"/>
              <w:rPr>
                <w:b/>
                <w:i/>
                <w:sz w:val="22"/>
                <w:lang w:val="sr-Latn-ME"/>
              </w:rPr>
            </w:pPr>
            <w:r w:rsidRPr="00B35A22">
              <w:rPr>
                <w:b/>
                <w:i/>
                <w:sz w:val="22"/>
                <w:lang w:val="sr-Latn-ME"/>
              </w:rPr>
              <w:t>ORR prema procjeni istraživača (RECIST v1.1)</w:t>
            </w:r>
          </w:p>
        </w:tc>
        <w:tc>
          <w:tcPr>
            <w:tcW w:w="2610" w:type="dxa"/>
            <w:gridSpan w:val="2"/>
            <w:tcBorders>
              <w:top w:val="single" w:sz="4" w:space="0" w:color="auto"/>
              <w:left w:val="nil"/>
              <w:bottom w:val="nil"/>
              <w:right w:val="nil"/>
            </w:tcBorders>
            <w:hideMark/>
          </w:tcPr>
          <w:p w14:paraId="6B96E5F6" w14:textId="77777777" w:rsidR="00241BDE" w:rsidRPr="00B35A22" w:rsidRDefault="00241BDE" w:rsidP="00B35A22">
            <w:pPr>
              <w:widowControl w:val="0"/>
              <w:jc w:val="both"/>
              <w:rPr>
                <w:sz w:val="22"/>
                <w:lang w:val="sr-Latn-ME"/>
              </w:rPr>
            </w:pPr>
            <w:r w:rsidRPr="00B35A22">
              <w:rPr>
                <w:sz w:val="22"/>
                <w:lang w:val="sr-Latn-ME"/>
              </w:rPr>
              <w:t>n = 107</w:t>
            </w:r>
          </w:p>
        </w:tc>
        <w:tc>
          <w:tcPr>
            <w:tcW w:w="1793" w:type="dxa"/>
            <w:tcBorders>
              <w:top w:val="single" w:sz="4" w:space="0" w:color="auto"/>
              <w:left w:val="nil"/>
              <w:bottom w:val="nil"/>
              <w:right w:val="single" w:sz="4" w:space="0" w:color="auto"/>
            </w:tcBorders>
            <w:hideMark/>
          </w:tcPr>
          <w:p w14:paraId="170101FC" w14:textId="77777777" w:rsidR="00241BDE" w:rsidRPr="00B35A22" w:rsidRDefault="00241BDE" w:rsidP="00B35A22">
            <w:pPr>
              <w:widowControl w:val="0"/>
              <w:jc w:val="both"/>
              <w:rPr>
                <w:sz w:val="22"/>
                <w:lang w:val="sr-Latn-ME"/>
              </w:rPr>
            </w:pPr>
            <w:r w:rsidRPr="00B35A22">
              <w:rPr>
                <w:sz w:val="22"/>
                <w:lang w:val="sr-Latn-ME"/>
              </w:rPr>
              <w:t>n = 98</w:t>
            </w:r>
          </w:p>
        </w:tc>
      </w:tr>
      <w:tr w:rsidR="00CC0044" w:rsidRPr="00B35A22" w14:paraId="6CCA9941" w14:textId="77777777" w:rsidTr="005124BA">
        <w:tc>
          <w:tcPr>
            <w:tcW w:w="4811" w:type="dxa"/>
            <w:tcBorders>
              <w:top w:val="nil"/>
              <w:left w:val="single" w:sz="4" w:space="0" w:color="auto"/>
              <w:bottom w:val="nil"/>
              <w:right w:val="nil"/>
            </w:tcBorders>
            <w:hideMark/>
          </w:tcPr>
          <w:p w14:paraId="082629C0" w14:textId="77777777" w:rsidR="00241BDE" w:rsidRPr="00B35A22" w:rsidRDefault="00241BDE" w:rsidP="00B35A22">
            <w:pPr>
              <w:widowControl w:val="0"/>
              <w:jc w:val="both"/>
              <w:rPr>
                <w:sz w:val="22"/>
                <w:lang w:val="sr-Latn-ME"/>
              </w:rPr>
            </w:pPr>
            <w:r w:rsidRPr="00B35A22">
              <w:rPr>
                <w:sz w:val="22"/>
                <w:lang w:val="sr-Latn-ME"/>
              </w:rPr>
              <w:t>Broj pacijenata sa odgovorom (%)</w:t>
            </w:r>
          </w:p>
        </w:tc>
        <w:tc>
          <w:tcPr>
            <w:tcW w:w="2610" w:type="dxa"/>
            <w:gridSpan w:val="2"/>
            <w:tcBorders>
              <w:top w:val="nil"/>
              <w:left w:val="nil"/>
              <w:bottom w:val="nil"/>
              <w:right w:val="nil"/>
            </w:tcBorders>
            <w:hideMark/>
          </w:tcPr>
          <w:p w14:paraId="3B1C5C47" w14:textId="77777777" w:rsidR="00241BDE" w:rsidRPr="00B35A22" w:rsidRDefault="00241BDE" w:rsidP="00B35A22">
            <w:pPr>
              <w:widowControl w:val="0"/>
              <w:jc w:val="both"/>
              <w:rPr>
                <w:sz w:val="22"/>
                <w:lang w:val="sr-Latn-ME"/>
              </w:rPr>
            </w:pPr>
            <w:r w:rsidRPr="00B35A22">
              <w:rPr>
                <w:sz w:val="22"/>
                <w:lang w:val="sr-Latn-ME"/>
              </w:rPr>
              <w:t>43 (40,2%)</w:t>
            </w:r>
          </w:p>
        </w:tc>
        <w:tc>
          <w:tcPr>
            <w:tcW w:w="1793" w:type="dxa"/>
            <w:tcBorders>
              <w:top w:val="nil"/>
              <w:left w:val="nil"/>
              <w:bottom w:val="nil"/>
              <w:right w:val="single" w:sz="4" w:space="0" w:color="auto"/>
            </w:tcBorders>
            <w:hideMark/>
          </w:tcPr>
          <w:p w14:paraId="4A0CEC1B" w14:textId="77777777" w:rsidR="00241BDE" w:rsidRPr="00B35A22" w:rsidRDefault="00241BDE" w:rsidP="00B35A22">
            <w:pPr>
              <w:widowControl w:val="0"/>
              <w:jc w:val="both"/>
              <w:rPr>
                <w:sz w:val="22"/>
                <w:lang w:val="sr-Latn-ME"/>
              </w:rPr>
            </w:pPr>
            <w:r w:rsidRPr="00B35A22">
              <w:rPr>
                <w:sz w:val="22"/>
                <w:lang w:val="sr-Latn-ME"/>
              </w:rPr>
              <w:t>28 (28,6%)</w:t>
            </w:r>
          </w:p>
        </w:tc>
      </w:tr>
      <w:tr w:rsidR="00CC0044" w:rsidRPr="00B35A22" w14:paraId="06BAABD4" w14:textId="77777777" w:rsidTr="005124BA">
        <w:tc>
          <w:tcPr>
            <w:tcW w:w="4811" w:type="dxa"/>
            <w:tcBorders>
              <w:top w:val="nil"/>
              <w:left w:val="single" w:sz="4" w:space="0" w:color="auto"/>
              <w:bottom w:val="nil"/>
              <w:right w:val="nil"/>
            </w:tcBorders>
            <w:hideMark/>
          </w:tcPr>
          <w:p w14:paraId="33663D76" w14:textId="77777777" w:rsidR="00241BDE" w:rsidRPr="00B35A22" w:rsidRDefault="00241BDE" w:rsidP="00B35A22">
            <w:pPr>
              <w:widowControl w:val="0"/>
              <w:jc w:val="both"/>
              <w:rPr>
                <w:sz w:val="22"/>
                <w:lang w:val="sr-Latn-ME"/>
              </w:rPr>
            </w:pPr>
            <w:r w:rsidRPr="00B35A22">
              <w:rPr>
                <w:sz w:val="22"/>
                <w:lang w:val="sr-Latn-ME"/>
              </w:rPr>
              <w:t>95% CI</w:t>
            </w:r>
          </w:p>
        </w:tc>
        <w:tc>
          <w:tcPr>
            <w:tcW w:w="2610" w:type="dxa"/>
            <w:gridSpan w:val="2"/>
            <w:tcBorders>
              <w:top w:val="nil"/>
              <w:left w:val="nil"/>
              <w:bottom w:val="nil"/>
              <w:right w:val="nil"/>
            </w:tcBorders>
            <w:hideMark/>
          </w:tcPr>
          <w:p w14:paraId="7450B29A" w14:textId="77777777" w:rsidR="00241BDE" w:rsidRPr="00B35A22" w:rsidRDefault="00241BDE" w:rsidP="00B35A22">
            <w:pPr>
              <w:widowControl w:val="0"/>
              <w:jc w:val="both"/>
              <w:rPr>
                <w:sz w:val="22"/>
                <w:lang w:val="sr-Latn-ME"/>
              </w:rPr>
            </w:pPr>
            <w:r w:rsidRPr="00B35A22">
              <w:rPr>
                <w:sz w:val="22"/>
                <w:lang w:val="sr-Latn-ME"/>
              </w:rPr>
              <w:t>(30,8; 50,1)</w:t>
            </w:r>
          </w:p>
        </w:tc>
        <w:tc>
          <w:tcPr>
            <w:tcW w:w="1793" w:type="dxa"/>
            <w:tcBorders>
              <w:top w:val="nil"/>
              <w:left w:val="nil"/>
              <w:bottom w:val="nil"/>
              <w:right w:val="single" w:sz="4" w:space="0" w:color="auto"/>
            </w:tcBorders>
            <w:hideMark/>
          </w:tcPr>
          <w:p w14:paraId="56E0BCDF" w14:textId="77777777" w:rsidR="00241BDE" w:rsidRPr="00B35A22" w:rsidRDefault="00241BDE" w:rsidP="00B35A22">
            <w:pPr>
              <w:widowControl w:val="0"/>
              <w:jc w:val="both"/>
              <w:rPr>
                <w:sz w:val="22"/>
                <w:lang w:val="sr-Latn-ME"/>
              </w:rPr>
            </w:pPr>
            <w:r w:rsidRPr="00B35A22">
              <w:rPr>
                <w:sz w:val="22"/>
                <w:lang w:val="sr-Latn-ME"/>
              </w:rPr>
              <w:t>(19,9; 38,6)</w:t>
            </w:r>
          </w:p>
        </w:tc>
      </w:tr>
      <w:tr w:rsidR="00CC0044" w:rsidRPr="00B35A22" w14:paraId="795B2382" w14:textId="77777777" w:rsidTr="005124BA">
        <w:tc>
          <w:tcPr>
            <w:tcW w:w="4811" w:type="dxa"/>
            <w:tcBorders>
              <w:top w:val="nil"/>
              <w:left w:val="single" w:sz="4" w:space="0" w:color="auto"/>
              <w:bottom w:val="nil"/>
              <w:right w:val="nil"/>
            </w:tcBorders>
            <w:hideMark/>
          </w:tcPr>
          <w:p w14:paraId="425E9E4F" w14:textId="77777777" w:rsidR="00241BDE" w:rsidRPr="00B35A22" w:rsidRDefault="00241BDE" w:rsidP="00B35A22">
            <w:pPr>
              <w:widowControl w:val="0"/>
              <w:jc w:val="both"/>
              <w:rPr>
                <w:sz w:val="22"/>
                <w:lang w:val="sr-Latn-ME"/>
              </w:rPr>
            </w:pPr>
            <w:r w:rsidRPr="00B35A22">
              <w:rPr>
                <w:sz w:val="22"/>
                <w:lang w:val="sr-Latn-ME"/>
              </w:rPr>
              <w:t>Broj pacijenata sa kompletnim odgovorom (%)</w:t>
            </w:r>
          </w:p>
        </w:tc>
        <w:tc>
          <w:tcPr>
            <w:tcW w:w="2610" w:type="dxa"/>
            <w:gridSpan w:val="2"/>
            <w:tcBorders>
              <w:top w:val="nil"/>
              <w:left w:val="nil"/>
              <w:bottom w:val="nil"/>
              <w:right w:val="nil"/>
            </w:tcBorders>
            <w:hideMark/>
          </w:tcPr>
          <w:p w14:paraId="42EC22AD" w14:textId="77777777" w:rsidR="00241BDE" w:rsidRPr="00B35A22" w:rsidRDefault="00241BDE" w:rsidP="00B35A22">
            <w:pPr>
              <w:widowControl w:val="0"/>
              <w:jc w:val="both"/>
              <w:rPr>
                <w:sz w:val="22"/>
                <w:lang w:val="sr-Latn-ME"/>
              </w:rPr>
            </w:pPr>
            <w:r w:rsidRPr="00B35A22">
              <w:rPr>
                <w:sz w:val="22"/>
                <w:lang w:val="sr-Latn-ME"/>
              </w:rPr>
              <w:t>1 (0,9%)</w:t>
            </w:r>
          </w:p>
        </w:tc>
        <w:tc>
          <w:tcPr>
            <w:tcW w:w="1793" w:type="dxa"/>
            <w:tcBorders>
              <w:top w:val="nil"/>
              <w:left w:val="nil"/>
              <w:bottom w:val="nil"/>
              <w:right w:val="single" w:sz="4" w:space="0" w:color="auto"/>
            </w:tcBorders>
            <w:hideMark/>
          </w:tcPr>
          <w:p w14:paraId="77FB28DA" w14:textId="77777777" w:rsidR="00241BDE" w:rsidRPr="00B35A22" w:rsidRDefault="00241BDE" w:rsidP="00B35A22">
            <w:pPr>
              <w:widowControl w:val="0"/>
              <w:jc w:val="both"/>
              <w:rPr>
                <w:sz w:val="22"/>
                <w:lang w:val="sr-Latn-ME"/>
              </w:rPr>
            </w:pPr>
            <w:r w:rsidRPr="00B35A22">
              <w:rPr>
                <w:sz w:val="22"/>
                <w:lang w:val="sr-Latn-ME"/>
              </w:rPr>
              <w:t>2 (2,0%)</w:t>
            </w:r>
          </w:p>
        </w:tc>
      </w:tr>
      <w:tr w:rsidR="00CC0044" w:rsidRPr="00B35A22" w14:paraId="0997AEFE" w14:textId="77777777" w:rsidTr="005124BA">
        <w:tc>
          <w:tcPr>
            <w:tcW w:w="4811" w:type="dxa"/>
            <w:tcBorders>
              <w:top w:val="nil"/>
              <w:left w:val="single" w:sz="4" w:space="0" w:color="auto"/>
              <w:bottom w:val="nil"/>
              <w:right w:val="nil"/>
            </w:tcBorders>
            <w:hideMark/>
          </w:tcPr>
          <w:p w14:paraId="386E3D38" w14:textId="77777777" w:rsidR="00241BDE" w:rsidRPr="00B35A22" w:rsidRDefault="00241BDE" w:rsidP="00B35A22">
            <w:pPr>
              <w:widowControl w:val="0"/>
              <w:jc w:val="both"/>
              <w:rPr>
                <w:sz w:val="22"/>
                <w:lang w:val="sr-Latn-ME"/>
              </w:rPr>
            </w:pPr>
            <w:r w:rsidRPr="00B35A22">
              <w:rPr>
                <w:sz w:val="22"/>
                <w:lang w:val="sr-Latn-ME"/>
              </w:rPr>
              <w:t>Broj pacijenata sa parcijalnim odgovorom (%)</w:t>
            </w:r>
          </w:p>
        </w:tc>
        <w:tc>
          <w:tcPr>
            <w:tcW w:w="2610" w:type="dxa"/>
            <w:gridSpan w:val="2"/>
            <w:tcBorders>
              <w:top w:val="nil"/>
              <w:left w:val="nil"/>
              <w:bottom w:val="nil"/>
              <w:right w:val="nil"/>
            </w:tcBorders>
            <w:hideMark/>
          </w:tcPr>
          <w:p w14:paraId="782F6515" w14:textId="77777777" w:rsidR="00241BDE" w:rsidRPr="00B35A22" w:rsidRDefault="00241BDE" w:rsidP="00B35A22">
            <w:pPr>
              <w:widowControl w:val="0"/>
              <w:jc w:val="both"/>
              <w:rPr>
                <w:sz w:val="22"/>
                <w:lang w:val="sr-Latn-ME"/>
              </w:rPr>
            </w:pPr>
            <w:r w:rsidRPr="00B35A22">
              <w:rPr>
                <w:sz w:val="22"/>
                <w:lang w:val="sr-Latn-ME"/>
              </w:rPr>
              <w:t>42 (39,3%)</w:t>
            </w:r>
          </w:p>
        </w:tc>
        <w:tc>
          <w:tcPr>
            <w:tcW w:w="1793" w:type="dxa"/>
            <w:tcBorders>
              <w:top w:val="nil"/>
              <w:left w:val="nil"/>
              <w:bottom w:val="nil"/>
              <w:right w:val="single" w:sz="4" w:space="0" w:color="auto"/>
            </w:tcBorders>
            <w:hideMark/>
          </w:tcPr>
          <w:p w14:paraId="4D45CB5E" w14:textId="77777777" w:rsidR="00241BDE" w:rsidRPr="00B35A22" w:rsidRDefault="00241BDE" w:rsidP="00B35A22">
            <w:pPr>
              <w:widowControl w:val="0"/>
              <w:jc w:val="both"/>
              <w:rPr>
                <w:sz w:val="22"/>
                <w:lang w:val="sr-Latn-ME"/>
              </w:rPr>
            </w:pPr>
            <w:r w:rsidRPr="00B35A22">
              <w:rPr>
                <w:sz w:val="22"/>
                <w:lang w:val="sr-Latn-ME"/>
              </w:rPr>
              <w:t>26 (26,5%)</w:t>
            </w:r>
          </w:p>
        </w:tc>
      </w:tr>
      <w:tr w:rsidR="00CC0044" w:rsidRPr="00B35A22" w14:paraId="12B1F640" w14:textId="77777777" w:rsidTr="005124BA">
        <w:tc>
          <w:tcPr>
            <w:tcW w:w="4811" w:type="dxa"/>
            <w:tcBorders>
              <w:top w:val="single" w:sz="4" w:space="0" w:color="auto"/>
              <w:left w:val="single" w:sz="4" w:space="0" w:color="auto"/>
              <w:bottom w:val="nil"/>
              <w:right w:val="nil"/>
            </w:tcBorders>
            <w:hideMark/>
          </w:tcPr>
          <w:p w14:paraId="1B20F196" w14:textId="3E71B70F" w:rsidR="00241BDE" w:rsidRPr="00B35A22" w:rsidRDefault="00241BDE" w:rsidP="00B35A22">
            <w:pPr>
              <w:widowControl w:val="0"/>
              <w:jc w:val="both"/>
              <w:rPr>
                <w:b/>
                <w:i/>
                <w:sz w:val="22"/>
                <w:lang w:val="sr-Latn-ME"/>
              </w:rPr>
            </w:pPr>
            <w:r w:rsidRPr="00B35A22">
              <w:rPr>
                <w:b/>
                <w:i/>
                <w:sz w:val="22"/>
                <w:lang w:val="sr-Latn-ME"/>
              </w:rPr>
              <w:t>Trajanje odgovora prema procjeni istraživača (RECIST v1.1)</w:t>
            </w:r>
          </w:p>
        </w:tc>
        <w:tc>
          <w:tcPr>
            <w:tcW w:w="2610" w:type="dxa"/>
            <w:gridSpan w:val="2"/>
            <w:tcBorders>
              <w:top w:val="single" w:sz="4" w:space="0" w:color="auto"/>
              <w:left w:val="nil"/>
              <w:bottom w:val="nil"/>
              <w:right w:val="nil"/>
            </w:tcBorders>
            <w:hideMark/>
          </w:tcPr>
          <w:p w14:paraId="59E0BA84" w14:textId="77777777" w:rsidR="00241BDE" w:rsidRPr="00B35A22" w:rsidRDefault="00241BDE" w:rsidP="00B35A22">
            <w:pPr>
              <w:widowControl w:val="0"/>
              <w:jc w:val="both"/>
              <w:rPr>
                <w:sz w:val="22"/>
                <w:lang w:val="sr-Latn-ME"/>
              </w:rPr>
            </w:pPr>
            <w:r w:rsidRPr="00B35A22">
              <w:rPr>
                <w:sz w:val="22"/>
                <w:lang w:val="sr-Latn-ME"/>
              </w:rPr>
              <w:t>n = 43</w:t>
            </w:r>
          </w:p>
        </w:tc>
        <w:tc>
          <w:tcPr>
            <w:tcW w:w="1793" w:type="dxa"/>
            <w:tcBorders>
              <w:top w:val="single" w:sz="4" w:space="0" w:color="auto"/>
              <w:left w:val="nil"/>
              <w:bottom w:val="nil"/>
              <w:right w:val="single" w:sz="4" w:space="0" w:color="auto"/>
            </w:tcBorders>
            <w:hideMark/>
          </w:tcPr>
          <w:p w14:paraId="1D604E8B" w14:textId="77777777" w:rsidR="00241BDE" w:rsidRPr="00B35A22" w:rsidRDefault="00241BDE" w:rsidP="00B35A22">
            <w:pPr>
              <w:widowControl w:val="0"/>
              <w:jc w:val="both"/>
              <w:rPr>
                <w:sz w:val="22"/>
                <w:lang w:val="sr-Latn-ME"/>
              </w:rPr>
            </w:pPr>
            <w:r w:rsidRPr="00B35A22">
              <w:rPr>
                <w:sz w:val="22"/>
                <w:lang w:val="sr-Latn-ME"/>
              </w:rPr>
              <w:t>n = 28</w:t>
            </w:r>
          </w:p>
        </w:tc>
      </w:tr>
      <w:tr w:rsidR="00CC0044" w:rsidRPr="00B35A22" w14:paraId="6B0A4989" w14:textId="77777777" w:rsidTr="005124BA">
        <w:tc>
          <w:tcPr>
            <w:tcW w:w="4811" w:type="dxa"/>
            <w:tcBorders>
              <w:top w:val="nil"/>
              <w:left w:val="single" w:sz="4" w:space="0" w:color="auto"/>
              <w:bottom w:val="nil"/>
              <w:right w:val="nil"/>
            </w:tcBorders>
            <w:hideMark/>
          </w:tcPr>
          <w:p w14:paraId="5040C13A" w14:textId="0C1C6749" w:rsidR="00241BDE" w:rsidRPr="00B35A22" w:rsidRDefault="00241BDE" w:rsidP="00B35A22">
            <w:pPr>
              <w:widowControl w:val="0"/>
              <w:jc w:val="both"/>
              <w:rPr>
                <w:sz w:val="22"/>
                <w:lang w:val="sr-Latn-ME"/>
              </w:rPr>
            </w:pPr>
            <w:r w:rsidRPr="00B35A22">
              <w:rPr>
                <w:sz w:val="22"/>
                <w:lang w:val="sr-Latn-ME"/>
              </w:rPr>
              <w:t>Medijana u mjesecima</w:t>
            </w:r>
          </w:p>
        </w:tc>
        <w:tc>
          <w:tcPr>
            <w:tcW w:w="2610" w:type="dxa"/>
            <w:gridSpan w:val="2"/>
            <w:tcBorders>
              <w:top w:val="nil"/>
              <w:left w:val="nil"/>
              <w:bottom w:val="nil"/>
              <w:right w:val="nil"/>
            </w:tcBorders>
            <w:hideMark/>
          </w:tcPr>
          <w:p w14:paraId="5F41AEF3" w14:textId="77777777" w:rsidR="00241BDE" w:rsidRPr="00B35A22" w:rsidRDefault="00241BDE" w:rsidP="00B35A22">
            <w:pPr>
              <w:widowControl w:val="0"/>
              <w:jc w:val="both"/>
              <w:rPr>
                <w:sz w:val="22"/>
                <w:lang w:val="sr-Latn-ME"/>
              </w:rPr>
            </w:pPr>
            <w:r w:rsidRPr="00B35A22">
              <w:rPr>
                <w:sz w:val="22"/>
                <w:lang w:val="sr-Latn-ME"/>
              </w:rPr>
              <w:t>38,9</w:t>
            </w:r>
          </w:p>
        </w:tc>
        <w:tc>
          <w:tcPr>
            <w:tcW w:w="1793" w:type="dxa"/>
            <w:tcBorders>
              <w:top w:val="nil"/>
              <w:left w:val="nil"/>
              <w:bottom w:val="nil"/>
              <w:right w:val="single" w:sz="4" w:space="0" w:color="auto"/>
            </w:tcBorders>
            <w:hideMark/>
          </w:tcPr>
          <w:p w14:paraId="75E19B28" w14:textId="77777777" w:rsidR="00241BDE" w:rsidRPr="00B35A22" w:rsidRDefault="00241BDE" w:rsidP="00B35A22">
            <w:pPr>
              <w:widowControl w:val="0"/>
              <w:jc w:val="both"/>
              <w:rPr>
                <w:sz w:val="22"/>
                <w:lang w:val="sr-Latn-ME"/>
              </w:rPr>
            </w:pPr>
            <w:r w:rsidRPr="00B35A22">
              <w:rPr>
                <w:sz w:val="22"/>
                <w:lang w:val="sr-Latn-ME"/>
              </w:rPr>
              <w:t>8,3</w:t>
            </w:r>
          </w:p>
        </w:tc>
      </w:tr>
      <w:tr w:rsidR="00CC0044" w:rsidRPr="00B35A22" w14:paraId="5CE8069C" w14:textId="77777777" w:rsidTr="005124BA">
        <w:tc>
          <w:tcPr>
            <w:tcW w:w="4811" w:type="dxa"/>
            <w:tcBorders>
              <w:top w:val="nil"/>
              <w:left w:val="single" w:sz="4" w:space="0" w:color="auto"/>
              <w:bottom w:val="single" w:sz="4" w:space="0" w:color="auto"/>
              <w:right w:val="nil"/>
            </w:tcBorders>
            <w:hideMark/>
          </w:tcPr>
          <w:p w14:paraId="04B3FE4A" w14:textId="77777777" w:rsidR="00241BDE" w:rsidRPr="00B35A22" w:rsidRDefault="00241BDE" w:rsidP="00B35A22">
            <w:pPr>
              <w:widowControl w:val="0"/>
              <w:jc w:val="both"/>
              <w:rPr>
                <w:sz w:val="22"/>
                <w:lang w:val="sr-Latn-ME"/>
              </w:rPr>
            </w:pPr>
            <w:r w:rsidRPr="00B35A22">
              <w:rPr>
                <w:sz w:val="22"/>
                <w:lang w:val="sr-Latn-ME"/>
              </w:rPr>
              <w:lastRenderedPageBreak/>
              <w:t>95% CI</w:t>
            </w:r>
          </w:p>
        </w:tc>
        <w:tc>
          <w:tcPr>
            <w:tcW w:w="2610" w:type="dxa"/>
            <w:gridSpan w:val="2"/>
            <w:tcBorders>
              <w:top w:val="nil"/>
              <w:left w:val="nil"/>
              <w:bottom w:val="single" w:sz="4" w:space="0" w:color="auto"/>
              <w:right w:val="nil"/>
            </w:tcBorders>
            <w:hideMark/>
          </w:tcPr>
          <w:p w14:paraId="082F178E" w14:textId="77777777" w:rsidR="00241BDE" w:rsidRPr="00B35A22" w:rsidRDefault="00241BDE" w:rsidP="00B35A22">
            <w:pPr>
              <w:widowControl w:val="0"/>
              <w:jc w:val="both"/>
              <w:rPr>
                <w:sz w:val="22"/>
                <w:lang w:val="sr-Latn-ME"/>
              </w:rPr>
            </w:pPr>
            <w:r w:rsidRPr="00B35A22">
              <w:rPr>
                <w:sz w:val="22"/>
                <w:lang w:val="sr-Latn-ME"/>
              </w:rPr>
              <w:t>(16,1; NP)</w:t>
            </w:r>
          </w:p>
        </w:tc>
        <w:tc>
          <w:tcPr>
            <w:tcW w:w="1793" w:type="dxa"/>
            <w:tcBorders>
              <w:top w:val="nil"/>
              <w:left w:val="nil"/>
              <w:bottom w:val="single" w:sz="4" w:space="0" w:color="auto"/>
              <w:right w:val="single" w:sz="4" w:space="0" w:color="auto"/>
            </w:tcBorders>
            <w:hideMark/>
          </w:tcPr>
          <w:p w14:paraId="11A75EAE" w14:textId="77777777" w:rsidR="00241BDE" w:rsidRPr="00B35A22" w:rsidRDefault="00241BDE" w:rsidP="00B35A22">
            <w:pPr>
              <w:widowControl w:val="0"/>
              <w:jc w:val="both"/>
              <w:rPr>
                <w:sz w:val="22"/>
                <w:lang w:val="sr-Latn-ME"/>
              </w:rPr>
            </w:pPr>
            <w:r w:rsidRPr="00B35A22">
              <w:rPr>
                <w:sz w:val="22"/>
                <w:lang w:val="sr-Latn-ME"/>
              </w:rPr>
              <w:t>(5,6; 11,0)</w:t>
            </w:r>
          </w:p>
        </w:tc>
      </w:tr>
    </w:tbl>
    <w:p w14:paraId="4C5280DD" w14:textId="4E3B5AA6" w:rsidR="00241BDE" w:rsidRPr="00B35A22" w:rsidRDefault="00241BDE" w:rsidP="00B35A22">
      <w:pPr>
        <w:pStyle w:val="Paragraph"/>
        <w:widowControl w:val="0"/>
        <w:spacing w:after="0" w:line="0" w:lineRule="atLeast"/>
        <w:jc w:val="both"/>
        <w:rPr>
          <w:rFonts w:ascii="Times New Roman" w:hAnsi="Times New Roman"/>
          <w:sz w:val="20"/>
        </w:rPr>
      </w:pPr>
      <w:r w:rsidRPr="00B35A22">
        <w:rPr>
          <w:rFonts w:ascii="Times New Roman" w:hAnsi="Times New Roman"/>
          <w:sz w:val="20"/>
        </w:rPr>
        <w:t>‡ Stratifikovano prema polu i ECOG performans statusu (0 u odnosu na 1)</w:t>
      </w:r>
      <w:r w:rsidRPr="00B35A22">
        <w:rPr>
          <w:rFonts w:ascii="Times New Roman" w:hAnsi="Times New Roman"/>
          <w:sz w:val="20"/>
        </w:rPr>
        <w:br/>
        <w:t>PFS = preživljavanje bez progresije bolesti; RECIST v1.1 = verzija 1.1 Kriterijum za proc</w:t>
      </w:r>
      <w:r w:rsidR="009F727D" w:rsidRPr="00B35A22">
        <w:rPr>
          <w:rFonts w:ascii="Times New Roman" w:hAnsi="Times New Roman"/>
          <w:sz w:val="20"/>
        </w:rPr>
        <w:t>j</w:t>
      </w:r>
      <w:r w:rsidRPr="00B35A22">
        <w:rPr>
          <w:rFonts w:ascii="Times New Roman" w:hAnsi="Times New Roman"/>
          <w:sz w:val="20"/>
        </w:rPr>
        <w:t>enu odgovora kod solidnih tumora; CI = interval pouzdanosti; ORR = stopa objektivnog odgovora; OS = ukupno preživljavanje; NP = ne može se procijeniti.</w:t>
      </w:r>
    </w:p>
    <w:p w14:paraId="21D2C132" w14:textId="77777777" w:rsidR="00241BDE" w:rsidRPr="00B35A22" w:rsidRDefault="00241BDE" w:rsidP="00B35A22">
      <w:pPr>
        <w:widowControl w:val="0"/>
        <w:jc w:val="both"/>
        <w:rPr>
          <w:b/>
          <w:sz w:val="22"/>
          <w:szCs w:val="22"/>
          <w:lang w:val="sr-Latn-ME"/>
        </w:rPr>
      </w:pPr>
    </w:p>
    <w:p w14:paraId="2D4A700F" w14:textId="47A33378" w:rsidR="00241BDE" w:rsidRPr="00B35A22" w:rsidRDefault="00241BDE" w:rsidP="00B35A22">
      <w:pPr>
        <w:widowControl w:val="0"/>
        <w:jc w:val="both"/>
        <w:rPr>
          <w:b/>
          <w:sz w:val="22"/>
          <w:lang w:val="sr-Latn-ME"/>
        </w:rPr>
      </w:pPr>
      <w:r w:rsidRPr="00B35A22">
        <w:rPr>
          <w:b/>
          <w:sz w:val="22"/>
          <w:lang w:val="sr-Latn-ME"/>
        </w:rPr>
        <w:t xml:space="preserve">Slika </w:t>
      </w:r>
      <w:r w:rsidR="00D5115F" w:rsidRPr="00B35A22">
        <w:rPr>
          <w:b/>
          <w:sz w:val="22"/>
          <w:lang w:val="sr-Latn-ME"/>
        </w:rPr>
        <w:t>12</w:t>
      </w:r>
      <w:r w:rsidRPr="00B35A22">
        <w:rPr>
          <w:b/>
          <w:sz w:val="22"/>
          <w:lang w:val="sr-Latn-ME"/>
        </w:rPr>
        <w:t xml:space="preserve">: </w:t>
      </w:r>
      <w:r w:rsidRPr="00B35A22">
        <w:rPr>
          <w:b/>
          <w:i/>
          <w:sz w:val="22"/>
          <w:lang w:val="sr-Latn-ME"/>
        </w:rPr>
        <w:t>Kaplan-Meier</w:t>
      </w:r>
      <w:r w:rsidRPr="00B35A22">
        <w:rPr>
          <w:b/>
          <w:sz w:val="22"/>
          <w:lang w:val="sr-Latn-ME"/>
        </w:rPr>
        <w:t>-ova kriva ukupnog preživljavanja kod pacijenata sa visokom ekspresijom PD</w:t>
      </w:r>
      <w:r w:rsidRPr="00B35A22">
        <w:rPr>
          <w:b/>
          <w:sz w:val="22"/>
          <w:lang w:val="sr-Latn-ME"/>
        </w:rPr>
        <w:noBreakHyphen/>
        <w:t>L1 od ≥ 50% na tumorskim ćelijama (TC) ili ≥ 10% na ćelijama imunog sistema koje se infiltriraju u tumor (IC) (IMpower110)</w:t>
      </w:r>
    </w:p>
    <w:p w14:paraId="1BB9C193" w14:textId="77777777" w:rsidR="00241BDE" w:rsidRPr="00B35A22" w:rsidRDefault="00241BDE" w:rsidP="00B35A22">
      <w:pPr>
        <w:widowControl w:val="0"/>
        <w:jc w:val="both"/>
        <w:rPr>
          <w:b/>
          <w:sz w:val="22"/>
          <w:lang w:val="sr-Latn-ME"/>
        </w:rPr>
      </w:pPr>
    </w:p>
    <w:p w14:paraId="23D91A9A" w14:textId="77777777" w:rsidR="00241BDE" w:rsidRPr="00B35A22" w:rsidRDefault="007F3D78" w:rsidP="00B35A22">
      <w:pPr>
        <w:widowControl w:val="0"/>
        <w:jc w:val="both"/>
        <w:rPr>
          <w:b/>
          <w:sz w:val="22"/>
          <w:szCs w:val="22"/>
          <w:lang w:val="sr-Latn-ME"/>
        </w:rPr>
      </w:pPr>
      <w:r w:rsidRPr="00B35A22">
        <w:rPr>
          <w:lang w:val="sr-Latn-ME" w:eastAsia="sr-Latn-ME"/>
        </w:rPr>
        <w:drawing>
          <wp:inline distT="0" distB="0" distL="0" distR="0" wp14:anchorId="5ADE4F4C" wp14:editId="1D951025">
            <wp:extent cx="5600065" cy="26193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493" b="4211"/>
                    <a:stretch/>
                  </pic:blipFill>
                  <pic:spPr bwMode="auto">
                    <a:xfrm>
                      <a:off x="0" y="0"/>
                      <a:ext cx="5620787" cy="2629068"/>
                    </a:xfrm>
                    <a:prstGeom prst="rect">
                      <a:avLst/>
                    </a:prstGeom>
                    <a:ln>
                      <a:noFill/>
                    </a:ln>
                    <a:extLst>
                      <a:ext uri="{53640926-AAD7-44D8-BBD7-CCE9431645EC}">
                        <a14:shadowObscured xmlns:a14="http://schemas.microsoft.com/office/drawing/2010/main"/>
                      </a:ext>
                    </a:extLst>
                  </pic:spPr>
                </pic:pic>
              </a:graphicData>
            </a:graphic>
          </wp:inline>
        </w:drawing>
      </w:r>
    </w:p>
    <w:p w14:paraId="1259B52A" w14:textId="77777777" w:rsidR="00241BDE" w:rsidRPr="00B35A22" w:rsidRDefault="00241BDE" w:rsidP="00B35A22">
      <w:pPr>
        <w:widowControl w:val="0"/>
        <w:jc w:val="both"/>
        <w:rPr>
          <w:b/>
          <w:sz w:val="22"/>
          <w:lang w:val="sr-Latn-ME"/>
        </w:rPr>
      </w:pPr>
    </w:p>
    <w:p w14:paraId="1687C31C" w14:textId="53CCA812" w:rsidR="00241BDE" w:rsidRPr="00B35A22" w:rsidRDefault="00241BDE" w:rsidP="00B35A22">
      <w:pPr>
        <w:widowControl w:val="0"/>
        <w:jc w:val="both"/>
        <w:rPr>
          <w:b/>
          <w:sz w:val="22"/>
          <w:lang w:val="sr-Latn-ME"/>
        </w:rPr>
      </w:pPr>
      <w:r w:rsidRPr="00B35A22">
        <w:rPr>
          <w:b/>
          <w:sz w:val="22"/>
          <w:lang w:val="sr-Latn-ME"/>
        </w:rPr>
        <w:t>Slika </w:t>
      </w:r>
      <w:r w:rsidR="00D5115F" w:rsidRPr="00B35A22">
        <w:rPr>
          <w:b/>
          <w:sz w:val="22"/>
          <w:lang w:val="sr-Latn-ME"/>
        </w:rPr>
        <w:t>13</w:t>
      </w:r>
      <w:r w:rsidRPr="00B35A22">
        <w:rPr>
          <w:b/>
          <w:sz w:val="22"/>
          <w:lang w:val="sr-Latn-ME"/>
        </w:rPr>
        <w:t xml:space="preserve">: </w:t>
      </w:r>
      <w:r w:rsidRPr="00B35A22">
        <w:rPr>
          <w:b/>
          <w:i/>
          <w:sz w:val="22"/>
          <w:lang w:val="sr-Latn-ME"/>
        </w:rPr>
        <w:t>Kaplan-Meier</w:t>
      </w:r>
      <w:r w:rsidRPr="00B35A22">
        <w:rPr>
          <w:b/>
          <w:sz w:val="22"/>
          <w:lang w:val="sr-Latn-ME"/>
        </w:rPr>
        <w:t>-ova kriva preživljavanja bez progresije bolesti kod pacijenata sa visokom ekspresijom PD</w:t>
      </w:r>
      <w:r w:rsidRPr="00B35A22">
        <w:rPr>
          <w:b/>
          <w:sz w:val="22"/>
          <w:lang w:val="sr-Latn-ME"/>
        </w:rPr>
        <w:noBreakHyphen/>
        <w:t xml:space="preserve">L1 od ≥ 50% na tumorskim ćelijama (TC) ili ≥ 10% na ćelijama imunog sistema koje se infiltriraju u tumor (IC) (IMpower110) </w:t>
      </w:r>
    </w:p>
    <w:p w14:paraId="7154BB25" w14:textId="77777777" w:rsidR="00241BDE" w:rsidRPr="00B35A22" w:rsidRDefault="00241BDE" w:rsidP="00B35A22">
      <w:pPr>
        <w:widowControl w:val="0"/>
        <w:jc w:val="both"/>
        <w:rPr>
          <w:b/>
          <w:sz w:val="22"/>
          <w:lang w:val="sr-Latn-ME"/>
        </w:rPr>
      </w:pPr>
    </w:p>
    <w:p w14:paraId="7A9926BE" w14:textId="77777777" w:rsidR="00241BDE" w:rsidRPr="00B35A22" w:rsidRDefault="007F3D78" w:rsidP="00B35A22">
      <w:pPr>
        <w:widowControl w:val="0"/>
        <w:jc w:val="both"/>
        <w:rPr>
          <w:b/>
          <w:sz w:val="22"/>
          <w:szCs w:val="22"/>
          <w:lang w:val="sr-Latn-ME"/>
        </w:rPr>
      </w:pPr>
      <w:r w:rsidRPr="00B35A22">
        <w:rPr>
          <w:lang w:val="sr-Latn-ME" w:eastAsia="sr-Latn-ME"/>
        </w:rPr>
        <w:drawing>
          <wp:inline distT="0" distB="0" distL="0" distR="0" wp14:anchorId="607035EA" wp14:editId="4BD14B9E">
            <wp:extent cx="5710555" cy="2733675"/>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387" b="6326"/>
                    <a:stretch/>
                  </pic:blipFill>
                  <pic:spPr bwMode="auto">
                    <a:xfrm>
                      <a:off x="0" y="0"/>
                      <a:ext cx="5714901" cy="2735755"/>
                    </a:xfrm>
                    <a:prstGeom prst="rect">
                      <a:avLst/>
                    </a:prstGeom>
                    <a:ln>
                      <a:noFill/>
                    </a:ln>
                    <a:extLst>
                      <a:ext uri="{53640926-AAD7-44D8-BBD7-CCE9431645EC}">
                        <a14:shadowObscured xmlns:a14="http://schemas.microsoft.com/office/drawing/2010/main"/>
                      </a:ext>
                    </a:extLst>
                  </pic:spPr>
                </pic:pic>
              </a:graphicData>
            </a:graphic>
          </wp:inline>
        </w:drawing>
      </w:r>
    </w:p>
    <w:p w14:paraId="40FCF38C" w14:textId="77777777" w:rsidR="00241BDE" w:rsidRPr="00B35A22" w:rsidRDefault="00241BDE" w:rsidP="00B35A22">
      <w:pPr>
        <w:widowControl w:val="0"/>
        <w:jc w:val="both"/>
        <w:rPr>
          <w:sz w:val="22"/>
          <w:lang w:val="sr-Latn-ME"/>
        </w:rPr>
      </w:pPr>
    </w:p>
    <w:p w14:paraId="43181687" w14:textId="62E393D9" w:rsidR="00241BDE" w:rsidRPr="00B35A22" w:rsidRDefault="00241BDE" w:rsidP="00B35A22">
      <w:pPr>
        <w:widowControl w:val="0"/>
        <w:jc w:val="both"/>
        <w:rPr>
          <w:sz w:val="22"/>
          <w:lang w:val="sr-Latn-ME"/>
        </w:rPr>
      </w:pPr>
      <w:r w:rsidRPr="00B35A22">
        <w:rPr>
          <w:sz w:val="22"/>
          <w:lang w:val="sr-Latn-ME"/>
        </w:rPr>
        <w:t>Primijećeno poboljšanje OS</w:t>
      </w:r>
      <w:r w:rsidRPr="00B35A22">
        <w:rPr>
          <w:sz w:val="22"/>
          <w:lang w:val="sr-Latn-ME"/>
        </w:rPr>
        <w:noBreakHyphen/>
        <w:t>a u grupi liječenoj atezolizumabom u odnosu na grupu liječenu hemioterapijom postoji u svim podgrupama pacijenata sa visokom ekspresijom PD</w:t>
      </w:r>
      <w:r w:rsidRPr="00B35A22">
        <w:rPr>
          <w:sz w:val="22"/>
          <w:lang w:val="sr-Latn-ME"/>
        </w:rPr>
        <w:noBreakHyphen/>
        <w:t>L1, uključujući i pacijente  sa neskvamoznim NSCLC</w:t>
      </w:r>
      <w:r w:rsidRPr="00B35A22">
        <w:rPr>
          <w:sz w:val="22"/>
          <w:lang w:val="sr-Latn-ME"/>
        </w:rPr>
        <w:noBreakHyphen/>
        <w:t>om (HR: 0,62; 95% CI: 0,40; 0,96; medijana OS</w:t>
      </w:r>
      <w:r w:rsidRPr="00B35A22">
        <w:rPr>
          <w:sz w:val="22"/>
          <w:lang w:val="sr-Latn-ME"/>
        </w:rPr>
        <w:noBreakHyphen/>
        <w:t>a 20,2 u odnosu na 10,5 mjeseci), kao i one sa skvamoznim NSCLC</w:t>
      </w:r>
      <w:r w:rsidRPr="00B35A22">
        <w:rPr>
          <w:sz w:val="22"/>
          <w:lang w:val="sr-Latn-ME"/>
        </w:rPr>
        <w:noBreakHyphen/>
        <w:t>om (HR: 0,56; 95% CI: 0,23; 1,37; medijana OS</w:t>
      </w:r>
      <w:r w:rsidRPr="00B35A22">
        <w:rPr>
          <w:sz w:val="22"/>
          <w:lang w:val="sr-Latn-ME"/>
        </w:rPr>
        <w:noBreakHyphen/>
        <w:t>a nije postignuta u odnosu na 15,3 mjeseca). Podaci za pacijente uzrasta od ≥ 75 godina i one koji nikad nijesu pušili previše su ograničeni da bi se mogli doneti zaključci o tim podgrupama.</w:t>
      </w:r>
    </w:p>
    <w:p w14:paraId="63869DC7" w14:textId="77777777" w:rsidR="00241BDE" w:rsidRPr="00B35A22" w:rsidRDefault="00241BDE" w:rsidP="00B35A22">
      <w:pPr>
        <w:widowControl w:val="0"/>
        <w:jc w:val="both"/>
        <w:rPr>
          <w:lang w:val="sr-Latn-ME"/>
        </w:rPr>
      </w:pPr>
    </w:p>
    <w:p w14:paraId="146DBE16" w14:textId="77776AF3" w:rsidR="00F91887" w:rsidRPr="00B35A22" w:rsidRDefault="00F91887" w:rsidP="00B35A22">
      <w:pPr>
        <w:widowControl w:val="0"/>
        <w:jc w:val="both"/>
        <w:rPr>
          <w:i/>
          <w:sz w:val="22"/>
          <w:szCs w:val="22"/>
          <w:lang w:val="sr-Latn-ME"/>
        </w:rPr>
      </w:pPr>
      <w:r w:rsidRPr="00B35A22">
        <w:rPr>
          <w:i/>
          <w:sz w:val="22"/>
          <w:szCs w:val="22"/>
          <w:lang w:val="sr-Latn-ME"/>
        </w:rPr>
        <w:t xml:space="preserve">Ispitivanje IPSOS (MO29872): Randomizovano ispitivanje faze III kod pacijenata prethodno </w:t>
      </w:r>
      <w:r w:rsidRPr="00B35A22">
        <w:rPr>
          <w:i/>
          <w:sz w:val="22"/>
          <w:szCs w:val="22"/>
          <w:lang w:val="sr-Latn-ME"/>
        </w:rPr>
        <w:lastRenderedPageBreak/>
        <w:t>neliječenim lokalno uznapredovalim neresektabilnim ili metastatskim NSCLC</w:t>
      </w:r>
      <w:r w:rsidRPr="00B35A22">
        <w:rPr>
          <w:i/>
          <w:sz w:val="22"/>
          <w:szCs w:val="22"/>
          <w:lang w:val="sr-Latn-ME"/>
        </w:rPr>
        <w:noBreakHyphen/>
        <w:t>om koji nijesu pogodni za hemioterapiju zasnovanu  na platini</w:t>
      </w:r>
    </w:p>
    <w:p w14:paraId="51221A5F" w14:textId="77777777" w:rsidR="00F91887" w:rsidRPr="00B35A22" w:rsidRDefault="00F91887" w:rsidP="00B35A22">
      <w:pPr>
        <w:widowControl w:val="0"/>
        <w:jc w:val="both"/>
        <w:rPr>
          <w:sz w:val="22"/>
          <w:szCs w:val="22"/>
          <w:lang w:val="sr-Latn-ME"/>
        </w:rPr>
      </w:pPr>
    </w:p>
    <w:p w14:paraId="245A9A30" w14:textId="32BA7BD6" w:rsidR="00F91887" w:rsidRPr="00B35A22" w:rsidRDefault="00F91887" w:rsidP="00B35A22">
      <w:pPr>
        <w:widowControl w:val="0"/>
        <w:jc w:val="both"/>
        <w:rPr>
          <w:sz w:val="22"/>
          <w:szCs w:val="22"/>
          <w:lang w:val="sr-Latn-ME"/>
        </w:rPr>
      </w:pPr>
      <w:r w:rsidRPr="00B35A22">
        <w:rPr>
          <w:sz w:val="22"/>
          <w:szCs w:val="22"/>
          <w:lang w:val="sr-Latn-ME"/>
        </w:rPr>
        <w:t>Otvoreno, randomizovano, kontrolisano ispitivanje faze III, MO29872 (IPSOS), sprovedeno je radi procjene efikasnosti i bezbjednosti atezolizumaba u odnosu na hemioterapijski protokol koji je uključivao jedan lijek (vinorelbin ili gemcitabin prema izboru ispitivača) kod prethodno neliječenih pacijenata sa uznapredovalim ili rekurentnim (stadijum IIIB [prema 7. izdanju AJCC klasifikacije], bolest nepogodna za multimodalno liječenje) ili metastatskim (stadijum IV) NSCLC</w:t>
      </w:r>
      <w:r w:rsidRPr="00B35A22">
        <w:rPr>
          <w:sz w:val="22"/>
          <w:szCs w:val="22"/>
          <w:lang w:val="sr-Latn-ME"/>
        </w:rPr>
        <w:noBreakHyphen/>
        <w:t>om koji se nijesu smatrali pogodnima za hemioterapiju zasnovanu na platini.</w:t>
      </w:r>
    </w:p>
    <w:p w14:paraId="42D9D796" w14:textId="77777777" w:rsidR="00F91887" w:rsidRPr="00B35A22" w:rsidRDefault="00F91887" w:rsidP="00B35A22">
      <w:pPr>
        <w:widowControl w:val="0"/>
        <w:jc w:val="both"/>
        <w:rPr>
          <w:sz w:val="22"/>
          <w:szCs w:val="22"/>
          <w:lang w:val="sr-Latn-ME"/>
        </w:rPr>
      </w:pPr>
    </w:p>
    <w:p w14:paraId="3A307F84" w14:textId="1F65CAC6" w:rsidR="00F91887" w:rsidRPr="00B35A22" w:rsidRDefault="00F91887" w:rsidP="00B35A22">
      <w:pPr>
        <w:widowControl w:val="0"/>
        <w:jc w:val="both"/>
        <w:rPr>
          <w:sz w:val="22"/>
          <w:szCs w:val="22"/>
          <w:lang w:val="sr-Latn-ME"/>
        </w:rPr>
      </w:pPr>
      <w:r w:rsidRPr="00B35A22">
        <w:rPr>
          <w:sz w:val="22"/>
          <w:szCs w:val="22"/>
          <w:lang w:val="sr-Latn-ME"/>
        </w:rPr>
        <w:t>Pacijenti nepogodni za hemioterapiju zasnovanu na platini koji su obuhvaćeni terapijskom indikacijom definisani su na osnovu sljedećih kriterijuma selekcije: uzrast &gt;80 godina ili funkcionalni ECOG status 3 ili funkcionalni ECOG status 2 u kombinaciji sa relevantnim komorbiditetima ili starija uzrast (≥70 godina) u kombinaciji sa relevantnim komorbiditetima. Relevantni komorbiditeti odnose se na srčane poremećaje, poremećaje nervnog sistema, psihijatrijske poremećaje, vaskularne poremećaje, bubrežne poremećaje, poremećaje metabolizma i prehrane ili plućne poremećaje koji prema procjeni nadležnog ljekara predstavljaju kontraindikaciju za liječenje hemioterapijom zasnovanom na platini.</w:t>
      </w:r>
    </w:p>
    <w:p w14:paraId="7198C59D" w14:textId="77777777" w:rsidR="00F91887" w:rsidRPr="00B35A22" w:rsidRDefault="00F91887" w:rsidP="00B35A22">
      <w:pPr>
        <w:widowControl w:val="0"/>
        <w:jc w:val="both"/>
        <w:rPr>
          <w:sz w:val="22"/>
          <w:szCs w:val="22"/>
          <w:lang w:val="sr-Latn-ME"/>
        </w:rPr>
      </w:pPr>
    </w:p>
    <w:p w14:paraId="0CE21000" w14:textId="39BFA3C1" w:rsidR="00F91887" w:rsidRPr="00B35A22" w:rsidRDefault="00F91887" w:rsidP="00B35A22">
      <w:pPr>
        <w:widowControl w:val="0"/>
        <w:jc w:val="both"/>
        <w:rPr>
          <w:sz w:val="22"/>
          <w:szCs w:val="22"/>
          <w:lang w:val="sr-Latn-ME"/>
        </w:rPr>
      </w:pPr>
      <w:r w:rsidRPr="00B35A22">
        <w:rPr>
          <w:sz w:val="22"/>
          <w:szCs w:val="22"/>
          <w:lang w:val="sr-Latn-ME"/>
        </w:rPr>
        <w:t>U ispitivanje nijesu bili uključeni pacijenti mlađi od 70 godina koji su imali funkcionalni ECOG status 0 ili 1, pacijenti sa aktivnim ili neliječenim metastazama u CNS</w:t>
      </w:r>
      <w:r w:rsidRPr="00B35A22">
        <w:rPr>
          <w:sz w:val="22"/>
          <w:szCs w:val="22"/>
          <w:lang w:val="sr-Latn-ME"/>
        </w:rPr>
        <w:noBreakHyphen/>
        <w:t>u, pacijenti koji su primili živu atenuisanu vakcinu u roku od 4 nedjelje prije randomizacije i pacijenti koji su primali sistemske imunostimulatore ili sistemske imunosupresive u roku od 4 nedjelje prije randomizacije. U ispitivanju nijesu mogli učestvovati ni pacijenti koji su imali EGFR mutacije ili izmjene u redosl</w:t>
      </w:r>
      <w:r w:rsidR="0064566A" w:rsidRPr="00B35A22">
        <w:rPr>
          <w:sz w:val="22"/>
          <w:szCs w:val="22"/>
          <w:lang w:val="sr-Latn-ME"/>
        </w:rPr>
        <w:t>j</w:t>
      </w:r>
      <w:r w:rsidRPr="00B35A22">
        <w:rPr>
          <w:sz w:val="22"/>
          <w:szCs w:val="22"/>
          <w:lang w:val="sr-Latn-ME"/>
        </w:rPr>
        <w:t xml:space="preserve">edu baza u genu </w:t>
      </w:r>
      <w:r w:rsidRPr="00B35A22">
        <w:rPr>
          <w:i/>
          <w:sz w:val="22"/>
          <w:szCs w:val="22"/>
          <w:lang w:val="sr-Latn-ME"/>
        </w:rPr>
        <w:t>ALK</w:t>
      </w:r>
      <w:r w:rsidRPr="00B35A22">
        <w:rPr>
          <w:sz w:val="22"/>
          <w:szCs w:val="22"/>
          <w:lang w:val="sr-Latn-ME"/>
        </w:rPr>
        <w:t>. Pacijenti su bili pogodni za uključivanje nezavisno o tumorskom statusu ekspresije PD-L1.</w:t>
      </w:r>
    </w:p>
    <w:p w14:paraId="578C7C22" w14:textId="77777777" w:rsidR="00F91887" w:rsidRPr="00B35A22" w:rsidRDefault="00F91887" w:rsidP="00B35A22">
      <w:pPr>
        <w:widowControl w:val="0"/>
        <w:jc w:val="both"/>
        <w:rPr>
          <w:sz w:val="22"/>
          <w:szCs w:val="22"/>
          <w:lang w:val="sr-Latn-ME"/>
        </w:rPr>
      </w:pPr>
    </w:p>
    <w:p w14:paraId="4382FDAB" w14:textId="05C8DDF0" w:rsidR="00F91887" w:rsidRPr="00B35A22" w:rsidRDefault="00F91887" w:rsidP="00B35A22">
      <w:pPr>
        <w:widowControl w:val="0"/>
        <w:jc w:val="both"/>
        <w:rPr>
          <w:sz w:val="22"/>
          <w:szCs w:val="22"/>
          <w:lang w:val="sr-Latn-ME"/>
        </w:rPr>
      </w:pPr>
      <w:r w:rsidRPr="00B35A22">
        <w:rPr>
          <w:sz w:val="22"/>
          <w:szCs w:val="22"/>
          <w:lang w:val="sr-Latn-ME"/>
        </w:rPr>
        <w:t xml:space="preserve">Pacijenti su randomizovani u </w:t>
      </w:r>
      <w:r w:rsidRPr="00B35A22">
        <w:rPr>
          <w:iCs/>
          <w:sz w:val="22"/>
          <w:szCs w:val="22"/>
          <w:lang w:val="sr-Latn-ME"/>
        </w:rPr>
        <w:t xml:space="preserve">odnosu 2:1 </w:t>
      </w:r>
      <w:r w:rsidRPr="00B35A22">
        <w:rPr>
          <w:sz w:val="22"/>
          <w:szCs w:val="22"/>
          <w:lang w:val="sr-Latn-ME"/>
        </w:rPr>
        <w:t xml:space="preserve">za primanje atezolizumaba (grupa A) ili hemioterapije (grupa B). Atezolizumab se primjenjivao u fiksnoj dozi od 1200 mg intravenskom infuzijom svake 3 nedjelje. Hemioterapijski protokoli opisani su u Tabeli 15. Liječenje se primjenjivalo do progresije bolesti prema verziji 1.1 RECIST kriterijuma ili pojave neprihvatljive toksičnosti. Randomizacija je bila stratifikovana prema histološkom tipu tumora (skvamozni/neskvamozni), </w:t>
      </w:r>
      <w:r w:rsidRPr="00B35A22">
        <w:rPr>
          <w:sz w:val="22"/>
          <w:szCs w:val="22"/>
          <w:lang w:val="sr-Latn-ME" w:eastAsia="de-DE"/>
        </w:rPr>
        <w:t xml:space="preserve">tumorskoj ekspresiji PD-L1 </w:t>
      </w:r>
      <w:r w:rsidRPr="00B35A22">
        <w:rPr>
          <w:sz w:val="22"/>
          <w:szCs w:val="22"/>
          <w:lang w:val="sr-Latn-ME"/>
        </w:rPr>
        <w:t>(status ekspresije PD</w:t>
      </w:r>
      <w:r w:rsidRPr="00B35A22">
        <w:rPr>
          <w:sz w:val="22"/>
          <w:szCs w:val="22"/>
          <w:lang w:val="sr-Latn-ME"/>
        </w:rPr>
        <w:noBreakHyphen/>
        <w:t>L1 pri imunohistohemijskom bojenju koristeći VENTANA PD</w:t>
      </w:r>
      <w:r w:rsidRPr="00B35A22">
        <w:rPr>
          <w:sz w:val="22"/>
          <w:szCs w:val="22"/>
          <w:lang w:val="sr-Latn-ME"/>
        </w:rPr>
        <w:noBreakHyphen/>
        <w:t>L1 [SP142] test: TC3 ili IC3 u odnosu na TC0/1/2 i IC0/1/2 u odnosu na nepoznat) i prisutnosti moždanih metastaza (da/ne).</w:t>
      </w:r>
    </w:p>
    <w:p w14:paraId="134A5062" w14:textId="77777777" w:rsidR="00F91887" w:rsidRPr="00B35A22" w:rsidRDefault="00F91887" w:rsidP="00B35A22">
      <w:pPr>
        <w:widowControl w:val="0"/>
        <w:jc w:val="both"/>
        <w:rPr>
          <w:sz w:val="22"/>
          <w:szCs w:val="22"/>
          <w:lang w:val="sr-Latn-ME"/>
        </w:rPr>
      </w:pPr>
    </w:p>
    <w:p w14:paraId="24FA691D" w14:textId="77777777" w:rsidR="00F91887" w:rsidRPr="00B35A22" w:rsidRDefault="00F91887" w:rsidP="00B35A22">
      <w:pPr>
        <w:widowControl w:val="0"/>
        <w:jc w:val="both"/>
        <w:rPr>
          <w:b/>
          <w:sz w:val="22"/>
          <w:szCs w:val="22"/>
          <w:lang w:val="sr-Latn-ME"/>
        </w:rPr>
      </w:pPr>
      <w:r w:rsidRPr="00B35A22">
        <w:rPr>
          <w:b/>
          <w:sz w:val="22"/>
          <w:szCs w:val="22"/>
          <w:lang w:val="sr-Latn-ME"/>
        </w:rPr>
        <w:t>Tabela 15: Terapijski protokoli (IPSOS)</w:t>
      </w:r>
    </w:p>
    <w:p w14:paraId="359F4924" w14:textId="77777777" w:rsidR="00F91887" w:rsidRPr="00B35A22" w:rsidRDefault="00F91887" w:rsidP="00B35A22">
      <w:pPr>
        <w:widowControl w:val="0"/>
        <w:jc w:val="both"/>
        <w:rPr>
          <w:bCs/>
          <w:sz w:val="22"/>
          <w:szCs w:val="22"/>
          <w:lang w:val="sr-Latn-M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F91887" w:rsidRPr="00B35A22" w14:paraId="34326BF7" w14:textId="77777777" w:rsidTr="00ED0A36">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3AC5A81F" w14:textId="77777777" w:rsidR="00F91887" w:rsidRPr="00B35A22" w:rsidRDefault="00F91887" w:rsidP="00B35A22">
            <w:pPr>
              <w:widowControl w:val="0"/>
              <w:jc w:val="both"/>
              <w:rPr>
                <w:b/>
                <w:sz w:val="22"/>
                <w:szCs w:val="22"/>
                <w:lang w:val="sr-Latn-ME"/>
              </w:rPr>
            </w:pPr>
            <w:r w:rsidRPr="00B35A22">
              <w:rPr>
                <w:b/>
                <w:sz w:val="22"/>
                <w:szCs w:val="22"/>
                <w:lang w:val="sr-Latn-ME"/>
              </w:rPr>
              <w:t>Terapijski protokol</w:t>
            </w:r>
          </w:p>
          <w:p w14:paraId="4BCF7006" w14:textId="77777777" w:rsidR="00F91887" w:rsidRPr="00B35A22" w:rsidRDefault="00F91887" w:rsidP="00B35A22">
            <w:pPr>
              <w:widowControl w:val="0"/>
              <w:ind w:left="16"/>
              <w:jc w:val="both"/>
              <w:rPr>
                <w:b/>
                <w:sz w:val="22"/>
                <w:szCs w:val="22"/>
                <w:lang w:val="sr-Latn-ME"/>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700969F2" w14:textId="77777777" w:rsidR="00F91887" w:rsidRPr="00B35A22" w:rsidRDefault="00F91887" w:rsidP="00B35A22">
            <w:pPr>
              <w:widowControl w:val="0"/>
              <w:jc w:val="both"/>
              <w:rPr>
                <w:b/>
                <w:sz w:val="22"/>
                <w:szCs w:val="22"/>
                <w:lang w:val="sr-Latn-ME"/>
              </w:rPr>
            </w:pPr>
          </w:p>
        </w:tc>
      </w:tr>
      <w:tr w:rsidR="00F91887" w:rsidRPr="00B35A22" w14:paraId="349D0AC8" w14:textId="77777777" w:rsidTr="00ED0A36">
        <w:trPr>
          <w:trHeight w:val="397"/>
        </w:trPr>
        <w:tc>
          <w:tcPr>
            <w:tcW w:w="1163" w:type="dxa"/>
            <w:tcBorders>
              <w:top w:val="single" w:sz="4" w:space="0" w:color="auto"/>
              <w:left w:val="single" w:sz="4" w:space="0" w:color="auto"/>
              <w:bottom w:val="nil"/>
              <w:right w:val="nil"/>
            </w:tcBorders>
            <w:shd w:val="clear" w:color="auto" w:fill="auto"/>
          </w:tcPr>
          <w:p w14:paraId="0D64B0BC" w14:textId="77777777" w:rsidR="00F91887" w:rsidRPr="00B35A22" w:rsidRDefault="00F91887" w:rsidP="00B35A22">
            <w:pPr>
              <w:widowControl w:val="0"/>
              <w:jc w:val="both"/>
              <w:rPr>
                <w:sz w:val="22"/>
                <w:szCs w:val="22"/>
                <w:lang w:val="sr-Latn-ME"/>
              </w:rPr>
            </w:pPr>
            <w:r w:rsidRPr="00B35A22">
              <w:rPr>
                <w:sz w:val="22"/>
                <w:szCs w:val="22"/>
                <w:lang w:val="sr-Latn-ME"/>
              </w:rPr>
              <w:t>A</w:t>
            </w:r>
          </w:p>
        </w:tc>
        <w:tc>
          <w:tcPr>
            <w:tcW w:w="7796" w:type="dxa"/>
            <w:gridSpan w:val="2"/>
            <w:tcBorders>
              <w:top w:val="single" w:sz="4" w:space="0" w:color="auto"/>
              <w:left w:val="nil"/>
              <w:bottom w:val="nil"/>
              <w:right w:val="single" w:sz="4" w:space="0" w:color="auto"/>
            </w:tcBorders>
            <w:shd w:val="clear" w:color="auto" w:fill="auto"/>
          </w:tcPr>
          <w:p w14:paraId="6ADCD324" w14:textId="77777777" w:rsidR="00F91887" w:rsidRPr="00B35A22" w:rsidRDefault="00F91887" w:rsidP="00B35A22">
            <w:pPr>
              <w:widowControl w:val="0"/>
              <w:jc w:val="both"/>
              <w:rPr>
                <w:sz w:val="22"/>
                <w:szCs w:val="22"/>
                <w:lang w:val="sr-Latn-ME"/>
              </w:rPr>
            </w:pPr>
            <w:r w:rsidRPr="00B35A22">
              <w:rPr>
                <w:sz w:val="22"/>
                <w:szCs w:val="22"/>
                <w:lang w:val="sr-Latn-ME"/>
              </w:rPr>
              <w:t>Atezolizumab 1200 mg i.v. infuzijom 1. dana svakog 21-dnevnog  ciklusa.</w:t>
            </w:r>
          </w:p>
        </w:tc>
      </w:tr>
      <w:tr w:rsidR="00F91887" w:rsidRPr="00B35A22" w14:paraId="3037CA4E" w14:textId="77777777" w:rsidTr="00ED0A36">
        <w:trPr>
          <w:trHeight w:val="484"/>
        </w:trPr>
        <w:tc>
          <w:tcPr>
            <w:tcW w:w="1163" w:type="dxa"/>
            <w:tcBorders>
              <w:top w:val="nil"/>
              <w:left w:val="single" w:sz="4" w:space="0" w:color="auto"/>
              <w:bottom w:val="single" w:sz="4" w:space="0" w:color="auto"/>
              <w:right w:val="nil"/>
            </w:tcBorders>
            <w:shd w:val="clear" w:color="auto" w:fill="auto"/>
          </w:tcPr>
          <w:p w14:paraId="07B37A7E" w14:textId="77777777" w:rsidR="00F91887" w:rsidRPr="00B35A22" w:rsidRDefault="00F91887" w:rsidP="00B35A22">
            <w:pPr>
              <w:widowControl w:val="0"/>
              <w:jc w:val="both"/>
              <w:rPr>
                <w:sz w:val="22"/>
                <w:szCs w:val="22"/>
                <w:lang w:val="sr-Latn-ME"/>
              </w:rPr>
            </w:pPr>
            <w:r w:rsidRPr="00B35A22">
              <w:rPr>
                <w:sz w:val="22"/>
                <w:szCs w:val="22"/>
                <w:lang w:val="sr-Latn-ME"/>
              </w:rPr>
              <w:t>B</w:t>
            </w:r>
          </w:p>
        </w:tc>
        <w:tc>
          <w:tcPr>
            <w:tcW w:w="7796" w:type="dxa"/>
            <w:gridSpan w:val="2"/>
            <w:tcBorders>
              <w:top w:val="nil"/>
              <w:left w:val="nil"/>
              <w:bottom w:val="single" w:sz="4" w:space="0" w:color="auto"/>
              <w:right w:val="single" w:sz="4" w:space="0" w:color="auto"/>
            </w:tcBorders>
            <w:shd w:val="clear" w:color="auto" w:fill="auto"/>
          </w:tcPr>
          <w:p w14:paraId="0B6EF377" w14:textId="19EDBE4D" w:rsidR="00F91887" w:rsidRPr="00B35A22" w:rsidRDefault="00F91887" w:rsidP="00B35A22">
            <w:pPr>
              <w:widowControl w:val="0"/>
              <w:jc w:val="both"/>
              <w:rPr>
                <w:sz w:val="22"/>
                <w:szCs w:val="22"/>
                <w:lang w:val="sr-Latn-ME"/>
              </w:rPr>
            </w:pPr>
            <w:r w:rsidRPr="00B35A22">
              <w:rPr>
                <w:sz w:val="22"/>
                <w:szCs w:val="22"/>
                <w:lang w:val="sr-Latn-ME"/>
              </w:rPr>
              <w:t>Vinorelbin: 25 – 30 mg/m</w:t>
            </w:r>
            <w:r w:rsidRPr="00B35A22">
              <w:rPr>
                <w:sz w:val="22"/>
                <w:szCs w:val="22"/>
                <w:vertAlign w:val="superscript"/>
                <w:lang w:val="sr-Latn-ME"/>
              </w:rPr>
              <w:t>2</w:t>
            </w:r>
            <w:r w:rsidRPr="00B35A22">
              <w:rPr>
                <w:sz w:val="22"/>
                <w:szCs w:val="22"/>
                <w:lang w:val="sr-Latn-ME"/>
              </w:rPr>
              <w:t xml:space="preserve"> i.v. infuzijom ili 60 – 80 mg/m</w:t>
            </w:r>
            <w:r w:rsidRPr="00B35A22">
              <w:rPr>
                <w:sz w:val="22"/>
                <w:szCs w:val="22"/>
                <w:vertAlign w:val="superscript"/>
                <w:lang w:val="sr-Latn-ME"/>
              </w:rPr>
              <w:t>2</w:t>
            </w:r>
            <w:r w:rsidRPr="00B35A22">
              <w:rPr>
                <w:sz w:val="22"/>
                <w:szCs w:val="22"/>
                <w:lang w:val="sr-Latn-ME"/>
              </w:rPr>
              <w:t xml:space="preserve"> peroralno </w:t>
            </w:r>
            <w:r w:rsidRPr="00B35A22">
              <w:rPr>
                <w:color w:val="000000"/>
                <w:sz w:val="22"/>
                <w:szCs w:val="22"/>
                <w:lang w:val="sr-Latn-ME" w:eastAsia="en-GB"/>
              </w:rPr>
              <w:t>1. i 8. dana</w:t>
            </w:r>
            <w:r w:rsidRPr="00B35A22">
              <w:rPr>
                <w:sz w:val="22"/>
                <w:szCs w:val="22"/>
                <w:lang w:val="sr-Latn-ME"/>
              </w:rPr>
              <w:t xml:space="preserve"> svakog 21-dnevnog ciklusa ili </w:t>
            </w:r>
            <w:r w:rsidRPr="00B35A22">
              <w:rPr>
                <w:color w:val="000000"/>
                <w:sz w:val="22"/>
                <w:szCs w:val="22"/>
                <w:lang w:val="sr-Latn-ME" w:eastAsia="en-GB"/>
              </w:rPr>
              <w:t>1., 8. i 15. dana</w:t>
            </w:r>
            <w:r w:rsidRPr="00B35A22">
              <w:rPr>
                <w:sz w:val="22"/>
                <w:szCs w:val="22"/>
                <w:lang w:val="sr-Latn-ME"/>
              </w:rPr>
              <w:t xml:space="preserve"> svakog 28-dnevnog ciklusa ili jedanput nedjeljno, ili </w:t>
            </w:r>
          </w:p>
          <w:p w14:paraId="3A7EDED8" w14:textId="77777777" w:rsidR="00F91887" w:rsidRPr="00B35A22" w:rsidRDefault="00F91887" w:rsidP="00B35A22">
            <w:pPr>
              <w:widowControl w:val="0"/>
              <w:jc w:val="both"/>
              <w:rPr>
                <w:sz w:val="22"/>
                <w:szCs w:val="22"/>
                <w:lang w:val="sr-Latn-ME"/>
              </w:rPr>
            </w:pPr>
            <w:r w:rsidRPr="00B35A22">
              <w:rPr>
                <w:sz w:val="22"/>
                <w:szCs w:val="22"/>
                <w:lang w:val="sr-Latn-ME"/>
              </w:rPr>
              <w:t>Gemcitabin: 1000 – 1250 mg/m</w:t>
            </w:r>
            <w:r w:rsidRPr="00B35A22">
              <w:rPr>
                <w:sz w:val="22"/>
                <w:szCs w:val="22"/>
                <w:vertAlign w:val="superscript"/>
                <w:lang w:val="sr-Latn-ME"/>
              </w:rPr>
              <w:t>2</w:t>
            </w:r>
            <w:r w:rsidRPr="00B35A22">
              <w:rPr>
                <w:sz w:val="22"/>
                <w:szCs w:val="22"/>
                <w:lang w:val="sr-Latn-ME"/>
              </w:rPr>
              <w:t xml:space="preserve"> i.v. infuzijom </w:t>
            </w:r>
            <w:r w:rsidRPr="00B35A22">
              <w:rPr>
                <w:color w:val="000000"/>
                <w:sz w:val="22"/>
                <w:szCs w:val="22"/>
                <w:lang w:val="sr-Latn-ME" w:eastAsia="en-GB"/>
              </w:rPr>
              <w:t>1. i 8. dana</w:t>
            </w:r>
            <w:r w:rsidRPr="00B35A22">
              <w:rPr>
                <w:sz w:val="22"/>
                <w:szCs w:val="22"/>
                <w:lang w:val="sr-Latn-ME"/>
              </w:rPr>
              <w:t xml:space="preserve"> svakog 21-dnevnog ciklusa ili </w:t>
            </w:r>
            <w:r w:rsidRPr="00B35A22">
              <w:rPr>
                <w:color w:val="000000"/>
                <w:sz w:val="22"/>
                <w:szCs w:val="22"/>
                <w:lang w:val="sr-Latn-ME" w:eastAsia="en-GB"/>
              </w:rPr>
              <w:t>1., 8. i 15. dana</w:t>
            </w:r>
            <w:r w:rsidRPr="00B35A22">
              <w:rPr>
                <w:sz w:val="22"/>
                <w:szCs w:val="22"/>
                <w:lang w:val="sr-Latn-ME"/>
              </w:rPr>
              <w:t xml:space="preserve"> svakog 28-dnevnog ciklusa.</w:t>
            </w:r>
          </w:p>
        </w:tc>
      </w:tr>
    </w:tbl>
    <w:p w14:paraId="6758D0E6" w14:textId="77777777" w:rsidR="00F91887" w:rsidRPr="00B35A22" w:rsidRDefault="00F91887" w:rsidP="00B35A22">
      <w:pPr>
        <w:widowControl w:val="0"/>
        <w:jc w:val="both"/>
        <w:rPr>
          <w:sz w:val="22"/>
          <w:szCs w:val="22"/>
          <w:lang w:val="sr-Latn-ME"/>
        </w:rPr>
      </w:pPr>
    </w:p>
    <w:p w14:paraId="5552FB18" w14:textId="71AB16F0" w:rsidR="00F91887" w:rsidRPr="00B35A22" w:rsidRDefault="00F91887" w:rsidP="00B35A22">
      <w:pPr>
        <w:widowControl w:val="0"/>
        <w:jc w:val="both"/>
        <w:rPr>
          <w:sz w:val="22"/>
          <w:szCs w:val="22"/>
          <w:lang w:val="sr-Latn-ME"/>
        </w:rPr>
      </w:pPr>
      <w:r w:rsidRPr="00B35A22">
        <w:rPr>
          <w:sz w:val="22"/>
          <w:szCs w:val="22"/>
          <w:lang w:val="sr-Latn-ME"/>
        </w:rPr>
        <w:t>U ispitivanje su uključena ukupno 453 pacijenta (ITT populacija). Populaciju su pretežno činili pacijenti bijele rase (65,8%) i muškog pola (72,4%). Medijana uzrasta pacijenata iznosila je 75 godina, a 72,8% pacijenta imalo je 70 ili više godina. Ud</w:t>
      </w:r>
      <w:r w:rsidR="00FD06BA" w:rsidRPr="00B35A22">
        <w:rPr>
          <w:sz w:val="22"/>
          <w:szCs w:val="22"/>
          <w:lang w:val="sr-Latn-ME"/>
        </w:rPr>
        <w:t>i</w:t>
      </w:r>
      <w:r w:rsidRPr="00B35A22">
        <w:rPr>
          <w:sz w:val="22"/>
          <w:szCs w:val="22"/>
          <w:lang w:val="sr-Latn-ME"/>
        </w:rPr>
        <w:t>o pacijenata sa funkcionalnim ECOG statusom 0, 1, 2 i 3 iznosio je 1,5%, 15,0%, 75,9% odnosno 7,5%. Sveukupno je 13,7% pacijenata imalo bolest stadijuma IIIB koja nije bila pogodna za multimodalno liječenje, a 86,3% pacijenata imalo je bolest stadijuma IV. Postotak pacijenata čiji su tumori pokazivali nivo ekspresije PD</w:t>
      </w:r>
      <w:r w:rsidRPr="00B35A22">
        <w:rPr>
          <w:sz w:val="22"/>
          <w:szCs w:val="22"/>
          <w:lang w:val="sr-Latn-ME"/>
        </w:rPr>
        <w:noBreakHyphen/>
        <w:t>L1 na tumorskim ćelijama od &lt; 1%, 1 – 49% odnosno ≥ 50%, što je utvrđeno testom VENTANA PD</w:t>
      </w:r>
      <w:r w:rsidRPr="00B35A22">
        <w:rPr>
          <w:sz w:val="22"/>
          <w:szCs w:val="22"/>
          <w:lang w:val="sr-Latn-ME"/>
        </w:rPr>
        <w:noBreakHyphen/>
        <w:t xml:space="preserve">L1 (SP263), iznosio je 46,8%, 28,7% odnosno 16,6%, dok je kod 7,9% pacijenata status ekspresije PD-L1 bio nepoznat. </w:t>
      </w:r>
    </w:p>
    <w:p w14:paraId="6B77A501" w14:textId="77777777" w:rsidR="00F91887" w:rsidRPr="00B35A22" w:rsidRDefault="00F91887" w:rsidP="00B35A22">
      <w:pPr>
        <w:widowControl w:val="0"/>
        <w:jc w:val="both"/>
        <w:rPr>
          <w:sz w:val="22"/>
          <w:szCs w:val="22"/>
          <w:lang w:val="sr-Latn-ME"/>
        </w:rPr>
      </w:pPr>
    </w:p>
    <w:p w14:paraId="6801F6AC" w14:textId="46822B0C" w:rsidR="00F91887" w:rsidRPr="00B35A22" w:rsidRDefault="00F91887" w:rsidP="00B35A22">
      <w:pPr>
        <w:widowControl w:val="0"/>
        <w:jc w:val="both"/>
        <w:rPr>
          <w:sz w:val="22"/>
          <w:szCs w:val="22"/>
          <w:lang w:val="sr-Latn-ME"/>
        </w:rPr>
      </w:pPr>
      <w:r w:rsidRPr="00B35A22">
        <w:rPr>
          <w:sz w:val="22"/>
          <w:szCs w:val="22"/>
          <w:lang w:val="sr-Latn-ME"/>
        </w:rPr>
        <w:t>Primarna mjera ishoda u ispitivanju bilo je ukupno preživljavanje (OS). U trenutku sprovođenja završne analize OS</w:t>
      </w:r>
      <w:r w:rsidRPr="00B35A22">
        <w:rPr>
          <w:sz w:val="22"/>
          <w:szCs w:val="22"/>
          <w:lang w:val="sr-Latn-ME"/>
        </w:rPr>
        <w:noBreakHyphen/>
        <w:t xml:space="preserve">a medijana trajanja praćenja iznosila je 41,0 mjeseci. Rezultati za efikasnost prikazani su u Tabeli 16 i na Slici 14. </w:t>
      </w:r>
    </w:p>
    <w:p w14:paraId="2E610020" w14:textId="77777777" w:rsidR="00F91887" w:rsidRPr="00B35A22" w:rsidRDefault="00F91887" w:rsidP="00B35A22">
      <w:pPr>
        <w:widowControl w:val="0"/>
        <w:jc w:val="both"/>
        <w:rPr>
          <w:sz w:val="22"/>
          <w:szCs w:val="22"/>
          <w:lang w:val="sr-Latn-ME"/>
        </w:rPr>
      </w:pPr>
    </w:p>
    <w:p w14:paraId="5A4E84B8" w14:textId="77777777" w:rsidR="00F91887" w:rsidRPr="00B35A22" w:rsidRDefault="00F91887" w:rsidP="00B35A22">
      <w:pPr>
        <w:widowControl w:val="0"/>
        <w:jc w:val="both"/>
        <w:rPr>
          <w:b/>
          <w:sz w:val="22"/>
          <w:szCs w:val="22"/>
          <w:lang w:val="sr-Latn-ME"/>
        </w:rPr>
      </w:pPr>
      <w:r w:rsidRPr="00B35A22">
        <w:rPr>
          <w:b/>
          <w:sz w:val="22"/>
          <w:szCs w:val="22"/>
          <w:lang w:val="sr-Latn-ME"/>
        </w:rPr>
        <w:lastRenderedPageBreak/>
        <w:t>Tabela 16: Sažetak rezultata za efikasnost kod pacijenata sa NSCLC</w:t>
      </w:r>
      <w:r w:rsidRPr="00B35A22">
        <w:rPr>
          <w:b/>
          <w:sz w:val="22"/>
          <w:szCs w:val="22"/>
          <w:lang w:val="sr-Latn-ME"/>
        </w:rPr>
        <w:noBreakHyphen/>
        <w:t>om nepogodnih za hemioterapiju zasnovanu na platini</w:t>
      </w:r>
      <w:r w:rsidRPr="00B35A22">
        <w:rPr>
          <w:b/>
          <w:bCs/>
          <w:sz w:val="22"/>
          <w:szCs w:val="22"/>
          <w:lang w:val="sr-Latn-ME"/>
        </w:rPr>
        <w:t xml:space="preserve"> (</w:t>
      </w:r>
      <w:r w:rsidRPr="00B35A22">
        <w:rPr>
          <w:b/>
          <w:sz w:val="22"/>
          <w:szCs w:val="22"/>
          <w:lang w:val="sr-Latn-ME"/>
        </w:rPr>
        <w:t>IPSOS</w:t>
      </w:r>
      <w:r w:rsidRPr="00B35A22">
        <w:rPr>
          <w:b/>
          <w:bCs/>
          <w:sz w:val="22"/>
          <w:szCs w:val="22"/>
          <w:lang w:val="sr-Latn-ME"/>
        </w:rPr>
        <w:t>)</w:t>
      </w:r>
    </w:p>
    <w:p w14:paraId="1146706C" w14:textId="77777777" w:rsidR="00F91887" w:rsidRPr="00B35A22" w:rsidRDefault="00F91887" w:rsidP="00B35A22">
      <w:pPr>
        <w:widowControl w:val="0"/>
        <w:rPr>
          <w:b/>
          <w:bCs/>
          <w:sz w:val="22"/>
          <w:szCs w:val="22"/>
          <w:lang w:val="sr-Latn-M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2976"/>
        <w:gridCol w:w="142"/>
        <w:gridCol w:w="1985"/>
      </w:tblGrid>
      <w:tr w:rsidR="00F91887" w:rsidRPr="00B35A22" w14:paraId="303149C6" w14:textId="77777777" w:rsidTr="00ED0A36">
        <w:trPr>
          <w:trHeight w:val="453"/>
          <w:tblHeader/>
        </w:trPr>
        <w:tc>
          <w:tcPr>
            <w:tcW w:w="4673" w:type="dxa"/>
            <w:tcBorders>
              <w:right w:val="nil"/>
            </w:tcBorders>
            <w:vAlign w:val="center"/>
          </w:tcPr>
          <w:p w14:paraId="56539016" w14:textId="5FC831E1" w:rsidR="00F91887" w:rsidRPr="00B35A22" w:rsidRDefault="00F91887" w:rsidP="00B35A22">
            <w:pPr>
              <w:widowControl w:val="0"/>
              <w:spacing w:beforeLines="20" w:before="48"/>
              <w:rPr>
                <w:b/>
                <w:sz w:val="22"/>
                <w:szCs w:val="22"/>
                <w:lang w:val="sr-Latn-ME"/>
              </w:rPr>
            </w:pPr>
            <w:r w:rsidRPr="00B35A22">
              <w:rPr>
                <w:b/>
                <w:color w:val="000000"/>
                <w:sz w:val="22"/>
                <w:szCs w:val="22"/>
                <w:lang w:val="sr-Latn-ME" w:eastAsia="zh-CN"/>
              </w:rPr>
              <w:t>Mjera ishoda za efikasnost</w:t>
            </w:r>
          </w:p>
        </w:tc>
        <w:tc>
          <w:tcPr>
            <w:tcW w:w="2976" w:type="dxa"/>
            <w:tcBorders>
              <w:right w:val="nil"/>
            </w:tcBorders>
          </w:tcPr>
          <w:p w14:paraId="5ECB8650" w14:textId="77777777" w:rsidR="00F91887" w:rsidRPr="00B35A22" w:rsidRDefault="00F91887" w:rsidP="00B35A22">
            <w:pPr>
              <w:widowControl w:val="0"/>
              <w:spacing w:beforeLines="20" w:before="48"/>
              <w:jc w:val="center"/>
              <w:rPr>
                <w:b/>
                <w:sz w:val="22"/>
                <w:szCs w:val="22"/>
                <w:lang w:val="sr-Latn-ME"/>
              </w:rPr>
            </w:pPr>
            <w:r w:rsidRPr="00B35A22">
              <w:rPr>
                <w:b/>
                <w:sz w:val="22"/>
                <w:szCs w:val="22"/>
                <w:lang w:val="sr-Latn-ME"/>
              </w:rPr>
              <w:t>Atezolizumab</w:t>
            </w:r>
          </w:p>
          <w:p w14:paraId="40ECA199" w14:textId="77777777" w:rsidR="00F91887" w:rsidRPr="00B35A22" w:rsidRDefault="00F91887" w:rsidP="00B35A22">
            <w:pPr>
              <w:widowControl w:val="0"/>
              <w:spacing w:beforeLines="20" w:before="48"/>
              <w:jc w:val="center"/>
              <w:rPr>
                <w:b/>
                <w:sz w:val="22"/>
                <w:szCs w:val="22"/>
                <w:lang w:val="sr-Latn-ME"/>
              </w:rPr>
            </w:pPr>
            <w:r w:rsidRPr="00B35A22">
              <w:rPr>
                <w:b/>
                <w:sz w:val="22"/>
                <w:szCs w:val="22"/>
                <w:lang w:val="sr-Latn-ME"/>
              </w:rPr>
              <w:t>(n = 302)</w:t>
            </w:r>
          </w:p>
        </w:tc>
        <w:tc>
          <w:tcPr>
            <w:tcW w:w="2127" w:type="dxa"/>
            <w:gridSpan w:val="2"/>
            <w:tcBorders>
              <w:left w:val="nil"/>
            </w:tcBorders>
          </w:tcPr>
          <w:p w14:paraId="5100520F" w14:textId="77777777" w:rsidR="00F91887" w:rsidRPr="00B35A22" w:rsidRDefault="00F91887" w:rsidP="00B35A22">
            <w:pPr>
              <w:widowControl w:val="0"/>
              <w:spacing w:beforeLines="20" w:before="48"/>
              <w:jc w:val="center"/>
              <w:rPr>
                <w:b/>
                <w:sz w:val="22"/>
                <w:szCs w:val="22"/>
                <w:lang w:val="sr-Latn-ME"/>
              </w:rPr>
            </w:pPr>
            <w:r w:rsidRPr="00B35A22">
              <w:rPr>
                <w:b/>
                <w:sz w:val="22"/>
                <w:szCs w:val="22"/>
                <w:lang w:val="sr-Latn-ME"/>
              </w:rPr>
              <w:t>Hemioterapija</w:t>
            </w:r>
          </w:p>
          <w:p w14:paraId="1458DD5F" w14:textId="77777777" w:rsidR="00F91887" w:rsidRPr="00B35A22" w:rsidRDefault="00F91887" w:rsidP="00B35A22">
            <w:pPr>
              <w:widowControl w:val="0"/>
              <w:spacing w:beforeLines="20" w:before="48"/>
              <w:jc w:val="center"/>
              <w:rPr>
                <w:b/>
                <w:sz w:val="22"/>
                <w:szCs w:val="22"/>
                <w:lang w:val="sr-Latn-ME"/>
              </w:rPr>
            </w:pPr>
            <w:r w:rsidRPr="00B35A22">
              <w:rPr>
                <w:b/>
                <w:sz w:val="22"/>
                <w:szCs w:val="22"/>
                <w:lang w:val="sr-Latn-ME"/>
              </w:rPr>
              <w:t>(n = 151)</w:t>
            </w:r>
          </w:p>
        </w:tc>
      </w:tr>
      <w:tr w:rsidR="00F91887" w:rsidRPr="00B35A22" w14:paraId="76ECBC06" w14:textId="77777777" w:rsidTr="00ED0A36">
        <w:tc>
          <w:tcPr>
            <w:tcW w:w="9776" w:type="dxa"/>
            <w:gridSpan w:val="4"/>
          </w:tcPr>
          <w:p w14:paraId="6DE7F69C" w14:textId="6A42D3CB" w:rsidR="00F91887" w:rsidRPr="00B35A22" w:rsidRDefault="00F91887" w:rsidP="00B35A22">
            <w:pPr>
              <w:widowControl w:val="0"/>
              <w:spacing w:beforeLines="20" w:before="48"/>
              <w:rPr>
                <w:sz w:val="22"/>
                <w:szCs w:val="22"/>
                <w:lang w:val="sr-Latn-ME"/>
              </w:rPr>
            </w:pPr>
            <w:r w:rsidRPr="00B35A22">
              <w:rPr>
                <w:b/>
                <w:i/>
                <w:sz w:val="22"/>
                <w:szCs w:val="22"/>
                <w:lang w:val="sr-Latn-ME"/>
              </w:rPr>
              <w:t>Primarna mjera ishoda</w:t>
            </w:r>
          </w:p>
        </w:tc>
      </w:tr>
      <w:tr w:rsidR="00F91887" w:rsidRPr="00B35A22" w14:paraId="6950F2D9" w14:textId="77777777" w:rsidTr="00ED0A36">
        <w:trPr>
          <w:trHeight w:val="50"/>
        </w:trPr>
        <w:tc>
          <w:tcPr>
            <w:tcW w:w="9776" w:type="dxa"/>
            <w:gridSpan w:val="4"/>
            <w:tcBorders>
              <w:bottom w:val="nil"/>
            </w:tcBorders>
          </w:tcPr>
          <w:p w14:paraId="72F62E09" w14:textId="77777777" w:rsidR="00F91887" w:rsidRPr="00B35A22" w:rsidRDefault="00F91887" w:rsidP="00B35A22">
            <w:pPr>
              <w:widowControl w:val="0"/>
              <w:spacing w:beforeLines="20" w:before="48"/>
              <w:rPr>
                <w:sz w:val="22"/>
                <w:szCs w:val="22"/>
                <w:lang w:val="sr-Latn-ME"/>
              </w:rPr>
            </w:pPr>
            <w:r w:rsidRPr="00B35A22">
              <w:rPr>
                <w:b/>
                <w:i/>
                <w:sz w:val="22"/>
                <w:szCs w:val="22"/>
                <w:lang w:val="sr-Latn-ME"/>
              </w:rPr>
              <w:t>OS</w:t>
            </w:r>
          </w:p>
        </w:tc>
      </w:tr>
      <w:tr w:rsidR="00F91887" w:rsidRPr="00B35A22" w14:paraId="5BA690BA" w14:textId="77777777" w:rsidTr="00ED0A36">
        <w:tc>
          <w:tcPr>
            <w:tcW w:w="4673" w:type="dxa"/>
            <w:tcBorders>
              <w:top w:val="nil"/>
              <w:bottom w:val="nil"/>
              <w:right w:val="nil"/>
            </w:tcBorders>
          </w:tcPr>
          <w:p w14:paraId="6181581B" w14:textId="77777777" w:rsidR="00F91887" w:rsidRPr="00B35A22" w:rsidRDefault="00F91887" w:rsidP="00B35A22">
            <w:pPr>
              <w:widowControl w:val="0"/>
              <w:spacing w:beforeLines="20" w:before="48"/>
              <w:rPr>
                <w:sz w:val="22"/>
                <w:szCs w:val="22"/>
                <w:lang w:val="sr-Latn-ME"/>
              </w:rPr>
            </w:pPr>
            <w:r w:rsidRPr="00B35A22">
              <w:rPr>
                <w:sz w:val="22"/>
                <w:szCs w:val="22"/>
                <w:lang w:val="sr-Latn-ME"/>
              </w:rPr>
              <w:t>Broj događaja (%)</w:t>
            </w:r>
          </w:p>
        </w:tc>
        <w:tc>
          <w:tcPr>
            <w:tcW w:w="2976" w:type="dxa"/>
            <w:tcBorders>
              <w:top w:val="nil"/>
              <w:left w:val="nil"/>
              <w:bottom w:val="nil"/>
              <w:right w:val="nil"/>
            </w:tcBorders>
          </w:tcPr>
          <w:p w14:paraId="3A1DE584"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249 (82,5%)</w:t>
            </w:r>
          </w:p>
        </w:tc>
        <w:tc>
          <w:tcPr>
            <w:tcW w:w="2127" w:type="dxa"/>
            <w:gridSpan w:val="2"/>
            <w:tcBorders>
              <w:top w:val="nil"/>
              <w:left w:val="nil"/>
              <w:bottom w:val="nil"/>
            </w:tcBorders>
          </w:tcPr>
          <w:p w14:paraId="27FACD66"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130 (86,1%)</w:t>
            </w:r>
          </w:p>
        </w:tc>
      </w:tr>
      <w:tr w:rsidR="00F91887" w:rsidRPr="00B35A22" w14:paraId="07955DAE" w14:textId="77777777" w:rsidTr="00ED0A36">
        <w:tc>
          <w:tcPr>
            <w:tcW w:w="4673" w:type="dxa"/>
            <w:tcBorders>
              <w:top w:val="nil"/>
              <w:bottom w:val="nil"/>
              <w:right w:val="nil"/>
            </w:tcBorders>
          </w:tcPr>
          <w:p w14:paraId="200B2523" w14:textId="5F9A39A1" w:rsidR="00F91887" w:rsidRPr="00B35A22" w:rsidRDefault="00F91887" w:rsidP="00B35A22">
            <w:pPr>
              <w:widowControl w:val="0"/>
              <w:spacing w:beforeLines="20" w:before="48"/>
              <w:rPr>
                <w:sz w:val="22"/>
                <w:szCs w:val="22"/>
                <w:lang w:val="sr-Latn-ME"/>
              </w:rPr>
            </w:pPr>
            <w:r w:rsidRPr="00B35A22">
              <w:rPr>
                <w:sz w:val="22"/>
                <w:szCs w:val="22"/>
                <w:lang w:val="sr-Latn-ME"/>
              </w:rPr>
              <w:t>Medijana vremena do događaja (mjeseci) (95% CI)</w:t>
            </w:r>
          </w:p>
        </w:tc>
        <w:tc>
          <w:tcPr>
            <w:tcW w:w="2976" w:type="dxa"/>
            <w:tcBorders>
              <w:top w:val="nil"/>
              <w:left w:val="nil"/>
              <w:bottom w:val="nil"/>
              <w:right w:val="nil"/>
            </w:tcBorders>
          </w:tcPr>
          <w:p w14:paraId="669C62F7"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10,3 (9,4; 11,9)</w:t>
            </w:r>
          </w:p>
        </w:tc>
        <w:tc>
          <w:tcPr>
            <w:tcW w:w="2127" w:type="dxa"/>
            <w:gridSpan w:val="2"/>
            <w:tcBorders>
              <w:top w:val="nil"/>
              <w:left w:val="nil"/>
              <w:bottom w:val="nil"/>
            </w:tcBorders>
          </w:tcPr>
          <w:p w14:paraId="188D80DD"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9,2 (5,9; 11,2)</w:t>
            </w:r>
          </w:p>
        </w:tc>
      </w:tr>
      <w:tr w:rsidR="00F91887" w:rsidRPr="00B35A22" w14:paraId="3816FCA6" w14:textId="77777777" w:rsidTr="00ED0A36">
        <w:trPr>
          <w:trHeight w:val="322"/>
        </w:trPr>
        <w:tc>
          <w:tcPr>
            <w:tcW w:w="4673" w:type="dxa"/>
            <w:tcBorders>
              <w:top w:val="nil"/>
              <w:left w:val="single" w:sz="4" w:space="0" w:color="auto"/>
              <w:bottom w:val="nil"/>
              <w:right w:val="nil"/>
            </w:tcBorders>
          </w:tcPr>
          <w:p w14:paraId="083782F4" w14:textId="59186C91" w:rsidR="00F91887" w:rsidRPr="00B35A22" w:rsidRDefault="00F91887" w:rsidP="00B35A22">
            <w:pPr>
              <w:widowControl w:val="0"/>
              <w:spacing w:beforeLines="20" w:before="48"/>
              <w:rPr>
                <w:sz w:val="22"/>
                <w:szCs w:val="22"/>
                <w:lang w:val="sr-Latn-ME"/>
              </w:rPr>
            </w:pPr>
            <w:r w:rsidRPr="00B35A22">
              <w:rPr>
                <w:sz w:val="22"/>
                <w:szCs w:val="22"/>
                <w:lang w:val="sr-Latn-ME"/>
              </w:rPr>
              <w:t>Stratifikovani koeficijent rizika (hazard ratio) (95% CI)</w:t>
            </w:r>
            <w:r w:rsidRPr="00B35A22">
              <w:rPr>
                <w:sz w:val="22"/>
                <w:szCs w:val="22"/>
                <w:vertAlign w:val="superscript"/>
                <w:lang w:val="sr-Latn-ME"/>
              </w:rPr>
              <w:t>ǂ</w:t>
            </w:r>
          </w:p>
        </w:tc>
        <w:tc>
          <w:tcPr>
            <w:tcW w:w="5103" w:type="dxa"/>
            <w:gridSpan w:val="3"/>
            <w:tcBorders>
              <w:top w:val="nil"/>
              <w:left w:val="nil"/>
              <w:bottom w:val="nil"/>
              <w:right w:val="single" w:sz="4" w:space="0" w:color="auto"/>
            </w:tcBorders>
            <w:vAlign w:val="center"/>
          </w:tcPr>
          <w:p w14:paraId="54A77A98"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0,78 (0,63; 0,97)</w:t>
            </w:r>
          </w:p>
        </w:tc>
      </w:tr>
      <w:tr w:rsidR="00F91887" w:rsidRPr="00B35A22" w14:paraId="0C08CCDA" w14:textId="77777777" w:rsidTr="00ED0A36">
        <w:trPr>
          <w:trHeight w:val="322"/>
        </w:trPr>
        <w:tc>
          <w:tcPr>
            <w:tcW w:w="4673" w:type="dxa"/>
            <w:tcBorders>
              <w:top w:val="nil"/>
              <w:left w:val="single" w:sz="4" w:space="0" w:color="auto"/>
              <w:bottom w:val="nil"/>
              <w:right w:val="nil"/>
            </w:tcBorders>
          </w:tcPr>
          <w:p w14:paraId="64E74791" w14:textId="265CA2EC" w:rsidR="00F91887" w:rsidRPr="00B35A22" w:rsidRDefault="00F91887" w:rsidP="00B35A22">
            <w:pPr>
              <w:widowControl w:val="0"/>
              <w:spacing w:beforeLines="20" w:before="48"/>
              <w:rPr>
                <w:sz w:val="22"/>
                <w:szCs w:val="22"/>
                <w:lang w:val="sr-Latn-ME"/>
              </w:rPr>
            </w:pPr>
            <w:r w:rsidRPr="00B35A22">
              <w:rPr>
                <w:sz w:val="22"/>
                <w:szCs w:val="22"/>
                <w:lang w:val="sr-Latn-ME"/>
              </w:rPr>
              <w:t>p-vrijednost (stratikovani log-rang test)</w:t>
            </w:r>
          </w:p>
        </w:tc>
        <w:tc>
          <w:tcPr>
            <w:tcW w:w="5103" w:type="dxa"/>
            <w:gridSpan w:val="3"/>
            <w:tcBorders>
              <w:top w:val="nil"/>
              <w:left w:val="nil"/>
              <w:bottom w:val="nil"/>
              <w:right w:val="single" w:sz="4" w:space="0" w:color="auto"/>
            </w:tcBorders>
            <w:vAlign w:val="center"/>
          </w:tcPr>
          <w:p w14:paraId="17B168A9"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p = 0,028</w:t>
            </w:r>
          </w:p>
        </w:tc>
      </w:tr>
      <w:tr w:rsidR="00F91887" w:rsidRPr="00B35A22" w14:paraId="5B6D71EA" w14:textId="77777777" w:rsidTr="00ED0A36">
        <w:trPr>
          <w:trHeight w:val="297"/>
        </w:trPr>
        <w:tc>
          <w:tcPr>
            <w:tcW w:w="9776" w:type="dxa"/>
            <w:gridSpan w:val="4"/>
            <w:tcBorders>
              <w:top w:val="single" w:sz="4" w:space="0" w:color="auto"/>
              <w:bottom w:val="single" w:sz="4" w:space="0" w:color="auto"/>
            </w:tcBorders>
          </w:tcPr>
          <w:p w14:paraId="48A7762D" w14:textId="4794DA0B" w:rsidR="00F91887" w:rsidRPr="00B35A22" w:rsidRDefault="00F91887" w:rsidP="00B35A22">
            <w:pPr>
              <w:widowControl w:val="0"/>
              <w:spacing w:beforeLines="20" w:before="48"/>
              <w:rPr>
                <w:b/>
                <w:i/>
                <w:sz w:val="22"/>
                <w:szCs w:val="22"/>
                <w:lang w:val="sr-Latn-ME"/>
              </w:rPr>
            </w:pPr>
            <w:r w:rsidRPr="00B35A22">
              <w:rPr>
                <w:b/>
                <w:i/>
                <w:sz w:val="22"/>
                <w:szCs w:val="22"/>
                <w:lang w:val="sr-Latn-ME"/>
              </w:rPr>
              <w:t>Sekundarne mjere ishoda</w:t>
            </w:r>
          </w:p>
        </w:tc>
      </w:tr>
      <w:tr w:rsidR="00F91887" w:rsidRPr="00B35A22" w14:paraId="7F2A34CA" w14:textId="77777777" w:rsidTr="00ED0A36">
        <w:tc>
          <w:tcPr>
            <w:tcW w:w="9776" w:type="dxa"/>
            <w:gridSpan w:val="4"/>
            <w:tcBorders>
              <w:top w:val="nil"/>
              <w:bottom w:val="nil"/>
            </w:tcBorders>
          </w:tcPr>
          <w:p w14:paraId="10B8087C" w14:textId="3A990AA6" w:rsidR="00F91887" w:rsidRPr="00B35A22" w:rsidRDefault="00F91887" w:rsidP="00B35A22">
            <w:pPr>
              <w:widowControl w:val="0"/>
              <w:spacing w:beforeLines="20" w:before="48"/>
              <w:rPr>
                <w:sz w:val="22"/>
                <w:szCs w:val="22"/>
                <w:lang w:val="sr-Latn-ME"/>
              </w:rPr>
            </w:pPr>
            <w:r w:rsidRPr="00B35A22">
              <w:rPr>
                <w:b/>
                <w:i/>
                <w:sz w:val="22"/>
                <w:szCs w:val="22"/>
                <w:lang w:val="sr-Latn-ME"/>
              </w:rPr>
              <w:t>PFS prema procjeni ispitivača (RECIST 1.1)</w:t>
            </w:r>
          </w:p>
        </w:tc>
      </w:tr>
      <w:tr w:rsidR="00F91887" w:rsidRPr="00B35A22" w14:paraId="37223405" w14:textId="77777777" w:rsidTr="00ED0A36">
        <w:tc>
          <w:tcPr>
            <w:tcW w:w="4673" w:type="dxa"/>
            <w:tcBorders>
              <w:top w:val="nil"/>
              <w:bottom w:val="nil"/>
              <w:right w:val="nil"/>
            </w:tcBorders>
          </w:tcPr>
          <w:p w14:paraId="11382EFC" w14:textId="77777777" w:rsidR="00F91887" w:rsidRPr="00B35A22" w:rsidRDefault="00F91887" w:rsidP="00B35A22">
            <w:pPr>
              <w:widowControl w:val="0"/>
              <w:spacing w:beforeLines="20" w:before="48"/>
              <w:rPr>
                <w:sz w:val="22"/>
                <w:szCs w:val="22"/>
                <w:lang w:val="sr-Latn-ME"/>
              </w:rPr>
            </w:pPr>
            <w:r w:rsidRPr="00B35A22">
              <w:rPr>
                <w:sz w:val="22"/>
                <w:szCs w:val="22"/>
                <w:lang w:val="sr-Latn-ME"/>
              </w:rPr>
              <w:t>Broj događaja (%)</w:t>
            </w:r>
          </w:p>
        </w:tc>
        <w:tc>
          <w:tcPr>
            <w:tcW w:w="3118" w:type="dxa"/>
            <w:gridSpan w:val="2"/>
            <w:tcBorders>
              <w:top w:val="nil"/>
              <w:left w:val="nil"/>
              <w:bottom w:val="nil"/>
              <w:right w:val="nil"/>
            </w:tcBorders>
          </w:tcPr>
          <w:p w14:paraId="336F27EE"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276 (91,4%)</w:t>
            </w:r>
          </w:p>
        </w:tc>
        <w:tc>
          <w:tcPr>
            <w:tcW w:w="1985" w:type="dxa"/>
            <w:tcBorders>
              <w:top w:val="nil"/>
              <w:left w:val="nil"/>
              <w:bottom w:val="nil"/>
            </w:tcBorders>
          </w:tcPr>
          <w:p w14:paraId="4A5B99A5"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138 (91,4%)</w:t>
            </w:r>
          </w:p>
        </w:tc>
      </w:tr>
      <w:tr w:rsidR="00F91887" w:rsidRPr="00B35A22" w14:paraId="00DE4355" w14:textId="77777777" w:rsidTr="00ED0A36">
        <w:tc>
          <w:tcPr>
            <w:tcW w:w="4673" w:type="dxa"/>
            <w:tcBorders>
              <w:top w:val="nil"/>
              <w:bottom w:val="nil"/>
              <w:right w:val="nil"/>
            </w:tcBorders>
          </w:tcPr>
          <w:p w14:paraId="36327EEE" w14:textId="1E0550FE" w:rsidR="00F91887" w:rsidRPr="00B35A22" w:rsidRDefault="00F91887" w:rsidP="00B35A22">
            <w:pPr>
              <w:widowControl w:val="0"/>
              <w:spacing w:beforeLines="20" w:before="48"/>
              <w:rPr>
                <w:sz w:val="22"/>
                <w:szCs w:val="22"/>
                <w:lang w:val="sr-Latn-ME"/>
              </w:rPr>
            </w:pPr>
            <w:r w:rsidRPr="00B35A22">
              <w:rPr>
                <w:sz w:val="22"/>
                <w:szCs w:val="22"/>
                <w:lang w:val="sr-Latn-ME"/>
              </w:rPr>
              <w:t>Medijana vremena do događaja (mjeseci) (95% CI)</w:t>
            </w:r>
          </w:p>
        </w:tc>
        <w:tc>
          <w:tcPr>
            <w:tcW w:w="3118" w:type="dxa"/>
            <w:gridSpan w:val="2"/>
            <w:tcBorders>
              <w:top w:val="nil"/>
              <w:left w:val="nil"/>
              <w:bottom w:val="nil"/>
              <w:right w:val="nil"/>
            </w:tcBorders>
          </w:tcPr>
          <w:p w14:paraId="4A3C4581"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4,2 (3,7; 5,5)</w:t>
            </w:r>
          </w:p>
        </w:tc>
        <w:tc>
          <w:tcPr>
            <w:tcW w:w="1985" w:type="dxa"/>
            <w:tcBorders>
              <w:top w:val="nil"/>
              <w:left w:val="nil"/>
              <w:bottom w:val="nil"/>
            </w:tcBorders>
          </w:tcPr>
          <w:p w14:paraId="054345ED"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4,0 (2,9; 5,4)</w:t>
            </w:r>
          </w:p>
        </w:tc>
      </w:tr>
      <w:tr w:rsidR="00F91887" w:rsidRPr="00B35A22" w14:paraId="51829BBE" w14:textId="77777777" w:rsidTr="00ED0A36">
        <w:tc>
          <w:tcPr>
            <w:tcW w:w="4673" w:type="dxa"/>
            <w:tcBorders>
              <w:top w:val="nil"/>
              <w:bottom w:val="single" w:sz="4" w:space="0" w:color="auto"/>
              <w:right w:val="nil"/>
            </w:tcBorders>
          </w:tcPr>
          <w:p w14:paraId="69C9CA20" w14:textId="4D545021" w:rsidR="00F91887" w:rsidRPr="00B35A22" w:rsidRDefault="00F91887" w:rsidP="00B35A22">
            <w:pPr>
              <w:widowControl w:val="0"/>
              <w:spacing w:beforeLines="20" w:before="48"/>
              <w:rPr>
                <w:sz w:val="22"/>
                <w:szCs w:val="22"/>
                <w:lang w:val="sr-Latn-ME"/>
              </w:rPr>
            </w:pPr>
            <w:r w:rsidRPr="00B35A22">
              <w:rPr>
                <w:sz w:val="22"/>
                <w:szCs w:val="22"/>
                <w:lang w:val="sr-Latn-ME"/>
              </w:rPr>
              <w:t>Stratifikovani koeficijent rizika (hazard ratio) (95% CI)</w:t>
            </w:r>
            <w:r w:rsidRPr="00B35A22">
              <w:rPr>
                <w:sz w:val="22"/>
                <w:szCs w:val="22"/>
                <w:vertAlign w:val="superscript"/>
                <w:lang w:val="sr-Latn-ME"/>
              </w:rPr>
              <w:t>ǂ</w:t>
            </w:r>
          </w:p>
        </w:tc>
        <w:tc>
          <w:tcPr>
            <w:tcW w:w="5103" w:type="dxa"/>
            <w:gridSpan w:val="3"/>
            <w:tcBorders>
              <w:top w:val="nil"/>
              <w:left w:val="nil"/>
              <w:bottom w:val="single" w:sz="4" w:space="0" w:color="auto"/>
            </w:tcBorders>
            <w:vAlign w:val="center"/>
          </w:tcPr>
          <w:p w14:paraId="7D5C1AF1"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0,87 (0,70; 1,07)</w:t>
            </w:r>
          </w:p>
        </w:tc>
      </w:tr>
      <w:tr w:rsidR="00F91887" w:rsidRPr="00B35A22" w14:paraId="4C353D82" w14:textId="77777777" w:rsidTr="00ED0A36">
        <w:trPr>
          <w:trHeight w:val="70"/>
        </w:trPr>
        <w:tc>
          <w:tcPr>
            <w:tcW w:w="4673" w:type="dxa"/>
            <w:tcBorders>
              <w:bottom w:val="nil"/>
              <w:right w:val="nil"/>
            </w:tcBorders>
          </w:tcPr>
          <w:p w14:paraId="1A9D9C2C" w14:textId="77777777" w:rsidR="00F91887" w:rsidRPr="00B35A22" w:rsidRDefault="00F91887" w:rsidP="00B35A22">
            <w:pPr>
              <w:widowControl w:val="0"/>
              <w:spacing w:beforeLines="20" w:before="48"/>
              <w:rPr>
                <w:sz w:val="22"/>
                <w:szCs w:val="22"/>
                <w:lang w:val="sr-Latn-ME"/>
              </w:rPr>
            </w:pPr>
            <w:r w:rsidRPr="00B35A22">
              <w:rPr>
                <w:b/>
                <w:i/>
                <w:sz w:val="22"/>
                <w:szCs w:val="22"/>
                <w:lang w:val="sr-Latn-ME"/>
              </w:rPr>
              <w:t>ORR (RECIST 1.1)</w:t>
            </w:r>
          </w:p>
        </w:tc>
        <w:tc>
          <w:tcPr>
            <w:tcW w:w="3118" w:type="dxa"/>
            <w:gridSpan w:val="2"/>
            <w:tcBorders>
              <w:left w:val="nil"/>
              <w:bottom w:val="nil"/>
              <w:right w:val="nil"/>
            </w:tcBorders>
          </w:tcPr>
          <w:p w14:paraId="2B7CF6CA" w14:textId="77777777" w:rsidR="00F91887" w:rsidRPr="00B35A22" w:rsidRDefault="00F91887" w:rsidP="00B35A22">
            <w:pPr>
              <w:widowControl w:val="0"/>
              <w:spacing w:beforeLines="20" w:before="48"/>
              <w:jc w:val="center"/>
              <w:rPr>
                <w:sz w:val="22"/>
                <w:szCs w:val="22"/>
                <w:lang w:val="sr-Latn-ME"/>
              </w:rPr>
            </w:pPr>
          </w:p>
        </w:tc>
        <w:tc>
          <w:tcPr>
            <w:tcW w:w="1985" w:type="dxa"/>
            <w:tcBorders>
              <w:left w:val="nil"/>
              <w:bottom w:val="nil"/>
            </w:tcBorders>
          </w:tcPr>
          <w:p w14:paraId="74145CB3" w14:textId="77777777" w:rsidR="00F91887" w:rsidRPr="00B35A22" w:rsidRDefault="00F91887" w:rsidP="00B35A22">
            <w:pPr>
              <w:widowControl w:val="0"/>
              <w:spacing w:beforeLines="20" w:before="48"/>
              <w:jc w:val="center"/>
              <w:rPr>
                <w:sz w:val="22"/>
                <w:szCs w:val="22"/>
                <w:lang w:val="sr-Latn-ME"/>
              </w:rPr>
            </w:pPr>
          </w:p>
        </w:tc>
      </w:tr>
      <w:tr w:rsidR="00F91887" w:rsidRPr="00B35A22" w14:paraId="38AA5161" w14:textId="77777777" w:rsidTr="00ED0A36">
        <w:tc>
          <w:tcPr>
            <w:tcW w:w="4673" w:type="dxa"/>
            <w:tcBorders>
              <w:top w:val="nil"/>
              <w:bottom w:val="nil"/>
              <w:right w:val="nil"/>
            </w:tcBorders>
          </w:tcPr>
          <w:p w14:paraId="31856F15" w14:textId="77777777" w:rsidR="00F91887" w:rsidRPr="00B35A22" w:rsidRDefault="00F91887" w:rsidP="00B35A22">
            <w:pPr>
              <w:widowControl w:val="0"/>
              <w:spacing w:beforeLines="20" w:before="48"/>
              <w:rPr>
                <w:sz w:val="22"/>
                <w:szCs w:val="22"/>
                <w:lang w:val="sr-Latn-ME"/>
              </w:rPr>
            </w:pPr>
            <w:r w:rsidRPr="00B35A22">
              <w:rPr>
                <w:sz w:val="22"/>
                <w:szCs w:val="22"/>
                <w:lang w:val="sr-Latn-ME"/>
              </w:rPr>
              <w:t>Broj pacijenata sa potvrđenim odgovorom (%)</w:t>
            </w:r>
          </w:p>
        </w:tc>
        <w:tc>
          <w:tcPr>
            <w:tcW w:w="3118" w:type="dxa"/>
            <w:gridSpan w:val="2"/>
            <w:tcBorders>
              <w:top w:val="nil"/>
              <w:left w:val="nil"/>
              <w:bottom w:val="nil"/>
              <w:right w:val="nil"/>
            </w:tcBorders>
          </w:tcPr>
          <w:p w14:paraId="67033DB6"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51 (16,9%)</w:t>
            </w:r>
          </w:p>
        </w:tc>
        <w:tc>
          <w:tcPr>
            <w:tcW w:w="1985" w:type="dxa"/>
            <w:tcBorders>
              <w:top w:val="nil"/>
              <w:left w:val="nil"/>
              <w:bottom w:val="nil"/>
            </w:tcBorders>
          </w:tcPr>
          <w:p w14:paraId="02635B18"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12 (7,9%)</w:t>
            </w:r>
          </w:p>
        </w:tc>
      </w:tr>
      <w:tr w:rsidR="00F91887" w:rsidRPr="00B35A22" w14:paraId="777F877B" w14:textId="77777777" w:rsidTr="00ED0A36">
        <w:tc>
          <w:tcPr>
            <w:tcW w:w="4673" w:type="dxa"/>
            <w:tcBorders>
              <w:left w:val="single" w:sz="4" w:space="0" w:color="auto"/>
              <w:bottom w:val="nil"/>
              <w:right w:val="nil"/>
            </w:tcBorders>
          </w:tcPr>
          <w:p w14:paraId="7900CFC7" w14:textId="77777777" w:rsidR="00F91887" w:rsidRPr="00B35A22" w:rsidRDefault="00F91887" w:rsidP="00B35A22">
            <w:pPr>
              <w:widowControl w:val="0"/>
              <w:spacing w:beforeLines="20" w:before="48"/>
              <w:rPr>
                <w:sz w:val="22"/>
                <w:szCs w:val="22"/>
                <w:lang w:val="sr-Latn-ME"/>
              </w:rPr>
            </w:pPr>
            <w:r w:rsidRPr="00B35A22">
              <w:rPr>
                <w:b/>
                <w:i/>
                <w:sz w:val="22"/>
                <w:szCs w:val="22"/>
                <w:lang w:val="sr-Latn-ME"/>
              </w:rPr>
              <w:t>Trajanje odgovora (RECIST 1.1)</w:t>
            </w:r>
          </w:p>
        </w:tc>
        <w:tc>
          <w:tcPr>
            <w:tcW w:w="3118" w:type="dxa"/>
            <w:gridSpan w:val="2"/>
            <w:tcBorders>
              <w:left w:val="nil"/>
              <w:bottom w:val="nil"/>
              <w:right w:val="nil"/>
            </w:tcBorders>
          </w:tcPr>
          <w:p w14:paraId="2F2FF876" w14:textId="77777777" w:rsidR="00F91887" w:rsidRPr="00B35A22" w:rsidRDefault="00F91887" w:rsidP="00B35A22">
            <w:pPr>
              <w:widowControl w:val="0"/>
              <w:spacing w:beforeLines="20" w:before="48"/>
              <w:jc w:val="center"/>
              <w:rPr>
                <w:sz w:val="22"/>
                <w:szCs w:val="22"/>
                <w:lang w:val="sr-Latn-ME"/>
              </w:rPr>
            </w:pPr>
          </w:p>
        </w:tc>
        <w:tc>
          <w:tcPr>
            <w:tcW w:w="1985" w:type="dxa"/>
            <w:tcBorders>
              <w:left w:val="nil"/>
              <w:bottom w:val="nil"/>
            </w:tcBorders>
          </w:tcPr>
          <w:p w14:paraId="5E5B8162" w14:textId="77777777" w:rsidR="00F91887" w:rsidRPr="00B35A22" w:rsidRDefault="00F91887" w:rsidP="00B35A22">
            <w:pPr>
              <w:widowControl w:val="0"/>
              <w:spacing w:beforeLines="20" w:before="48"/>
              <w:jc w:val="center"/>
              <w:rPr>
                <w:sz w:val="22"/>
                <w:szCs w:val="22"/>
                <w:lang w:val="sr-Latn-ME"/>
              </w:rPr>
            </w:pPr>
          </w:p>
        </w:tc>
      </w:tr>
      <w:tr w:rsidR="00F91887" w:rsidRPr="00B35A22" w14:paraId="698AB370" w14:textId="77777777" w:rsidTr="00ED0A36">
        <w:tc>
          <w:tcPr>
            <w:tcW w:w="4673" w:type="dxa"/>
            <w:tcBorders>
              <w:top w:val="nil"/>
              <w:bottom w:val="single" w:sz="4" w:space="0" w:color="auto"/>
              <w:right w:val="nil"/>
            </w:tcBorders>
          </w:tcPr>
          <w:p w14:paraId="727D75B0" w14:textId="74E642E3" w:rsidR="00F91887" w:rsidRPr="00B35A22" w:rsidRDefault="00F91887" w:rsidP="00B35A22">
            <w:pPr>
              <w:widowControl w:val="0"/>
              <w:spacing w:beforeLines="20" w:before="48"/>
              <w:rPr>
                <w:sz w:val="22"/>
                <w:szCs w:val="22"/>
                <w:lang w:val="sr-Latn-ME"/>
              </w:rPr>
            </w:pPr>
            <w:r w:rsidRPr="00B35A22">
              <w:rPr>
                <w:sz w:val="22"/>
                <w:szCs w:val="22"/>
                <w:lang w:val="sr-Latn-ME"/>
              </w:rPr>
              <w:t>Medijana u mjesecima (95% CI)</w:t>
            </w:r>
          </w:p>
        </w:tc>
        <w:tc>
          <w:tcPr>
            <w:tcW w:w="3118" w:type="dxa"/>
            <w:gridSpan w:val="2"/>
            <w:tcBorders>
              <w:top w:val="nil"/>
              <w:left w:val="nil"/>
              <w:bottom w:val="single" w:sz="4" w:space="0" w:color="auto"/>
              <w:right w:val="nil"/>
            </w:tcBorders>
          </w:tcPr>
          <w:p w14:paraId="5218D274"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14,0 (8,1; 20,3)</w:t>
            </w:r>
          </w:p>
        </w:tc>
        <w:tc>
          <w:tcPr>
            <w:tcW w:w="1985" w:type="dxa"/>
            <w:tcBorders>
              <w:top w:val="nil"/>
              <w:left w:val="nil"/>
              <w:bottom w:val="single" w:sz="4" w:space="0" w:color="auto"/>
            </w:tcBorders>
          </w:tcPr>
          <w:p w14:paraId="1D4E8D2D" w14:textId="77777777" w:rsidR="00F91887" w:rsidRPr="00B35A22" w:rsidRDefault="00F91887" w:rsidP="00B35A22">
            <w:pPr>
              <w:widowControl w:val="0"/>
              <w:spacing w:beforeLines="20" w:before="48"/>
              <w:jc w:val="center"/>
              <w:rPr>
                <w:sz w:val="22"/>
                <w:szCs w:val="22"/>
                <w:lang w:val="sr-Latn-ME"/>
              </w:rPr>
            </w:pPr>
            <w:r w:rsidRPr="00B35A22">
              <w:rPr>
                <w:sz w:val="22"/>
                <w:szCs w:val="22"/>
                <w:lang w:val="sr-Latn-ME"/>
              </w:rPr>
              <w:t>7,8 (4,8; 9,7)</w:t>
            </w:r>
          </w:p>
        </w:tc>
      </w:tr>
      <w:tr w:rsidR="00F91887" w:rsidRPr="00B35A22" w14:paraId="6688710A" w14:textId="77777777" w:rsidTr="00ED0A36">
        <w:tc>
          <w:tcPr>
            <w:tcW w:w="9776" w:type="dxa"/>
            <w:gridSpan w:val="4"/>
            <w:tcBorders>
              <w:top w:val="single" w:sz="4" w:space="0" w:color="auto"/>
            </w:tcBorders>
          </w:tcPr>
          <w:p w14:paraId="0912C375" w14:textId="2D39C094" w:rsidR="00F91887" w:rsidRPr="00B35A22" w:rsidRDefault="00F91887" w:rsidP="00B35A22">
            <w:pPr>
              <w:widowControl w:val="0"/>
              <w:jc w:val="both"/>
              <w:rPr>
                <w:sz w:val="20"/>
                <w:szCs w:val="22"/>
                <w:lang w:val="sr-Latn-ME"/>
              </w:rPr>
            </w:pPr>
            <w:r w:rsidRPr="00B35A22">
              <w:rPr>
                <w:sz w:val="20"/>
                <w:szCs w:val="22"/>
                <w:lang w:val="sr-Latn-ME"/>
              </w:rPr>
              <w:t>CI = interval pouzdanosti; ORR = stopa objektivnog odgovora; OS = ukupno preživljavanje; PFS = preživljavanje bez progresije bolesti; RECIST v1.1 = verzija 1.1 Kriterijuma za procjenu odgovora kod solidnih tumora</w:t>
            </w:r>
          </w:p>
          <w:p w14:paraId="2FE104F8" w14:textId="0E74DE2C" w:rsidR="00F91887" w:rsidRPr="00B35A22" w:rsidRDefault="00F91887" w:rsidP="00B35A22">
            <w:pPr>
              <w:widowControl w:val="0"/>
              <w:jc w:val="both"/>
              <w:rPr>
                <w:strike/>
                <w:sz w:val="22"/>
                <w:szCs w:val="22"/>
                <w:lang w:val="sr-Latn-ME"/>
              </w:rPr>
            </w:pPr>
            <w:r w:rsidRPr="00B35A22">
              <w:rPr>
                <w:sz w:val="20"/>
                <w:szCs w:val="22"/>
                <w:lang w:val="sr-Latn-ME"/>
              </w:rPr>
              <w:t>ǂ Proc</w:t>
            </w:r>
            <w:r w:rsidR="00AE0B2F" w:rsidRPr="00B35A22">
              <w:rPr>
                <w:sz w:val="20"/>
                <w:szCs w:val="22"/>
                <w:lang w:val="sr-Latn-ME"/>
              </w:rPr>
              <w:t>i</w:t>
            </w:r>
            <w:r w:rsidRPr="00B35A22">
              <w:rPr>
                <w:sz w:val="20"/>
                <w:szCs w:val="22"/>
                <w:lang w:val="sr-Latn-ME"/>
              </w:rPr>
              <w:t xml:space="preserve">jenjeni odnos rizika i 95% CI dobijeni su Coxovim modelom u kojem je liječena grupa bila kovarijata. Za stratifikovanu analizu su kao stratifikacijski faktori dodati histološki podtip, imunohistohemijski utvrđen status ekspresije PD-L1 i prisutnost moždanih metastaza (da/ne). </w:t>
            </w:r>
          </w:p>
        </w:tc>
      </w:tr>
    </w:tbl>
    <w:p w14:paraId="1B656966" w14:textId="77777777" w:rsidR="00F91887" w:rsidRPr="00B35A22" w:rsidRDefault="00F91887" w:rsidP="00B35A22">
      <w:pPr>
        <w:widowControl w:val="0"/>
        <w:rPr>
          <w:sz w:val="22"/>
          <w:szCs w:val="22"/>
          <w:lang w:val="sr-Latn-ME"/>
        </w:rPr>
      </w:pPr>
    </w:p>
    <w:p w14:paraId="1C891C96" w14:textId="77777777" w:rsidR="00F91887" w:rsidRPr="00B35A22" w:rsidRDefault="00F91887" w:rsidP="00B35A22">
      <w:pPr>
        <w:widowControl w:val="0"/>
        <w:rPr>
          <w:b/>
          <w:sz w:val="22"/>
          <w:szCs w:val="22"/>
          <w:lang w:val="sr-Latn-ME"/>
        </w:rPr>
      </w:pPr>
      <w:r w:rsidRPr="00B35A22">
        <w:rPr>
          <w:b/>
          <w:bCs/>
          <w:sz w:val="22"/>
          <w:szCs w:val="22"/>
          <w:lang w:val="sr-Latn-ME"/>
        </w:rPr>
        <w:t xml:space="preserve">Slika 14: </w:t>
      </w:r>
      <w:r w:rsidRPr="00B35A22">
        <w:rPr>
          <w:b/>
          <w:i/>
          <w:sz w:val="22"/>
          <w:szCs w:val="22"/>
          <w:lang w:val="sr-Latn-ME"/>
        </w:rPr>
        <w:t>Kaplan-Meier</w:t>
      </w:r>
      <w:r w:rsidRPr="00B35A22">
        <w:rPr>
          <w:b/>
          <w:sz w:val="22"/>
          <w:szCs w:val="22"/>
          <w:lang w:val="sr-Latn-ME"/>
        </w:rPr>
        <w:t xml:space="preserve">-ova kriva </w:t>
      </w:r>
      <w:r w:rsidRPr="00B35A22">
        <w:rPr>
          <w:b/>
          <w:bCs/>
          <w:sz w:val="22"/>
          <w:szCs w:val="22"/>
          <w:lang w:val="sr-Latn-ME"/>
        </w:rPr>
        <w:t>ukupnog preživljavanja kod pacijenata</w:t>
      </w:r>
      <w:r w:rsidRPr="00B35A22">
        <w:rPr>
          <w:b/>
          <w:sz w:val="22"/>
          <w:szCs w:val="22"/>
          <w:lang w:val="sr-Latn-ME"/>
        </w:rPr>
        <w:t xml:space="preserve"> sa NSCLC</w:t>
      </w:r>
      <w:r w:rsidRPr="00B35A22">
        <w:rPr>
          <w:b/>
          <w:sz w:val="22"/>
          <w:szCs w:val="22"/>
          <w:lang w:val="sr-Latn-ME"/>
        </w:rPr>
        <w:noBreakHyphen/>
        <w:t>om nepogodnih za hemioterapiju zasnovanu na platini</w:t>
      </w:r>
      <w:r w:rsidRPr="00B35A22">
        <w:rPr>
          <w:b/>
          <w:bCs/>
          <w:sz w:val="22"/>
          <w:szCs w:val="22"/>
          <w:lang w:val="sr-Latn-ME"/>
        </w:rPr>
        <w:t xml:space="preserve"> (</w:t>
      </w:r>
      <w:r w:rsidRPr="00B35A22">
        <w:rPr>
          <w:b/>
          <w:sz w:val="22"/>
          <w:szCs w:val="22"/>
          <w:lang w:val="sr-Latn-ME"/>
        </w:rPr>
        <w:t>IPSOS</w:t>
      </w:r>
      <w:r w:rsidRPr="00B35A22">
        <w:rPr>
          <w:b/>
          <w:bCs/>
          <w:sz w:val="22"/>
          <w:szCs w:val="22"/>
          <w:lang w:val="sr-Latn-ME"/>
        </w:rPr>
        <w:t>)</w:t>
      </w:r>
    </w:p>
    <w:p w14:paraId="14AA05F6" w14:textId="3D2D33F7" w:rsidR="00F91887" w:rsidRPr="00B35A22" w:rsidRDefault="00F91887" w:rsidP="00B35A22">
      <w:pPr>
        <w:widowControl w:val="0"/>
        <w:tabs>
          <w:tab w:val="left" w:pos="284"/>
        </w:tabs>
        <w:jc w:val="both"/>
        <w:rPr>
          <w:i/>
          <w:sz w:val="22"/>
          <w:szCs w:val="22"/>
          <w:lang w:val="sr-Latn-ME"/>
        </w:rPr>
      </w:pPr>
    </w:p>
    <w:p w14:paraId="0A2F5031" w14:textId="7690605D" w:rsidR="00D46A5F" w:rsidRPr="00B35A22" w:rsidRDefault="00D46A5F" w:rsidP="00B35A22">
      <w:pPr>
        <w:widowControl w:val="0"/>
        <w:tabs>
          <w:tab w:val="left" w:pos="284"/>
        </w:tabs>
        <w:jc w:val="both"/>
        <w:rPr>
          <w:i/>
          <w:sz w:val="22"/>
          <w:szCs w:val="22"/>
          <w:lang w:val="sr-Latn-ME"/>
        </w:rPr>
      </w:pPr>
      <w:r w:rsidRPr="00B35A22">
        <w:rPr>
          <w:i/>
          <w:sz w:val="22"/>
          <w:szCs w:val="22"/>
          <w:lang w:val="sr-Latn-ME" w:eastAsia="sr-Latn-ME"/>
        </w:rPr>
        <w:drawing>
          <wp:inline distT="0" distB="0" distL="0" distR="0" wp14:anchorId="35445CFB" wp14:editId="783668C9">
            <wp:extent cx="5768975" cy="3600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222" b="3089"/>
                    <a:stretch/>
                  </pic:blipFill>
                  <pic:spPr bwMode="auto">
                    <a:xfrm>
                      <a:off x="0" y="0"/>
                      <a:ext cx="5768975" cy="3600450"/>
                    </a:xfrm>
                    <a:prstGeom prst="rect">
                      <a:avLst/>
                    </a:prstGeom>
                    <a:ln>
                      <a:noFill/>
                    </a:ln>
                    <a:extLst>
                      <a:ext uri="{53640926-AAD7-44D8-BBD7-CCE9431645EC}">
                        <a14:shadowObscured xmlns:a14="http://schemas.microsoft.com/office/drawing/2010/main"/>
                      </a:ext>
                    </a:extLst>
                  </pic:spPr>
                </pic:pic>
              </a:graphicData>
            </a:graphic>
          </wp:inline>
        </w:drawing>
      </w:r>
    </w:p>
    <w:p w14:paraId="1BCDC87F" w14:textId="77777777" w:rsidR="00D46A5F" w:rsidRPr="00B35A22" w:rsidRDefault="00D46A5F" w:rsidP="00B35A22">
      <w:pPr>
        <w:widowControl w:val="0"/>
        <w:tabs>
          <w:tab w:val="left" w:pos="284"/>
        </w:tabs>
        <w:jc w:val="both"/>
        <w:rPr>
          <w:i/>
          <w:sz w:val="22"/>
          <w:szCs w:val="22"/>
          <w:lang w:val="sr-Latn-ME"/>
        </w:rPr>
      </w:pPr>
    </w:p>
    <w:p w14:paraId="3BD1A39A" w14:textId="1281B283" w:rsidR="00C04A89" w:rsidRPr="00B35A22" w:rsidRDefault="00C04A89" w:rsidP="00B35A22">
      <w:pPr>
        <w:widowControl w:val="0"/>
        <w:tabs>
          <w:tab w:val="left" w:pos="284"/>
        </w:tabs>
        <w:jc w:val="both"/>
        <w:rPr>
          <w:i/>
          <w:sz w:val="22"/>
          <w:lang w:val="sr-Latn-ME"/>
        </w:rPr>
      </w:pPr>
      <w:r w:rsidRPr="00B35A22">
        <w:rPr>
          <w:i/>
          <w:sz w:val="22"/>
          <w:lang w:val="sr-Latn-ME"/>
        </w:rPr>
        <w:t>Druga linija l</w:t>
      </w:r>
      <w:r w:rsidR="00042108" w:rsidRPr="00B35A22">
        <w:rPr>
          <w:i/>
          <w:sz w:val="22"/>
          <w:lang w:val="sr-Latn-ME"/>
        </w:rPr>
        <w:t>ij</w:t>
      </w:r>
      <w:r w:rsidRPr="00B35A22">
        <w:rPr>
          <w:i/>
          <w:sz w:val="22"/>
          <w:lang w:val="sr-Latn-ME"/>
        </w:rPr>
        <w:t xml:space="preserve">ečenja </w:t>
      </w:r>
      <w:r w:rsidR="009F3636" w:rsidRPr="00B35A22">
        <w:rPr>
          <w:i/>
          <w:sz w:val="22"/>
          <w:lang w:val="sr-Latn-ME"/>
        </w:rPr>
        <w:t>NSCLC-a</w:t>
      </w:r>
    </w:p>
    <w:p w14:paraId="5D0A5DB5" w14:textId="77777777" w:rsidR="000A26D9" w:rsidRPr="00B35A22" w:rsidRDefault="000A26D9" w:rsidP="00B35A22">
      <w:pPr>
        <w:widowControl w:val="0"/>
        <w:tabs>
          <w:tab w:val="left" w:pos="284"/>
          <w:tab w:val="center" w:pos="4320"/>
          <w:tab w:val="right" w:pos="8640"/>
        </w:tabs>
        <w:jc w:val="both"/>
        <w:rPr>
          <w:sz w:val="22"/>
          <w:lang w:val="sr-Latn-ME"/>
        </w:rPr>
      </w:pPr>
    </w:p>
    <w:p w14:paraId="71B9D70C" w14:textId="6BE68EB6" w:rsidR="002B101E" w:rsidRPr="00B35A22" w:rsidRDefault="002B101E" w:rsidP="00B35A22">
      <w:pPr>
        <w:widowControl w:val="0"/>
        <w:tabs>
          <w:tab w:val="left" w:pos="284"/>
          <w:tab w:val="center" w:pos="4320"/>
          <w:tab w:val="right" w:pos="8640"/>
        </w:tabs>
        <w:jc w:val="both"/>
        <w:rPr>
          <w:i/>
          <w:sz w:val="22"/>
          <w:lang w:val="sr-Latn-ME"/>
        </w:rPr>
      </w:pPr>
      <w:r w:rsidRPr="00B35A22">
        <w:rPr>
          <w:i/>
          <w:sz w:val="22"/>
          <w:lang w:val="sr-Latn-ME"/>
        </w:rPr>
        <w:t>OAK (GO28915): Randomizovano ispitivanje faze III kod pacijenata sa lokalno uznapredovalim ili metastatskim NSCLC- om prethodno liječenih hemoterapijom</w:t>
      </w:r>
    </w:p>
    <w:p w14:paraId="017BCF97" w14:textId="77777777" w:rsidR="002B101E" w:rsidRPr="00B35A22" w:rsidRDefault="002B101E" w:rsidP="00B35A22">
      <w:pPr>
        <w:widowControl w:val="0"/>
        <w:tabs>
          <w:tab w:val="left" w:pos="284"/>
          <w:tab w:val="center" w:pos="4320"/>
          <w:tab w:val="right" w:pos="8640"/>
        </w:tabs>
        <w:jc w:val="both"/>
        <w:rPr>
          <w:i/>
          <w:sz w:val="22"/>
          <w:lang w:val="sr-Latn-ME"/>
        </w:rPr>
      </w:pPr>
    </w:p>
    <w:p w14:paraId="05D77A73" w14:textId="06FDBCA1"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 xml:space="preserve">Radi ocjene efikasnosti i bezbjednosti atezolizumaba u poređenju sa docetakselom kod pacijenata sa lokalno uznapredovalim ili metastatskim NSCLC-om koji su doživjeli progresiju tokom ili nakon liječenja protokolom koji je sadržio platinu, sprovedeno je otvoreno, multicentrično, međunarodno, randomizovano ispitivanje faze III –(OAK). U ispitivanje nijesu bili uključeni pacijenti koji su imali autoimunu bolest u anamnezi, koji su imali aktivne ili od kortikosteroida zavisne moždane metastaze, koji su primili živu atenuisanu vakcinu u roku od 28 dana prije uključivanja u ispitivanje te oni koji su primili sistemske imunostimulatore u roku od 4 nedjelje ili sistemske imunosupresive u roku od 2 nedjelje prije uključivanja u ispitivanje. Procjene tumorskog odgovora  sprovodile su se svakih 6 nedjelja tokom prvih 36 nedjelja, a zatim svakih 9 nedjelja. Uzorci tumora prospektivno su se ocjenjivali kako bi se utvrdila ekspresija PD-L1 na tumorskim ćelijama i imunim ćelijama koje infiltriraju tumor. </w:t>
      </w:r>
    </w:p>
    <w:p w14:paraId="36812FCC" w14:textId="77777777"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Ukupno je bilo uključeno 1225 pacijenata, a  prvih 850 randomizovanih pacijenata uključeno je u primarnu analizu efikasnosti, prema planu analiza. Randomizacija je bila stratifikovana prema statusu ekspresije, broju prethodnih hemoterapijskih protokola i histološkom tipu. Pacijenti su bili randomizovani u odnosu 1:1 za primanje atezolizumaba ili docetaksela.</w:t>
      </w:r>
    </w:p>
    <w:p w14:paraId="151375EB" w14:textId="77777777"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Atezolizumab se primjenjivao u fiksnoj dozi od 1200 mg intravenskom infuzijom svake 3 nedjelje. Nije bilo dopušteno smanjivati dozu. Pacijenti su se liječili do gubitka kliničke koristi prema ocjeni ispitivača. Docetaksel se primjenjivao u dozi od 75 mg/m</w:t>
      </w:r>
      <w:r w:rsidRPr="00B35A22">
        <w:rPr>
          <w:sz w:val="22"/>
          <w:vertAlign w:val="superscript"/>
          <w:lang w:val="sr-Latn-ME"/>
        </w:rPr>
        <w:t>2</w:t>
      </w:r>
      <w:r w:rsidRPr="00B35A22">
        <w:rPr>
          <w:sz w:val="22"/>
          <w:lang w:val="sr-Latn-ME"/>
        </w:rPr>
        <w:t xml:space="preserve"> intravenskom infuzijom 1. dana svake 3 nedjelje ciklusa do progresije bolesti. Medijana trajanja liječenja među svim liječenim pacijentima iznosila je 2,1 mjesec u grupi liječenoj docetakselom te 3,4 mjeseca u grupi liječenoj atezolizumabom. </w:t>
      </w:r>
    </w:p>
    <w:p w14:paraId="269F7391" w14:textId="77777777"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Demografske i početne karakteristike bolesti u populaciji za primarnu analizu bile su dobro ujednačene između liječenih grupa. Medijana uzrasta iznosila je 64 godine (raspon: 33 – 85), a 61% pacijenata bili su muškarci. Većina pacijenata bila je bijele rase (70%). Približno tri četvrtine pacijenata imalo je histološki nalaz neplanocelularnog karcinoma (74%), 10% pacijenata imalo je poznatu EGFR mutaciju, 0,2% imalo je poznate izmjene u redosljedu baza u genu ALK, 10% pacijenata imalo je metastaze u SŽS u na početku ispitivanja, a većina pacijenata bili su aktivni ili bivši pušači (82%). Početni funkcionalni ECOG status iznosio je 0 (37%) ili 1 (63%). Sedamdeset i pet posto (75%) pacijenata prethodno je primilo samo jedan protokol zasnovan na platini.</w:t>
      </w:r>
    </w:p>
    <w:p w14:paraId="4E21482F" w14:textId="4F06D163"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 xml:space="preserve">Primarni cilj kliničke studije za efikasnost bila je OS. Ključni rezultati ovog ispitivanja, uz medijanu praćenja preživljavanja od 21 mjeseca, sažeto su prikazani u Tabeli </w:t>
      </w:r>
      <w:r w:rsidR="00D46A5F" w:rsidRPr="00B35A22">
        <w:rPr>
          <w:bCs/>
          <w:sz w:val="22"/>
          <w:szCs w:val="22"/>
          <w:lang w:val="sr-Latn-ME"/>
        </w:rPr>
        <w:t>17</w:t>
      </w:r>
      <w:r w:rsidRPr="00B35A22">
        <w:rPr>
          <w:sz w:val="22"/>
          <w:lang w:val="sr-Latn-ME"/>
        </w:rPr>
        <w:t xml:space="preserve">. Kaplan Meierove kriva OS-a za populaciju predviđenu za liječenje (ITT) prikazane su na Slici </w:t>
      </w:r>
      <w:r w:rsidR="00D46A5F" w:rsidRPr="00B35A22">
        <w:rPr>
          <w:bCs/>
          <w:sz w:val="22"/>
          <w:szCs w:val="22"/>
          <w:lang w:val="sr-Latn-ME"/>
        </w:rPr>
        <w:t>15</w:t>
      </w:r>
      <w:r w:rsidRPr="00B35A22">
        <w:rPr>
          <w:sz w:val="22"/>
          <w:lang w:val="sr-Latn-ME"/>
        </w:rPr>
        <w:t xml:space="preserve">. Slika </w:t>
      </w:r>
      <w:r w:rsidR="00D46A5F" w:rsidRPr="00B35A22">
        <w:rPr>
          <w:bCs/>
          <w:sz w:val="22"/>
          <w:szCs w:val="22"/>
          <w:lang w:val="sr-Latn-ME"/>
        </w:rPr>
        <w:t>16</w:t>
      </w:r>
      <w:r w:rsidR="00D46A5F" w:rsidRPr="00B35A22">
        <w:rPr>
          <w:sz w:val="22"/>
          <w:lang w:val="sr-Latn-ME"/>
        </w:rPr>
        <w:t xml:space="preserve"> </w:t>
      </w:r>
      <w:r w:rsidRPr="00B35A22">
        <w:rPr>
          <w:sz w:val="22"/>
          <w:lang w:val="sr-Latn-ME"/>
        </w:rPr>
        <w:t>sažeto prikazuje rezultate za OS u ITT populaciji i podgrupama prema ekspresiji PD L1, pokazujući korisne efekte atezolizumaba na OS-u svim podgrupama, uključujući one sa ekspresijom PD L1 &lt; 1%  na tumorskim ćelijama i imunim ćelijama koje infiltriraju tumor.</w:t>
      </w:r>
    </w:p>
    <w:p w14:paraId="7288E78B" w14:textId="77777777" w:rsidR="00665FED" w:rsidRPr="00B35A22" w:rsidRDefault="00665FED" w:rsidP="00B35A22">
      <w:pPr>
        <w:widowControl w:val="0"/>
        <w:tabs>
          <w:tab w:val="left" w:pos="284"/>
          <w:tab w:val="center" w:pos="4320"/>
          <w:tab w:val="right" w:pos="8640"/>
        </w:tabs>
        <w:jc w:val="both"/>
        <w:rPr>
          <w:b/>
          <w:bCs/>
          <w:sz w:val="22"/>
          <w:szCs w:val="22"/>
          <w:lang w:val="sr-Latn-ME"/>
        </w:rPr>
      </w:pPr>
    </w:p>
    <w:p w14:paraId="6DDB09FD" w14:textId="17733320" w:rsidR="002B101E" w:rsidRPr="00B35A22" w:rsidRDefault="002B101E" w:rsidP="00B35A22">
      <w:pPr>
        <w:widowControl w:val="0"/>
        <w:tabs>
          <w:tab w:val="left" w:pos="284"/>
          <w:tab w:val="center" w:pos="4320"/>
          <w:tab w:val="right" w:pos="8640"/>
        </w:tabs>
        <w:jc w:val="both"/>
        <w:rPr>
          <w:b/>
          <w:sz w:val="22"/>
          <w:lang w:val="sr-Latn-ME"/>
        </w:rPr>
      </w:pPr>
      <w:r w:rsidRPr="00B35A22">
        <w:rPr>
          <w:b/>
          <w:sz w:val="22"/>
          <w:lang w:val="sr-Latn-ME"/>
        </w:rPr>
        <w:t xml:space="preserve">Tabela </w:t>
      </w:r>
      <w:r w:rsidR="00D46A5F" w:rsidRPr="00B35A22">
        <w:rPr>
          <w:b/>
          <w:bCs/>
          <w:sz w:val="22"/>
          <w:szCs w:val="22"/>
          <w:lang w:val="sr-Latn-ME"/>
        </w:rPr>
        <w:t>17</w:t>
      </w:r>
      <w:r w:rsidRPr="00B35A22">
        <w:rPr>
          <w:b/>
          <w:sz w:val="22"/>
          <w:lang w:val="sr-Latn-ME"/>
        </w:rPr>
        <w:t>: Sažetak rezultata za efikasnost u populaciji za primarnu analizu (svi uključeni pacijenti)* (OAK)</w:t>
      </w:r>
    </w:p>
    <w:p w14:paraId="694E875F" w14:textId="77777777" w:rsidR="00C602BD" w:rsidRPr="00B35A22" w:rsidRDefault="00C602BD" w:rsidP="00B35A22">
      <w:pPr>
        <w:widowControl w:val="0"/>
        <w:tabs>
          <w:tab w:val="left" w:pos="284"/>
          <w:tab w:val="center" w:pos="4320"/>
          <w:tab w:val="right" w:pos="8640"/>
        </w:tabs>
        <w:jc w:val="both"/>
        <w:rPr>
          <w:b/>
          <w:sz w:val="22"/>
          <w:lang w:val="sr-Latn-ME"/>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9"/>
        <w:gridCol w:w="500"/>
        <w:gridCol w:w="2626"/>
        <w:gridCol w:w="2565"/>
        <w:gridCol w:w="18"/>
      </w:tblGrid>
      <w:tr w:rsidR="002B101E" w:rsidRPr="00B35A22" w14:paraId="0DE01952" w14:textId="77777777" w:rsidTr="0065270B">
        <w:trPr>
          <w:gridAfter w:val="1"/>
          <w:wAfter w:w="18" w:type="dxa"/>
          <w:tblHeader/>
        </w:trPr>
        <w:tc>
          <w:tcPr>
            <w:tcW w:w="3629" w:type="dxa"/>
            <w:gridSpan w:val="2"/>
            <w:tcBorders>
              <w:right w:val="nil"/>
            </w:tcBorders>
          </w:tcPr>
          <w:p w14:paraId="071B23BA" w14:textId="77777777" w:rsidR="002B101E" w:rsidRPr="00B35A22" w:rsidRDefault="002B101E" w:rsidP="00B35A22">
            <w:pPr>
              <w:widowControl w:val="0"/>
              <w:spacing w:beforeLines="20" w:before="48"/>
              <w:jc w:val="both"/>
              <w:rPr>
                <w:b/>
                <w:sz w:val="20"/>
                <w:szCs w:val="20"/>
                <w:lang w:val="sr-Latn-ME"/>
              </w:rPr>
            </w:pPr>
          </w:p>
          <w:p w14:paraId="373650F1" w14:textId="77777777" w:rsidR="002B101E" w:rsidRPr="00B35A22" w:rsidRDefault="002B101E" w:rsidP="00B35A22">
            <w:pPr>
              <w:widowControl w:val="0"/>
              <w:spacing w:beforeLines="20" w:before="48"/>
              <w:jc w:val="both"/>
              <w:rPr>
                <w:b/>
                <w:sz w:val="20"/>
                <w:lang w:val="sr-Latn-ME"/>
              </w:rPr>
            </w:pPr>
            <w:r w:rsidRPr="00B35A22">
              <w:rPr>
                <w:b/>
                <w:sz w:val="20"/>
                <w:lang w:val="sr-Latn-ME"/>
              </w:rPr>
              <w:t xml:space="preserve">Ciljevi za efikasnost </w:t>
            </w:r>
          </w:p>
        </w:tc>
        <w:tc>
          <w:tcPr>
            <w:tcW w:w="2626" w:type="dxa"/>
            <w:tcBorders>
              <w:left w:val="nil"/>
              <w:right w:val="nil"/>
            </w:tcBorders>
          </w:tcPr>
          <w:p w14:paraId="39CBF422" w14:textId="77777777" w:rsidR="002B101E" w:rsidRPr="00B35A22" w:rsidRDefault="002B101E" w:rsidP="00B35A22">
            <w:pPr>
              <w:widowControl w:val="0"/>
              <w:spacing w:beforeLines="20" w:before="48"/>
              <w:jc w:val="both"/>
              <w:rPr>
                <w:b/>
                <w:sz w:val="20"/>
                <w:szCs w:val="20"/>
                <w:lang w:val="sr-Latn-ME"/>
              </w:rPr>
            </w:pPr>
          </w:p>
          <w:p w14:paraId="60619A3C" w14:textId="77777777" w:rsidR="002B101E" w:rsidRPr="00B35A22" w:rsidRDefault="002B101E" w:rsidP="00B35A22">
            <w:pPr>
              <w:widowControl w:val="0"/>
              <w:spacing w:beforeLines="20" w:before="48"/>
              <w:jc w:val="both"/>
              <w:rPr>
                <w:b/>
                <w:sz w:val="20"/>
                <w:lang w:val="sr-Latn-ME"/>
              </w:rPr>
            </w:pPr>
            <w:r w:rsidRPr="00B35A22">
              <w:rPr>
                <w:b/>
                <w:sz w:val="20"/>
                <w:lang w:val="sr-Latn-ME"/>
              </w:rPr>
              <w:t>Atezolizumab</w:t>
            </w:r>
          </w:p>
          <w:p w14:paraId="1B66E07E" w14:textId="77777777" w:rsidR="002B101E" w:rsidRPr="00B35A22" w:rsidRDefault="002B101E" w:rsidP="00B35A22">
            <w:pPr>
              <w:widowControl w:val="0"/>
              <w:spacing w:beforeLines="20" w:before="48"/>
              <w:jc w:val="both"/>
              <w:rPr>
                <w:b/>
                <w:sz w:val="20"/>
                <w:lang w:val="sr-Latn-ME"/>
              </w:rPr>
            </w:pPr>
            <w:r w:rsidRPr="00B35A22">
              <w:rPr>
                <w:b/>
                <w:sz w:val="20"/>
                <w:lang w:val="sr-Latn-ME"/>
              </w:rPr>
              <w:t>(n=425)</w:t>
            </w:r>
          </w:p>
        </w:tc>
        <w:tc>
          <w:tcPr>
            <w:tcW w:w="2565" w:type="dxa"/>
            <w:tcBorders>
              <w:left w:val="nil"/>
            </w:tcBorders>
          </w:tcPr>
          <w:p w14:paraId="54BEFC71" w14:textId="77777777" w:rsidR="002B101E" w:rsidRPr="00B35A22" w:rsidRDefault="002B101E" w:rsidP="00B35A22">
            <w:pPr>
              <w:widowControl w:val="0"/>
              <w:spacing w:beforeLines="20" w:before="48"/>
              <w:jc w:val="both"/>
              <w:rPr>
                <w:b/>
                <w:sz w:val="20"/>
                <w:szCs w:val="20"/>
                <w:lang w:val="sr-Latn-ME"/>
              </w:rPr>
            </w:pPr>
          </w:p>
          <w:p w14:paraId="3DE75D82" w14:textId="77777777" w:rsidR="002B101E" w:rsidRPr="00B35A22" w:rsidRDefault="002B101E" w:rsidP="00B35A22">
            <w:pPr>
              <w:widowControl w:val="0"/>
              <w:spacing w:beforeLines="20" w:before="48"/>
              <w:jc w:val="both"/>
              <w:rPr>
                <w:b/>
                <w:sz w:val="20"/>
                <w:lang w:val="sr-Latn-ME"/>
              </w:rPr>
            </w:pPr>
            <w:r w:rsidRPr="00B35A22">
              <w:rPr>
                <w:b/>
                <w:sz w:val="20"/>
                <w:lang w:val="sr-Latn-ME"/>
              </w:rPr>
              <w:t>Docetaksel</w:t>
            </w:r>
          </w:p>
          <w:p w14:paraId="6FFB11A0" w14:textId="77777777" w:rsidR="002B101E" w:rsidRPr="00B35A22" w:rsidRDefault="002B101E" w:rsidP="00B35A22">
            <w:pPr>
              <w:widowControl w:val="0"/>
              <w:spacing w:beforeLines="20" w:before="48"/>
              <w:jc w:val="both"/>
              <w:rPr>
                <w:b/>
                <w:sz w:val="20"/>
                <w:lang w:val="sr-Latn-ME"/>
              </w:rPr>
            </w:pPr>
            <w:r w:rsidRPr="00B35A22">
              <w:rPr>
                <w:b/>
                <w:sz w:val="20"/>
                <w:lang w:val="sr-Latn-ME"/>
              </w:rPr>
              <w:t>(n=425)</w:t>
            </w:r>
          </w:p>
        </w:tc>
      </w:tr>
      <w:tr w:rsidR="002B101E" w:rsidRPr="00B35A22" w14:paraId="4129E446" w14:textId="77777777" w:rsidTr="0065270B">
        <w:trPr>
          <w:gridAfter w:val="1"/>
          <w:wAfter w:w="18" w:type="dxa"/>
        </w:trPr>
        <w:tc>
          <w:tcPr>
            <w:tcW w:w="3629" w:type="dxa"/>
            <w:gridSpan w:val="2"/>
            <w:tcBorders>
              <w:right w:val="nil"/>
            </w:tcBorders>
          </w:tcPr>
          <w:p w14:paraId="69380B5F" w14:textId="77777777" w:rsidR="002B101E" w:rsidRPr="00B35A22" w:rsidRDefault="002B101E" w:rsidP="00B35A22">
            <w:pPr>
              <w:widowControl w:val="0"/>
              <w:spacing w:beforeLines="20" w:before="48"/>
              <w:jc w:val="both"/>
              <w:rPr>
                <w:b/>
                <w:i/>
                <w:sz w:val="20"/>
                <w:lang w:val="sr-Latn-ME"/>
              </w:rPr>
            </w:pPr>
            <w:r w:rsidRPr="00B35A22">
              <w:rPr>
                <w:b/>
                <w:i/>
                <w:sz w:val="20"/>
                <w:lang w:val="sr-Latn-ME"/>
              </w:rPr>
              <w:t>Primarni ciljevi za efikasnost</w:t>
            </w:r>
          </w:p>
        </w:tc>
        <w:tc>
          <w:tcPr>
            <w:tcW w:w="2626" w:type="dxa"/>
            <w:tcBorders>
              <w:left w:val="nil"/>
              <w:right w:val="nil"/>
            </w:tcBorders>
          </w:tcPr>
          <w:p w14:paraId="26191846" w14:textId="77777777" w:rsidR="002B101E" w:rsidRPr="00B35A22" w:rsidRDefault="002B101E" w:rsidP="00B35A22">
            <w:pPr>
              <w:widowControl w:val="0"/>
              <w:spacing w:beforeLines="20" w:before="48"/>
              <w:jc w:val="both"/>
              <w:rPr>
                <w:sz w:val="20"/>
                <w:lang w:val="sr-Latn-ME"/>
              </w:rPr>
            </w:pPr>
          </w:p>
        </w:tc>
        <w:tc>
          <w:tcPr>
            <w:tcW w:w="2565" w:type="dxa"/>
            <w:tcBorders>
              <w:left w:val="nil"/>
            </w:tcBorders>
          </w:tcPr>
          <w:p w14:paraId="2BC50A53" w14:textId="77777777" w:rsidR="002B101E" w:rsidRPr="00B35A22" w:rsidRDefault="002B101E" w:rsidP="00B35A22">
            <w:pPr>
              <w:widowControl w:val="0"/>
              <w:spacing w:beforeLines="20" w:before="48"/>
              <w:jc w:val="both"/>
              <w:rPr>
                <w:sz w:val="20"/>
                <w:lang w:val="sr-Latn-ME"/>
              </w:rPr>
            </w:pPr>
          </w:p>
        </w:tc>
      </w:tr>
      <w:tr w:rsidR="002B101E" w:rsidRPr="00B35A22" w14:paraId="559043CC" w14:textId="77777777" w:rsidTr="0065270B">
        <w:trPr>
          <w:gridAfter w:val="1"/>
          <w:wAfter w:w="18" w:type="dxa"/>
        </w:trPr>
        <w:tc>
          <w:tcPr>
            <w:tcW w:w="3629" w:type="dxa"/>
            <w:gridSpan w:val="2"/>
            <w:tcBorders>
              <w:right w:val="nil"/>
            </w:tcBorders>
          </w:tcPr>
          <w:p w14:paraId="7F272E43" w14:textId="77777777" w:rsidR="002B101E" w:rsidRPr="00B35A22" w:rsidRDefault="002B101E" w:rsidP="00B35A22">
            <w:pPr>
              <w:widowControl w:val="0"/>
              <w:spacing w:beforeLines="20" w:before="48"/>
              <w:jc w:val="both"/>
              <w:rPr>
                <w:b/>
                <w:i/>
                <w:sz w:val="20"/>
                <w:lang w:val="sr-Latn-ME"/>
              </w:rPr>
            </w:pPr>
            <w:r w:rsidRPr="00B35A22">
              <w:rPr>
                <w:b/>
                <w:i/>
                <w:sz w:val="20"/>
                <w:lang w:val="sr-Latn-ME"/>
              </w:rPr>
              <w:t>OS</w:t>
            </w:r>
          </w:p>
        </w:tc>
        <w:tc>
          <w:tcPr>
            <w:tcW w:w="2626" w:type="dxa"/>
            <w:tcBorders>
              <w:left w:val="nil"/>
              <w:right w:val="nil"/>
            </w:tcBorders>
          </w:tcPr>
          <w:p w14:paraId="1D26C291" w14:textId="77777777" w:rsidR="002B101E" w:rsidRPr="00B35A22" w:rsidRDefault="002B101E" w:rsidP="00B35A22">
            <w:pPr>
              <w:widowControl w:val="0"/>
              <w:spacing w:beforeLines="20" w:before="48"/>
              <w:jc w:val="both"/>
              <w:rPr>
                <w:sz w:val="20"/>
                <w:lang w:val="sr-Latn-ME"/>
              </w:rPr>
            </w:pPr>
          </w:p>
        </w:tc>
        <w:tc>
          <w:tcPr>
            <w:tcW w:w="2565" w:type="dxa"/>
            <w:tcBorders>
              <w:left w:val="nil"/>
            </w:tcBorders>
          </w:tcPr>
          <w:p w14:paraId="730302D3" w14:textId="77777777" w:rsidR="002B101E" w:rsidRPr="00B35A22" w:rsidRDefault="002B101E" w:rsidP="00B35A22">
            <w:pPr>
              <w:widowControl w:val="0"/>
              <w:spacing w:beforeLines="20" w:before="48"/>
              <w:jc w:val="both"/>
              <w:rPr>
                <w:sz w:val="20"/>
                <w:lang w:val="sr-Latn-ME"/>
              </w:rPr>
            </w:pPr>
          </w:p>
        </w:tc>
      </w:tr>
      <w:tr w:rsidR="00CC0044" w:rsidRPr="00B35A22" w14:paraId="5FD93035" w14:textId="77777777" w:rsidTr="002B101E">
        <w:trPr>
          <w:gridAfter w:val="1"/>
          <w:wAfter w:w="18" w:type="dxa"/>
        </w:trPr>
        <w:tc>
          <w:tcPr>
            <w:tcW w:w="3629" w:type="dxa"/>
            <w:gridSpan w:val="2"/>
            <w:tcBorders>
              <w:top w:val="nil"/>
              <w:bottom w:val="nil"/>
              <w:right w:val="nil"/>
            </w:tcBorders>
          </w:tcPr>
          <w:p w14:paraId="1A85DFB9"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Broj smrtnih slučajeva (%)</w:t>
            </w:r>
          </w:p>
        </w:tc>
        <w:tc>
          <w:tcPr>
            <w:tcW w:w="2626" w:type="dxa"/>
            <w:tcBorders>
              <w:top w:val="nil"/>
              <w:left w:val="nil"/>
              <w:bottom w:val="nil"/>
              <w:right w:val="nil"/>
            </w:tcBorders>
          </w:tcPr>
          <w:p w14:paraId="1CE4844A" w14:textId="77777777" w:rsidR="002B101E" w:rsidRPr="00B35A22" w:rsidRDefault="002B101E" w:rsidP="00B35A22">
            <w:pPr>
              <w:widowControl w:val="0"/>
              <w:spacing w:beforeLines="20" w:before="48"/>
              <w:jc w:val="both"/>
              <w:rPr>
                <w:sz w:val="20"/>
                <w:lang w:val="sr-Latn-ME"/>
              </w:rPr>
            </w:pPr>
            <w:r w:rsidRPr="00B35A22">
              <w:rPr>
                <w:sz w:val="20"/>
                <w:lang w:val="sr-Latn-ME"/>
              </w:rPr>
              <w:t>271 (64%)</w:t>
            </w:r>
          </w:p>
        </w:tc>
        <w:tc>
          <w:tcPr>
            <w:tcW w:w="2565" w:type="dxa"/>
            <w:tcBorders>
              <w:top w:val="nil"/>
              <w:left w:val="nil"/>
              <w:bottom w:val="nil"/>
            </w:tcBorders>
          </w:tcPr>
          <w:p w14:paraId="05B3DAAF" w14:textId="77777777" w:rsidR="002B101E" w:rsidRPr="00B35A22" w:rsidRDefault="002B101E" w:rsidP="00B35A22">
            <w:pPr>
              <w:widowControl w:val="0"/>
              <w:spacing w:beforeLines="20" w:before="48"/>
              <w:jc w:val="both"/>
              <w:rPr>
                <w:sz w:val="20"/>
                <w:lang w:val="sr-Latn-ME"/>
              </w:rPr>
            </w:pPr>
            <w:r w:rsidRPr="00B35A22">
              <w:rPr>
                <w:sz w:val="20"/>
                <w:lang w:val="sr-Latn-ME"/>
              </w:rPr>
              <w:t>298 (70%)</w:t>
            </w:r>
          </w:p>
        </w:tc>
      </w:tr>
      <w:tr w:rsidR="00CC0044" w:rsidRPr="00B35A22" w14:paraId="4A158AE3" w14:textId="77777777" w:rsidTr="002B101E">
        <w:trPr>
          <w:gridAfter w:val="1"/>
          <w:wAfter w:w="18" w:type="dxa"/>
        </w:trPr>
        <w:tc>
          <w:tcPr>
            <w:tcW w:w="3629" w:type="dxa"/>
            <w:gridSpan w:val="2"/>
            <w:tcBorders>
              <w:top w:val="nil"/>
              <w:bottom w:val="nil"/>
              <w:right w:val="nil"/>
            </w:tcBorders>
          </w:tcPr>
          <w:p w14:paraId="2A1B49C8"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Medijana vremena do događaja (mjeseci) </w:t>
            </w:r>
          </w:p>
        </w:tc>
        <w:tc>
          <w:tcPr>
            <w:tcW w:w="2626" w:type="dxa"/>
            <w:tcBorders>
              <w:top w:val="nil"/>
              <w:left w:val="nil"/>
              <w:bottom w:val="nil"/>
              <w:right w:val="nil"/>
            </w:tcBorders>
          </w:tcPr>
          <w:p w14:paraId="73EA400A" w14:textId="77777777" w:rsidR="002B101E" w:rsidRPr="00B35A22" w:rsidRDefault="002B101E" w:rsidP="00B35A22">
            <w:pPr>
              <w:widowControl w:val="0"/>
              <w:spacing w:beforeLines="20" w:before="48"/>
              <w:jc w:val="both"/>
              <w:rPr>
                <w:sz w:val="20"/>
                <w:lang w:val="sr-Latn-ME"/>
              </w:rPr>
            </w:pPr>
            <w:r w:rsidRPr="00B35A22">
              <w:rPr>
                <w:sz w:val="20"/>
                <w:lang w:val="sr-Latn-ME"/>
              </w:rPr>
              <w:t>13,8</w:t>
            </w:r>
          </w:p>
        </w:tc>
        <w:tc>
          <w:tcPr>
            <w:tcW w:w="2565" w:type="dxa"/>
            <w:tcBorders>
              <w:top w:val="nil"/>
              <w:left w:val="nil"/>
              <w:bottom w:val="nil"/>
            </w:tcBorders>
          </w:tcPr>
          <w:p w14:paraId="7CA7BD49" w14:textId="77777777" w:rsidR="002B101E" w:rsidRPr="00B35A22" w:rsidRDefault="002B101E" w:rsidP="00B35A22">
            <w:pPr>
              <w:widowControl w:val="0"/>
              <w:spacing w:beforeLines="20" w:before="48"/>
              <w:jc w:val="both"/>
              <w:rPr>
                <w:sz w:val="20"/>
                <w:lang w:val="sr-Latn-ME"/>
              </w:rPr>
            </w:pPr>
            <w:r w:rsidRPr="00B35A22">
              <w:rPr>
                <w:sz w:val="20"/>
                <w:lang w:val="sr-Latn-ME"/>
              </w:rPr>
              <w:t>9,6</w:t>
            </w:r>
          </w:p>
        </w:tc>
      </w:tr>
      <w:tr w:rsidR="002B101E" w:rsidRPr="00B35A22" w14:paraId="1B55FAF4" w14:textId="77777777" w:rsidTr="0065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377DF990"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95% CI</w:t>
            </w:r>
          </w:p>
        </w:tc>
        <w:tc>
          <w:tcPr>
            <w:tcW w:w="2626" w:type="dxa"/>
          </w:tcPr>
          <w:p w14:paraId="76DBCDA5" w14:textId="77777777" w:rsidR="002B101E" w:rsidRPr="00B35A22" w:rsidRDefault="002B101E" w:rsidP="00B35A22">
            <w:pPr>
              <w:widowControl w:val="0"/>
              <w:spacing w:beforeLines="20" w:before="48"/>
              <w:jc w:val="both"/>
              <w:rPr>
                <w:sz w:val="20"/>
                <w:lang w:val="sr-Latn-ME"/>
              </w:rPr>
            </w:pPr>
            <w:r w:rsidRPr="00B35A22">
              <w:rPr>
                <w:sz w:val="20"/>
                <w:lang w:val="sr-Latn-ME"/>
              </w:rPr>
              <w:t>(11,8; 15,7)</w:t>
            </w:r>
          </w:p>
        </w:tc>
        <w:tc>
          <w:tcPr>
            <w:tcW w:w="2583" w:type="dxa"/>
            <w:gridSpan w:val="2"/>
            <w:tcBorders>
              <w:right w:val="single" w:sz="4" w:space="0" w:color="auto"/>
            </w:tcBorders>
          </w:tcPr>
          <w:p w14:paraId="696D25F4" w14:textId="77777777" w:rsidR="002B101E" w:rsidRPr="00B35A22" w:rsidRDefault="002B101E" w:rsidP="00B35A22">
            <w:pPr>
              <w:widowControl w:val="0"/>
              <w:spacing w:beforeLines="20" w:before="48"/>
              <w:jc w:val="both"/>
              <w:rPr>
                <w:sz w:val="20"/>
                <w:lang w:val="sr-Latn-ME"/>
              </w:rPr>
            </w:pPr>
            <w:r w:rsidRPr="00B35A22">
              <w:rPr>
                <w:sz w:val="20"/>
                <w:lang w:val="sr-Latn-ME"/>
              </w:rPr>
              <w:t>(8,6; 11,2)</w:t>
            </w:r>
          </w:p>
        </w:tc>
      </w:tr>
      <w:tr w:rsidR="002B101E" w:rsidRPr="00B35A22" w14:paraId="05E7322B" w14:textId="77777777" w:rsidTr="006527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vAlign w:val="center"/>
          </w:tcPr>
          <w:p w14:paraId="4C89190A" w14:textId="4F3A1E2A" w:rsidR="002B101E" w:rsidRPr="00B35A22" w:rsidRDefault="002B101E" w:rsidP="00B35A22">
            <w:pPr>
              <w:widowControl w:val="0"/>
              <w:spacing w:beforeLines="20" w:before="48"/>
              <w:jc w:val="both"/>
              <w:rPr>
                <w:sz w:val="20"/>
                <w:lang w:val="sr-Latn-ME"/>
              </w:rPr>
            </w:pPr>
            <w:r w:rsidRPr="00B35A22">
              <w:rPr>
                <w:sz w:val="20"/>
                <w:lang w:val="sr-Latn-ME"/>
              </w:rPr>
              <w:t xml:space="preserve">  Stratifikovan</w:t>
            </w:r>
            <w:r w:rsidRPr="00B35A22">
              <w:rPr>
                <w:rFonts w:ascii="Lucida Sans Unicode" w:hAnsi="Lucida Sans Unicode"/>
                <w:sz w:val="20"/>
                <w:vertAlign w:val="superscript"/>
                <w:lang w:val="sr-Latn-ME"/>
              </w:rPr>
              <w:t xml:space="preserve">ǂ </w:t>
            </w:r>
            <w:r w:rsidRPr="00B35A22">
              <w:rPr>
                <w:sz w:val="20"/>
                <w:lang w:val="sr-Latn-ME"/>
              </w:rPr>
              <w:t xml:space="preserve">odnos </w:t>
            </w:r>
            <w:r w:rsidR="00F200F7" w:rsidRPr="00B35A22">
              <w:rPr>
                <w:sz w:val="20"/>
                <w:lang w:val="sr-Latn-ME"/>
              </w:rPr>
              <w:t xml:space="preserve">rizika </w:t>
            </w:r>
            <w:r w:rsidRPr="00B35A22">
              <w:rPr>
                <w:sz w:val="20"/>
                <w:lang w:val="sr-Latn-ME"/>
              </w:rPr>
              <w:t>(95% CI)</w:t>
            </w:r>
          </w:p>
        </w:tc>
        <w:tc>
          <w:tcPr>
            <w:tcW w:w="5209" w:type="dxa"/>
            <w:gridSpan w:val="3"/>
            <w:tcBorders>
              <w:right w:val="single" w:sz="4" w:space="0" w:color="auto"/>
            </w:tcBorders>
          </w:tcPr>
          <w:p w14:paraId="42926987" w14:textId="77777777" w:rsidR="002B101E" w:rsidRPr="00B35A22" w:rsidRDefault="002B101E" w:rsidP="00B35A22">
            <w:pPr>
              <w:widowControl w:val="0"/>
              <w:spacing w:beforeLines="20" w:before="48"/>
              <w:ind w:left="1085"/>
              <w:jc w:val="both"/>
              <w:rPr>
                <w:sz w:val="20"/>
                <w:lang w:val="sr-Latn-ME"/>
              </w:rPr>
            </w:pPr>
            <w:r w:rsidRPr="00B35A22">
              <w:rPr>
                <w:sz w:val="20"/>
                <w:lang w:val="sr-Latn-ME"/>
              </w:rPr>
              <w:t>0,73 (0,62; 0,87)</w:t>
            </w:r>
          </w:p>
        </w:tc>
      </w:tr>
      <w:tr w:rsidR="002B101E" w:rsidRPr="00B35A22" w14:paraId="127BA822" w14:textId="77777777" w:rsidTr="0065270B">
        <w:tc>
          <w:tcPr>
            <w:tcW w:w="3629" w:type="dxa"/>
            <w:gridSpan w:val="2"/>
            <w:tcBorders>
              <w:top w:val="nil"/>
              <w:right w:val="nil"/>
            </w:tcBorders>
          </w:tcPr>
          <w:p w14:paraId="117C5219"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p</w:t>
            </w:r>
            <w:r w:rsidRPr="00B35A22">
              <w:rPr>
                <w:sz w:val="20"/>
                <w:lang w:val="sr-Latn-ME"/>
              </w:rPr>
              <w:noBreakHyphen/>
              <w:t>vrijednost**</w:t>
            </w:r>
          </w:p>
        </w:tc>
        <w:tc>
          <w:tcPr>
            <w:tcW w:w="5209" w:type="dxa"/>
            <w:gridSpan w:val="3"/>
            <w:tcBorders>
              <w:top w:val="nil"/>
              <w:left w:val="nil"/>
            </w:tcBorders>
          </w:tcPr>
          <w:p w14:paraId="69663E94" w14:textId="77777777" w:rsidR="002B101E" w:rsidRPr="00B35A22" w:rsidRDefault="002B101E" w:rsidP="00B35A22">
            <w:pPr>
              <w:widowControl w:val="0"/>
              <w:spacing w:beforeLines="20" w:before="48"/>
              <w:jc w:val="both"/>
              <w:rPr>
                <w:sz w:val="20"/>
                <w:lang w:val="sr-Latn-ME"/>
              </w:rPr>
            </w:pPr>
            <w:r w:rsidRPr="00B35A22">
              <w:rPr>
                <w:sz w:val="20"/>
                <w:lang w:val="sr-Latn-ME"/>
              </w:rPr>
              <w:t>0,0003</w:t>
            </w:r>
          </w:p>
        </w:tc>
      </w:tr>
      <w:tr w:rsidR="00CC0044" w:rsidRPr="00B35A22" w14:paraId="207617DE" w14:textId="77777777" w:rsidTr="002B101E">
        <w:tc>
          <w:tcPr>
            <w:tcW w:w="3129" w:type="dxa"/>
            <w:tcBorders>
              <w:top w:val="nil"/>
              <w:bottom w:val="nil"/>
              <w:right w:val="nil"/>
            </w:tcBorders>
            <w:vAlign w:val="center"/>
          </w:tcPr>
          <w:p w14:paraId="2CEDD733" w14:textId="77777777" w:rsidR="002B101E" w:rsidRPr="00B35A22" w:rsidRDefault="002B101E" w:rsidP="00B35A22">
            <w:pPr>
              <w:widowControl w:val="0"/>
              <w:spacing w:beforeLines="20" w:before="48"/>
              <w:ind w:left="180" w:hanging="90"/>
              <w:jc w:val="both"/>
              <w:rPr>
                <w:sz w:val="20"/>
                <w:lang w:val="sr-Latn-ME"/>
              </w:rPr>
            </w:pPr>
            <w:r w:rsidRPr="00B35A22">
              <w:rPr>
                <w:sz w:val="20"/>
                <w:lang w:val="sr-Latn-ME"/>
              </w:rPr>
              <w:t>12</w:t>
            </w:r>
            <w:r w:rsidRPr="00B35A22">
              <w:rPr>
                <w:sz w:val="20"/>
                <w:lang w:val="sr-Latn-ME"/>
              </w:rPr>
              <w:noBreakHyphen/>
              <w:t>mjesečni OS (%)***</w:t>
            </w:r>
          </w:p>
        </w:tc>
        <w:tc>
          <w:tcPr>
            <w:tcW w:w="3126" w:type="dxa"/>
            <w:gridSpan w:val="2"/>
            <w:tcBorders>
              <w:top w:val="nil"/>
              <w:left w:val="nil"/>
              <w:bottom w:val="nil"/>
              <w:right w:val="nil"/>
            </w:tcBorders>
            <w:vAlign w:val="center"/>
          </w:tcPr>
          <w:p w14:paraId="3B6597DE" w14:textId="77777777" w:rsidR="002B101E" w:rsidRPr="00B35A22" w:rsidRDefault="002B101E" w:rsidP="00B35A22">
            <w:pPr>
              <w:widowControl w:val="0"/>
              <w:ind w:left="446"/>
              <w:jc w:val="both"/>
              <w:rPr>
                <w:sz w:val="20"/>
                <w:lang w:val="sr-Latn-ME"/>
              </w:rPr>
            </w:pPr>
            <w:r w:rsidRPr="00B35A22">
              <w:rPr>
                <w:sz w:val="20"/>
                <w:lang w:val="sr-Latn-ME"/>
              </w:rPr>
              <w:t>218 (55%)</w:t>
            </w:r>
          </w:p>
        </w:tc>
        <w:tc>
          <w:tcPr>
            <w:tcW w:w="2583" w:type="dxa"/>
            <w:gridSpan w:val="2"/>
            <w:tcBorders>
              <w:top w:val="nil"/>
              <w:left w:val="nil"/>
              <w:bottom w:val="nil"/>
            </w:tcBorders>
            <w:vAlign w:val="center"/>
          </w:tcPr>
          <w:p w14:paraId="437FFF68" w14:textId="77777777" w:rsidR="002B101E" w:rsidRPr="00B35A22" w:rsidRDefault="002B101E" w:rsidP="00B35A22">
            <w:pPr>
              <w:widowControl w:val="0"/>
              <w:jc w:val="both"/>
              <w:rPr>
                <w:sz w:val="20"/>
                <w:lang w:val="sr-Latn-ME"/>
              </w:rPr>
            </w:pPr>
            <w:r w:rsidRPr="00B35A22">
              <w:rPr>
                <w:sz w:val="20"/>
                <w:lang w:val="sr-Latn-ME"/>
              </w:rPr>
              <w:t>151 (41%)</w:t>
            </w:r>
          </w:p>
        </w:tc>
      </w:tr>
      <w:tr w:rsidR="002B101E" w:rsidRPr="00B35A22" w14:paraId="7D953F34" w14:textId="77777777" w:rsidTr="0065270B">
        <w:tc>
          <w:tcPr>
            <w:tcW w:w="3129" w:type="dxa"/>
            <w:tcBorders>
              <w:top w:val="nil"/>
              <w:right w:val="nil"/>
            </w:tcBorders>
            <w:vAlign w:val="center"/>
          </w:tcPr>
          <w:p w14:paraId="6D7E6661" w14:textId="77777777" w:rsidR="002B101E" w:rsidRPr="00B35A22" w:rsidRDefault="002B101E" w:rsidP="00B35A22">
            <w:pPr>
              <w:widowControl w:val="0"/>
              <w:ind w:left="180" w:hanging="90"/>
              <w:jc w:val="both"/>
              <w:rPr>
                <w:sz w:val="20"/>
                <w:lang w:val="sr-Latn-ME"/>
              </w:rPr>
            </w:pPr>
            <w:r w:rsidRPr="00B35A22">
              <w:rPr>
                <w:sz w:val="20"/>
                <w:lang w:val="sr-Latn-ME"/>
              </w:rPr>
              <w:t>18</w:t>
            </w:r>
            <w:r w:rsidRPr="00B35A22">
              <w:rPr>
                <w:sz w:val="20"/>
                <w:lang w:val="sr-Latn-ME"/>
              </w:rPr>
              <w:noBreakHyphen/>
              <w:t>mjesečni OS (%)***</w:t>
            </w:r>
          </w:p>
        </w:tc>
        <w:tc>
          <w:tcPr>
            <w:tcW w:w="3126" w:type="dxa"/>
            <w:gridSpan w:val="2"/>
            <w:tcBorders>
              <w:top w:val="nil"/>
              <w:left w:val="nil"/>
              <w:right w:val="nil"/>
            </w:tcBorders>
            <w:vAlign w:val="center"/>
          </w:tcPr>
          <w:p w14:paraId="252A8310" w14:textId="77777777" w:rsidR="002B101E" w:rsidRPr="00B35A22" w:rsidRDefault="002B101E" w:rsidP="00B35A22">
            <w:pPr>
              <w:widowControl w:val="0"/>
              <w:ind w:left="446"/>
              <w:jc w:val="both"/>
              <w:rPr>
                <w:sz w:val="20"/>
                <w:lang w:val="sr-Latn-ME"/>
              </w:rPr>
            </w:pPr>
            <w:r w:rsidRPr="00B35A22">
              <w:rPr>
                <w:sz w:val="20"/>
                <w:lang w:val="sr-Latn-ME"/>
              </w:rPr>
              <w:t>157 (40%)</w:t>
            </w:r>
          </w:p>
        </w:tc>
        <w:tc>
          <w:tcPr>
            <w:tcW w:w="2583" w:type="dxa"/>
            <w:gridSpan w:val="2"/>
            <w:tcBorders>
              <w:top w:val="nil"/>
              <w:left w:val="nil"/>
            </w:tcBorders>
            <w:vAlign w:val="center"/>
          </w:tcPr>
          <w:p w14:paraId="6AF2BEF9" w14:textId="77777777" w:rsidR="002B101E" w:rsidRPr="00B35A22" w:rsidRDefault="002B101E" w:rsidP="00B35A22">
            <w:pPr>
              <w:widowControl w:val="0"/>
              <w:jc w:val="both"/>
              <w:rPr>
                <w:sz w:val="20"/>
                <w:lang w:val="sr-Latn-ME"/>
              </w:rPr>
            </w:pPr>
            <w:r w:rsidRPr="00B35A22">
              <w:rPr>
                <w:sz w:val="20"/>
                <w:lang w:val="sr-Latn-ME"/>
              </w:rPr>
              <w:t>98 (27%)</w:t>
            </w:r>
          </w:p>
        </w:tc>
      </w:tr>
      <w:tr w:rsidR="002B101E" w:rsidRPr="00B35A22" w14:paraId="5215A49A" w14:textId="77777777" w:rsidTr="0065270B">
        <w:trPr>
          <w:gridAfter w:val="1"/>
          <w:wAfter w:w="18" w:type="dxa"/>
        </w:trPr>
        <w:tc>
          <w:tcPr>
            <w:tcW w:w="8820" w:type="dxa"/>
            <w:gridSpan w:val="4"/>
          </w:tcPr>
          <w:p w14:paraId="61A6ABB2" w14:textId="77777777" w:rsidR="002B101E" w:rsidRPr="00B35A22" w:rsidRDefault="002B101E" w:rsidP="00B35A22">
            <w:pPr>
              <w:widowControl w:val="0"/>
              <w:spacing w:beforeLines="20" w:before="48"/>
              <w:jc w:val="both"/>
              <w:rPr>
                <w:b/>
                <w:i/>
                <w:sz w:val="20"/>
                <w:lang w:val="sr-Latn-ME"/>
              </w:rPr>
            </w:pPr>
            <w:r w:rsidRPr="00B35A22">
              <w:rPr>
                <w:b/>
                <w:i/>
                <w:sz w:val="20"/>
                <w:lang w:val="sr-Latn-ME"/>
              </w:rPr>
              <w:t>Sekundarni ciljevi</w:t>
            </w:r>
          </w:p>
        </w:tc>
      </w:tr>
      <w:tr w:rsidR="002B101E" w:rsidRPr="00B35A22" w14:paraId="18F5C579" w14:textId="77777777" w:rsidTr="0065270B">
        <w:trPr>
          <w:gridAfter w:val="1"/>
          <w:wAfter w:w="18" w:type="dxa"/>
        </w:trPr>
        <w:tc>
          <w:tcPr>
            <w:tcW w:w="8820" w:type="dxa"/>
            <w:gridSpan w:val="4"/>
          </w:tcPr>
          <w:p w14:paraId="23589917" w14:textId="77777777" w:rsidR="002B101E" w:rsidRPr="00B35A22" w:rsidRDefault="002B101E" w:rsidP="00B35A22">
            <w:pPr>
              <w:widowControl w:val="0"/>
              <w:spacing w:beforeLines="20" w:before="48"/>
              <w:jc w:val="both"/>
              <w:rPr>
                <w:sz w:val="20"/>
                <w:lang w:val="sr-Latn-ME"/>
              </w:rPr>
            </w:pPr>
            <w:r w:rsidRPr="00B35A22">
              <w:rPr>
                <w:b/>
                <w:i/>
                <w:sz w:val="20"/>
                <w:lang w:val="sr-Latn-ME"/>
              </w:rPr>
              <w:t>PFS prema ocjeni ispitivača (RECIST v1.1)</w:t>
            </w:r>
          </w:p>
        </w:tc>
      </w:tr>
      <w:tr w:rsidR="00CC0044" w:rsidRPr="00B35A22" w14:paraId="4974FFFD" w14:textId="77777777" w:rsidTr="002B101E">
        <w:trPr>
          <w:gridAfter w:val="1"/>
          <w:wAfter w:w="18" w:type="dxa"/>
        </w:trPr>
        <w:tc>
          <w:tcPr>
            <w:tcW w:w="3629" w:type="dxa"/>
            <w:gridSpan w:val="2"/>
            <w:tcBorders>
              <w:top w:val="nil"/>
              <w:bottom w:val="nil"/>
              <w:right w:val="nil"/>
            </w:tcBorders>
          </w:tcPr>
          <w:p w14:paraId="27A57CB0" w14:textId="77777777" w:rsidR="002B101E" w:rsidRPr="00B35A22" w:rsidRDefault="002B101E" w:rsidP="00B35A22">
            <w:pPr>
              <w:widowControl w:val="0"/>
              <w:spacing w:beforeLines="20" w:before="48"/>
              <w:jc w:val="both"/>
              <w:rPr>
                <w:sz w:val="20"/>
                <w:lang w:val="sr-Latn-ME"/>
              </w:rPr>
            </w:pPr>
            <w:r w:rsidRPr="00B35A22">
              <w:rPr>
                <w:sz w:val="20"/>
                <w:lang w:val="sr-Latn-ME"/>
              </w:rPr>
              <w:lastRenderedPageBreak/>
              <w:t xml:space="preserve">  Broj događaja (%)</w:t>
            </w:r>
          </w:p>
        </w:tc>
        <w:tc>
          <w:tcPr>
            <w:tcW w:w="2626" w:type="dxa"/>
            <w:tcBorders>
              <w:top w:val="nil"/>
              <w:left w:val="nil"/>
              <w:bottom w:val="nil"/>
              <w:right w:val="nil"/>
            </w:tcBorders>
            <w:vAlign w:val="center"/>
          </w:tcPr>
          <w:p w14:paraId="12AD3B97" w14:textId="77777777" w:rsidR="002B101E" w:rsidRPr="00B35A22" w:rsidRDefault="002B101E" w:rsidP="00B35A22">
            <w:pPr>
              <w:widowControl w:val="0"/>
              <w:spacing w:beforeLines="20" w:before="48"/>
              <w:jc w:val="both"/>
              <w:rPr>
                <w:sz w:val="20"/>
                <w:lang w:val="sr-Latn-ME"/>
              </w:rPr>
            </w:pPr>
            <w:r w:rsidRPr="00B35A22">
              <w:rPr>
                <w:sz w:val="20"/>
                <w:lang w:val="sr-Latn-ME"/>
              </w:rPr>
              <w:t>380 (89%)</w:t>
            </w:r>
          </w:p>
        </w:tc>
        <w:tc>
          <w:tcPr>
            <w:tcW w:w="2565" w:type="dxa"/>
            <w:tcBorders>
              <w:top w:val="nil"/>
              <w:left w:val="nil"/>
              <w:bottom w:val="nil"/>
            </w:tcBorders>
            <w:vAlign w:val="center"/>
          </w:tcPr>
          <w:p w14:paraId="1AD3C68E" w14:textId="77777777" w:rsidR="002B101E" w:rsidRPr="00B35A22" w:rsidRDefault="002B101E" w:rsidP="00B35A22">
            <w:pPr>
              <w:widowControl w:val="0"/>
              <w:spacing w:beforeLines="20" w:before="48"/>
              <w:jc w:val="both"/>
              <w:rPr>
                <w:sz w:val="20"/>
                <w:lang w:val="sr-Latn-ME"/>
              </w:rPr>
            </w:pPr>
            <w:r w:rsidRPr="00B35A22">
              <w:rPr>
                <w:sz w:val="20"/>
                <w:lang w:val="sr-Latn-ME"/>
              </w:rPr>
              <w:t>375 (88%)</w:t>
            </w:r>
          </w:p>
        </w:tc>
      </w:tr>
      <w:tr w:rsidR="00CC0044" w:rsidRPr="00B35A22" w14:paraId="38CD73AC" w14:textId="77777777" w:rsidTr="002B101E">
        <w:trPr>
          <w:gridAfter w:val="1"/>
          <w:wAfter w:w="18" w:type="dxa"/>
        </w:trPr>
        <w:tc>
          <w:tcPr>
            <w:tcW w:w="3629" w:type="dxa"/>
            <w:gridSpan w:val="2"/>
            <w:tcBorders>
              <w:top w:val="nil"/>
              <w:bottom w:val="nil"/>
              <w:right w:val="nil"/>
            </w:tcBorders>
          </w:tcPr>
          <w:p w14:paraId="288D74EA"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Medijana trajanja PFS</w:t>
            </w:r>
            <w:r w:rsidRPr="00B35A22">
              <w:rPr>
                <w:sz w:val="20"/>
                <w:lang w:val="sr-Latn-ME"/>
              </w:rPr>
              <w:noBreakHyphen/>
              <w:t>a (mjeseci)</w:t>
            </w:r>
          </w:p>
        </w:tc>
        <w:tc>
          <w:tcPr>
            <w:tcW w:w="2626" w:type="dxa"/>
            <w:tcBorders>
              <w:top w:val="nil"/>
              <w:left w:val="nil"/>
              <w:bottom w:val="nil"/>
              <w:right w:val="nil"/>
            </w:tcBorders>
            <w:vAlign w:val="center"/>
          </w:tcPr>
          <w:p w14:paraId="55CAECFA" w14:textId="77777777" w:rsidR="002B101E" w:rsidRPr="00B35A22" w:rsidRDefault="002B101E" w:rsidP="00B35A22">
            <w:pPr>
              <w:widowControl w:val="0"/>
              <w:spacing w:beforeLines="20" w:before="48"/>
              <w:jc w:val="both"/>
              <w:rPr>
                <w:sz w:val="20"/>
                <w:lang w:val="sr-Latn-ME"/>
              </w:rPr>
            </w:pPr>
            <w:r w:rsidRPr="00B35A22">
              <w:rPr>
                <w:sz w:val="20"/>
                <w:lang w:val="sr-Latn-ME"/>
              </w:rPr>
              <w:t>2,8</w:t>
            </w:r>
          </w:p>
        </w:tc>
        <w:tc>
          <w:tcPr>
            <w:tcW w:w="2565" w:type="dxa"/>
            <w:tcBorders>
              <w:top w:val="nil"/>
              <w:left w:val="nil"/>
              <w:bottom w:val="nil"/>
            </w:tcBorders>
            <w:vAlign w:val="center"/>
          </w:tcPr>
          <w:p w14:paraId="64F226F5" w14:textId="77777777" w:rsidR="002B101E" w:rsidRPr="00B35A22" w:rsidRDefault="002B101E" w:rsidP="00B35A22">
            <w:pPr>
              <w:widowControl w:val="0"/>
              <w:spacing w:beforeLines="20" w:before="48"/>
              <w:jc w:val="both"/>
              <w:rPr>
                <w:sz w:val="20"/>
                <w:lang w:val="sr-Latn-ME"/>
              </w:rPr>
            </w:pPr>
            <w:r w:rsidRPr="00B35A22">
              <w:rPr>
                <w:sz w:val="20"/>
                <w:lang w:val="sr-Latn-ME"/>
              </w:rPr>
              <w:t>4,0</w:t>
            </w:r>
          </w:p>
        </w:tc>
      </w:tr>
      <w:tr w:rsidR="00CC0044" w:rsidRPr="00B35A22" w14:paraId="5AD1859F" w14:textId="77777777" w:rsidTr="002B101E">
        <w:trPr>
          <w:gridAfter w:val="1"/>
          <w:wAfter w:w="18" w:type="dxa"/>
        </w:trPr>
        <w:tc>
          <w:tcPr>
            <w:tcW w:w="3629" w:type="dxa"/>
            <w:gridSpan w:val="2"/>
            <w:tcBorders>
              <w:top w:val="nil"/>
              <w:bottom w:val="nil"/>
              <w:right w:val="nil"/>
            </w:tcBorders>
          </w:tcPr>
          <w:p w14:paraId="3CDB7230"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95% CI</w:t>
            </w:r>
          </w:p>
        </w:tc>
        <w:tc>
          <w:tcPr>
            <w:tcW w:w="2626" w:type="dxa"/>
            <w:tcBorders>
              <w:top w:val="nil"/>
              <w:left w:val="nil"/>
              <w:bottom w:val="nil"/>
              <w:right w:val="nil"/>
            </w:tcBorders>
            <w:vAlign w:val="center"/>
          </w:tcPr>
          <w:p w14:paraId="49B87A12" w14:textId="77777777" w:rsidR="002B101E" w:rsidRPr="00B35A22" w:rsidRDefault="002B101E" w:rsidP="00B35A22">
            <w:pPr>
              <w:widowControl w:val="0"/>
              <w:spacing w:beforeLines="20" w:before="48"/>
              <w:jc w:val="both"/>
              <w:rPr>
                <w:sz w:val="20"/>
                <w:lang w:val="sr-Latn-ME"/>
              </w:rPr>
            </w:pPr>
            <w:r w:rsidRPr="00B35A22">
              <w:rPr>
                <w:sz w:val="20"/>
                <w:lang w:val="sr-Latn-ME"/>
              </w:rPr>
              <w:t>(2,6; 3,0)</w:t>
            </w:r>
          </w:p>
        </w:tc>
        <w:tc>
          <w:tcPr>
            <w:tcW w:w="2565" w:type="dxa"/>
            <w:tcBorders>
              <w:top w:val="nil"/>
              <w:left w:val="nil"/>
              <w:bottom w:val="nil"/>
            </w:tcBorders>
            <w:vAlign w:val="center"/>
          </w:tcPr>
          <w:p w14:paraId="452FEE30" w14:textId="77777777" w:rsidR="002B101E" w:rsidRPr="00B35A22" w:rsidRDefault="002B101E" w:rsidP="00B35A22">
            <w:pPr>
              <w:widowControl w:val="0"/>
              <w:spacing w:beforeLines="20" w:before="48"/>
              <w:jc w:val="both"/>
              <w:rPr>
                <w:sz w:val="20"/>
                <w:lang w:val="sr-Latn-ME"/>
              </w:rPr>
            </w:pPr>
            <w:r w:rsidRPr="00B35A22">
              <w:rPr>
                <w:sz w:val="20"/>
                <w:lang w:val="sr-Latn-ME"/>
              </w:rPr>
              <w:t>(3,3; 4,2)</w:t>
            </w:r>
          </w:p>
        </w:tc>
      </w:tr>
      <w:tr w:rsidR="002B101E" w:rsidRPr="00B35A22" w14:paraId="6A1365BF" w14:textId="77777777" w:rsidTr="0065270B">
        <w:trPr>
          <w:gridAfter w:val="1"/>
          <w:wAfter w:w="18" w:type="dxa"/>
        </w:trPr>
        <w:tc>
          <w:tcPr>
            <w:tcW w:w="3629" w:type="dxa"/>
            <w:gridSpan w:val="2"/>
            <w:tcBorders>
              <w:top w:val="nil"/>
              <w:right w:val="nil"/>
            </w:tcBorders>
          </w:tcPr>
          <w:p w14:paraId="33000AF7" w14:textId="03A41B83" w:rsidR="002B101E" w:rsidRPr="00B35A22" w:rsidRDefault="002B101E" w:rsidP="00B35A22">
            <w:pPr>
              <w:widowControl w:val="0"/>
              <w:spacing w:beforeLines="20" w:before="48"/>
              <w:jc w:val="both"/>
              <w:rPr>
                <w:sz w:val="20"/>
                <w:lang w:val="sr-Latn-ME"/>
              </w:rPr>
            </w:pPr>
            <w:r w:rsidRPr="00B35A22">
              <w:rPr>
                <w:sz w:val="20"/>
                <w:lang w:val="sr-Latn-ME"/>
              </w:rPr>
              <w:t xml:space="preserve">  Stratifikovan odnos </w:t>
            </w:r>
            <w:r w:rsidR="00F200F7" w:rsidRPr="00B35A22">
              <w:rPr>
                <w:sz w:val="20"/>
                <w:lang w:val="sr-Latn-ME"/>
              </w:rPr>
              <w:t>rizika</w:t>
            </w:r>
            <w:r w:rsidRPr="00B35A22">
              <w:rPr>
                <w:sz w:val="20"/>
                <w:lang w:val="sr-Latn-ME"/>
              </w:rPr>
              <w:t xml:space="preserve"> (95% CI)</w:t>
            </w:r>
          </w:p>
        </w:tc>
        <w:tc>
          <w:tcPr>
            <w:tcW w:w="5191" w:type="dxa"/>
            <w:gridSpan w:val="2"/>
            <w:tcBorders>
              <w:top w:val="nil"/>
              <w:left w:val="nil"/>
            </w:tcBorders>
            <w:vAlign w:val="center"/>
          </w:tcPr>
          <w:p w14:paraId="23B17648" w14:textId="77777777" w:rsidR="002B101E" w:rsidRPr="00B35A22" w:rsidRDefault="002B101E" w:rsidP="00B35A22">
            <w:pPr>
              <w:widowControl w:val="0"/>
              <w:spacing w:beforeLines="20" w:before="48"/>
              <w:ind w:left="1085"/>
              <w:jc w:val="both"/>
              <w:rPr>
                <w:sz w:val="20"/>
                <w:lang w:val="sr-Latn-ME"/>
              </w:rPr>
            </w:pPr>
            <w:r w:rsidRPr="00B35A22">
              <w:rPr>
                <w:sz w:val="20"/>
                <w:lang w:val="sr-Latn-ME"/>
              </w:rPr>
              <w:t>0,95 (0,82; 1,10)</w:t>
            </w:r>
          </w:p>
        </w:tc>
      </w:tr>
      <w:tr w:rsidR="002B101E" w:rsidRPr="00B35A22" w14:paraId="18ADF050" w14:textId="77777777" w:rsidTr="0065270B">
        <w:trPr>
          <w:gridAfter w:val="1"/>
          <w:wAfter w:w="18" w:type="dxa"/>
        </w:trPr>
        <w:tc>
          <w:tcPr>
            <w:tcW w:w="8820" w:type="dxa"/>
            <w:gridSpan w:val="4"/>
          </w:tcPr>
          <w:p w14:paraId="05333611" w14:textId="77777777" w:rsidR="002B101E" w:rsidRPr="00B35A22" w:rsidRDefault="002B101E" w:rsidP="00B35A22">
            <w:pPr>
              <w:widowControl w:val="0"/>
              <w:spacing w:beforeLines="20" w:before="48"/>
              <w:jc w:val="both"/>
              <w:rPr>
                <w:sz w:val="20"/>
                <w:lang w:val="sr-Latn-ME"/>
              </w:rPr>
            </w:pPr>
            <w:r w:rsidRPr="00B35A22">
              <w:rPr>
                <w:b/>
                <w:i/>
                <w:sz w:val="20"/>
                <w:lang w:val="sr-Latn-ME"/>
              </w:rPr>
              <w:t>ORR prema ocjeni ispitivača (RECIST v1.1)</w:t>
            </w:r>
          </w:p>
        </w:tc>
      </w:tr>
      <w:tr w:rsidR="00CC0044" w:rsidRPr="00B35A22" w14:paraId="5D45EFFE" w14:textId="77777777" w:rsidTr="002B101E">
        <w:trPr>
          <w:gridAfter w:val="1"/>
          <w:wAfter w:w="18" w:type="dxa"/>
        </w:trPr>
        <w:tc>
          <w:tcPr>
            <w:tcW w:w="3629" w:type="dxa"/>
            <w:gridSpan w:val="2"/>
            <w:tcBorders>
              <w:top w:val="nil"/>
              <w:bottom w:val="nil"/>
              <w:right w:val="nil"/>
            </w:tcBorders>
          </w:tcPr>
          <w:p w14:paraId="63E8E123"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Broj pacijenata sa odgovorom (%)</w:t>
            </w:r>
          </w:p>
        </w:tc>
        <w:tc>
          <w:tcPr>
            <w:tcW w:w="2626" w:type="dxa"/>
            <w:tcBorders>
              <w:top w:val="nil"/>
              <w:left w:val="nil"/>
              <w:bottom w:val="nil"/>
              <w:right w:val="nil"/>
            </w:tcBorders>
            <w:vAlign w:val="center"/>
          </w:tcPr>
          <w:p w14:paraId="7811DEC4" w14:textId="77777777" w:rsidR="002B101E" w:rsidRPr="00B35A22" w:rsidRDefault="002B101E" w:rsidP="00B35A22">
            <w:pPr>
              <w:widowControl w:val="0"/>
              <w:spacing w:beforeLines="20" w:before="48"/>
              <w:jc w:val="both"/>
              <w:rPr>
                <w:sz w:val="20"/>
                <w:lang w:val="sr-Latn-ME"/>
              </w:rPr>
            </w:pPr>
            <w:r w:rsidRPr="00B35A22">
              <w:rPr>
                <w:sz w:val="20"/>
                <w:lang w:val="sr-Latn-ME"/>
              </w:rPr>
              <w:t>58 (14%)</w:t>
            </w:r>
          </w:p>
        </w:tc>
        <w:tc>
          <w:tcPr>
            <w:tcW w:w="2565" w:type="dxa"/>
            <w:tcBorders>
              <w:top w:val="nil"/>
              <w:left w:val="nil"/>
              <w:bottom w:val="nil"/>
            </w:tcBorders>
            <w:vAlign w:val="center"/>
          </w:tcPr>
          <w:p w14:paraId="609C0A59" w14:textId="77777777" w:rsidR="002B101E" w:rsidRPr="00B35A22" w:rsidRDefault="002B101E" w:rsidP="00B35A22">
            <w:pPr>
              <w:widowControl w:val="0"/>
              <w:spacing w:beforeLines="20" w:before="48"/>
              <w:jc w:val="both"/>
              <w:rPr>
                <w:sz w:val="20"/>
                <w:lang w:val="sr-Latn-ME"/>
              </w:rPr>
            </w:pPr>
            <w:r w:rsidRPr="00B35A22">
              <w:rPr>
                <w:sz w:val="20"/>
                <w:lang w:val="sr-Latn-ME"/>
              </w:rPr>
              <w:t>57 (13%)</w:t>
            </w:r>
          </w:p>
        </w:tc>
      </w:tr>
      <w:tr w:rsidR="002B101E" w:rsidRPr="00B35A22" w14:paraId="27736D7B" w14:textId="77777777" w:rsidTr="0065270B">
        <w:trPr>
          <w:gridAfter w:val="1"/>
          <w:wAfter w:w="18" w:type="dxa"/>
        </w:trPr>
        <w:tc>
          <w:tcPr>
            <w:tcW w:w="3629" w:type="dxa"/>
            <w:gridSpan w:val="2"/>
            <w:tcBorders>
              <w:top w:val="nil"/>
              <w:right w:val="nil"/>
            </w:tcBorders>
          </w:tcPr>
          <w:p w14:paraId="5F14C02F"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95% CI</w:t>
            </w:r>
          </w:p>
        </w:tc>
        <w:tc>
          <w:tcPr>
            <w:tcW w:w="2626" w:type="dxa"/>
            <w:tcBorders>
              <w:top w:val="nil"/>
              <w:left w:val="nil"/>
              <w:right w:val="nil"/>
            </w:tcBorders>
            <w:vAlign w:val="center"/>
          </w:tcPr>
          <w:p w14:paraId="3A1DADE8" w14:textId="77777777" w:rsidR="002B101E" w:rsidRPr="00B35A22" w:rsidRDefault="002B101E" w:rsidP="00B35A22">
            <w:pPr>
              <w:widowControl w:val="0"/>
              <w:spacing w:beforeLines="20" w:before="48"/>
              <w:jc w:val="both"/>
              <w:rPr>
                <w:sz w:val="20"/>
                <w:lang w:val="sr-Latn-ME"/>
              </w:rPr>
            </w:pPr>
            <w:r w:rsidRPr="00B35A22">
              <w:rPr>
                <w:sz w:val="20"/>
                <w:lang w:val="sr-Latn-ME"/>
              </w:rPr>
              <w:t>(10,5; 17,3)</w:t>
            </w:r>
          </w:p>
        </w:tc>
        <w:tc>
          <w:tcPr>
            <w:tcW w:w="2565" w:type="dxa"/>
            <w:tcBorders>
              <w:top w:val="nil"/>
              <w:left w:val="nil"/>
            </w:tcBorders>
            <w:vAlign w:val="center"/>
          </w:tcPr>
          <w:p w14:paraId="1FA5672A" w14:textId="77777777" w:rsidR="002B101E" w:rsidRPr="00B35A22" w:rsidRDefault="002B101E" w:rsidP="00B35A22">
            <w:pPr>
              <w:widowControl w:val="0"/>
              <w:spacing w:beforeLines="20" w:before="48"/>
              <w:jc w:val="both"/>
              <w:rPr>
                <w:sz w:val="20"/>
                <w:lang w:val="sr-Latn-ME"/>
              </w:rPr>
            </w:pPr>
            <w:r w:rsidRPr="00B35A22">
              <w:rPr>
                <w:sz w:val="20"/>
                <w:lang w:val="sr-Latn-ME"/>
              </w:rPr>
              <w:t>(10,3; 17,0)</w:t>
            </w:r>
          </w:p>
        </w:tc>
      </w:tr>
      <w:tr w:rsidR="002B101E" w:rsidRPr="00B35A22" w14:paraId="460255A2" w14:textId="77777777" w:rsidTr="0065270B">
        <w:trPr>
          <w:gridAfter w:val="1"/>
          <w:wAfter w:w="18" w:type="dxa"/>
        </w:trPr>
        <w:tc>
          <w:tcPr>
            <w:tcW w:w="3629" w:type="dxa"/>
            <w:gridSpan w:val="2"/>
            <w:tcBorders>
              <w:bottom w:val="nil"/>
              <w:right w:val="nil"/>
            </w:tcBorders>
          </w:tcPr>
          <w:p w14:paraId="123BDC81" w14:textId="77777777" w:rsidR="002B101E" w:rsidRPr="00B35A22" w:rsidRDefault="002B101E" w:rsidP="00B35A22">
            <w:pPr>
              <w:widowControl w:val="0"/>
              <w:spacing w:beforeLines="20" w:before="48"/>
              <w:jc w:val="both"/>
              <w:rPr>
                <w:b/>
                <w:sz w:val="20"/>
                <w:lang w:val="sr-Latn-ME"/>
              </w:rPr>
            </w:pPr>
            <w:r w:rsidRPr="00B35A22">
              <w:rPr>
                <w:b/>
                <w:i/>
                <w:sz w:val="20"/>
                <w:lang w:val="sr-Latn-ME"/>
              </w:rPr>
              <w:t>Trajanje odgovora prema ocjeni ispitivača (RECIST v1.1)</w:t>
            </w:r>
          </w:p>
        </w:tc>
        <w:tc>
          <w:tcPr>
            <w:tcW w:w="2626" w:type="dxa"/>
            <w:tcBorders>
              <w:left w:val="nil"/>
              <w:bottom w:val="nil"/>
              <w:right w:val="nil"/>
            </w:tcBorders>
          </w:tcPr>
          <w:p w14:paraId="1D870C05" w14:textId="77777777" w:rsidR="002B101E" w:rsidRPr="00B35A22" w:rsidRDefault="002B101E" w:rsidP="00B35A22">
            <w:pPr>
              <w:widowControl w:val="0"/>
              <w:spacing w:beforeLines="20" w:before="48"/>
              <w:jc w:val="both"/>
              <w:rPr>
                <w:sz w:val="20"/>
                <w:lang w:val="sr-Latn-ME"/>
              </w:rPr>
            </w:pPr>
            <w:r w:rsidRPr="00B35A22">
              <w:rPr>
                <w:sz w:val="20"/>
                <w:lang w:val="sr-Latn-ME"/>
              </w:rPr>
              <w:t>n=58</w:t>
            </w:r>
          </w:p>
        </w:tc>
        <w:tc>
          <w:tcPr>
            <w:tcW w:w="2565" w:type="dxa"/>
            <w:tcBorders>
              <w:left w:val="nil"/>
              <w:bottom w:val="nil"/>
            </w:tcBorders>
          </w:tcPr>
          <w:p w14:paraId="60E4D669" w14:textId="77777777" w:rsidR="002B101E" w:rsidRPr="00B35A22" w:rsidRDefault="002B101E" w:rsidP="00B35A22">
            <w:pPr>
              <w:widowControl w:val="0"/>
              <w:spacing w:beforeLines="20" w:before="48"/>
              <w:jc w:val="both"/>
              <w:rPr>
                <w:sz w:val="20"/>
                <w:lang w:val="sr-Latn-ME"/>
              </w:rPr>
            </w:pPr>
            <w:r w:rsidRPr="00B35A22">
              <w:rPr>
                <w:sz w:val="20"/>
                <w:lang w:val="sr-Latn-ME"/>
              </w:rPr>
              <w:t>n=57</w:t>
            </w:r>
          </w:p>
        </w:tc>
      </w:tr>
      <w:tr w:rsidR="00CC0044" w:rsidRPr="00B35A22" w14:paraId="6757C58C" w14:textId="77777777" w:rsidTr="002B101E">
        <w:trPr>
          <w:gridAfter w:val="1"/>
          <w:wAfter w:w="18" w:type="dxa"/>
        </w:trPr>
        <w:tc>
          <w:tcPr>
            <w:tcW w:w="3629" w:type="dxa"/>
            <w:gridSpan w:val="2"/>
            <w:tcBorders>
              <w:top w:val="nil"/>
              <w:bottom w:val="nil"/>
              <w:right w:val="nil"/>
            </w:tcBorders>
          </w:tcPr>
          <w:p w14:paraId="629BF95F"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Medijana u mjesecima</w:t>
            </w:r>
          </w:p>
        </w:tc>
        <w:tc>
          <w:tcPr>
            <w:tcW w:w="2626" w:type="dxa"/>
            <w:tcBorders>
              <w:top w:val="nil"/>
              <w:left w:val="nil"/>
              <w:bottom w:val="nil"/>
              <w:right w:val="nil"/>
            </w:tcBorders>
          </w:tcPr>
          <w:p w14:paraId="14BAA355" w14:textId="77777777" w:rsidR="002B101E" w:rsidRPr="00B35A22" w:rsidRDefault="002B101E" w:rsidP="00B35A22">
            <w:pPr>
              <w:widowControl w:val="0"/>
              <w:spacing w:beforeLines="20" w:before="48"/>
              <w:jc w:val="both"/>
              <w:rPr>
                <w:sz w:val="20"/>
                <w:lang w:val="sr-Latn-ME"/>
              </w:rPr>
            </w:pPr>
            <w:r w:rsidRPr="00B35A22">
              <w:rPr>
                <w:sz w:val="20"/>
                <w:lang w:val="sr-Latn-ME"/>
              </w:rPr>
              <w:t>16,3</w:t>
            </w:r>
          </w:p>
        </w:tc>
        <w:tc>
          <w:tcPr>
            <w:tcW w:w="2565" w:type="dxa"/>
            <w:tcBorders>
              <w:top w:val="nil"/>
              <w:left w:val="nil"/>
              <w:bottom w:val="nil"/>
            </w:tcBorders>
          </w:tcPr>
          <w:p w14:paraId="5718A3FB" w14:textId="77777777" w:rsidR="002B101E" w:rsidRPr="00B35A22" w:rsidRDefault="002B101E" w:rsidP="00B35A22">
            <w:pPr>
              <w:widowControl w:val="0"/>
              <w:spacing w:beforeLines="20" w:before="48"/>
              <w:jc w:val="both"/>
              <w:rPr>
                <w:sz w:val="20"/>
                <w:lang w:val="sr-Latn-ME"/>
              </w:rPr>
            </w:pPr>
            <w:r w:rsidRPr="00B35A22">
              <w:rPr>
                <w:sz w:val="20"/>
                <w:lang w:val="sr-Latn-ME"/>
              </w:rPr>
              <w:t>6,2</w:t>
            </w:r>
          </w:p>
        </w:tc>
      </w:tr>
      <w:tr w:rsidR="002B101E" w:rsidRPr="00B35A22" w14:paraId="3AF5F59D" w14:textId="77777777" w:rsidTr="0065270B">
        <w:trPr>
          <w:gridAfter w:val="1"/>
          <w:wAfter w:w="18" w:type="dxa"/>
        </w:trPr>
        <w:tc>
          <w:tcPr>
            <w:tcW w:w="3629" w:type="dxa"/>
            <w:gridSpan w:val="2"/>
            <w:tcBorders>
              <w:top w:val="nil"/>
              <w:right w:val="nil"/>
            </w:tcBorders>
          </w:tcPr>
          <w:p w14:paraId="2D42853F" w14:textId="77777777" w:rsidR="002B101E" w:rsidRPr="00B35A22" w:rsidRDefault="002B101E" w:rsidP="00B35A22">
            <w:pPr>
              <w:widowControl w:val="0"/>
              <w:spacing w:beforeLines="20" w:before="48"/>
              <w:jc w:val="both"/>
              <w:rPr>
                <w:sz w:val="20"/>
                <w:lang w:val="sr-Latn-ME"/>
              </w:rPr>
            </w:pPr>
            <w:r w:rsidRPr="00B35A22">
              <w:rPr>
                <w:sz w:val="20"/>
                <w:lang w:val="sr-Latn-ME"/>
              </w:rPr>
              <w:t xml:space="preserve">  95% CI</w:t>
            </w:r>
          </w:p>
        </w:tc>
        <w:tc>
          <w:tcPr>
            <w:tcW w:w="2626" w:type="dxa"/>
            <w:tcBorders>
              <w:top w:val="nil"/>
              <w:left w:val="nil"/>
              <w:right w:val="nil"/>
            </w:tcBorders>
          </w:tcPr>
          <w:p w14:paraId="6BFE7F40" w14:textId="77777777" w:rsidR="002B101E" w:rsidRPr="00B35A22" w:rsidRDefault="002B101E" w:rsidP="00B35A22">
            <w:pPr>
              <w:widowControl w:val="0"/>
              <w:spacing w:beforeLines="20" w:before="48"/>
              <w:jc w:val="both"/>
              <w:rPr>
                <w:sz w:val="20"/>
                <w:lang w:val="sr-Latn-ME"/>
              </w:rPr>
            </w:pPr>
            <w:r w:rsidRPr="00B35A22">
              <w:rPr>
                <w:sz w:val="20"/>
                <w:lang w:val="sr-Latn-ME"/>
              </w:rPr>
              <w:t>(10,0; NP)</w:t>
            </w:r>
          </w:p>
        </w:tc>
        <w:tc>
          <w:tcPr>
            <w:tcW w:w="2565" w:type="dxa"/>
            <w:tcBorders>
              <w:top w:val="nil"/>
              <w:left w:val="nil"/>
            </w:tcBorders>
          </w:tcPr>
          <w:p w14:paraId="1D64B163" w14:textId="77777777" w:rsidR="002B101E" w:rsidRPr="00B35A22" w:rsidRDefault="002B101E" w:rsidP="00B35A22">
            <w:pPr>
              <w:widowControl w:val="0"/>
              <w:spacing w:beforeLines="20" w:before="48"/>
              <w:jc w:val="both"/>
              <w:rPr>
                <w:sz w:val="20"/>
                <w:lang w:val="sr-Latn-ME"/>
              </w:rPr>
            </w:pPr>
            <w:r w:rsidRPr="00B35A22">
              <w:rPr>
                <w:sz w:val="20"/>
                <w:lang w:val="sr-Latn-ME"/>
              </w:rPr>
              <w:t>(4,9; 7,6)</w:t>
            </w:r>
          </w:p>
        </w:tc>
      </w:tr>
    </w:tbl>
    <w:p w14:paraId="08DC48ED" w14:textId="77777777" w:rsidR="002B101E" w:rsidRPr="00B35A22" w:rsidRDefault="002B101E" w:rsidP="00B35A22">
      <w:pPr>
        <w:widowControl w:val="0"/>
        <w:tabs>
          <w:tab w:val="left" w:pos="284"/>
          <w:tab w:val="center" w:pos="4320"/>
          <w:tab w:val="right" w:pos="8640"/>
        </w:tabs>
        <w:jc w:val="both"/>
        <w:rPr>
          <w:sz w:val="18"/>
          <w:lang w:val="sr-Latn-ME"/>
        </w:rPr>
      </w:pPr>
      <w:r w:rsidRPr="00B35A22">
        <w:rPr>
          <w:sz w:val="18"/>
          <w:lang w:val="sr-Latn-ME"/>
        </w:rPr>
        <w:t>CI = interval pouzdanosti; NP = ne može se procijeniti; ORR = stopa objektivnog odgovora; OS = ukupno preživljavanje; PFS = preživljavanje bez progresije bolesti; RECIST v1.1 = verzija 1.1 Kriterijumi za ocjenu odgovora kod solidnih tumora</w:t>
      </w:r>
    </w:p>
    <w:p w14:paraId="05E66B1E" w14:textId="77777777" w:rsidR="002B101E" w:rsidRPr="00B35A22" w:rsidRDefault="002B101E" w:rsidP="00B35A22">
      <w:pPr>
        <w:widowControl w:val="0"/>
        <w:jc w:val="both"/>
        <w:rPr>
          <w:sz w:val="18"/>
          <w:lang w:val="sr-Latn-ME"/>
        </w:rPr>
      </w:pPr>
      <w:r w:rsidRPr="00B35A22">
        <w:rPr>
          <w:sz w:val="18"/>
          <w:lang w:val="sr-Latn-ME"/>
        </w:rPr>
        <w:t>*Populaciju za primarnu analizu čini prvih 850 randomizovanih pacijenata</w:t>
      </w:r>
    </w:p>
    <w:p w14:paraId="73A80828" w14:textId="77777777" w:rsidR="002B101E" w:rsidRPr="00B35A22" w:rsidRDefault="002B101E" w:rsidP="00B35A22">
      <w:pPr>
        <w:widowControl w:val="0"/>
        <w:jc w:val="both"/>
        <w:rPr>
          <w:sz w:val="18"/>
          <w:lang w:val="sr-Latn-ME"/>
        </w:rPr>
      </w:pPr>
      <w:r w:rsidRPr="00B35A22">
        <w:rPr>
          <w:sz w:val="18"/>
          <w:lang w:val="sr-Latn-ME"/>
        </w:rPr>
        <w:t>ǂ Stratifikacija prema ekspresiji PD-L1 na imunim ćelijama koje infiltriraju tumor, broju prethodnih hemoterapijskih protokola i histološkom nalazu</w:t>
      </w:r>
    </w:p>
    <w:p w14:paraId="104DD175" w14:textId="49C0136E" w:rsidR="002B101E" w:rsidRPr="00B35A22" w:rsidRDefault="002B101E" w:rsidP="00B35A22">
      <w:pPr>
        <w:widowControl w:val="0"/>
        <w:jc w:val="both"/>
        <w:rPr>
          <w:sz w:val="18"/>
          <w:lang w:val="sr-Latn-ME"/>
        </w:rPr>
      </w:pPr>
      <w:r w:rsidRPr="00B35A22">
        <w:rPr>
          <w:sz w:val="18"/>
          <w:lang w:val="sr-Latn-ME"/>
        </w:rPr>
        <w:t>**Na osnovu stratifi</w:t>
      </w:r>
      <w:r w:rsidR="00C079EB" w:rsidRPr="00B35A22">
        <w:rPr>
          <w:sz w:val="18"/>
          <w:lang w:val="sr-Latn-ME"/>
        </w:rPr>
        <w:t>kov</w:t>
      </w:r>
      <w:r w:rsidRPr="00B35A22">
        <w:rPr>
          <w:sz w:val="18"/>
          <w:lang w:val="sr-Latn-ME"/>
        </w:rPr>
        <w:t>anog log-rang testa</w:t>
      </w:r>
    </w:p>
    <w:p w14:paraId="146930C6" w14:textId="77777777" w:rsidR="002B101E" w:rsidRPr="00B35A22" w:rsidRDefault="002B101E" w:rsidP="00B35A22">
      <w:pPr>
        <w:widowControl w:val="0"/>
        <w:jc w:val="both"/>
        <w:rPr>
          <w:sz w:val="18"/>
          <w:lang w:val="sr-Latn-ME"/>
        </w:rPr>
      </w:pPr>
      <w:r w:rsidRPr="00B35A22">
        <w:rPr>
          <w:sz w:val="18"/>
          <w:lang w:val="sr-Latn-ME"/>
        </w:rPr>
        <w:t>***Na osnovu procjene prema Kaplan-Meierovoj metodi</w:t>
      </w:r>
    </w:p>
    <w:p w14:paraId="2280E968" w14:textId="316C5D3D" w:rsidR="00D24471" w:rsidRPr="00B35A22" w:rsidRDefault="00D24471" w:rsidP="00B35A22">
      <w:pPr>
        <w:widowControl w:val="0"/>
        <w:rPr>
          <w:sz w:val="18"/>
          <w:lang w:val="sr-Latn-ME"/>
        </w:rPr>
      </w:pPr>
    </w:p>
    <w:p w14:paraId="46870D94" w14:textId="397D1DA1" w:rsidR="002B101E" w:rsidRPr="00B35A22" w:rsidRDefault="002B101E" w:rsidP="00B35A22">
      <w:pPr>
        <w:widowControl w:val="0"/>
        <w:tabs>
          <w:tab w:val="left" w:pos="284"/>
          <w:tab w:val="center" w:pos="4320"/>
          <w:tab w:val="right" w:pos="8640"/>
        </w:tabs>
        <w:jc w:val="both"/>
        <w:rPr>
          <w:b/>
          <w:sz w:val="22"/>
          <w:lang w:val="sr-Latn-ME"/>
        </w:rPr>
      </w:pPr>
      <w:r w:rsidRPr="00B35A22">
        <w:rPr>
          <w:b/>
          <w:sz w:val="22"/>
          <w:lang w:val="sr-Latn-ME"/>
        </w:rPr>
        <w:t xml:space="preserve">Slika </w:t>
      </w:r>
      <w:r w:rsidR="00D46A5F" w:rsidRPr="00B35A22">
        <w:rPr>
          <w:b/>
          <w:bCs/>
          <w:sz w:val="22"/>
          <w:szCs w:val="22"/>
          <w:lang w:val="sr-Latn-ME"/>
        </w:rPr>
        <w:t>15</w:t>
      </w:r>
      <w:r w:rsidRPr="00B35A22">
        <w:rPr>
          <w:b/>
          <w:sz w:val="22"/>
          <w:lang w:val="sr-Latn-ME"/>
        </w:rPr>
        <w:t xml:space="preserve">: </w:t>
      </w:r>
      <w:r w:rsidRPr="00B35A22">
        <w:rPr>
          <w:b/>
          <w:i/>
          <w:sz w:val="22"/>
          <w:lang w:val="sr-Latn-ME"/>
        </w:rPr>
        <w:t>Kaplan Meier</w:t>
      </w:r>
      <w:r w:rsidR="00D60B4D" w:rsidRPr="00B35A22">
        <w:rPr>
          <w:b/>
          <w:sz w:val="22"/>
          <w:lang w:val="sr-Latn-ME"/>
        </w:rPr>
        <w:t>-</w:t>
      </w:r>
      <w:r w:rsidRPr="00B35A22">
        <w:rPr>
          <w:b/>
          <w:sz w:val="22"/>
          <w:lang w:val="sr-Latn-ME"/>
        </w:rPr>
        <w:t>ova kriva ukupnog preživljavanja u populaciji za primarnu analizu (svi uključeni pacijenti) (OAK)</w:t>
      </w:r>
    </w:p>
    <w:p w14:paraId="4620B597" w14:textId="68B64E8E" w:rsidR="000A26D9" w:rsidRPr="00B35A22" w:rsidRDefault="000A26D9" w:rsidP="00B35A22">
      <w:pPr>
        <w:widowControl w:val="0"/>
        <w:tabs>
          <w:tab w:val="left" w:pos="284"/>
          <w:tab w:val="center" w:pos="4320"/>
          <w:tab w:val="right" w:pos="8640"/>
        </w:tabs>
        <w:jc w:val="both"/>
        <w:rPr>
          <w:sz w:val="22"/>
          <w:lang w:val="sr-Latn-ME"/>
        </w:rPr>
      </w:pPr>
    </w:p>
    <w:p w14:paraId="06DBAB90" w14:textId="3B1AA79D" w:rsidR="00D318E9" w:rsidRPr="00B35A22" w:rsidRDefault="00D318E9" w:rsidP="00B35A22">
      <w:pPr>
        <w:widowControl w:val="0"/>
        <w:tabs>
          <w:tab w:val="left" w:pos="284"/>
          <w:tab w:val="center" w:pos="4320"/>
          <w:tab w:val="right" w:pos="8640"/>
        </w:tabs>
        <w:jc w:val="both"/>
        <w:rPr>
          <w:sz w:val="22"/>
          <w:lang w:val="sr-Latn-ME"/>
        </w:rPr>
      </w:pPr>
      <w:r w:rsidRPr="00B35A22">
        <w:rPr>
          <w:lang w:val="sr-Latn-ME" w:eastAsia="sr-Latn-ME"/>
        </w:rPr>
        <w:drawing>
          <wp:inline distT="0" distB="0" distL="0" distR="0" wp14:anchorId="089CFC4B" wp14:editId="61A323D2">
            <wp:extent cx="5768975" cy="274828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8975" cy="2748280"/>
                    </a:xfrm>
                    <a:prstGeom prst="rect">
                      <a:avLst/>
                    </a:prstGeom>
                  </pic:spPr>
                </pic:pic>
              </a:graphicData>
            </a:graphic>
          </wp:inline>
        </w:drawing>
      </w:r>
    </w:p>
    <w:p w14:paraId="1CF270FA" w14:textId="77777777" w:rsidR="00312B1B" w:rsidRPr="00B35A22" w:rsidRDefault="00312B1B" w:rsidP="00B35A22">
      <w:pPr>
        <w:widowControl w:val="0"/>
        <w:tabs>
          <w:tab w:val="left" w:pos="284"/>
          <w:tab w:val="center" w:pos="4320"/>
          <w:tab w:val="right" w:pos="8640"/>
        </w:tabs>
        <w:jc w:val="both"/>
        <w:rPr>
          <w:b/>
          <w:sz w:val="22"/>
          <w:lang w:val="sr-Latn-ME"/>
        </w:rPr>
      </w:pPr>
    </w:p>
    <w:p w14:paraId="6FE33EFD" w14:textId="6B8D0B2B" w:rsidR="002B101E" w:rsidRPr="00B35A22" w:rsidRDefault="002B101E" w:rsidP="00B35A22">
      <w:pPr>
        <w:widowControl w:val="0"/>
        <w:tabs>
          <w:tab w:val="left" w:pos="284"/>
          <w:tab w:val="center" w:pos="4320"/>
          <w:tab w:val="right" w:pos="8640"/>
        </w:tabs>
        <w:jc w:val="both"/>
        <w:rPr>
          <w:b/>
          <w:sz w:val="22"/>
          <w:lang w:val="sr-Latn-ME"/>
        </w:rPr>
      </w:pPr>
      <w:r w:rsidRPr="00B35A22">
        <w:rPr>
          <w:b/>
          <w:sz w:val="22"/>
          <w:lang w:val="sr-Latn-ME"/>
        </w:rPr>
        <w:t xml:space="preserve">Slika </w:t>
      </w:r>
      <w:r w:rsidR="00D46A5F" w:rsidRPr="00B35A22">
        <w:rPr>
          <w:b/>
          <w:bCs/>
          <w:sz w:val="22"/>
          <w:szCs w:val="22"/>
          <w:lang w:val="sr-Latn-ME"/>
        </w:rPr>
        <w:t>16</w:t>
      </w:r>
      <w:r w:rsidRPr="00B35A22">
        <w:rPr>
          <w:b/>
          <w:sz w:val="22"/>
          <w:lang w:val="sr-Latn-ME"/>
        </w:rPr>
        <w:t>: Grafikon raspona pouzdanosti (engl. forest plot) za ukupno preživljavanje prema ekspresiji PD L1 u populaciji za primarnu analizu (OAK)- a</w:t>
      </w:r>
    </w:p>
    <w:p w14:paraId="7BF467A4" w14:textId="1039B770" w:rsidR="000A26D9" w:rsidRPr="00B35A22" w:rsidRDefault="000A26D9" w:rsidP="00B35A22">
      <w:pPr>
        <w:widowControl w:val="0"/>
        <w:tabs>
          <w:tab w:val="left" w:pos="540"/>
          <w:tab w:val="left" w:pos="569"/>
        </w:tabs>
        <w:jc w:val="both"/>
        <w:rPr>
          <w:b/>
          <w:sz w:val="22"/>
          <w:lang w:val="sr-Latn-ME"/>
        </w:rPr>
      </w:pPr>
    </w:p>
    <w:p w14:paraId="3755069C" w14:textId="77777777" w:rsidR="009B475A" w:rsidRPr="00B35A22" w:rsidRDefault="009B475A" w:rsidP="00B35A22">
      <w:pPr>
        <w:widowControl w:val="0"/>
        <w:tabs>
          <w:tab w:val="left" w:pos="540"/>
          <w:tab w:val="left" w:pos="569"/>
        </w:tabs>
        <w:jc w:val="center"/>
        <w:rPr>
          <w:b/>
          <w:sz w:val="22"/>
          <w:lang w:val="sr-Latn-ME"/>
        </w:rPr>
      </w:pPr>
      <w:r w:rsidRPr="00B35A22">
        <w:rPr>
          <w:lang w:val="sr-Latn-ME" w:eastAsia="sr-Latn-ME"/>
        </w:rPr>
        <w:lastRenderedPageBreak/>
        <w:drawing>
          <wp:inline distT="0" distB="0" distL="0" distR="0" wp14:anchorId="53EB6D75" wp14:editId="09D2F2BB">
            <wp:extent cx="5097249" cy="22383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9918" cy="2243939"/>
                    </a:xfrm>
                    <a:prstGeom prst="rect">
                      <a:avLst/>
                    </a:prstGeom>
                  </pic:spPr>
                </pic:pic>
              </a:graphicData>
            </a:graphic>
          </wp:inline>
        </w:drawing>
      </w:r>
    </w:p>
    <w:p w14:paraId="6A3908F8" w14:textId="2354AC83" w:rsidR="002B101E" w:rsidRPr="00B35A22" w:rsidRDefault="002B101E" w:rsidP="00B35A22">
      <w:pPr>
        <w:widowControl w:val="0"/>
        <w:jc w:val="both"/>
        <w:rPr>
          <w:sz w:val="18"/>
          <w:lang w:val="sr-Latn-ME"/>
        </w:rPr>
      </w:pPr>
      <w:r w:rsidRPr="00B35A22">
        <w:rPr>
          <w:sz w:val="18"/>
          <w:vertAlign w:val="superscript"/>
          <w:lang w:val="sr-Latn-ME"/>
        </w:rPr>
        <w:t>a</w:t>
      </w:r>
      <w:r w:rsidRPr="00B35A22">
        <w:rPr>
          <w:sz w:val="18"/>
          <w:lang w:val="sr-Latn-ME"/>
        </w:rPr>
        <w:t xml:space="preserve"> Stratifi</w:t>
      </w:r>
      <w:r w:rsidR="00492AE0" w:rsidRPr="00B35A22">
        <w:rPr>
          <w:sz w:val="18"/>
          <w:lang w:val="sr-Latn-ME"/>
        </w:rPr>
        <w:t>kova</w:t>
      </w:r>
      <w:r w:rsidRPr="00B35A22">
        <w:rPr>
          <w:sz w:val="18"/>
          <w:lang w:val="sr-Latn-ME"/>
        </w:rPr>
        <w:t>ni HR za ITT i pacijente sa ekspresijom PD-L1 na tumorskim ćelijama (TC) ili imunim ćelijama koje infiltriraju tumor (IC) ≥ 1%. Nestratifi</w:t>
      </w:r>
      <w:r w:rsidR="00492AE0" w:rsidRPr="00B35A22">
        <w:rPr>
          <w:sz w:val="18"/>
          <w:lang w:val="sr-Latn-ME"/>
        </w:rPr>
        <w:t>kov</w:t>
      </w:r>
      <w:r w:rsidRPr="00B35A22">
        <w:rPr>
          <w:sz w:val="18"/>
          <w:lang w:val="sr-Latn-ME"/>
        </w:rPr>
        <w:t>ani HR za druge eksploracione podgrupe.</w:t>
      </w:r>
    </w:p>
    <w:p w14:paraId="141FE550" w14:textId="77777777" w:rsidR="00492AE0" w:rsidRPr="00B35A22" w:rsidRDefault="00492AE0" w:rsidP="00B35A22">
      <w:pPr>
        <w:widowControl w:val="0"/>
        <w:jc w:val="both"/>
        <w:rPr>
          <w:sz w:val="18"/>
          <w:lang w:val="sr-Latn-ME"/>
        </w:rPr>
      </w:pPr>
    </w:p>
    <w:p w14:paraId="2919FED1" w14:textId="54DC8BD6" w:rsidR="002B101E" w:rsidRPr="00B35A22" w:rsidRDefault="002B101E" w:rsidP="00B35A22">
      <w:pPr>
        <w:pStyle w:val="Header"/>
        <w:widowControl w:val="0"/>
        <w:tabs>
          <w:tab w:val="left" w:pos="284"/>
        </w:tabs>
        <w:jc w:val="both"/>
        <w:rPr>
          <w:sz w:val="22"/>
          <w:lang w:val="sr-Latn-ME"/>
        </w:rPr>
      </w:pPr>
      <w:r w:rsidRPr="00B35A22">
        <w:rPr>
          <w:sz w:val="22"/>
          <w:lang w:val="sr-Latn-ME"/>
        </w:rPr>
        <w:t xml:space="preserve">Poboljšanje OS-a uz atezolizumab u odnosu na docetaksel primijećeno je i kod pacijenata sa neplanocelularnim NSCLC-om (odnos </w:t>
      </w:r>
      <w:r w:rsidR="00F200F7" w:rsidRPr="00B35A22">
        <w:rPr>
          <w:sz w:val="22"/>
          <w:lang w:val="sr-Latn-ME"/>
        </w:rPr>
        <w:t>rizika</w:t>
      </w:r>
      <w:r w:rsidRPr="00B35A22">
        <w:rPr>
          <w:sz w:val="22"/>
          <w:lang w:val="sr-Latn-ME"/>
        </w:rPr>
        <w:t xml:space="preserve"> [HR]: 0,73; 95% CI: 0,60 – 0,89; medijana OS-a: 15,6 mjeseci uz atezolizumab naspram 11,2 mjeseca uz docetaksel) i kod onih sa planocelularnim NSCLC- om (HR: 0,73; 95% CI: 0,54 – 0,98; medijana OS- a: 8,9 mjeseci uz atezolizumab naspram 7,7 mjeseci uz docetaksel). Primijećeno poboljšanje OS-a dosljedno se </w:t>
      </w:r>
      <w:r w:rsidR="00492AE0" w:rsidRPr="00B35A22">
        <w:rPr>
          <w:sz w:val="22"/>
          <w:lang w:val="sr-Latn-ME"/>
        </w:rPr>
        <w:t>pratilo</w:t>
      </w:r>
      <w:r w:rsidRPr="00B35A22">
        <w:rPr>
          <w:sz w:val="22"/>
          <w:lang w:val="sr-Latn-ME"/>
        </w:rPr>
        <w:t xml:space="preserve"> u svim pogrupama pacijenata, uključujući one koji su na početku ispitivanja imali moždane metastaze (HR: 0,54; 95% CI: 0,31 – 0,94; medijana OS- a: 20,1 mjesec uz atezolizumab naspram 11,9 mjeseci uz docetaksel) i pacijente koji nikad nijesu pušili (HR: 0,71; 95% CI: 0,47 – 1,08; medijana OS- a: 16,3 mjeseca uz atezolizumab naspram 12,6 mjeseci uz docetaksel). Međutim, kod pacijenata sa EGFR mutacijama nije primijećeno poboljšanje OS-a uz atezolizumab u odnosu na docetaksel (HR: 1,24; 95% CI: 0,71  2,18; medijan</w:t>
      </w:r>
      <w:r w:rsidR="00427632" w:rsidRPr="00B35A22">
        <w:rPr>
          <w:sz w:val="22"/>
          <w:lang w:val="sr-Latn-ME"/>
        </w:rPr>
        <w:t>a</w:t>
      </w:r>
      <w:r w:rsidRPr="00B35A22">
        <w:rPr>
          <w:sz w:val="22"/>
          <w:lang w:val="sr-Latn-ME"/>
        </w:rPr>
        <w:t xml:space="preserve"> OS-a: 10,5 mjeseci uz atezolizumab naspram 16,2 mjeseca uz docetaksel). </w:t>
      </w:r>
    </w:p>
    <w:p w14:paraId="23D6E5B0" w14:textId="12B9CE4B" w:rsidR="00C602BD" w:rsidRPr="00B35A22" w:rsidRDefault="002B101E" w:rsidP="00B35A22">
      <w:pPr>
        <w:pStyle w:val="Header"/>
        <w:widowControl w:val="0"/>
        <w:tabs>
          <w:tab w:val="left" w:pos="284"/>
        </w:tabs>
        <w:jc w:val="both"/>
        <w:rPr>
          <w:sz w:val="22"/>
          <w:lang w:val="sr-Latn-ME"/>
        </w:rPr>
      </w:pPr>
      <w:r w:rsidRPr="00B35A22">
        <w:rPr>
          <w:sz w:val="22"/>
          <w:lang w:val="sr-Latn-ME"/>
        </w:rPr>
        <w:t>U poređenju sa docetakselom, uz atezolizumab je zapaženo produženo vrijeme do pogoršanja bol</w:t>
      </w:r>
      <w:r w:rsidR="00427632" w:rsidRPr="00B35A22">
        <w:rPr>
          <w:sz w:val="22"/>
          <w:lang w:val="sr-Latn-ME"/>
        </w:rPr>
        <w:t>a</w:t>
      </w:r>
      <w:r w:rsidRPr="00B35A22">
        <w:rPr>
          <w:sz w:val="22"/>
          <w:lang w:val="sr-Latn-ME"/>
        </w:rPr>
        <w:t xml:space="preserve"> u grudnom košu koj</w:t>
      </w:r>
      <w:r w:rsidR="00427632" w:rsidRPr="00B35A22">
        <w:rPr>
          <w:sz w:val="22"/>
          <w:lang w:val="sr-Latn-ME"/>
        </w:rPr>
        <w:t>i</w:t>
      </w:r>
      <w:r w:rsidRPr="00B35A22">
        <w:rPr>
          <w:sz w:val="22"/>
          <w:lang w:val="sr-Latn-ME"/>
        </w:rPr>
        <w:t xml:space="preserve"> su prijavili pacijenti, mjereno upitnikom EORTC QLQ LC13) (HR: 0,71; 95% CI: 0,49; 1,05; medijana nije dostignuta ni u jednoj grupi). Vrijeme do pogoršanja drugih simptoma karcinoma pluća (tj. kašlja, dispneje i/ili bol</w:t>
      </w:r>
      <w:r w:rsidR="00427632" w:rsidRPr="00B35A22">
        <w:rPr>
          <w:sz w:val="22"/>
          <w:lang w:val="sr-Latn-ME"/>
        </w:rPr>
        <w:t>a</w:t>
      </w:r>
      <w:r w:rsidRPr="00B35A22">
        <w:rPr>
          <w:sz w:val="22"/>
          <w:lang w:val="sr-Latn-ME"/>
        </w:rPr>
        <w:t xml:space="preserve"> u ruci/ramenu) prema upitniku EORTC QLQ LC13 bilo je slično uz atezolizumab i uz docetaksel. </w:t>
      </w:r>
      <w:r w:rsidR="003545D9" w:rsidRPr="00B35A22">
        <w:rPr>
          <w:lang w:val="sr-Latn-ME"/>
        </w:rPr>
        <w:t xml:space="preserve"> </w:t>
      </w:r>
      <w:r w:rsidR="003545D9" w:rsidRPr="00B35A22">
        <w:rPr>
          <w:sz w:val="22"/>
          <w:lang w:val="sr-Latn-ME"/>
        </w:rPr>
        <w:t>Te rezultate treba tumačiti uz oprez zbog otvorenog dizajna studije.</w:t>
      </w:r>
    </w:p>
    <w:p w14:paraId="6C3441EC" w14:textId="77777777" w:rsidR="00857F7D" w:rsidRPr="00B35A22" w:rsidRDefault="00857F7D" w:rsidP="00B35A22">
      <w:pPr>
        <w:pStyle w:val="Header"/>
        <w:widowControl w:val="0"/>
        <w:tabs>
          <w:tab w:val="left" w:pos="284"/>
        </w:tabs>
        <w:jc w:val="both"/>
        <w:rPr>
          <w:sz w:val="22"/>
          <w:lang w:val="sr-Latn-ME"/>
        </w:rPr>
      </w:pPr>
    </w:p>
    <w:p w14:paraId="7DFF7AF8" w14:textId="77777777" w:rsidR="002B101E" w:rsidRPr="00B35A22" w:rsidRDefault="002B101E" w:rsidP="00B35A22">
      <w:pPr>
        <w:pStyle w:val="Header"/>
        <w:widowControl w:val="0"/>
        <w:tabs>
          <w:tab w:val="left" w:pos="284"/>
        </w:tabs>
        <w:jc w:val="both"/>
        <w:rPr>
          <w:i/>
          <w:sz w:val="22"/>
          <w:lang w:val="sr-Latn-ME"/>
        </w:rPr>
      </w:pPr>
      <w:r w:rsidRPr="00B35A22">
        <w:rPr>
          <w:i/>
          <w:sz w:val="22"/>
          <w:lang w:val="sr-Latn-ME"/>
        </w:rPr>
        <w:t>POPLAR (GO28753): Randomizovano ispitivanje faze II kod pacijenata sa lokalno uznapredovalim ili metastatskim NSCLC- om prethodno liječenih hemoterapijom</w:t>
      </w:r>
    </w:p>
    <w:p w14:paraId="4D1D825D" w14:textId="126B04C8" w:rsidR="002B101E" w:rsidRPr="00B35A22" w:rsidRDefault="002B101E" w:rsidP="00B35A22">
      <w:pPr>
        <w:widowControl w:val="0"/>
        <w:tabs>
          <w:tab w:val="left" w:pos="540"/>
          <w:tab w:val="left" w:pos="569"/>
        </w:tabs>
        <w:jc w:val="both"/>
        <w:rPr>
          <w:sz w:val="22"/>
          <w:lang w:val="sr-Latn-ME"/>
        </w:rPr>
      </w:pPr>
      <w:r w:rsidRPr="00B35A22">
        <w:rPr>
          <w:sz w:val="22"/>
          <w:lang w:val="sr-Latn-ME"/>
        </w:rPr>
        <w:t>Sprovedeno je multicentrično, međunarodno, randomizovano, otvoreno, kontrolisano ispitivanje faze II (POPLAR) kod pacijenata sa lokalno uznapredovalim ili metastatskim NSCLC-om koji su doživjeli progresiju tokom ili nakon liječenja protokolom koji je sadržio platinu, nezavisno od ekspresije PD-L1. Primarni cilj za efikasnost bio je ukupno preživljavanje. Ukupno 287 pacijenata je bilo randomizovano u odnosu 1:1 za primanje atezolizumaba (1200 mg intravenskom infuzijom svake 3 nedjelje do gubitka kliničke koristi) ili docetaksela (75 mg/m</w:t>
      </w:r>
      <w:r w:rsidRPr="00B35A22">
        <w:rPr>
          <w:sz w:val="22"/>
          <w:vertAlign w:val="superscript"/>
          <w:lang w:val="sr-Latn-ME"/>
        </w:rPr>
        <w:t>2</w:t>
      </w:r>
      <w:r w:rsidRPr="00B35A22">
        <w:rPr>
          <w:sz w:val="22"/>
          <w:lang w:val="sr-Latn-ME"/>
        </w:rPr>
        <w:t xml:space="preserve"> intravenskom infuzijom 1. dana svakog 3 nedjeljnog ciklusa do progresije bolesti). Randomizacija je bila</w:t>
      </w:r>
      <w:r w:rsidRPr="00B35A22">
        <w:rPr>
          <w:b/>
          <w:sz w:val="22"/>
          <w:lang w:val="sr-Latn-ME"/>
        </w:rPr>
        <w:t xml:space="preserve"> </w:t>
      </w:r>
      <w:r w:rsidRPr="00B35A22">
        <w:rPr>
          <w:sz w:val="22"/>
          <w:lang w:val="sr-Latn-ME"/>
        </w:rPr>
        <w:t xml:space="preserve">stratifikovana prema statusu ekspresije PD-L1 na imunim ćelijama koje infiltriraju tumor, broju prethodnih hemoterapijskih protokola i histološkom nalazu. Analiza ažuriranih podataka nakon ukupno 200 zabilježenih smrtnih ishoda i medijana praćenja preživljanja od 22 mjeseca pokazala je da je medijana OS-a kod pacijenata liječenih atezolizumabom iznosila 12,6 mjeseci, a kod onih koji su primali docetaksel 9,7 mjeseci (HR: 0,69; 95% CI: 0,52 – 0,92). ORR je iznosio 15,3% uz atezolizumab i 14,7% uz docetaksel, dok je medijana trajanja odgovora iznosila 18,6 mjeseci odnosno 7,2 mjeseca. </w:t>
      </w:r>
    </w:p>
    <w:p w14:paraId="03BD6F65" w14:textId="6D7C9CE7" w:rsidR="00A031E4" w:rsidRPr="00B35A22" w:rsidRDefault="00A031E4" w:rsidP="00B35A22">
      <w:pPr>
        <w:widowControl w:val="0"/>
        <w:tabs>
          <w:tab w:val="left" w:pos="540"/>
          <w:tab w:val="left" w:pos="569"/>
        </w:tabs>
        <w:jc w:val="both"/>
        <w:rPr>
          <w:sz w:val="22"/>
          <w:lang w:val="sr-Latn-ME"/>
        </w:rPr>
      </w:pPr>
    </w:p>
    <w:p w14:paraId="1DBC90E7" w14:textId="77777777" w:rsidR="00551CF9" w:rsidRPr="00B35A22" w:rsidRDefault="00551CF9" w:rsidP="00B35A22">
      <w:pPr>
        <w:widowControl w:val="0"/>
        <w:tabs>
          <w:tab w:val="left" w:pos="540"/>
          <w:tab w:val="left" w:pos="569"/>
        </w:tabs>
        <w:jc w:val="both"/>
        <w:rPr>
          <w:i/>
          <w:sz w:val="22"/>
          <w:u w:val="single"/>
          <w:lang w:val="sr-Latn-ME"/>
        </w:rPr>
      </w:pPr>
      <w:r w:rsidRPr="00B35A22">
        <w:rPr>
          <w:i/>
          <w:sz w:val="22"/>
          <w:u w:val="single"/>
          <w:lang w:val="sr-Latn-ME"/>
        </w:rPr>
        <w:t>Sitnoćelijski karcinom pluća</w:t>
      </w:r>
    </w:p>
    <w:p w14:paraId="660FA238" w14:textId="77777777" w:rsidR="00551CF9" w:rsidRPr="00B35A22" w:rsidRDefault="00551CF9" w:rsidP="00B35A22">
      <w:pPr>
        <w:widowControl w:val="0"/>
        <w:tabs>
          <w:tab w:val="left" w:pos="540"/>
          <w:tab w:val="left" w:pos="569"/>
        </w:tabs>
        <w:jc w:val="both"/>
        <w:rPr>
          <w:sz w:val="22"/>
          <w:lang w:val="sr-Latn-ME"/>
        </w:rPr>
      </w:pPr>
    </w:p>
    <w:p w14:paraId="00CF1D95" w14:textId="2EA31B57" w:rsidR="00551CF9" w:rsidRPr="00B35A22" w:rsidRDefault="00551CF9" w:rsidP="00B35A22">
      <w:pPr>
        <w:widowControl w:val="0"/>
        <w:tabs>
          <w:tab w:val="left" w:pos="540"/>
          <w:tab w:val="left" w:pos="569"/>
        </w:tabs>
        <w:jc w:val="both"/>
        <w:rPr>
          <w:i/>
          <w:sz w:val="22"/>
          <w:lang w:val="sr-Latn-ME"/>
        </w:rPr>
      </w:pPr>
      <w:r w:rsidRPr="00B35A22">
        <w:rPr>
          <w:i/>
          <w:sz w:val="22"/>
          <w:lang w:val="sr-Latn-ME"/>
        </w:rPr>
        <w:t>IMpower133 (GO30081): Randomizovano ispitivanje faze I/III sprovedeno kod pacijenta sa proširenim stadijumom SCLC-a koji prethodno nijesu primali hemoterapiju, u kombinaciji sa karboplatinom i etopozidom</w:t>
      </w:r>
    </w:p>
    <w:p w14:paraId="24AE8B70" w14:textId="77777777" w:rsidR="00551CF9" w:rsidRPr="00B35A22" w:rsidRDefault="00551CF9" w:rsidP="00B35A22">
      <w:pPr>
        <w:widowControl w:val="0"/>
        <w:tabs>
          <w:tab w:val="left" w:pos="540"/>
          <w:tab w:val="left" w:pos="569"/>
        </w:tabs>
        <w:jc w:val="both"/>
        <w:rPr>
          <w:i/>
          <w:sz w:val="22"/>
          <w:lang w:val="sr-Latn-ME"/>
        </w:rPr>
      </w:pPr>
    </w:p>
    <w:p w14:paraId="572804E7" w14:textId="7BAB736F" w:rsidR="00551CF9" w:rsidRPr="00B35A22" w:rsidRDefault="00551CF9" w:rsidP="00B35A22">
      <w:pPr>
        <w:widowControl w:val="0"/>
        <w:tabs>
          <w:tab w:val="left" w:pos="540"/>
          <w:tab w:val="left" w:pos="569"/>
        </w:tabs>
        <w:jc w:val="both"/>
        <w:rPr>
          <w:sz w:val="22"/>
          <w:lang w:val="sr-Latn-ME"/>
        </w:rPr>
      </w:pPr>
      <w:r w:rsidRPr="00B35A22">
        <w:rPr>
          <w:sz w:val="22"/>
          <w:lang w:val="sr-Latn-ME"/>
        </w:rPr>
        <w:t xml:space="preserve">Ispitivanje IMpower133 bilo je randomizovano, multicentrično, dvostruko slijepo, placebom kontrolisano ispitivanje faze I/III sprovedeno radi ocjene efikasnosti i bezbjednosti atezolizumaba u </w:t>
      </w:r>
      <w:r w:rsidRPr="00B35A22">
        <w:rPr>
          <w:sz w:val="22"/>
          <w:lang w:val="sr-Latn-ME"/>
        </w:rPr>
        <w:lastRenderedPageBreak/>
        <w:t xml:space="preserve">kombinaciji sa karboplatinom i etopozidom kod pacijenata sa </w:t>
      </w:r>
      <w:r w:rsidR="009F3636" w:rsidRPr="00B35A22">
        <w:rPr>
          <w:sz w:val="22"/>
          <w:lang w:val="sr-Latn-ME"/>
        </w:rPr>
        <w:t>ES-SCLC</w:t>
      </w:r>
      <w:r w:rsidRPr="00B35A22">
        <w:rPr>
          <w:sz w:val="22"/>
          <w:lang w:val="sr-Latn-ME"/>
        </w:rPr>
        <w:t xml:space="preserve"> koji prijethodno nijesu primali hemoterapiju.</w:t>
      </w:r>
    </w:p>
    <w:p w14:paraId="3551069F" w14:textId="77777777" w:rsidR="00551CF9" w:rsidRPr="00B35A22" w:rsidRDefault="00551CF9" w:rsidP="00B35A22">
      <w:pPr>
        <w:widowControl w:val="0"/>
        <w:tabs>
          <w:tab w:val="left" w:pos="540"/>
          <w:tab w:val="left" w:pos="569"/>
        </w:tabs>
        <w:jc w:val="both"/>
        <w:rPr>
          <w:sz w:val="22"/>
          <w:lang w:val="sr-Latn-ME"/>
        </w:rPr>
      </w:pPr>
    </w:p>
    <w:p w14:paraId="0077C4C0" w14:textId="425C924D" w:rsidR="00551CF9" w:rsidRPr="00B35A22" w:rsidRDefault="00551CF9" w:rsidP="00B35A22">
      <w:pPr>
        <w:widowControl w:val="0"/>
        <w:tabs>
          <w:tab w:val="left" w:pos="540"/>
          <w:tab w:val="left" w:pos="569"/>
        </w:tabs>
        <w:jc w:val="both"/>
        <w:rPr>
          <w:sz w:val="22"/>
          <w:lang w:val="sr-Latn-ME"/>
        </w:rPr>
      </w:pPr>
      <w:r w:rsidRPr="00B35A22">
        <w:rPr>
          <w:sz w:val="22"/>
          <w:lang w:val="sr-Latn-ME"/>
        </w:rPr>
        <w:t>U ispitivanj</w:t>
      </w:r>
      <w:r w:rsidR="00552312" w:rsidRPr="00B35A22">
        <w:rPr>
          <w:sz w:val="22"/>
          <w:lang w:val="sr-Latn-ME"/>
        </w:rPr>
        <w:t>u</w:t>
      </w:r>
      <w:r w:rsidRPr="00B35A22">
        <w:rPr>
          <w:sz w:val="22"/>
          <w:lang w:val="sr-Latn-ME"/>
        </w:rPr>
        <w:t xml:space="preserve"> nijesu bili uključeni pacijenti koji su imali aktivne ili neliječene metastaze u centralnom nervnom sistemu, koji su imali autoimunsku bolest u anamnezi, koji su primili živu atenuisanu vakcinu u roku od 4 nedjelje prije randomizacije ili koji su primili sistemske imunosupresive u roku od nedjelju dana prije randomizacije. Procjene tumorskog odgovora sprovodile su se na svakih 6 nedjelja tokom prvih 48 nedjelja nakon 1. dana 1. ciklusa, a zatim na svakih 9 nedjelja. Kod pacijenata koji su zadovoljavali utvrđene kriterijume i koji su pristali na liječenje i nakon progresije bolesti, procjena tumorskog odgovora sprovodila se na svakih 6 nedjelja do prekida liječenja.</w:t>
      </w:r>
    </w:p>
    <w:p w14:paraId="0DC3BC11" w14:textId="77777777" w:rsidR="00551CF9" w:rsidRPr="00B35A22" w:rsidRDefault="00551CF9" w:rsidP="00B35A22">
      <w:pPr>
        <w:widowControl w:val="0"/>
        <w:tabs>
          <w:tab w:val="left" w:pos="540"/>
          <w:tab w:val="left" w:pos="569"/>
        </w:tabs>
        <w:jc w:val="both"/>
        <w:rPr>
          <w:sz w:val="22"/>
          <w:lang w:val="sr-Latn-ME"/>
        </w:rPr>
      </w:pPr>
    </w:p>
    <w:p w14:paraId="3310CEE2" w14:textId="6D6B09C6" w:rsidR="00693B62" w:rsidRPr="00B35A22" w:rsidRDefault="00551CF9" w:rsidP="00B35A22">
      <w:pPr>
        <w:widowControl w:val="0"/>
        <w:tabs>
          <w:tab w:val="left" w:pos="540"/>
          <w:tab w:val="left" w:pos="569"/>
        </w:tabs>
        <w:jc w:val="both"/>
        <w:rPr>
          <w:b/>
          <w:sz w:val="22"/>
          <w:lang w:val="sr-Latn-ME"/>
        </w:rPr>
      </w:pPr>
      <w:r w:rsidRPr="00B35A22">
        <w:rPr>
          <w:sz w:val="22"/>
          <w:lang w:val="sr-Latn-ME"/>
        </w:rPr>
        <w:t>U ispitivanj</w:t>
      </w:r>
      <w:r w:rsidR="00552312" w:rsidRPr="00B35A22">
        <w:rPr>
          <w:sz w:val="22"/>
          <w:lang w:val="sr-Latn-ME"/>
        </w:rPr>
        <w:t>u</w:t>
      </w:r>
      <w:r w:rsidRPr="00B35A22">
        <w:rPr>
          <w:sz w:val="22"/>
          <w:lang w:val="sr-Latn-ME"/>
        </w:rPr>
        <w:t xml:space="preserve"> je uključeno ukupno 403 pacijenta, koja su randomizovani (1:1) za primanje jednog od terapijskih protokola opisanih u Tabeli </w:t>
      </w:r>
      <w:r w:rsidR="00D46A5F" w:rsidRPr="00B35A22">
        <w:rPr>
          <w:bCs/>
          <w:sz w:val="22"/>
          <w:szCs w:val="22"/>
          <w:lang w:val="sr-Latn-ME"/>
        </w:rPr>
        <w:t>18</w:t>
      </w:r>
      <w:r w:rsidRPr="00B35A22">
        <w:rPr>
          <w:sz w:val="22"/>
          <w:lang w:val="sr-Latn-ME"/>
        </w:rPr>
        <w:t xml:space="preserve">. Randomizacija je bila stratifikovana prema polu, funkcionalnom ECOG statusu i prisutnosti moždanih metastaza. </w:t>
      </w:r>
    </w:p>
    <w:p w14:paraId="285A4E98" w14:textId="77777777" w:rsidR="00693B62" w:rsidRPr="00B35A22" w:rsidRDefault="00693B62" w:rsidP="00B35A22">
      <w:pPr>
        <w:widowControl w:val="0"/>
        <w:tabs>
          <w:tab w:val="left" w:pos="540"/>
          <w:tab w:val="left" w:pos="569"/>
        </w:tabs>
        <w:jc w:val="both"/>
        <w:rPr>
          <w:b/>
          <w:sz w:val="22"/>
          <w:lang w:val="sr-Latn-ME"/>
        </w:rPr>
      </w:pPr>
    </w:p>
    <w:p w14:paraId="07E23208" w14:textId="73AFC3C5" w:rsidR="00551CF9" w:rsidRPr="00B35A22" w:rsidRDefault="00551CF9" w:rsidP="00B35A22">
      <w:pPr>
        <w:widowControl w:val="0"/>
        <w:tabs>
          <w:tab w:val="left" w:pos="540"/>
          <w:tab w:val="left" w:pos="569"/>
        </w:tabs>
        <w:jc w:val="both"/>
        <w:rPr>
          <w:b/>
          <w:sz w:val="22"/>
          <w:lang w:val="sr-Latn-ME"/>
        </w:rPr>
      </w:pPr>
      <w:r w:rsidRPr="00B35A22">
        <w:rPr>
          <w:b/>
          <w:sz w:val="22"/>
          <w:lang w:val="sr-Latn-ME"/>
        </w:rPr>
        <w:t>Tabela </w:t>
      </w:r>
      <w:r w:rsidR="00D46A5F" w:rsidRPr="00B35A22">
        <w:rPr>
          <w:b/>
          <w:bCs/>
          <w:sz w:val="22"/>
          <w:szCs w:val="22"/>
          <w:lang w:val="sr-Latn-ME"/>
        </w:rPr>
        <w:t>18</w:t>
      </w:r>
      <w:r w:rsidRPr="00B35A22">
        <w:rPr>
          <w:b/>
          <w:sz w:val="22"/>
          <w:lang w:val="sr-Latn-ME"/>
        </w:rPr>
        <w:t>: Intravenski terapijski protokoli (IMpower133)</w:t>
      </w:r>
    </w:p>
    <w:p w14:paraId="0BA6224B" w14:textId="77777777" w:rsidR="00551CF9" w:rsidRPr="00B35A22" w:rsidRDefault="00551CF9" w:rsidP="00B35A22">
      <w:pPr>
        <w:widowControl w:val="0"/>
        <w:tabs>
          <w:tab w:val="left" w:pos="540"/>
          <w:tab w:val="left" w:pos="569"/>
        </w:tabs>
        <w:jc w:val="both"/>
        <w:rPr>
          <w:b/>
          <w:sz w:val="22"/>
          <w:lang w:val="sr-Latn-ME"/>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51CF9" w:rsidRPr="00B35A22" w14:paraId="10E82DE6" w14:textId="77777777" w:rsidTr="002E4AAA">
        <w:trPr>
          <w:cantSplit/>
          <w:jc w:val="center"/>
        </w:trPr>
        <w:tc>
          <w:tcPr>
            <w:tcW w:w="1704" w:type="dxa"/>
            <w:gridSpan w:val="2"/>
            <w:tcBorders>
              <w:top w:val="single" w:sz="4" w:space="0" w:color="auto"/>
              <w:left w:val="single" w:sz="4" w:space="0" w:color="auto"/>
              <w:bottom w:val="single" w:sz="4" w:space="0" w:color="auto"/>
              <w:right w:val="nil"/>
            </w:tcBorders>
            <w:vAlign w:val="center"/>
            <w:hideMark/>
          </w:tcPr>
          <w:p w14:paraId="7F7E525C" w14:textId="77777777" w:rsidR="00551CF9" w:rsidRPr="00B35A22" w:rsidRDefault="00551CF9" w:rsidP="00B35A22">
            <w:pPr>
              <w:widowControl w:val="0"/>
              <w:tabs>
                <w:tab w:val="left" w:pos="540"/>
                <w:tab w:val="left" w:pos="569"/>
              </w:tabs>
              <w:jc w:val="both"/>
              <w:rPr>
                <w:b/>
                <w:sz w:val="22"/>
                <w:lang w:val="sr-Latn-ME"/>
              </w:rPr>
            </w:pPr>
            <w:r w:rsidRPr="00B35A22">
              <w:rPr>
                <w:b/>
                <w:sz w:val="22"/>
                <w:lang w:val="sr-Latn-ME"/>
              </w:rPr>
              <w:t>Terapijski protokol</w:t>
            </w:r>
          </w:p>
        </w:tc>
        <w:tc>
          <w:tcPr>
            <w:tcW w:w="4686" w:type="dxa"/>
            <w:tcBorders>
              <w:top w:val="single" w:sz="4" w:space="0" w:color="auto"/>
              <w:left w:val="nil"/>
              <w:bottom w:val="single" w:sz="4" w:space="0" w:color="auto"/>
              <w:right w:val="nil"/>
            </w:tcBorders>
            <w:vAlign w:val="center"/>
            <w:hideMark/>
          </w:tcPr>
          <w:p w14:paraId="2C2A9FB0" w14:textId="04504448" w:rsidR="00551CF9" w:rsidRPr="00B35A22" w:rsidRDefault="00551CF9" w:rsidP="00B35A22">
            <w:pPr>
              <w:widowControl w:val="0"/>
              <w:tabs>
                <w:tab w:val="left" w:pos="540"/>
                <w:tab w:val="left" w:pos="569"/>
              </w:tabs>
              <w:ind w:right="2741"/>
              <w:jc w:val="both"/>
              <w:rPr>
                <w:b/>
                <w:sz w:val="22"/>
                <w:lang w:val="sr-Latn-ME"/>
              </w:rPr>
            </w:pPr>
            <w:r w:rsidRPr="00B35A22">
              <w:rPr>
                <w:b/>
                <w:sz w:val="22"/>
                <w:lang w:val="sr-Latn-ME"/>
              </w:rPr>
              <w:t>Početno liječenje</w:t>
            </w:r>
            <w:r w:rsidRPr="00B35A22">
              <w:rPr>
                <w:b/>
                <w:sz w:val="22"/>
                <w:lang w:val="sr-Latn-ME"/>
              </w:rPr>
              <w:br/>
              <w:t>(četiri 21</w:t>
            </w:r>
            <w:r w:rsidRPr="00B35A22">
              <w:rPr>
                <w:b/>
                <w:sz w:val="22"/>
                <w:lang w:val="sr-Latn-ME"/>
              </w:rPr>
              <w:noBreakHyphen/>
              <w:t>dnevna ciklusa)</w:t>
            </w:r>
          </w:p>
        </w:tc>
        <w:tc>
          <w:tcPr>
            <w:tcW w:w="2537" w:type="dxa"/>
            <w:tcBorders>
              <w:top w:val="single" w:sz="4" w:space="0" w:color="auto"/>
              <w:left w:val="nil"/>
              <w:bottom w:val="single" w:sz="4" w:space="0" w:color="auto"/>
              <w:right w:val="single" w:sz="4" w:space="0" w:color="auto"/>
            </w:tcBorders>
            <w:vAlign w:val="center"/>
            <w:hideMark/>
          </w:tcPr>
          <w:p w14:paraId="7A3CFDF9" w14:textId="77777777" w:rsidR="00551CF9" w:rsidRPr="00B35A22" w:rsidRDefault="00551CF9" w:rsidP="00B35A22">
            <w:pPr>
              <w:widowControl w:val="0"/>
              <w:tabs>
                <w:tab w:val="left" w:pos="540"/>
                <w:tab w:val="left" w:pos="569"/>
              </w:tabs>
              <w:jc w:val="both"/>
              <w:rPr>
                <w:b/>
                <w:sz w:val="22"/>
                <w:lang w:val="sr-Latn-ME"/>
              </w:rPr>
            </w:pPr>
            <w:r w:rsidRPr="00B35A22">
              <w:rPr>
                <w:b/>
                <w:sz w:val="22"/>
                <w:lang w:val="sr-Latn-ME"/>
              </w:rPr>
              <w:t>Terapija održavanja</w:t>
            </w:r>
            <w:r w:rsidRPr="00B35A22">
              <w:rPr>
                <w:b/>
                <w:sz w:val="22"/>
                <w:lang w:val="sr-Latn-ME"/>
              </w:rPr>
              <w:br/>
              <w:t>(21</w:t>
            </w:r>
            <w:r w:rsidRPr="00B35A22">
              <w:rPr>
                <w:b/>
                <w:sz w:val="22"/>
                <w:lang w:val="sr-Latn-ME"/>
              </w:rPr>
              <w:noBreakHyphen/>
              <w:t>dnevni ciklusi)</w:t>
            </w:r>
          </w:p>
        </w:tc>
      </w:tr>
      <w:tr w:rsidR="00551CF9" w:rsidRPr="00B35A22" w14:paraId="34B2EC25" w14:textId="77777777" w:rsidTr="002E4AAA">
        <w:trPr>
          <w:cantSplit/>
          <w:jc w:val="center"/>
        </w:trPr>
        <w:tc>
          <w:tcPr>
            <w:tcW w:w="1620" w:type="dxa"/>
            <w:tcBorders>
              <w:top w:val="single" w:sz="4" w:space="0" w:color="auto"/>
              <w:left w:val="single" w:sz="4" w:space="0" w:color="auto"/>
              <w:bottom w:val="nil"/>
              <w:right w:val="nil"/>
            </w:tcBorders>
            <w:vAlign w:val="center"/>
            <w:hideMark/>
          </w:tcPr>
          <w:p w14:paraId="36358E85"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A</w:t>
            </w:r>
          </w:p>
        </w:tc>
        <w:tc>
          <w:tcPr>
            <w:tcW w:w="4770" w:type="dxa"/>
            <w:gridSpan w:val="2"/>
            <w:tcBorders>
              <w:top w:val="single" w:sz="4" w:space="0" w:color="auto"/>
              <w:left w:val="nil"/>
              <w:bottom w:val="nil"/>
              <w:right w:val="nil"/>
            </w:tcBorders>
            <w:vAlign w:val="center"/>
            <w:hideMark/>
          </w:tcPr>
          <w:p w14:paraId="3FA96679"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atezolizumab (1200 mg)</w:t>
            </w:r>
            <w:r w:rsidRPr="00B35A22">
              <w:rPr>
                <w:sz w:val="22"/>
                <w:vertAlign w:val="superscript"/>
                <w:lang w:val="sr-Latn-ME"/>
              </w:rPr>
              <w:t>a</w:t>
            </w:r>
            <w:r w:rsidRPr="00B35A22">
              <w:rPr>
                <w:sz w:val="22"/>
                <w:lang w:val="sr-Latn-ME"/>
              </w:rPr>
              <w:t xml:space="preserve"> + karboplatin (AUC 5)</w:t>
            </w:r>
            <w:r w:rsidRPr="00B35A22">
              <w:rPr>
                <w:sz w:val="22"/>
                <w:vertAlign w:val="superscript"/>
                <w:lang w:val="sr-Latn-ME"/>
              </w:rPr>
              <w:t>b</w:t>
            </w:r>
            <w:r w:rsidRPr="00B35A22">
              <w:rPr>
                <w:sz w:val="22"/>
                <w:lang w:val="sr-Latn-ME"/>
              </w:rPr>
              <w:t xml:space="preserve"> + etopozid (100 mg/m</w:t>
            </w:r>
            <w:r w:rsidRPr="00B35A22">
              <w:rPr>
                <w:sz w:val="22"/>
                <w:vertAlign w:val="superscript"/>
                <w:lang w:val="sr-Latn-ME"/>
              </w:rPr>
              <w:t>2</w:t>
            </w:r>
            <w:r w:rsidRPr="00B35A22">
              <w:rPr>
                <w:sz w:val="22"/>
                <w:lang w:val="sr-Latn-ME"/>
              </w:rPr>
              <w:t>)</w:t>
            </w:r>
            <w:r w:rsidRPr="00B35A22">
              <w:rPr>
                <w:sz w:val="22"/>
                <w:vertAlign w:val="superscript"/>
                <w:lang w:val="sr-Latn-ME"/>
              </w:rPr>
              <w:t>b,c</w:t>
            </w:r>
          </w:p>
        </w:tc>
        <w:tc>
          <w:tcPr>
            <w:tcW w:w="2537" w:type="dxa"/>
            <w:tcBorders>
              <w:top w:val="single" w:sz="4" w:space="0" w:color="auto"/>
              <w:left w:val="nil"/>
              <w:bottom w:val="nil"/>
              <w:right w:val="single" w:sz="4" w:space="0" w:color="auto"/>
            </w:tcBorders>
            <w:vAlign w:val="center"/>
            <w:hideMark/>
          </w:tcPr>
          <w:p w14:paraId="60CD07D9"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atezolizumab (1200 mg)</w:t>
            </w:r>
            <w:r w:rsidRPr="00B35A22">
              <w:rPr>
                <w:sz w:val="22"/>
                <w:vertAlign w:val="superscript"/>
                <w:lang w:val="sr-Latn-ME"/>
              </w:rPr>
              <w:t xml:space="preserve"> a</w:t>
            </w:r>
          </w:p>
        </w:tc>
      </w:tr>
      <w:tr w:rsidR="00551CF9" w:rsidRPr="00B35A22" w14:paraId="28A50B4C" w14:textId="77777777" w:rsidTr="002E4AAA">
        <w:trPr>
          <w:cantSplit/>
          <w:jc w:val="center"/>
        </w:trPr>
        <w:tc>
          <w:tcPr>
            <w:tcW w:w="1620" w:type="dxa"/>
            <w:tcBorders>
              <w:top w:val="nil"/>
              <w:left w:val="single" w:sz="4" w:space="0" w:color="auto"/>
              <w:bottom w:val="single" w:sz="4" w:space="0" w:color="auto"/>
              <w:right w:val="nil"/>
            </w:tcBorders>
            <w:vAlign w:val="center"/>
            <w:hideMark/>
          </w:tcPr>
          <w:p w14:paraId="4F1A18E3"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B</w:t>
            </w:r>
          </w:p>
        </w:tc>
        <w:tc>
          <w:tcPr>
            <w:tcW w:w="4770" w:type="dxa"/>
            <w:gridSpan w:val="2"/>
            <w:tcBorders>
              <w:top w:val="nil"/>
              <w:left w:val="nil"/>
              <w:bottom w:val="single" w:sz="4" w:space="0" w:color="auto"/>
              <w:right w:val="nil"/>
            </w:tcBorders>
            <w:vAlign w:val="center"/>
            <w:hideMark/>
          </w:tcPr>
          <w:p w14:paraId="3739A750"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placebo + karboplatin (AUC 5)</w:t>
            </w:r>
            <w:r w:rsidRPr="00B35A22">
              <w:rPr>
                <w:sz w:val="22"/>
                <w:vertAlign w:val="superscript"/>
                <w:lang w:val="sr-Latn-ME"/>
              </w:rPr>
              <w:t>b</w:t>
            </w:r>
            <w:r w:rsidRPr="00B35A22">
              <w:rPr>
                <w:sz w:val="22"/>
                <w:lang w:val="sr-Latn-ME"/>
              </w:rPr>
              <w:t xml:space="preserve"> + etopozid (100 mg/m</w:t>
            </w:r>
            <w:r w:rsidRPr="00B35A22">
              <w:rPr>
                <w:sz w:val="22"/>
                <w:vertAlign w:val="superscript"/>
                <w:lang w:val="sr-Latn-ME"/>
              </w:rPr>
              <w:t>2</w:t>
            </w:r>
            <w:r w:rsidRPr="00B35A22">
              <w:rPr>
                <w:sz w:val="22"/>
                <w:lang w:val="sr-Latn-ME"/>
              </w:rPr>
              <w:t>)</w:t>
            </w:r>
            <w:r w:rsidRPr="00B35A22">
              <w:rPr>
                <w:sz w:val="22"/>
                <w:vertAlign w:val="superscript"/>
                <w:lang w:val="sr-Latn-ME"/>
              </w:rPr>
              <w:t>b,c</w:t>
            </w:r>
          </w:p>
        </w:tc>
        <w:tc>
          <w:tcPr>
            <w:tcW w:w="2537" w:type="dxa"/>
            <w:tcBorders>
              <w:top w:val="nil"/>
              <w:left w:val="nil"/>
              <w:bottom w:val="single" w:sz="4" w:space="0" w:color="auto"/>
              <w:right w:val="single" w:sz="4" w:space="0" w:color="auto"/>
            </w:tcBorders>
            <w:vAlign w:val="center"/>
            <w:hideMark/>
          </w:tcPr>
          <w:p w14:paraId="39D482A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placebo</w:t>
            </w:r>
          </w:p>
        </w:tc>
      </w:tr>
    </w:tbl>
    <w:p w14:paraId="5EAF3926" w14:textId="6CED3A94" w:rsidR="00551CF9" w:rsidRPr="00B35A22" w:rsidRDefault="00551CF9" w:rsidP="00B35A22">
      <w:pPr>
        <w:widowControl w:val="0"/>
        <w:tabs>
          <w:tab w:val="left" w:pos="540"/>
          <w:tab w:val="left" w:pos="569"/>
        </w:tabs>
        <w:jc w:val="both"/>
        <w:rPr>
          <w:sz w:val="20"/>
          <w:lang w:val="sr-Latn-ME"/>
        </w:rPr>
      </w:pPr>
      <w:r w:rsidRPr="00B35A22">
        <w:rPr>
          <w:sz w:val="20"/>
          <w:vertAlign w:val="superscript"/>
          <w:lang w:val="sr-Latn-ME"/>
        </w:rPr>
        <w:t>a</w:t>
      </w:r>
      <w:r w:rsidRPr="00B35A22">
        <w:rPr>
          <w:sz w:val="20"/>
          <w:lang w:val="sr-Latn-ME"/>
        </w:rPr>
        <w:t>Atezolizumab se primjenjivao do gubitka kliničkog benefita prema ocjeni istraživača</w:t>
      </w:r>
    </w:p>
    <w:p w14:paraId="03305F25" w14:textId="71695F49" w:rsidR="00551CF9" w:rsidRPr="00B35A22" w:rsidRDefault="00551CF9" w:rsidP="00B35A22">
      <w:pPr>
        <w:widowControl w:val="0"/>
        <w:tabs>
          <w:tab w:val="left" w:pos="540"/>
          <w:tab w:val="left" w:pos="569"/>
        </w:tabs>
        <w:jc w:val="both"/>
        <w:rPr>
          <w:sz w:val="20"/>
          <w:lang w:val="sr-Latn-ME"/>
        </w:rPr>
      </w:pPr>
      <w:r w:rsidRPr="00B35A22">
        <w:rPr>
          <w:sz w:val="20"/>
          <w:vertAlign w:val="superscript"/>
          <w:lang w:val="sr-Latn-ME"/>
        </w:rPr>
        <w:t>b</w:t>
      </w:r>
      <w:r w:rsidRPr="00B35A22">
        <w:rPr>
          <w:sz w:val="20"/>
          <w:lang w:val="sr-Latn-ME"/>
        </w:rPr>
        <w:t>Karboplatin i etopozid primjenjivali su se do kraja 4. ciklusa liječenja, ili do progresije bolesti ili pojave neprihvatljive toksičnosti, šta god nastupi prije</w:t>
      </w:r>
    </w:p>
    <w:p w14:paraId="71BEB6FA" w14:textId="2C5F44F5" w:rsidR="00551CF9" w:rsidRPr="00B35A22" w:rsidRDefault="00551CF9" w:rsidP="00B35A22">
      <w:pPr>
        <w:widowControl w:val="0"/>
        <w:tabs>
          <w:tab w:val="left" w:pos="540"/>
          <w:tab w:val="left" w:pos="569"/>
        </w:tabs>
        <w:jc w:val="both"/>
        <w:rPr>
          <w:sz w:val="20"/>
          <w:lang w:val="sr-Latn-ME"/>
        </w:rPr>
      </w:pPr>
      <w:r w:rsidRPr="00B35A22">
        <w:rPr>
          <w:sz w:val="20"/>
          <w:vertAlign w:val="superscript"/>
          <w:lang w:val="sr-Latn-ME"/>
        </w:rPr>
        <w:t>c</w:t>
      </w:r>
      <w:r w:rsidRPr="00B35A22">
        <w:rPr>
          <w:sz w:val="20"/>
          <w:lang w:val="sr-Latn-ME"/>
        </w:rPr>
        <w:t>Etopozid se primjenjivao 1., 2. i 3. dana svakog ciklusa</w:t>
      </w:r>
    </w:p>
    <w:p w14:paraId="3C7E78ED" w14:textId="77777777" w:rsidR="00551CF9" w:rsidRPr="00B35A22" w:rsidRDefault="00551CF9" w:rsidP="00B35A22">
      <w:pPr>
        <w:widowControl w:val="0"/>
        <w:tabs>
          <w:tab w:val="left" w:pos="540"/>
          <w:tab w:val="left" w:pos="569"/>
        </w:tabs>
        <w:jc w:val="both"/>
        <w:rPr>
          <w:sz w:val="22"/>
          <w:lang w:val="sr-Latn-ME"/>
        </w:rPr>
      </w:pPr>
    </w:p>
    <w:p w14:paraId="5AF2006D" w14:textId="7C46BFA2" w:rsidR="00551CF9" w:rsidRPr="00B35A22" w:rsidRDefault="00551CF9" w:rsidP="00B35A22">
      <w:pPr>
        <w:widowControl w:val="0"/>
        <w:tabs>
          <w:tab w:val="left" w:pos="540"/>
          <w:tab w:val="left" w:pos="569"/>
        </w:tabs>
        <w:jc w:val="both"/>
        <w:rPr>
          <w:sz w:val="22"/>
          <w:lang w:val="sr-Latn-ME"/>
        </w:rPr>
      </w:pPr>
      <w:r w:rsidRPr="00B35A22">
        <w:rPr>
          <w:sz w:val="22"/>
          <w:lang w:val="sr-Latn-ME"/>
        </w:rPr>
        <w:t>Početne i prognostičke karakteristike bolesti u ispitivanoj populaciji bile su dobro ujednačene između liječenih grupa. Medijana starosti bila je 64 godine (raspon: 26 </w:t>
      </w:r>
      <w:r w:rsidRPr="00B35A22">
        <w:rPr>
          <w:sz w:val="22"/>
          <w:lang w:val="sr-Latn-ME"/>
        </w:rPr>
        <w:noBreakHyphen/>
        <w:t> 90 godina), a 10% pacijenata imalo je ≥ 75 godina. Većina pacijenata je bila muškog pola (65%) i b</w:t>
      </w:r>
      <w:r w:rsidR="00552312" w:rsidRPr="00B35A22">
        <w:rPr>
          <w:sz w:val="22"/>
          <w:lang w:val="sr-Latn-ME"/>
        </w:rPr>
        <w:t>ij</w:t>
      </w:r>
      <w:r w:rsidRPr="00B35A22">
        <w:rPr>
          <w:sz w:val="22"/>
          <w:lang w:val="sr-Latn-ME"/>
        </w:rPr>
        <w:t>ele rase (80%), 9% pacijenata imalo je moždane metastaze, a većina pacijenata bili su aktivni ili bivši pušači (97%). Početni funkcionalni ECOG status iznosio je 0 (35%) ili 1 (65%).</w:t>
      </w:r>
    </w:p>
    <w:p w14:paraId="110737C2" w14:textId="77777777" w:rsidR="00551CF9" w:rsidRPr="00B35A22" w:rsidRDefault="00551CF9" w:rsidP="00B35A22">
      <w:pPr>
        <w:widowControl w:val="0"/>
        <w:tabs>
          <w:tab w:val="left" w:pos="540"/>
          <w:tab w:val="left" w:pos="569"/>
        </w:tabs>
        <w:jc w:val="both"/>
        <w:rPr>
          <w:sz w:val="22"/>
          <w:lang w:val="sr-Latn-ME"/>
        </w:rPr>
      </w:pPr>
    </w:p>
    <w:p w14:paraId="5CF2BF01" w14:textId="1EA16405" w:rsidR="00551CF9" w:rsidRPr="00B35A22" w:rsidRDefault="00551CF9" w:rsidP="00B35A22">
      <w:pPr>
        <w:widowControl w:val="0"/>
        <w:tabs>
          <w:tab w:val="left" w:pos="540"/>
          <w:tab w:val="left" w:pos="569"/>
        </w:tabs>
        <w:jc w:val="both"/>
        <w:rPr>
          <w:sz w:val="22"/>
          <w:lang w:val="sr-Latn-ME"/>
        </w:rPr>
      </w:pPr>
      <w:r w:rsidRPr="00B35A22">
        <w:rPr>
          <w:sz w:val="22"/>
          <w:lang w:val="sr-Latn-ME"/>
        </w:rPr>
        <w:t>U trenutku sprovođenja primarne analize medijana praćenja preživljavanja bila je 13,9 mjeseci. U grupi liječenoj atezolizumabom u kombinaciji sa karboplatinom i etopozidom zab</w:t>
      </w:r>
      <w:r w:rsidR="0053402D" w:rsidRPr="00B35A22">
        <w:rPr>
          <w:sz w:val="22"/>
          <w:lang w:val="sr-Latn-ME"/>
        </w:rPr>
        <w:t>i</w:t>
      </w:r>
      <w:r w:rsidRPr="00B35A22">
        <w:rPr>
          <w:sz w:val="22"/>
          <w:lang w:val="sr-Latn-ME"/>
        </w:rPr>
        <w:t>l</w:t>
      </w:r>
      <w:r w:rsidR="0053402D" w:rsidRPr="00B35A22">
        <w:rPr>
          <w:sz w:val="22"/>
          <w:lang w:val="sr-Latn-ME"/>
        </w:rPr>
        <w:t>j</w:t>
      </w:r>
      <w:r w:rsidRPr="00B35A22">
        <w:rPr>
          <w:sz w:val="22"/>
          <w:lang w:val="sr-Latn-ME"/>
        </w:rPr>
        <w:t>eženo je statistički značajno produženje OS</w:t>
      </w:r>
      <w:r w:rsidRPr="00B35A22">
        <w:rPr>
          <w:sz w:val="22"/>
          <w:lang w:val="sr-Latn-ME"/>
        </w:rPr>
        <w:noBreakHyphen/>
        <w:t>a u odnosu na kontrolnu grupu (HR: 0,70; 95% CI: 0,54; 0,91; medijana OS</w:t>
      </w:r>
      <w:r w:rsidRPr="00B35A22">
        <w:rPr>
          <w:sz w:val="22"/>
          <w:lang w:val="sr-Latn-ME"/>
        </w:rPr>
        <w:noBreakHyphen/>
        <w:t>a: 12,3 mjeseci u odnosu na 10,3 mjeseci). U eksploracijskoj završnoj analizi OS</w:t>
      </w:r>
      <w:r w:rsidRPr="00B35A22">
        <w:rPr>
          <w:sz w:val="22"/>
          <w:lang w:val="sr-Latn-ME"/>
        </w:rPr>
        <w:noBreakHyphen/>
        <w:t>a uz duže praćenje (medijana: 22,9 mjeseci) medijana OS</w:t>
      </w:r>
      <w:r w:rsidRPr="00B35A22">
        <w:rPr>
          <w:sz w:val="22"/>
          <w:lang w:val="sr-Latn-ME"/>
        </w:rPr>
        <w:noBreakHyphen/>
        <w:t>a u ob</w:t>
      </w:r>
      <w:r w:rsidR="00D47D53" w:rsidRPr="00B35A22">
        <w:rPr>
          <w:sz w:val="22"/>
          <w:lang w:val="sr-Latn-ME"/>
        </w:rPr>
        <w:t>ij</w:t>
      </w:r>
      <w:r w:rsidRPr="00B35A22">
        <w:rPr>
          <w:sz w:val="22"/>
          <w:lang w:val="sr-Latn-ME"/>
        </w:rPr>
        <w:t>e grupe je ostala neprom</w:t>
      </w:r>
      <w:r w:rsidR="00D47D53" w:rsidRPr="00B35A22">
        <w:rPr>
          <w:sz w:val="22"/>
          <w:lang w:val="sr-Latn-ME"/>
        </w:rPr>
        <w:t>i</w:t>
      </w:r>
      <w:r w:rsidRPr="00B35A22">
        <w:rPr>
          <w:sz w:val="22"/>
          <w:lang w:val="sr-Latn-ME"/>
        </w:rPr>
        <w:t>jenjena u odnosu na primarnu interim analizu OS</w:t>
      </w:r>
      <w:r w:rsidRPr="00B35A22">
        <w:rPr>
          <w:sz w:val="22"/>
          <w:lang w:val="sr-Latn-ME"/>
        </w:rPr>
        <w:noBreakHyphen/>
        <w:t>a. Rezultati za PFS, ORR i DOR iz primarne analize i eksploracijske završne analize OS</w:t>
      </w:r>
      <w:r w:rsidRPr="00B35A22">
        <w:rPr>
          <w:sz w:val="22"/>
          <w:lang w:val="sr-Latn-ME"/>
        </w:rPr>
        <w:noBreakHyphen/>
        <w:t>a sažeto su prikazani u Tabeli </w:t>
      </w:r>
      <w:r w:rsidR="00D46A5F" w:rsidRPr="00B35A22">
        <w:rPr>
          <w:bCs/>
          <w:sz w:val="22"/>
          <w:szCs w:val="22"/>
          <w:lang w:val="sr-Latn-ME"/>
        </w:rPr>
        <w:t>19</w:t>
      </w:r>
      <w:r w:rsidRPr="00B35A22">
        <w:rPr>
          <w:sz w:val="22"/>
          <w:lang w:val="sr-Latn-ME"/>
        </w:rPr>
        <w:t>. Kaplan</w:t>
      </w:r>
      <w:r w:rsidRPr="00B35A22">
        <w:rPr>
          <w:sz w:val="22"/>
          <w:lang w:val="sr-Latn-ME"/>
        </w:rPr>
        <w:noBreakHyphen/>
        <w:t>Meierove krive OS</w:t>
      </w:r>
      <w:r w:rsidRPr="00B35A22">
        <w:rPr>
          <w:sz w:val="22"/>
          <w:lang w:val="sr-Latn-ME"/>
        </w:rPr>
        <w:noBreakHyphen/>
        <w:t>a i PFS</w:t>
      </w:r>
      <w:r w:rsidRPr="00B35A22">
        <w:rPr>
          <w:sz w:val="22"/>
          <w:lang w:val="sr-Latn-ME"/>
        </w:rPr>
        <w:noBreakHyphen/>
        <w:t>a prikazane su na Slikama </w:t>
      </w:r>
      <w:r w:rsidR="00D46A5F" w:rsidRPr="00B35A22">
        <w:rPr>
          <w:bCs/>
          <w:sz w:val="22"/>
          <w:szCs w:val="22"/>
          <w:lang w:val="sr-Latn-ME"/>
        </w:rPr>
        <w:t>17</w:t>
      </w:r>
      <w:r w:rsidR="00D46A5F" w:rsidRPr="00B35A22">
        <w:rPr>
          <w:sz w:val="22"/>
          <w:lang w:val="sr-Latn-ME"/>
        </w:rPr>
        <w:t xml:space="preserve"> </w:t>
      </w:r>
      <w:r w:rsidRPr="00B35A22">
        <w:rPr>
          <w:sz w:val="22"/>
          <w:lang w:val="sr-Latn-ME"/>
        </w:rPr>
        <w:t>i </w:t>
      </w:r>
      <w:r w:rsidR="00D46A5F" w:rsidRPr="00B35A22">
        <w:rPr>
          <w:bCs/>
          <w:sz w:val="22"/>
          <w:szCs w:val="22"/>
          <w:lang w:val="sr-Latn-ME"/>
        </w:rPr>
        <w:t>18</w:t>
      </w:r>
      <w:r w:rsidRPr="00B35A22">
        <w:rPr>
          <w:sz w:val="22"/>
          <w:lang w:val="sr-Latn-ME"/>
        </w:rPr>
        <w:t>. Podaci o pacijentima sa moždanim metastazama previše su ograničeni za donošenje zaključaka o toj populaciji.</w:t>
      </w:r>
    </w:p>
    <w:p w14:paraId="51C70CD8" w14:textId="77777777" w:rsidR="00D47D53" w:rsidRPr="00B35A22" w:rsidRDefault="00D47D53" w:rsidP="00B35A22">
      <w:pPr>
        <w:widowControl w:val="0"/>
        <w:tabs>
          <w:tab w:val="left" w:pos="540"/>
          <w:tab w:val="left" w:pos="569"/>
        </w:tabs>
        <w:jc w:val="both"/>
        <w:rPr>
          <w:bCs/>
          <w:sz w:val="22"/>
          <w:szCs w:val="22"/>
          <w:lang w:val="sr-Latn-ME"/>
        </w:rPr>
      </w:pPr>
    </w:p>
    <w:p w14:paraId="71057B17" w14:textId="428C00E3" w:rsidR="00551CF9" w:rsidRPr="00B35A22" w:rsidRDefault="00551CF9" w:rsidP="00B35A22">
      <w:pPr>
        <w:widowControl w:val="0"/>
        <w:tabs>
          <w:tab w:val="left" w:pos="540"/>
          <w:tab w:val="left" w:pos="569"/>
        </w:tabs>
        <w:jc w:val="both"/>
        <w:rPr>
          <w:b/>
          <w:sz w:val="22"/>
          <w:lang w:val="sr-Latn-ME"/>
        </w:rPr>
      </w:pPr>
      <w:r w:rsidRPr="00B35A22">
        <w:rPr>
          <w:b/>
          <w:sz w:val="22"/>
          <w:lang w:val="sr-Latn-ME"/>
        </w:rPr>
        <w:t>Tabela </w:t>
      </w:r>
      <w:r w:rsidR="00D46A5F" w:rsidRPr="00B35A22">
        <w:rPr>
          <w:b/>
          <w:bCs/>
          <w:sz w:val="22"/>
          <w:szCs w:val="22"/>
          <w:lang w:val="sr-Latn-ME"/>
        </w:rPr>
        <w:t>19</w:t>
      </w:r>
      <w:r w:rsidRPr="00B35A22">
        <w:rPr>
          <w:b/>
          <w:sz w:val="22"/>
          <w:lang w:val="sr-Latn-ME"/>
        </w:rPr>
        <w:t xml:space="preserve">: Sažetak rezultata za efikasnost (IMpower133) </w:t>
      </w:r>
    </w:p>
    <w:p w14:paraId="3FED5EE3" w14:textId="77777777" w:rsidR="00D47D53" w:rsidRPr="00B35A22" w:rsidRDefault="00D47D53" w:rsidP="00B35A22">
      <w:pPr>
        <w:widowControl w:val="0"/>
        <w:tabs>
          <w:tab w:val="left" w:pos="540"/>
          <w:tab w:val="left" w:pos="569"/>
        </w:tabs>
        <w:jc w:val="both"/>
        <w:rPr>
          <w:b/>
          <w:sz w:val="22"/>
          <w:lang w:val="sr-Latn-ME"/>
        </w:rPr>
      </w:pP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1"/>
        <w:gridCol w:w="2532"/>
        <w:gridCol w:w="78"/>
        <w:gridCol w:w="1651"/>
      </w:tblGrid>
      <w:tr w:rsidR="00CC0044" w:rsidRPr="00B35A22" w14:paraId="5C9438EB" w14:textId="77777777" w:rsidTr="005124BA">
        <w:trPr>
          <w:tblHeader/>
        </w:trPr>
        <w:tc>
          <w:tcPr>
            <w:tcW w:w="4811" w:type="dxa"/>
            <w:tcBorders>
              <w:top w:val="single" w:sz="4" w:space="0" w:color="auto"/>
              <w:left w:val="single" w:sz="4" w:space="0" w:color="auto"/>
              <w:bottom w:val="single" w:sz="4" w:space="0" w:color="auto"/>
              <w:right w:val="nil"/>
            </w:tcBorders>
            <w:hideMark/>
          </w:tcPr>
          <w:p w14:paraId="7A50224E" w14:textId="47E642A1" w:rsidR="00551CF9" w:rsidRPr="00B35A22" w:rsidRDefault="00551CF9" w:rsidP="00B35A22">
            <w:pPr>
              <w:widowControl w:val="0"/>
              <w:tabs>
                <w:tab w:val="left" w:pos="540"/>
                <w:tab w:val="left" w:pos="569"/>
              </w:tabs>
              <w:jc w:val="both"/>
              <w:rPr>
                <w:b/>
                <w:sz w:val="22"/>
                <w:lang w:val="sr-Latn-ME"/>
              </w:rPr>
            </w:pPr>
            <w:r w:rsidRPr="00B35A22">
              <w:rPr>
                <w:b/>
                <w:sz w:val="22"/>
                <w:lang w:val="sr-Latn-ME"/>
              </w:rPr>
              <w:t>Ključne mjere ishoda za efikasnost</w:t>
            </w:r>
          </w:p>
        </w:tc>
        <w:tc>
          <w:tcPr>
            <w:tcW w:w="2610" w:type="dxa"/>
            <w:gridSpan w:val="2"/>
            <w:tcBorders>
              <w:top w:val="single" w:sz="4" w:space="0" w:color="auto"/>
              <w:left w:val="nil"/>
              <w:bottom w:val="single" w:sz="4" w:space="0" w:color="auto"/>
              <w:right w:val="nil"/>
            </w:tcBorders>
            <w:hideMark/>
          </w:tcPr>
          <w:p w14:paraId="6F40FB66" w14:textId="77777777" w:rsidR="00551CF9" w:rsidRPr="00B35A22" w:rsidRDefault="00551CF9" w:rsidP="00B35A22">
            <w:pPr>
              <w:widowControl w:val="0"/>
              <w:tabs>
                <w:tab w:val="left" w:pos="540"/>
                <w:tab w:val="left" w:pos="569"/>
              </w:tabs>
              <w:jc w:val="both"/>
              <w:rPr>
                <w:b/>
                <w:sz w:val="22"/>
                <w:lang w:val="sr-Latn-ME"/>
              </w:rPr>
            </w:pPr>
            <w:r w:rsidRPr="00B35A22">
              <w:rPr>
                <w:b/>
                <w:sz w:val="22"/>
                <w:lang w:val="sr-Latn-ME"/>
              </w:rPr>
              <w:t>Grupa A</w:t>
            </w:r>
          </w:p>
          <w:p w14:paraId="2AF97C01"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(atezolizumab + karboplatin + etopozid)</w:t>
            </w:r>
          </w:p>
        </w:tc>
        <w:tc>
          <w:tcPr>
            <w:tcW w:w="1651" w:type="dxa"/>
            <w:tcBorders>
              <w:top w:val="single" w:sz="4" w:space="0" w:color="auto"/>
              <w:left w:val="nil"/>
              <w:bottom w:val="single" w:sz="4" w:space="0" w:color="auto"/>
              <w:right w:val="single" w:sz="4" w:space="0" w:color="auto"/>
            </w:tcBorders>
            <w:hideMark/>
          </w:tcPr>
          <w:p w14:paraId="40170742" w14:textId="77777777" w:rsidR="00551CF9" w:rsidRPr="00B35A22" w:rsidRDefault="00551CF9" w:rsidP="00B35A22">
            <w:pPr>
              <w:widowControl w:val="0"/>
              <w:tabs>
                <w:tab w:val="left" w:pos="540"/>
                <w:tab w:val="left" w:pos="569"/>
              </w:tabs>
              <w:jc w:val="both"/>
              <w:rPr>
                <w:b/>
                <w:sz w:val="22"/>
                <w:lang w:val="sr-Latn-ME"/>
              </w:rPr>
            </w:pPr>
            <w:r w:rsidRPr="00B35A22">
              <w:rPr>
                <w:b/>
                <w:sz w:val="22"/>
                <w:lang w:val="sr-Latn-ME"/>
              </w:rPr>
              <w:t>Grupa B</w:t>
            </w:r>
          </w:p>
          <w:p w14:paraId="4E7E4119"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(placebo + karboplatin + etopozid)</w:t>
            </w:r>
          </w:p>
        </w:tc>
      </w:tr>
      <w:tr w:rsidR="00CC0044" w:rsidRPr="00B35A22" w14:paraId="33A7EF21" w14:textId="77777777" w:rsidTr="005124BA">
        <w:trPr>
          <w:tblHeader/>
        </w:trPr>
        <w:tc>
          <w:tcPr>
            <w:tcW w:w="4811" w:type="dxa"/>
            <w:tcBorders>
              <w:top w:val="single" w:sz="4" w:space="0" w:color="auto"/>
              <w:left w:val="single" w:sz="4" w:space="0" w:color="auto"/>
              <w:bottom w:val="single" w:sz="4" w:space="0" w:color="auto"/>
              <w:right w:val="nil"/>
            </w:tcBorders>
            <w:hideMark/>
          </w:tcPr>
          <w:p w14:paraId="3D586B3C" w14:textId="4A4A3470" w:rsidR="00551CF9" w:rsidRPr="00B35A22" w:rsidRDefault="00551CF9" w:rsidP="00B35A22">
            <w:pPr>
              <w:widowControl w:val="0"/>
              <w:tabs>
                <w:tab w:val="left" w:pos="540"/>
                <w:tab w:val="left" w:pos="569"/>
              </w:tabs>
              <w:jc w:val="both"/>
              <w:rPr>
                <w:b/>
                <w:sz w:val="22"/>
                <w:lang w:val="sr-Latn-ME"/>
              </w:rPr>
            </w:pPr>
            <w:r w:rsidRPr="00B35A22">
              <w:rPr>
                <w:b/>
                <w:i/>
                <w:sz w:val="22"/>
                <w:lang w:val="sr-Latn-ME"/>
              </w:rPr>
              <w:t>Ko-primarne mjere ishoda</w:t>
            </w:r>
          </w:p>
        </w:tc>
        <w:tc>
          <w:tcPr>
            <w:tcW w:w="2610" w:type="dxa"/>
            <w:gridSpan w:val="2"/>
            <w:tcBorders>
              <w:top w:val="single" w:sz="4" w:space="0" w:color="auto"/>
              <w:left w:val="nil"/>
              <w:bottom w:val="single" w:sz="4" w:space="0" w:color="auto"/>
              <w:right w:val="nil"/>
            </w:tcBorders>
          </w:tcPr>
          <w:p w14:paraId="0416AACD" w14:textId="77777777" w:rsidR="00551CF9" w:rsidRPr="00B35A22" w:rsidRDefault="00551CF9" w:rsidP="00B35A22">
            <w:pPr>
              <w:widowControl w:val="0"/>
              <w:tabs>
                <w:tab w:val="left" w:pos="540"/>
                <w:tab w:val="left" w:pos="569"/>
              </w:tabs>
              <w:jc w:val="both"/>
              <w:rPr>
                <w:b/>
                <w:sz w:val="22"/>
                <w:lang w:val="sr-Latn-ME"/>
              </w:rPr>
            </w:pPr>
          </w:p>
        </w:tc>
        <w:tc>
          <w:tcPr>
            <w:tcW w:w="1651" w:type="dxa"/>
            <w:tcBorders>
              <w:top w:val="single" w:sz="4" w:space="0" w:color="auto"/>
              <w:left w:val="nil"/>
              <w:bottom w:val="single" w:sz="4" w:space="0" w:color="auto"/>
              <w:right w:val="single" w:sz="4" w:space="0" w:color="auto"/>
            </w:tcBorders>
          </w:tcPr>
          <w:p w14:paraId="74A33151" w14:textId="77777777" w:rsidR="00551CF9" w:rsidRPr="00B35A22" w:rsidRDefault="00551CF9" w:rsidP="00B35A22">
            <w:pPr>
              <w:widowControl w:val="0"/>
              <w:tabs>
                <w:tab w:val="left" w:pos="540"/>
                <w:tab w:val="left" w:pos="569"/>
              </w:tabs>
              <w:jc w:val="both"/>
              <w:rPr>
                <w:b/>
                <w:sz w:val="22"/>
                <w:lang w:val="sr-Latn-ME"/>
              </w:rPr>
            </w:pPr>
          </w:p>
        </w:tc>
      </w:tr>
      <w:tr w:rsidR="00CC0044" w:rsidRPr="00B35A22" w14:paraId="599C0609" w14:textId="77777777" w:rsidTr="005124BA">
        <w:tc>
          <w:tcPr>
            <w:tcW w:w="4811" w:type="dxa"/>
            <w:tcBorders>
              <w:top w:val="single" w:sz="4" w:space="0" w:color="auto"/>
              <w:left w:val="single" w:sz="4" w:space="0" w:color="auto"/>
              <w:bottom w:val="nil"/>
              <w:right w:val="nil"/>
            </w:tcBorders>
            <w:hideMark/>
          </w:tcPr>
          <w:p w14:paraId="4C8DA4D2" w14:textId="77777777" w:rsidR="00551CF9" w:rsidRPr="00B35A22" w:rsidRDefault="00551CF9" w:rsidP="00B35A22">
            <w:pPr>
              <w:widowControl w:val="0"/>
              <w:tabs>
                <w:tab w:val="left" w:pos="540"/>
                <w:tab w:val="left" w:pos="569"/>
              </w:tabs>
              <w:jc w:val="both"/>
              <w:rPr>
                <w:b/>
                <w:i/>
                <w:sz w:val="22"/>
                <w:lang w:val="sr-Latn-ME"/>
              </w:rPr>
            </w:pPr>
            <w:r w:rsidRPr="00B35A22">
              <w:rPr>
                <w:b/>
                <w:i/>
                <w:sz w:val="22"/>
                <w:lang w:val="sr-Latn-ME"/>
              </w:rPr>
              <w:t>Analiza OS</w:t>
            </w:r>
            <w:r w:rsidRPr="00B35A22">
              <w:rPr>
                <w:b/>
                <w:i/>
                <w:sz w:val="22"/>
                <w:lang w:val="sr-Latn-ME"/>
              </w:rPr>
              <w:noBreakHyphen/>
              <w:t>a*</w:t>
            </w:r>
          </w:p>
        </w:tc>
        <w:tc>
          <w:tcPr>
            <w:tcW w:w="2610" w:type="dxa"/>
            <w:gridSpan w:val="2"/>
            <w:tcBorders>
              <w:top w:val="single" w:sz="4" w:space="0" w:color="auto"/>
              <w:left w:val="nil"/>
              <w:bottom w:val="nil"/>
              <w:right w:val="nil"/>
            </w:tcBorders>
            <w:hideMark/>
          </w:tcPr>
          <w:p w14:paraId="70F8F257" w14:textId="77777777" w:rsidR="00551CF9" w:rsidRPr="00B35A22" w:rsidRDefault="00551CF9" w:rsidP="00B35A22">
            <w:pPr>
              <w:widowControl w:val="0"/>
              <w:tabs>
                <w:tab w:val="left" w:pos="540"/>
                <w:tab w:val="left" w:pos="569"/>
              </w:tabs>
              <w:jc w:val="both"/>
              <w:rPr>
                <w:b/>
                <w:sz w:val="22"/>
                <w:lang w:val="sr-Latn-ME"/>
              </w:rPr>
            </w:pPr>
            <w:r w:rsidRPr="00B35A22">
              <w:rPr>
                <w:sz w:val="22"/>
                <w:lang w:val="sr-Latn-ME"/>
              </w:rPr>
              <w:t>n=201</w:t>
            </w:r>
          </w:p>
        </w:tc>
        <w:tc>
          <w:tcPr>
            <w:tcW w:w="1651" w:type="dxa"/>
            <w:tcBorders>
              <w:top w:val="single" w:sz="4" w:space="0" w:color="auto"/>
              <w:left w:val="nil"/>
              <w:bottom w:val="nil"/>
              <w:right w:val="single" w:sz="4" w:space="0" w:color="auto"/>
            </w:tcBorders>
            <w:hideMark/>
          </w:tcPr>
          <w:p w14:paraId="1975DC95" w14:textId="77777777" w:rsidR="00551CF9" w:rsidRPr="00B35A22" w:rsidRDefault="00551CF9" w:rsidP="00B35A22">
            <w:pPr>
              <w:widowControl w:val="0"/>
              <w:tabs>
                <w:tab w:val="left" w:pos="540"/>
                <w:tab w:val="left" w:pos="569"/>
              </w:tabs>
              <w:jc w:val="both"/>
              <w:rPr>
                <w:b/>
                <w:sz w:val="22"/>
                <w:lang w:val="sr-Latn-ME"/>
              </w:rPr>
            </w:pPr>
            <w:r w:rsidRPr="00B35A22">
              <w:rPr>
                <w:sz w:val="22"/>
                <w:lang w:val="sr-Latn-ME"/>
              </w:rPr>
              <w:t>n=202</w:t>
            </w:r>
          </w:p>
        </w:tc>
      </w:tr>
      <w:tr w:rsidR="00CC0044" w:rsidRPr="00B35A22" w14:paraId="2F188204" w14:textId="77777777" w:rsidTr="005124BA">
        <w:tc>
          <w:tcPr>
            <w:tcW w:w="4811" w:type="dxa"/>
            <w:tcBorders>
              <w:top w:val="nil"/>
              <w:left w:val="single" w:sz="4" w:space="0" w:color="auto"/>
              <w:bottom w:val="nil"/>
              <w:right w:val="nil"/>
            </w:tcBorders>
            <w:hideMark/>
          </w:tcPr>
          <w:p w14:paraId="51A0732A" w14:textId="77777777" w:rsidR="00551CF9" w:rsidRPr="00B35A22" w:rsidRDefault="00551CF9" w:rsidP="00B35A22">
            <w:pPr>
              <w:widowControl w:val="0"/>
              <w:tabs>
                <w:tab w:val="left" w:pos="540"/>
                <w:tab w:val="left" w:pos="569"/>
              </w:tabs>
              <w:jc w:val="both"/>
              <w:rPr>
                <w:i/>
                <w:sz w:val="22"/>
                <w:lang w:val="sr-Latn-ME"/>
              </w:rPr>
            </w:pPr>
            <w:r w:rsidRPr="00B35A22">
              <w:rPr>
                <w:sz w:val="22"/>
                <w:lang w:val="sr-Latn-ME"/>
              </w:rPr>
              <w:t>Broj smrtnih slučajeva (%)</w:t>
            </w:r>
          </w:p>
        </w:tc>
        <w:tc>
          <w:tcPr>
            <w:tcW w:w="2610" w:type="dxa"/>
            <w:gridSpan w:val="2"/>
            <w:tcBorders>
              <w:top w:val="nil"/>
              <w:left w:val="nil"/>
              <w:bottom w:val="nil"/>
              <w:right w:val="nil"/>
            </w:tcBorders>
            <w:hideMark/>
          </w:tcPr>
          <w:p w14:paraId="136F01AE"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142 (70,6%)</w:t>
            </w:r>
          </w:p>
        </w:tc>
        <w:tc>
          <w:tcPr>
            <w:tcW w:w="1651" w:type="dxa"/>
            <w:tcBorders>
              <w:top w:val="nil"/>
              <w:left w:val="nil"/>
              <w:bottom w:val="nil"/>
              <w:right w:val="single" w:sz="4" w:space="0" w:color="auto"/>
            </w:tcBorders>
            <w:hideMark/>
          </w:tcPr>
          <w:p w14:paraId="24A02783"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160 (79,2%)</w:t>
            </w:r>
          </w:p>
        </w:tc>
      </w:tr>
      <w:tr w:rsidR="00CC0044" w:rsidRPr="00B35A22" w14:paraId="3DD19352" w14:textId="77777777" w:rsidTr="005124BA">
        <w:tc>
          <w:tcPr>
            <w:tcW w:w="4811" w:type="dxa"/>
            <w:tcBorders>
              <w:top w:val="nil"/>
              <w:left w:val="single" w:sz="4" w:space="0" w:color="auto"/>
              <w:bottom w:val="nil"/>
              <w:right w:val="nil"/>
            </w:tcBorders>
            <w:hideMark/>
          </w:tcPr>
          <w:p w14:paraId="5A409A7C" w14:textId="20538D79" w:rsidR="00551CF9" w:rsidRPr="00B35A22" w:rsidRDefault="00551CF9" w:rsidP="00B35A22">
            <w:pPr>
              <w:widowControl w:val="0"/>
              <w:tabs>
                <w:tab w:val="left" w:pos="540"/>
                <w:tab w:val="left" w:pos="569"/>
              </w:tabs>
              <w:jc w:val="both"/>
              <w:rPr>
                <w:i/>
                <w:sz w:val="22"/>
                <w:lang w:val="sr-Latn-ME"/>
              </w:rPr>
            </w:pPr>
            <w:r w:rsidRPr="00B35A22">
              <w:rPr>
                <w:sz w:val="22"/>
                <w:lang w:val="sr-Latn-ME"/>
              </w:rPr>
              <w:t>Medijana vremena do događaja (mjeseci)</w:t>
            </w:r>
          </w:p>
        </w:tc>
        <w:tc>
          <w:tcPr>
            <w:tcW w:w="2610" w:type="dxa"/>
            <w:gridSpan w:val="2"/>
            <w:tcBorders>
              <w:top w:val="nil"/>
              <w:left w:val="nil"/>
              <w:bottom w:val="nil"/>
              <w:right w:val="nil"/>
            </w:tcBorders>
            <w:hideMark/>
          </w:tcPr>
          <w:p w14:paraId="7B736860"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12,3</w:t>
            </w:r>
          </w:p>
        </w:tc>
        <w:tc>
          <w:tcPr>
            <w:tcW w:w="1651" w:type="dxa"/>
            <w:tcBorders>
              <w:top w:val="nil"/>
              <w:left w:val="nil"/>
              <w:bottom w:val="nil"/>
              <w:right w:val="single" w:sz="4" w:space="0" w:color="auto"/>
            </w:tcBorders>
            <w:hideMark/>
          </w:tcPr>
          <w:p w14:paraId="15782935"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10,3</w:t>
            </w:r>
          </w:p>
        </w:tc>
      </w:tr>
      <w:tr w:rsidR="00CC0044" w:rsidRPr="00B35A22" w14:paraId="541BAC99" w14:textId="77777777" w:rsidTr="005124BA">
        <w:tc>
          <w:tcPr>
            <w:tcW w:w="4811" w:type="dxa"/>
            <w:tcBorders>
              <w:top w:val="nil"/>
              <w:left w:val="single" w:sz="4" w:space="0" w:color="auto"/>
              <w:bottom w:val="nil"/>
              <w:right w:val="nil"/>
            </w:tcBorders>
            <w:hideMark/>
          </w:tcPr>
          <w:p w14:paraId="2C0D8C0E" w14:textId="77777777" w:rsidR="00551CF9" w:rsidRPr="00B35A22" w:rsidRDefault="00551CF9" w:rsidP="00B35A22">
            <w:pPr>
              <w:widowControl w:val="0"/>
              <w:tabs>
                <w:tab w:val="left" w:pos="540"/>
                <w:tab w:val="left" w:pos="569"/>
              </w:tabs>
              <w:jc w:val="both"/>
              <w:rPr>
                <w:i/>
                <w:sz w:val="22"/>
                <w:lang w:val="sr-Latn-ME"/>
              </w:rPr>
            </w:pPr>
            <w:r w:rsidRPr="00B35A22">
              <w:rPr>
                <w:sz w:val="22"/>
                <w:lang w:val="sr-Latn-ME"/>
              </w:rPr>
              <w:t>95% CI</w:t>
            </w:r>
          </w:p>
        </w:tc>
        <w:tc>
          <w:tcPr>
            <w:tcW w:w="2610" w:type="dxa"/>
            <w:gridSpan w:val="2"/>
            <w:tcBorders>
              <w:top w:val="nil"/>
              <w:left w:val="nil"/>
              <w:bottom w:val="nil"/>
              <w:right w:val="nil"/>
            </w:tcBorders>
            <w:hideMark/>
          </w:tcPr>
          <w:p w14:paraId="1EC2B1B5"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(10,8; 15,8)</w:t>
            </w:r>
          </w:p>
        </w:tc>
        <w:tc>
          <w:tcPr>
            <w:tcW w:w="1651" w:type="dxa"/>
            <w:tcBorders>
              <w:top w:val="nil"/>
              <w:left w:val="nil"/>
              <w:bottom w:val="nil"/>
              <w:right w:val="single" w:sz="4" w:space="0" w:color="auto"/>
            </w:tcBorders>
            <w:hideMark/>
          </w:tcPr>
          <w:p w14:paraId="2E281E35"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(9,3; 11,3)</w:t>
            </w:r>
          </w:p>
        </w:tc>
      </w:tr>
      <w:tr w:rsidR="00551CF9" w:rsidRPr="00B35A22" w14:paraId="6DF7A4E7" w14:textId="77777777" w:rsidTr="0065270B">
        <w:tc>
          <w:tcPr>
            <w:tcW w:w="4811" w:type="dxa"/>
            <w:tcBorders>
              <w:top w:val="nil"/>
              <w:left w:val="single" w:sz="4" w:space="0" w:color="auto"/>
              <w:bottom w:val="nil"/>
              <w:right w:val="nil"/>
            </w:tcBorders>
            <w:hideMark/>
          </w:tcPr>
          <w:p w14:paraId="44B93F26" w14:textId="77777777" w:rsidR="00551CF9" w:rsidRPr="00B35A22" w:rsidRDefault="00551CF9" w:rsidP="00B35A22">
            <w:pPr>
              <w:widowControl w:val="0"/>
              <w:tabs>
                <w:tab w:val="left" w:pos="540"/>
                <w:tab w:val="left" w:pos="569"/>
              </w:tabs>
              <w:jc w:val="both"/>
              <w:rPr>
                <w:i/>
                <w:sz w:val="22"/>
                <w:lang w:val="sr-Latn-ME"/>
              </w:rPr>
            </w:pPr>
            <w:r w:rsidRPr="00B35A22">
              <w:rPr>
                <w:sz w:val="22"/>
                <w:lang w:val="sr-Latn-ME"/>
              </w:rPr>
              <w:t xml:space="preserve">Stratifikovani koeficijent rizika </w:t>
            </w:r>
            <w:r w:rsidRPr="00B35A22">
              <w:rPr>
                <w:sz w:val="22"/>
                <w:vertAlign w:val="superscript"/>
                <w:lang w:val="sr-Latn-ME"/>
              </w:rPr>
              <w:t>‡</w:t>
            </w:r>
            <w:r w:rsidRPr="00B35A22">
              <w:rPr>
                <w:sz w:val="22"/>
                <w:lang w:val="sr-Latn-ME"/>
              </w:rPr>
              <w:t xml:space="preserve"> (95% CI)</w:t>
            </w:r>
          </w:p>
        </w:tc>
        <w:tc>
          <w:tcPr>
            <w:tcW w:w="4261" w:type="dxa"/>
            <w:gridSpan w:val="3"/>
            <w:tcBorders>
              <w:top w:val="nil"/>
              <w:left w:val="nil"/>
              <w:bottom w:val="nil"/>
              <w:right w:val="single" w:sz="4" w:space="0" w:color="auto"/>
            </w:tcBorders>
            <w:hideMark/>
          </w:tcPr>
          <w:p w14:paraId="11B87F48" w14:textId="77777777" w:rsidR="00551CF9" w:rsidRPr="00B35A22" w:rsidRDefault="00551CF9" w:rsidP="00B35A22">
            <w:pPr>
              <w:widowControl w:val="0"/>
              <w:tabs>
                <w:tab w:val="left" w:pos="540"/>
                <w:tab w:val="left" w:pos="569"/>
              </w:tabs>
              <w:ind w:left="1176"/>
              <w:jc w:val="both"/>
              <w:rPr>
                <w:sz w:val="22"/>
                <w:lang w:val="sr-Latn-ME"/>
              </w:rPr>
            </w:pPr>
            <w:r w:rsidRPr="00B35A22">
              <w:rPr>
                <w:sz w:val="22"/>
                <w:lang w:val="sr-Latn-ME"/>
              </w:rPr>
              <w:t>0,76 (0,60; 0,95)</w:t>
            </w:r>
          </w:p>
        </w:tc>
      </w:tr>
      <w:tr w:rsidR="00551CF9" w:rsidRPr="00B35A22" w14:paraId="2B08AA32" w14:textId="77777777" w:rsidTr="0065270B">
        <w:trPr>
          <w:trHeight w:val="60"/>
        </w:trPr>
        <w:tc>
          <w:tcPr>
            <w:tcW w:w="4811" w:type="dxa"/>
            <w:tcBorders>
              <w:top w:val="nil"/>
              <w:left w:val="single" w:sz="4" w:space="0" w:color="auto"/>
              <w:bottom w:val="nil"/>
              <w:right w:val="nil"/>
            </w:tcBorders>
            <w:hideMark/>
          </w:tcPr>
          <w:p w14:paraId="507E1127" w14:textId="07618678" w:rsidR="00551CF9" w:rsidRPr="00B35A22" w:rsidRDefault="00551CF9" w:rsidP="00B35A22">
            <w:pPr>
              <w:widowControl w:val="0"/>
              <w:tabs>
                <w:tab w:val="left" w:pos="540"/>
                <w:tab w:val="left" w:pos="569"/>
              </w:tabs>
              <w:jc w:val="both"/>
              <w:rPr>
                <w:sz w:val="22"/>
                <w:lang w:val="sr-Latn-ME"/>
              </w:rPr>
            </w:pPr>
            <w:r w:rsidRPr="00B35A22">
              <w:rPr>
                <w:sz w:val="22"/>
                <w:lang w:val="sr-Latn-ME"/>
              </w:rPr>
              <w:t>p</w:t>
            </w:r>
            <w:r w:rsidRPr="00B35A22">
              <w:rPr>
                <w:sz w:val="22"/>
                <w:lang w:val="sr-Latn-ME"/>
              </w:rPr>
              <w:noBreakHyphen/>
              <w:t>vrijednost</w:t>
            </w:r>
          </w:p>
        </w:tc>
        <w:tc>
          <w:tcPr>
            <w:tcW w:w="4261" w:type="dxa"/>
            <w:gridSpan w:val="3"/>
            <w:tcBorders>
              <w:top w:val="nil"/>
              <w:left w:val="nil"/>
              <w:bottom w:val="nil"/>
              <w:right w:val="single" w:sz="4" w:space="0" w:color="auto"/>
            </w:tcBorders>
            <w:hideMark/>
          </w:tcPr>
          <w:p w14:paraId="0F64D9EA" w14:textId="77777777" w:rsidR="00551CF9" w:rsidRPr="00B35A22" w:rsidRDefault="00551CF9" w:rsidP="00B35A22">
            <w:pPr>
              <w:widowControl w:val="0"/>
              <w:tabs>
                <w:tab w:val="left" w:pos="540"/>
                <w:tab w:val="left" w:pos="569"/>
              </w:tabs>
              <w:ind w:left="1459"/>
              <w:jc w:val="both"/>
              <w:rPr>
                <w:sz w:val="22"/>
                <w:lang w:val="sr-Latn-ME"/>
              </w:rPr>
            </w:pPr>
            <w:r w:rsidRPr="00B35A22">
              <w:rPr>
                <w:sz w:val="22"/>
                <w:lang w:val="sr-Latn-ME"/>
              </w:rPr>
              <w:t>0,0154***</w:t>
            </w:r>
          </w:p>
        </w:tc>
      </w:tr>
      <w:tr w:rsidR="00CC0044" w:rsidRPr="00B35A22" w14:paraId="0BB61C4C" w14:textId="77777777" w:rsidTr="005124BA">
        <w:tc>
          <w:tcPr>
            <w:tcW w:w="4811" w:type="dxa"/>
            <w:tcBorders>
              <w:top w:val="nil"/>
              <w:left w:val="single" w:sz="4" w:space="0" w:color="auto"/>
              <w:bottom w:val="nil"/>
              <w:right w:val="nil"/>
            </w:tcBorders>
            <w:hideMark/>
          </w:tcPr>
          <w:p w14:paraId="0675FEE2" w14:textId="1BB60726" w:rsidR="00551CF9" w:rsidRPr="00B35A22" w:rsidRDefault="00551CF9" w:rsidP="00B35A22">
            <w:pPr>
              <w:widowControl w:val="0"/>
              <w:tabs>
                <w:tab w:val="left" w:pos="540"/>
                <w:tab w:val="left" w:pos="569"/>
              </w:tabs>
              <w:jc w:val="both"/>
              <w:rPr>
                <w:i/>
                <w:sz w:val="22"/>
                <w:lang w:val="sr-Latn-ME"/>
              </w:rPr>
            </w:pPr>
            <w:r w:rsidRPr="00B35A22">
              <w:rPr>
                <w:sz w:val="22"/>
                <w:lang w:val="sr-Latn-ME"/>
              </w:rPr>
              <w:t>12</w:t>
            </w:r>
            <w:r w:rsidRPr="00B35A22">
              <w:rPr>
                <w:sz w:val="22"/>
                <w:lang w:val="sr-Latn-ME"/>
              </w:rPr>
              <w:noBreakHyphen/>
              <w:t>mjesečni OS (%)</w:t>
            </w:r>
          </w:p>
        </w:tc>
        <w:tc>
          <w:tcPr>
            <w:tcW w:w="2610" w:type="dxa"/>
            <w:gridSpan w:val="2"/>
            <w:tcBorders>
              <w:top w:val="nil"/>
              <w:left w:val="nil"/>
              <w:bottom w:val="nil"/>
              <w:right w:val="nil"/>
            </w:tcBorders>
            <w:hideMark/>
          </w:tcPr>
          <w:p w14:paraId="77BFD8D9"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51,9</w:t>
            </w:r>
          </w:p>
        </w:tc>
        <w:tc>
          <w:tcPr>
            <w:tcW w:w="1651" w:type="dxa"/>
            <w:tcBorders>
              <w:top w:val="nil"/>
              <w:left w:val="nil"/>
              <w:bottom w:val="nil"/>
              <w:right w:val="single" w:sz="4" w:space="0" w:color="auto"/>
            </w:tcBorders>
            <w:hideMark/>
          </w:tcPr>
          <w:p w14:paraId="15EEF83E"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39,0</w:t>
            </w:r>
          </w:p>
        </w:tc>
      </w:tr>
      <w:tr w:rsidR="00CC0044" w:rsidRPr="00B35A22" w14:paraId="5F9CEFB1" w14:textId="77777777" w:rsidTr="005124BA">
        <w:tc>
          <w:tcPr>
            <w:tcW w:w="4811" w:type="dxa"/>
            <w:tcBorders>
              <w:top w:val="single" w:sz="4" w:space="0" w:color="auto"/>
              <w:left w:val="single" w:sz="4" w:space="0" w:color="auto"/>
              <w:bottom w:val="nil"/>
              <w:right w:val="nil"/>
            </w:tcBorders>
            <w:hideMark/>
          </w:tcPr>
          <w:p w14:paraId="646844CE" w14:textId="7A95D115" w:rsidR="00551CF9" w:rsidRPr="00B35A22" w:rsidRDefault="00551CF9" w:rsidP="00B35A22">
            <w:pPr>
              <w:widowControl w:val="0"/>
              <w:tabs>
                <w:tab w:val="left" w:pos="540"/>
                <w:tab w:val="left" w:pos="569"/>
              </w:tabs>
              <w:jc w:val="both"/>
              <w:rPr>
                <w:b/>
                <w:i/>
                <w:sz w:val="22"/>
                <w:vertAlign w:val="superscript"/>
                <w:lang w:val="sr-Latn-ME"/>
              </w:rPr>
            </w:pPr>
            <w:r w:rsidRPr="00B35A22">
              <w:rPr>
                <w:b/>
                <w:i/>
                <w:sz w:val="22"/>
                <w:lang w:val="sr-Latn-ME"/>
              </w:rPr>
              <w:lastRenderedPageBreak/>
              <w:t>PFS prema ocjeni istraživača (RECIST v1.1</w:t>
            </w:r>
            <w:r w:rsidRPr="00B35A22">
              <w:rPr>
                <w:b/>
                <w:sz w:val="22"/>
                <w:lang w:val="sr-Latn-ME"/>
              </w:rPr>
              <w:t>)</w:t>
            </w:r>
            <w:r w:rsidRPr="00B35A22">
              <w:rPr>
                <w:b/>
                <w:i/>
                <w:sz w:val="22"/>
                <w:lang w:val="sr-Latn-ME"/>
              </w:rPr>
              <w:t>**</w:t>
            </w:r>
            <w:r w:rsidRPr="00B35A22">
              <w:rPr>
                <w:b/>
                <w:sz w:val="22"/>
                <w:lang w:val="sr-Latn-ME"/>
              </w:rPr>
              <w:t xml:space="preserve"> </w:t>
            </w:r>
          </w:p>
        </w:tc>
        <w:tc>
          <w:tcPr>
            <w:tcW w:w="2610" w:type="dxa"/>
            <w:gridSpan w:val="2"/>
            <w:tcBorders>
              <w:top w:val="single" w:sz="4" w:space="0" w:color="auto"/>
              <w:left w:val="nil"/>
              <w:bottom w:val="nil"/>
              <w:right w:val="nil"/>
            </w:tcBorders>
            <w:hideMark/>
          </w:tcPr>
          <w:p w14:paraId="0F2491B1"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n=201</w:t>
            </w:r>
          </w:p>
        </w:tc>
        <w:tc>
          <w:tcPr>
            <w:tcW w:w="1651" w:type="dxa"/>
            <w:tcBorders>
              <w:top w:val="single" w:sz="4" w:space="0" w:color="auto"/>
              <w:left w:val="nil"/>
              <w:bottom w:val="nil"/>
              <w:right w:val="single" w:sz="4" w:space="0" w:color="auto"/>
            </w:tcBorders>
            <w:hideMark/>
          </w:tcPr>
          <w:p w14:paraId="08F5FAA3"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n=202</w:t>
            </w:r>
          </w:p>
        </w:tc>
      </w:tr>
      <w:tr w:rsidR="00CC0044" w:rsidRPr="00B35A22" w14:paraId="129A0172" w14:textId="77777777" w:rsidTr="005124BA">
        <w:tc>
          <w:tcPr>
            <w:tcW w:w="4811" w:type="dxa"/>
            <w:tcBorders>
              <w:top w:val="nil"/>
              <w:left w:val="single" w:sz="4" w:space="0" w:color="auto"/>
              <w:bottom w:val="nil"/>
              <w:right w:val="nil"/>
            </w:tcBorders>
            <w:hideMark/>
          </w:tcPr>
          <w:p w14:paraId="22A44726"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Broj događaja (%)</w:t>
            </w:r>
          </w:p>
        </w:tc>
        <w:tc>
          <w:tcPr>
            <w:tcW w:w="2610" w:type="dxa"/>
            <w:gridSpan w:val="2"/>
            <w:tcBorders>
              <w:top w:val="nil"/>
              <w:left w:val="nil"/>
              <w:bottom w:val="nil"/>
              <w:right w:val="nil"/>
            </w:tcBorders>
            <w:hideMark/>
          </w:tcPr>
          <w:p w14:paraId="134A3B39"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171 (85,1%)</w:t>
            </w:r>
          </w:p>
        </w:tc>
        <w:tc>
          <w:tcPr>
            <w:tcW w:w="1651" w:type="dxa"/>
            <w:tcBorders>
              <w:top w:val="nil"/>
              <w:left w:val="nil"/>
              <w:bottom w:val="nil"/>
              <w:right w:val="single" w:sz="4" w:space="0" w:color="auto"/>
            </w:tcBorders>
            <w:hideMark/>
          </w:tcPr>
          <w:p w14:paraId="21CEB8F3"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189 (93,6%)</w:t>
            </w:r>
          </w:p>
        </w:tc>
      </w:tr>
      <w:tr w:rsidR="00CC0044" w:rsidRPr="00B35A22" w14:paraId="7C89D5D3" w14:textId="77777777" w:rsidTr="005124BA">
        <w:tc>
          <w:tcPr>
            <w:tcW w:w="4811" w:type="dxa"/>
            <w:tcBorders>
              <w:top w:val="nil"/>
              <w:left w:val="single" w:sz="4" w:space="0" w:color="auto"/>
              <w:bottom w:val="nil"/>
              <w:right w:val="nil"/>
            </w:tcBorders>
            <w:hideMark/>
          </w:tcPr>
          <w:p w14:paraId="39362A9C" w14:textId="375AAB20" w:rsidR="00551CF9" w:rsidRPr="00B35A22" w:rsidRDefault="00551CF9" w:rsidP="00B35A22">
            <w:pPr>
              <w:widowControl w:val="0"/>
              <w:tabs>
                <w:tab w:val="left" w:pos="540"/>
                <w:tab w:val="left" w:pos="569"/>
              </w:tabs>
              <w:jc w:val="both"/>
              <w:rPr>
                <w:sz w:val="22"/>
                <w:lang w:val="sr-Latn-ME"/>
              </w:rPr>
            </w:pPr>
            <w:r w:rsidRPr="00B35A22">
              <w:rPr>
                <w:sz w:val="22"/>
                <w:lang w:val="sr-Latn-ME"/>
              </w:rPr>
              <w:t>Medijana trajanja PFS</w:t>
            </w:r>
            <w:r w:rsidRPr="00B35A22">
              <w:rPr>
                <w:sz w:val="22"/>
                <w:lang w:val="sr-Latn-ME"/>
              </w:rPr>
              <w:noBreakHyphen/>
              <w:t>a (mjeseci)</w:t>
            </w:r>
          </w:p>
        </w:tc>
        <w:tc>
          <w:tcPr>
            <w:tcW w:w="2610" w:type="dxa"/>
            <w:gridSpan w:val="2"/>
            <w:tcBorders>
              <w:top w:val="nil"/>
              <w:left w:val="nil"/>
              <w:bottom w:val="nil"/>
              <w:right w:val="nil"/>
            </w:tcBorders>
            <w:hideMark/>
          </w:tcPr>
          <w:p w14:paraId="6E0D855A"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5,2</w:t>
            </w:r>
          </w:p>
        </w:tc>
        <w:tc>
          <w:tcPr>
            <w:tcW w:w="1651" w:type="dxa"/>
            <w:tcBorders>
              <w:top w:val="nil"/>
              <w:left w:val="nil"/>
              <w:bottom w:val="nil"/>
              <w:right w:val="single" w:sz="4" w:space="0" w:color="auto"/>
            </w:tcBorders>
            <w:hideMark/>
          </w:tcPr>
          <w:p w14:paraId="17C1B001"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4,3</w:t>
            </w:r>
          </w:p>
        </w:tc>
      </w:tr>
      <w:tr w:rsidR="00CC0044" w:rsidRPr="00B35A22" w14:paraId="0C7B070D" w14:textId="77777777" w:rsidTr="005124BA">
        <w:tc>
          <w:tcPr>
            <w:tcW w:w="4811" w:type="dxa"/>
            <w:tcBorders>
              <w:top w:val="nil"/>
              <w:left w:val="single" w:sz="4" w:space="0" w:color="auto"/>
              <w:bottom w:val="nil"/>
              <w:right w:val="nil"/>
            </w:tcBorders>
            <w:hideMark/>
          </w:tcPr>
          <w:p w14:paraId="4EDCFA16"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95% CI</w:t>
            </w:r>
          </w:p>
        </w:tc>
        <w:tc>
          <w:tcPr>
            <w:tcW w:w="2610" w:type="dxa"/>
            <w:gridSpan w:val="2"/>
            <w:tcBorders>
              <w:top w:val="nil"/>
              <w:left w:val="nil"/>
              <w:bottom w:val="nil"/>
              <w:right w:val="nil"/>
            </w:tcBorders>
            <w:hideMark/>
          </w:tcPr>
          <w:p w14:paraId="0E72F05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(4,4; 5,6)</w:t>
            </w:r>
          </w:p>
        </w:tc>
        <w:tc>
          <w:tcPr>
            <w:tcW w:w="1651" w:type="dxa"/>
            <w:tcBorders>
              <w:top w:val="nil"/>
              <w:left w:val="nil"/>
              <w:bottom w:val="nil"/>
              <w:right w:val="single" w:sz="4" w:space="0" w:color="auto"/>
            </w:tcBorders>
            <w:hideMark/>
          </w:tcPr>
          <w:p w14:paraId="6A7B04FB"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(4,2; 4,5)</w:t>
            </w:r>
          </w:p>
        </w:tc>
      </w:tr>
      <w:tr w:rsidR="00551CF9" w:rsidRPr="00B35A22" w14:paraId="6B9FAE8D" w14:textId="77777777" w:rsidTr="0065270B">
        <w:tc>
          <w:tcPr>
            <w:tcW w:w="4811" w:type="dxa"/>
            <w:tcBorders>
              <w:top w:val="nil"/>
              <w:left w:val="single" w:sz="4" w:space="0" w:color="auto"/>
              <w:bottom w:val="nil"/>
              <w:right w:val="nil"/>
            </w:tcBorders>
            <w:hideMark/>
          </w:tcPr>
          <w:p w14:paraId="66CA267B"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Stratifikovani koeficijent rizika</w:t>
            </w:r>
            <w:r w:rsidRPr="00B35A22">
              <w:rPr>
                <w:sz w:val="22"/>
                <w:vertAlign w:val="superscript"/>
                <w:lang w:val="sr-Latn-ME"/>
              </w:rPr>
              <w:t>‡</w:t>
            </w:r>
            <w:r w:rsidRPr="00B35A22">
              <w:rPr>
                <w:sz w:val="22"/>
                <w:lang w:val="sr-Latn-ME"/>
              </w:rPr>
              <w:t xml:space="preserve"> (95% CI)</w:t>
            </w:r>
          </w:p>
        </w:tc>
        <w:tc>
          <w:tcPr>
            <w:tcW w:w="4261" w:type="dxa"/>
            <w:gridSpan w:val="3"/>
            <w:tcBorders>
              <w:top w:val="nil"/>
              <w:left w:val="nil"/>
              <w:bottom w:val="nil"/>
              <w:right w:val="single" w:sz="4" w:space="0" w:color="auto"/>
            </w:tcBorders>
            <w:hideMark/>
          </w:tcPr>
          <w:p w14:paraId="743335B1" w14:textId="77777777" w:rsidR="00551CF9" w:rsidRPr="00B35A22" w:rsidRDefault="00551CF9" w:rsidP="00B35A22">
            <w:pPr>
              <w:widowControl w:val="0"/>
              <w:tabs>
                <w:tab w:val="left" w:pos="540"/>
                <w:tab w:val="left" w:pos="569"/>
              </w:tabs>
              <w:ind w:left="1176"/>
              <w:jc w:val="both"/>
              <w:rPr>
                <w:sz w:val="22"/>
                <w:lang w:val="sr-Latn-ME"/>
              </w:rPr>
            </w:pPr>
            <w:r w:rsidRPr="00B35A22">
              <w:rPr>
                <w:sz w:val="22"/>
                <w:lang w:val="sr-Latn-ME"/>
              </w:rPr>
              <w:t>0,77 (0,62; 0,96)</w:t>
            </w:r>
          </w:p>
        </w:tc>
      </w:tr>
      <w:tr w:rsidR="00551CF9" w:rsidRPr="00B35A22" w14:paraId="51C74940" w14:textId="77777777" w:rsidTr="0065270B">
        <w:tc>
          <w:tcPr>
            <w:tcW w:w="4811" w:type="dxa"/>
            <w:tcBorders>
              <w:top w:val="nil"/>
              <w:left w:val="single" w:sz="4" w:space="0" w:color="auto"/>
              <w:bottom w:val="nil"/>
              <w:right w:val="nil"/>
            </w:tcBorders>
            <w:hideMark/>
          </w:tcPr>
          <w:p w14:paraId="67F83CC0" w14:textId="477A2941" w:rsidR="00551CF9" w:rsidRPr="00B35A22" w:rsidRDefault="00551CF9" w:rsidP="00B35A22">
            <w:pPr>
              <w:widowControl w:val="0"/>
              <w:tabs>
                <w:tab w:val="left" w:pos="540"/>
                <w:tab w:val="left" w:pos="569"/>
              </w:tabs>
              <w:jc w:val="both"/>
              <w:rPr>
                <w:sz w:val="22"/>
                <w:lang w:val="sr-Latn-ME"/>
              </w:rPr>
            </w:pPr>
            <w:r w:rsidRPr="00B35A22">
              <w:rPr>
                <w:sz w:val="22"/>
                <w:lang w:val="sr-Latn-ME"/>
              </w:rPr>
              <w:t>p</w:t>
            </w:r>
            <w:r w:rsidRPr="00B35A22">
              <w:rPr>
                <w:sz w:val="22"/>
                <w:lang w:val="sr-Latn-ME"/>
              </w:rPr>
              <w:noBreakHyphen/>
              <w:t>vrijednost</w:t>
            </w:r>
          </w:p>
        </w:tc>
        <w:tc>
          <w:tcPr>
            <w:tcW w:w="4261" w:type="dxa"/>
            <w:gridSpan w:val="3"/>
            <w:tcBorders>
              <w:top w:val="nil"/>
              <w:left w:val="nil"/>
              <w:bottom w:val="nil"/>
              <w:right w:val="single" w:sz="4" w:space="0" w:color="auto"/>
            </w:tcBorders>
            <w:hideMark/>
          </w:tcPr>
          <w:p w14:paraId="393F7063" w14:textId="77777777" w:rsidR="00551CF9" w:rsidRPr="00B35A22" w:rsidRDefault="00551CF9" w:rsidP="00B35A22">
            <w:pPr>
              <w:widowControl w:val="0"/>
              <w:tabs>
                <w:tab w:val="left" w:pos="540"/>
                <w:tab w:val="left" w:pos="569"/>
              </w:tabs>
              <w:ind w:left="1459"/>
              <w:jc w:val="both"/>
              <w:rPr>
                <w:sz w:val="22"/>
                <w:lang w:val="sr-Latn-ME"/>
              </w:rPr>
            </w:pPr>
            <w:r w:rsidRPr="00B35A22">
              <w:rPr>
                <w:sz w:val="22"/>
                <w:lang w:val="sr-Latn-ME"/>
              </w:rPr>
              <w:t>0,0170</w:t>
            </w:r>
          </w:p>
        </w:tc>
      </w:tr>
      <w:tr w:rsidR="00CC0044" w:rsidRPr="00B35A22" w14:paraId="15FA28B3" w14:textId="77777777" w:rsidTr="005124BA">
        <w:tc>
          <w:tcPr>
            <w:tcW w:w="4811" w:type="dxa"/>
            <w:tcBorders>
              <w:top w:val="nil"/>
              <w:left w:val="single" w:sz="4" w:space="0" w:color="auto"/>
              <w:bottom w:val="single" w:sz="4" w:space="0" w:color="auto"/>
              <w:right w:val="nil"/>
            </w:tcBorders>
            <w:hideMark/>
          </w:tcPr>
          <w:p w14:paraId="6551FA6F" w14:textId="2714C9C7" w:rsidR="00551CF9" w:rsidRPr="00B35A22" w:rsidRDefault="00551CF9" w:rsidP="00B35A22">
            <w:pPr>
              <w:widowControl w:val="0"/>
              <w:tabs>
                <w:tab w:val="left" w:pos="540"/>
                <w:tab w:val="left" w:pos="569"/>
              </w:tabs>
              <w:jc w:val="both"/>
              <w:rPr>
                <w:sz w:val="22"/>
                <w:lang w:val="sr-Latn-ME"/>
              </w:rPr>
            </w:pPr>
            <w:r w:rsidRPr="00B35A22">
              <w:rPr>
                <w:sz w:val="22"/>
                <w:lang w:val="sr-Latn-ME"/>
              </w:rPr>
              <w:t>6</w:t>
            </w:r>
            <w:r w:rsidRPr="00B35A22">
              <w:rPr>
                <w:sz w:val="22"/>
                <w:lang w:val="sr-Latn-ME"/>
              </w:rPr>
              <w:noBreakHyphen/>
              <w:t>mjesečni PFS (%)</w:t>
            </w:r>
          </w:p>
          <w:p w14:paraId="15015A88" w14:textId="15D02A53" w:rsidR="00551CF9" w:rsidRPr="00B35A22" w:rsidRDefault="00551CF9" w:rsidP="00B35A22">
            <w:pPr>
              <w:widowControl w:val="0"/>
              <w:tabs>
                <w:tab w:val="left" w:pos="540"/>
                <w:tab w:val="left" w:pos="569"/>
              </w:tabs>
              <w:jc w:val="both"/>
              <w:rPr>
                <w:sz w:val="22"/>
                <w:lang w:val="sr-Latn-ME"/>
              </w:rPr>
            </w:pPr>
            <w:r w:rsidRPr="00B35A22">
              <w:rPr>
                <w:sz w:val="22"/>
                <w:lang w:val="sr-Latn-ME"/>
              </w:rPr>
              <w:t>12</w:t>
            </w:r>
            <w:r w:rsidRPr="00B35A22">
              <w:rPr>
                <w:sz w:val="22"/>
                <w:lang w:val="sr-Latn-ME"/>
              </w:rPr>
              <w:noBreakHyphen/>
              <w:t>mjesečni PFS (%)</w:t>
            </w:r>
          </w:p>
        </w:tc>
        <w:tc>
          <w:tcPr>
            <w:tcW w:w="2532" w:type="dxa"/>
            <w:tcBorders>
              <w:top w:val="nil"/>
              <w:left w:val="nil"/>
              <w:bottom w:val="single" w:sz="4" w:space="0" w:color="auto"/>
              <w:right w:val="nil"/>
            </w:tcBorders>
            <w:hideMark/>
          </w:tcPr>
          <w:p w14:paraId="6FFABD9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30,9</w:t>
            </w:r>
          </w:p>
          <w:p w14:paraId="01482DD0"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12,6</w:t>
            </w:r>
          </w:p>
        </w:tc>
        <w:tc>
          <w:tcPr>
            <w:tcW w:w="1729" w:type="dxa"/>
            <w:gridSpan w:val="2"/>
            <w:tcBorders>
              <w:top w:val="nil"/>
              <w:left w:val="nil"/>
              <w:bottom w:val="single" w:sz="4" w:space="0" w:color="auto"/>
              <w:right w:val="single" w:sz="4" w:space="0" w:color="auto"/>
            </w:tcBorders>
            <w:hideMark/>
          </w:tcPr>
          <w:p w14:paraId="4912440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22,4</w:t>
            </w:r>
          </w:p>
          <w:p w14:paraId="5CC8949D"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5,4</w:t>
            </w:r>
          </w:p>
        </w:tc>
      </w:tr>
      <w:tr w:rsidR="00CC0044" w:rsidRPr="00B35A22" w14:paraId="146D7165" w14:textId="77777777" w:rsidTr="005124BA">
        <w:tc>
          <w:tcPr>
            <w:tcW w:w="4811" w:type="dxa"/>
            <w:tcBorders>
              <w:top w:val="single" w:sz="4" w:space="0" w:color="auto"/>
              <w:left w:val="single" w:sz="4" w:space="0" w:color="auto"/>
              <w:bottom w:val="nil"/>
              <w:right w:val="nil"/>
            </w:tcBorders>
            <w:hideMark/>
          </w:tcPr>
          <w:p w14:paraId="38F81074" w14:textId="4037A1C7" w:rsidR="00551CF9" w:rsidRPr="00B35A22" w:rsidRDefault="00551CF9" w:rsidP="00B35A22">
            <w:pPr>
              <w:widowControl w:val="0"/>
              <w:tabs>
                <w:tab w:val="left" w:pos="540"/>
                <w:tab w:val="left" w:pos="569"/>
              </w:tabs>
              <w:jc w:val="both"/>
              <w:rPr>
                <w:b/>
                <w:i/>
                <w:sz w:val="22"/>
                <w:lang w:val="sr-Latn-ME"/>
              </w:rPr>
            </w:pPr>
            <w:r w:rsidRPr="00B35A22">
              <w:rPr>
                <w:b/>
                <w:i/>
                <w:sz w:val="22"/>
                <w:lang w:val="sr-Latn-ME"/>
              </w:rPr>
              <w:t>Ostale mjere ishoda</w:t>
            </w:r>
          </w:p>
        </w:tc>
        <w:tc>
          <w:tcPr>
            <w:tcW w:w="2610" w:type="dxa"/>
            <w:gridSpan w:val="2"/>
            <w:tcBorders>
              <w:top w:val="single" w:sz="4" w:space="0" w:color="auto"/>
              <w:left w:val="nil"/>
              <w:bottom w:val="nil"/>
              <w:right w:val="nil"/>
            </w:tcBorders>
          </w:tcPr>
          <w:p w14:paraId="1F9BF92D" w14:textId="77777777" w:rsidR="00551CF9" w:rsidRPr="00B35A22" w:rsidRDefault="00551CF9" w:rsidP="00B35A22">
            <w:pPr>
              <w:widowControl w:val="0"/>
              <w:tabs>
                <w:tab w:val="left" w:pos="540"/>
                <w:tab w:val="left" w:pos="569"/>
              </w:tabs>
              <w:jc w:val="both"/>
              <w:rPr>
                <w:b/>
                <w:sz w:val="22"/>
                <w:lang w:val="sr-Latn-ME"/>
              </w:rPr>
            </w:pPr>
          </w:p>
        </w:tc>
        <w:tc>
          <w:tcPr>
            <w:tcW w:w="1651" w:type="dxa"/>
            <w:tcBorders>
              <w:top w:val="single" w:sz="4" w:space="0" w:color="auto"/>
              <w:left w:val="nil"/>
              <w:bottom w:val="nil"/>
              <w:right w:val="single" w:sz="4" w:space="0" w:color="auto"/>
            </w:tcBorders>
          </w:tcPr>
          <w:p w14:paraId="3DB2EE51" w14:textId="77777777" w:rsidR="00551CF9" w:rsidRPr="00B35A22" w:rsidRDefault="00551CF9" w:rsidP="00B35A22">
            <w:pPr>
              <w:widowControl w:val="0"/>
              <w:tabs>
                <w:tab w:val="left" w:pos="540"/>
                <w:tab w:val="left" w:pos="569"/>
              </w:tabs>
              <w:jc w:val="both"/>
              <w:rPr>
                <w:b/>
                <w:sz w:val="22"/>
                <w:lang w:val="sr-Latn-ME"/>
              </w:rPr>
            </w:pPr>
          </w:p>
        </w:tc>
      </w:tr>
      <w:tr w:rsidR="00CC0044" w:rsidRPr="00B35A22" w14:paraId="1BDABCFE" w14:textId="77777777" w:rsidTr="005124BA">
        <w:tc>
          <w:tcPr>
            <w:tcW w:w="4811" w:type="dxa"/>
            <w:tcBorders>
              <w:top w:val="single" w:sz="4" w:space="0" w:color="auto"/>
              <w:left w:val="single" w:sz="4" w:space="0" w:color="auto"/>
              <w:bottom w:val="nil"/>
              <w:right w:val="nil"/>
            </w:tcBorders>
            <w:hideMark/>
          </w:tcPr>
          <w:p w14:paraId="45A3EC9C" w14:textId="37D61B39" w:rsidR="00551CF9" w:rsidRPr="00B35A22" w:rsidRDefault="00551CF9" w:rsidP="00B35A22">
            <w:pPr>
              <w:widowControl w:val="0"/>
              <w:tabs>
                <w:tab w:val="left" w:pos="540"/>
                <w:tab w:val="left" w:pos="569"/>
              </w:tabs>
              <w:jc w:val="both"/>
              <w:rPr>
                <w:b/>
                <w:i/>
                <w:sz w:val="22"/>
                <w:lang w:val="sr-Latn-ME"/>
              </w:rPr>
            </w:pPr>
            <w:r w:rsidRPr="00B35A22">
              <w:rPr>
                <w:b/>
                <w:i/>
                <w:sz w:val="22"/>
                <w:lang w:val="sr-Latn-ME"/>
              </w:rPr>
              <w:t>ORR prema ocjeni istraživača (RECIST v1.1)**</w:t>
            </w:r>
            <w:r w:rsidRPr="00B35A22">
              <w:rPr>
                <w:sz w:val="22"/>
                <w:lang w:val="sr-Latn-ME"/>
              </w:rPr>
              <w:t xml:space="preserve"> ^</w:t>
            </w:r>
          </w:p>
        </w:tc>
        <w:tc>
          <w:tcPr>
            <w:tcW w:w="2610" w:type="dxa"/>
            <w:gridSpan w:val="2"/>
            <w:tcBorders>
              <w:top w:val="single" w:sz="4" w:space="0" w:color="auto"/>
              <w:left w:val="nil"/>
              <w:bottom w:val="nil"/>
              <w:right w:val="nil"/>
            </w:tcBorders>
            <w:hideMark/>
          </w:tcPr>
          <w:p w14:paraId="3CB8EA00" w14:textId="77777777" w:rsidR="00551CF9" w:rsidRPr="00B35A22" w:rsidRDefault="00551CF9" w:rsidP="00B35A22">
            <w:pPr>
              <w:widowControl w:val="0"/>
              <w:tabs>
                <w:tab w:val="left" w:pos="540"/>
                <w:tab w:val="left" w:pos="569"/>
              </w:tabs>
              <w:jc w:val="both"/>
              <w:rPr>
                <w:b/>
                <w:sz w:val="22"/>
                <w:lang w:val="sr-Latn-ME"/>
              </w:rPr>
            </w:pPr>
            <w:r w:rsidRPr="00B35A22">
              <w:rPr>
                <w:sz w:val="22"/>
                <w:lang w:val="sr-Latn-ME"/>
              </w:rPr>
              <w:t>n=201</w:t>
            </w:r>
          </w:p>
        </w:tc>
        <w:tc>
          <w:tcPr>
            <w:tcW w:w="1651" w:type="dxa"/>
            <w:tcBorders>
              <w:top w:val="single" w:sz="4" w:space="0" w:color="auto"/>
              <w:left w:val="nil"/>
              <w:bottom w:val="nil"/>
              <w:right w:val="single" w:sz="4" w:space="0" w:color="auto"/>
            </w:tcBorders>
            <w:hideMark/>
          </w:tcPr>
          <w:p w14:paraId="1CF5C6DD" w14:textId="77777777" w:rsidR="00551CF9" w:rsidRPr="00B35A22" w:rsidRDefault="00551CF9" w:rsidP="00B35A22">
            <w:pPr>
              <w:widowControl w:val="0"/>
              <w:tabs>
                <w:tab w:val="left" w:pos="540"/>
                <w:tab w:val="left" w:pos="569"/>
              </w:tabs>
              <w:jc w:val="both"/>
              <w:rPr>
                <w:b/>
                <w:sz w:val="22"/>
                <w:lang w:val="sr-Latn-ME"/>
              </w:rPr>
            </w:pPr>
            <w:r w:rsidRPr="00B35A22">
              <w:rPr>
                <w:sz w:val="22"/>
                <w:lang w:val="sr-Latn-ME"/>
              </w:rPr>
              <w:t>n=202</w:t>
            </w:r>
          </w:p>
        </w:tc>
      </w:tr>
      <w:tr w:rsidR="00CC0044" w:rsidRPr="00B35A22" w14:paraId="0DB3313F" w14:textId="77777777" w:rsidTr="005124BA">
        <w:tc>
          <w:tcPr>
            <w:tcW w:w="4811" w:type="dxa"/>
            <w:tcBorders>
              <w:top w:val="nil"/>
              <w:left w:val="single" w:sz="4" w:space="0" w:color="auto"/>
              <w:bottom w:val="nil"/>
              <w:right w:val="nil"/>
            </w:tcBorders>
            <w:hideMark/>
          </w:tcPr>
          <w:p w14:paraId="3191124C"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Broj pacijenata sa odgovorom (%)</w:t>
            </w:r>
          </w:p>
        </w:tc>
        <w:tc>
          <w:tcPr>
            <w:tcW w:w="2610" w:type="dxa"/>
            <w:gridSpan w:val="2"/>
            <w:tcBorders>
              <w:top w:val="nil"/>
              <w:left w:val="nil"/>
              <w:bottom w:val="nil"/>
              <w:right w:val="nil"/>
            </w:tcBorders>
            <w:hideMark/>
          </w:tcPr>
          <w:p w14:paraId="2577C60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121 (60,2%)</w:t>
            </w:r>
          </w:p>
        </w:tc>
        <w:tc>
          <w:tcPr>
            <w:tcW w:w="1651" w:type="dxa"/>
            <w:tcBorders>
              <w:top w:val="nil"/>
              <w:left w:val="nil"/>
              <w:bottom w:val="nil"/>
              <w:right w:val="single" w:sz="4" w:space="0" w:color="auto"/>
            </w:tcBorders>
            <w:hideMark/>
          </w:tcPr>
          <w:p w14:paraId="7EF4BAE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130 (64,4%)</w:t>
            </w:r>
          </w:p>
        </w:tc>
      </w:tr>
      <w:tr w:rsidR="00CC0044" w:rsidRPr="00B35A22" w14:paraId="4D604FF2" w14:textId="77777777" w:rsidTr="005124BA">
        <w:tc>
          <w:tcPr>
            <w:tcW w:w="4811" w:type="dxa"/>
            <w:tcBorders>
              <w:top w:val="nil"/>
              <w:left w:val="single" w:sz="4" w:space="0" w:color="auto"/>
              <w:bottom w:val="nil"/>
              <w:right w:val="nil"/>
            </w:tcBorders>
            <w:hideMark/>
          </w:tcPr>
          <w:p w14:paraId="2E750525"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95% CI</w:t>
            </w:r>
          </w:p>
        </w:tc>
        <w:tc>
          <w:tcPr>
            <w:tcW w:w="2610" w:type="dxa"/>
            <w:gridSpan w:val="2"/>
            <w:tcBorders>
              <w:top w:val="nil"/>
              <w:left w:val="nil"/>
              <w:bottom w:val="nil"/>
              <w:right w:val="nil"/>
            </w:tcBorders>
            <w:hideMark/>
          </w:tcPr>
          <w:p w14:paraId="5A532C50"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(53,1; 67,0)</w:t>
            </w:r>
          </w:p>
        </w:tc>
        <w:tc>
          <w:tcPr>
            <w:tcW w:w="1651" w:type="dxa"/>
            <w:tcBorders>
              <w:top w:val="nil"/>
              <w:left w:val="nil"/>
              <w:bottom w:val="nil"/>
              <w:right w:val="single" w:sz="4" w:space="0" w:color="auto"/>
            </w:tcBorders>
            <w:hideMark/>
          </w:tcPr>
          <w:p w14:paraId="43D7EB07"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(57,3; 71,0)</w:t>
            </w:r>
          </w:p>
        </w:tc>
      </w:tr>
      <w:tr w:rsidR="00CC0044" w:rsidRPr="00B35A22" w14:paraId="3BAE17BD" w14:textId="77777777" w:rsidTr="005124BA">
        <w:tc>
          <w:tcPr>
            <w:tcW w:w="4811" w:type="dxa"/>
            <w:tcBorders>
              <w:top w:val="nil"/>
              <w:left w:val="single" w:sz="4" w:space="0" w:color="auto"/>
              <w:bottom w:val="nil"/>
              <w:right w:val="nil"/>
            </w:tcBorders>
            <w:hideMark/>
          </w:tcPr>
          <w:p w14:paraId="02E7E00B"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Broj pacijenata sa potpunim odgovorom (%)</w:t>
            </w:r>
          </w:p>
        </w:tc>
        <w:tc>
          <w:tcPr>
            <w:tcW w:w="2610" w:type="dxa"/>
            <w:gridSpan w:val="2"/>
            <w:tcBorders>
              <w:top w:val="nil"/>
              <w:left w:val="nil"/>
              <w:bottom w:val="nil"/>
              <w:right w:val="nil"/>
            </w:tcBorders>
            <w:hideMark/>
          </w:tcPr>
          <w:p w14:paraId="148AB368"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5 (2,5%)</w:t>
            </w:r>
          </w:p>
        </w:tc>
        <w:tc>
          <w:tcPr>
            <w:tcW w:w="1651" w:type="dxa"/>
            <w:tcBorders>
              <w:top w:val="nil"/>
              <w:left w:val="nil"/>
              <w:bottom w:val="nil"/>
              <w:right w:val="single" w:sz="4" w:space="0" w:color="auto"/>
            </w:tcBorders>
            <w:hideMark/>
          </w:tcPr>
          <w:p w14:paraId="2811531C"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2 (1,0%)</w:t>
            </w:r>
          </w:p>
        </w:tc>
      </w:tr>
      <w:tr w:rsidR="00CC0044" w:rsidRPr="00B35A22" w14:paraId="2D3FEED6" w14:textId="77777777" w:rsidTr="005124BA">
        <w:tc>
          <w:tcPr>
            <w:tcW w:w="4811" w:type="dxa"/>
            <w:tcBorders>
              <w:top w:val="nil"/>
              <w:left w:val="single" w:sz="4" w:space="0" w:color="auto"/>
              <w:bottom w:val="nil"/>
              <w:right w:val="nil"/>
            </w:tcBorders>
            <w:hideMark/>
          </w:tcPr>
          <w:p w14:paraId="20D17AD7" w14:textId="3055749E" w:rsidR="00551CF9" w:rsidRPr="00B35A22" w:rsidRDefault="00551CF9" w:rsidP="00B35A22">
            <w:pPr>
              <w:widowControl w:val="0"/>
              <w:tabs>
                <w:tab w:val="left" w:pos="540"/>
                <w:tab w:val="left" w:pos="569"/>
              </w:tabs>
              <w:jc w:val="both"/>
              <w:rPr>
                <w:sz w:val="22"/>
                <w:lang w:val="sr-Latn-ME"/>
              </w:rPr>
            </w:pPr>
            <w:r w:rsidRPr="00B35A22">
              <w:rPr>
                <w:sz w:val="22"/>
                <w:lang w:val="sr-Latn-ME"/>
              </w:rPr>
              <w:t>Broj pacijenata sa d</w:t>
            </w:r>
            <w:r w:rsidR="00C84284" w:rsidRPr="00B35A22">
              <w:rPr>
                <w:sz w:val="22"/>
                <w:lang w:val="sr-Latn-ME"/>
              </w:rPr>
              <w:t>j</w:t>
            </w:r>
            <w:r w:rsidRPr="00B35A22">
              <w:rPr>
                <w:sz w:val="22"/>
                <w:lang w:val="sr-Latn-ME"/>
              </w:rPr>
              <w:t>elimičnim odgovorom (%)</w:t>
            </w:r>
          </w:p>
        </w:tc>
        <w:tc>
          <w:tcPr>
            <w:tcW w:w="2610" w:type="dxa"/>
            <w:gridSpan w:val="2"/>
            <w:tcBorders>
              <w:top w:val="nil"/>
              <w:left w:val="nil"/>
              <w:bottom w:val="nil"/>
              <w:right w:val="nil"/>
            </w:tcBorders>
            <w:hideMark/>
          </w:tcPr>
          <w:p w14:paraId="1F624108"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116 (57,7%)</w:t>
            </w:r>
          </w:p>
        </w:tc>
        <w:tc>
          <w:tcPr>
            <w:tcW w:w="1651" w:type="dxa"/>
            <w:tcBorders>
              <w:top w:val="nil"/>
              <w:left w:val="nil"/>
              <w:bottom w:val="nil"/>
              <w:right w:val="single" w:sz="4" w:space="0" w:color="auto"/>
            </w:tcBorders>
            <w:hideMark/>
          </w:tcPr>
          <w:p w14:paraId="176588DB"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128 (63,4%)</w:t>
            </w:r>
          </w:p>
        </w:tc>
      </w:tr>
      <w:tr w:rsidR="00CC0044" w:rsidRPr="00B35A22" w14:paraId="62514817" w14:textId="77777777" w:rsidTr="005124BA">
        <w:tc>
          <w:tcPr>
            <w:tcW w:w="4811" w:type="dxa"/>
            <w:tcBorders>
              <w:top w:val="single" w:sz="4" w:space="0" w:color="auto"/>
              <w:left w:val="single" w:sz="4" w:space="0" w:color="auto"/>
              <w:bottom w:val="nil"/>
              <w:right w:val="nil"/>
            </w:tcBorders>
            <w:hideMark/>
          </w:tcPr>
          <w:p w14:paraId="08BA40D7" w14:textId="3B3B2AF0" w:rsidR="00551CF9" w:rsidRPr="00B35A22" w:rsidRDefault="00551CF9" w:rsidP="00B35A22">
            <w:pPr>
              <w:widowControl w:val="0"/>
              <w:tabs>
                <w:tab w:val="left" w:pos="540"/>
                <w:tab w:val="left" w:pos="569"/>
              </w:tabs>
              <w:jc w:val="both"/>
              <w:rPr>
                <w:b/>
                <w:i/>
                <w:sz w:val="22"/>
                <w:lang w:val="sr-Latn-ME"/>
              </w:rPr>
            </w:pPr>
            <w:r w:rsidRPr="00B35A22">
              <w:rPr>
                <w:b/>
                <w:i/>
                <w:sz w:val="22"/>
                <w:lang w:val="sr-Latn-ME"/>
              </w:rPr>
              <w:t>Trajanje odgovora prema ocjeni istraživača</w:t>
            </w:r>
          </w:p>
          <w:p w14:paraId="6C563B50" w14:textId="77777777" w:rsidR="00551CF9" w:rsidRPr="00B35A22" w:rsidRDefault="00551CF9" w:rsidP="00B35A22">
            <w:pPr>
              <w:widowControl w:val="0"/>
              <w:tabs>
                <w:tab w:val="left" w:pos="540"/>
                <w:tab w:val="left" w:pos="569"/>
              </w:tabs>
              <w:jc w:val="both"/>
              <w:rPr>
                <w:b/>
                <w:i/>
                <w:sz w:val="22"/>
                <w:lang w:val="sr-Latn-ME"/>
              </w:rPr>
            </w:pPr>
            <w:r w:rsidRPr="00B35A22">
              <w:rPr>
                <w:b/>
                <w:i/>
                <w:sz w:val="22"/>
                <w:lang w:val="sr-Latn-ME"/>
              </w:rPr>
              <w:t>(RECIST v1.1)**</w:t>
            </w:r>
            <w:r w:rsidRPr="00B35A22">
              <w:rPr>
                <w:sz w:val="22"/>
                <w:lang w:val="sr-Latn-ME"/>
              </w:rPr>
              <w:t xml:space="preserve"> ^</w:t>
            </w:r>
          </w:p>
        </w:tc>
        <w:tc>
          <w:tcPr>
            <w:tcW w:w="2610" w:type="dxa"/>
            <w:gridSpan w:val="2"/>
            <w:tcBorders>
              <w:top w:val="single" w:sz="4" w:space="0" w:color="auto"/>
              <w:left w:val="nil"/>
              <w:bottom w:val="nil"/>
              <w:right w:val="nil"/>
            </w:tcBorders>
            <w:hideMark/>
          </w:tcPr>
          <w:p w14:paraId="432E69A4"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n =121</w:t>
            </w:r>
          </w:p>
        </w:tc>
        <w:tc>
          <w:tcPr>
            <w:tcW w:w="1651" w:type="dxa"/>
            <w:tcBorders>
              <w:top w:val="single" w:sz="4" w:space="0" w:color="auto"/>
              <w:left w:val="nil"/>
              <w:bottom w:val="nil"/>
              <w:right w:val="single" w:sz="4" w:space="0" w:color="auto"/>
            </w:tcBorders>
            <w:hideMark/>
          </w:tcPr>
          <w:p w14:paraId="6697A2E6"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n = 130</w:t>
            </w:r>
          </w:p>
        </w:tc>
      </w:tr>
      <w:tr w:rsidR="00CC0044" w:rsidRPr="00B35A22" w14:paraId="0ED0957C" w14:textId="77777777" w:rsidTr="005124BA">
        <w:tc>
          <w:tcPr>
            <w:tcW w:w="4811" w:type="dxa"/>
            <w:tcBorders>
              <w:top w:val="nil"/>
              <w:left w:val="single" w:sz="4" w:space="0" w:color="auto"/>
              <w:bottom w:val="nil"/>
              <w:right w:val="nil"/>
            </w:tcBorders>
            <w:hideMark/>
          </w:tcPr>
          <w:p w14:paraId="634781D4" w14:textId="4C572BF6" w:rsidR="00551CF9" w:rsidRPr="00B35A22" w:rsidRDefault="00551CF9" w:rsidP="00B35A22">
            <w:pPr>
              <w:widowControl w:val="0"/>
              <w:tabs>
                <w:tab w:val="left" w:pos="540"/>
                <w:tab w:val="left" w:pos="569"/>
              </w:tabs>
              <w:jc w:val="both"/>
              <w:rPr>
                <w:sz w:val="22"/>
                <w:lang w:val="sr-Latn-ME"/>
              </w:rPr>
            </w:pPr>
            <w:r w:rsidRPr="00B35A22">
              <w:rPr>
                <w:sz w:val="22"/>
                <w:lang w:val="sr-Latn-ME"/>
              </w:rPr>
              <w:t>Medijana u mjesecima</w:t>
            </w:r>
          </w:p>
        </w:tc>
        <w:tc>
          <w:tcPr>
            <w:tcW w:w="2610" w:type="dxa"/>
            <w:gridSpan w:val="2"/>
            <w:tcBorders>
              <w:top w:val="nil"/>
              <w:left w:val="nil"/>
              <w:bottom w:val="nil"/>
              <w:right w:val="nil"/>
            </w:tcBorders>
            <w:hideMark/>
          </w:tcPr>
          <w:p w14:paraId="494C9C4C"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4,2</w:t>
            </w:r>
          </w:p>
        </w:tc>
        <w:tc>
          <w:tcPr>
            <w:tcW w:w="1651" w:type="dxa"/>
            <w:tcBorders>
              <w:top w:val="nil"/>
              <w:left w:val="nil"/>
              <w:bottom w:val="nil"/>
              <w:right w:val="single" w:sz="4" w:space="0" w:color="auto"/>
            </w:tcBorders>
            <w:hideMark/>
          </w:tcPr>
          <w:p w14:paraId="1B14FA3C"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3,9</w:t>
            </w:r>
          </w:p>
        </w:tc>
      </w:tr>
      <w:tr w:rsidR="00CC0044" w:rsidRPr="00B35A22" w14:paraId="03CD1384" w14:textId="77777777" w:rsidTr="005124BA">
        <w:tc>
          <w:tcPr>
            <w:tcW w:w="4811" w:type="dxa"/>
            <w:tcBorders>
              <w:top w:val="nil"/>
              <w:left w:val="single" w:sz="4" w:space="0" w:color="auto"/>
              <w:bottom w:val="single" w:sz="4" w:space="0" w:color="auto"/>
              <w:right w:val="nil"/>
            </w:tcBorders>
            <w:hideMark/>
          </w:tcPr>
          <w:p w14:paraId="730366AC"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95% CI</w:t>
            </w:r>
          </w:p>
        </w:tc>
        <w:tc>
          <w:tcPr>
            <w:tcW w:w="2610" w:type="dxa"/>
            <w:gridSpan w:val="2"/>
            <w:tcBorders>
              <w:top w:val="nil"/>
              <w:left w:val="nil"/>
              <w:bottom w:val="single" w:sz="4" w:space="0" w:color="auto"/>
              <w:right w:val="nil"/>
            </w:tcBorders>
            <w:hideMark/>
          </w:tcPr>
          <w:p w14:paraId="6486D044"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(4,1; 4,5)</w:t>
            </w:r>
          </w:p>
        </w:tc>
        <w:tc>
          <w:tcPr>
            <w:tcW w:w="1651" w:type="dxa"/>
            <w:tcBorders>
              <w:top w:val="nil"/>
              <w:left w:val="nil"/>
              <w:bottom w:val="single" w:sz="4" w:space="0" w:color="auto"/>
              <w:right w:val="single" w:sz="4" w:space="0" w:color="auto"/>
            </w:tcBorders>
            <w:hideMark/>
          </w:tcPr>
          <w:p w14:paraId="22F09D3E" w14:textId="77777777" w:rsidR="00551CF9" w:rsidRPr="00B35A22" w:rsidRDefault="00551CF9" w:rsidP="00B35A22">
            <w:pPr>
              <w:widowControl w:val="0"/>
              <w:tabs>
                <w:tab w:val="left" w:pos="540"/>
                <w:tab w:val="left" w:pos="569"/>
              </w:tabs>
              <w:jc w:val="both"/>
              <w:rPr>
                <w:sz w:val="22"/>
                <w:lang w:val="sr-Latn-ME"/>
              </w:rPr>
            </w:pPr>
            <w:r w:rsidRPr="00B35A22">
              <w:rPr>
                <w:sz w:val="22"/>
                <w:lang w:val="sr-Latn-ME"/>
              </w:rPr>
              <w:t>(3,1; 4,2)</w:t>
            </w:r>
          </w:p>
        </w:tc>
      </w:tr>
    </w:tbl>
    <w:p w14:paraId="6D726712" w14:textId="0B43AA7A" w:rsidR="00551CF9" w:rsidRPr="00B35A22" w:rsidRDefault="00551CF9" w:rsidP="00B35A22">
      <w:pPr>
        <w:widowControl w:val="0"/>
        <w:tabs>
          <w:tab w:val="left" w:pos="540"/>
          <w:tab w:val="left" w:pos="569"/>
        </w:tabs>
        <w:jc w:val="both"/>
        <w:rPr>
          <w:sz w:val="20"/>
          <w:lang w:val="sr-Latn-ME"/>
        </w:rPr>
      </w:pPr>
      <w:r w:rsidRPr="00B35A22">
        <w:rPr>
          <w:sz w:val="20"/>
          <w:lang w:val="sr-Latn-ME"/>
        </w:rPr>
        <w:t>PFS = preživljavanje bez progresije bolesti; RECIST v1.1 = verzija 1.1 Kriterijum za oc</w:t>
      </w:r>
      <w:r w:rsidR="008960A5" w:rsidRPr="00B35A22">
        <w:rPr>
          <w:sz w:val="20"/>
          <w:lang w:val="sr-Latn-ME"/>
        </w:rPr>
        <w:t>j</w:t>
      </w:r>
      <w:r w:rsidRPr="00B35A22">
        <w:rPr>
          <w:sz w:val="20"/>
          <w:lang w:val="sr-Latn-ME"/>
        </w:rPr>
        <w:t>enu odgovora kod solidnih tumora; CI = interval pouzdanosti; ORR = stopa objektivnog odgovora; OS = ukupno preživljavanje</w:t>
      </w:r>
    </w:p>
    <w:p w14:paraId="58E91F9D" w14:textId="77777777" w:rsidR="00551CF9" w:rsidRPr="00B35A22" w:rsidRDefault="00551CF9" w:rsidP="00B35A22">
      <w:pPr>
        <w:widowControl w:val="0"/>
        <w:tabs>
          <w:tab w:val="left" w:pos="540"/>
          <w:tab w:val="left" w:pos="569"/>
        </w:tabs>
        <w:jc w:val="both"/>
        <w:rPr>
          <w:sz w:val="20"/>
          <w:lang w:val="sr-Latn-ME"/>
        </w:rPr>
      </w:pPr>
      <w:r w:rsidRPr="00B35A22">
        <w:rPr>
          <w:sz w:val="20"/>
          <w:vertAlign w:val="superscript"/>
          <w:lang w:val="sr-Latn-ME"/>
        </w:rPr>
        <w:t>‡</w:t>
      </w:r>
      <w:r w:rsidRPr="00B35A22">
        <w:rPr>
          <w:sz w:val="20"/>
          <w:lang w:val="sr-Latn-ME"/>
        </w:rPr>
        <w:t xml:space="preserve"> Stratifikovano prema polu i funkcionalnom ECOG statusu </w:t>
      </w:r>
    </w:p>
    <w:p w14:paraId="026EB077" w14:textId="77777777" w:rsidR="00551CF9" w:rsidRPr="00B35A22" w:rsidRDefault="00551CF9" w:rsidP="00B35A22">
      <w:pPr>
        <w:widowControl w:val="0"/>
        <w:tabs>
          <w:tab w:val="left" w:pos="540"/>
          <w:tab w:val="left" w:pos="569"/>
        </w:tabs>
        <w:jc w:val="both"/>
        <w:rPr>
          <w:sz w:val="20"/>
          <w:lang w:val="sr-Latn-ME"/>
        </w:rPr>
      </w:pPr>
      <w:r w:rsidRPr="00B35A22">
        <w:rPr>
          <w:sz w:val="20"/>
          <w:lang w:val="sr-Latn-ME"/>
        </w:rPr>
        <w:t>*Eksploracijska završna analiza OS</w:t>
      </w:r>
      <w:r w:rsidRPr="00B35A22">
        <w:rPr>
          <w:sz w:val="20"/>
          <w:lang w:val="sr-Latn-ME"/>
        </w:rPr>
        <w:noBreakHyphen/>
        <w:t>a u trenutku prekida prikupljanja kliničkih podataka 24. januara 2019.</w:t>
      </w:r>
    </w:p>
    <w:p w14:paraId="6B748451" w14:textId="77777777" w:rsidR="00551CF9" w:rsidRPr="00B35A22" w:rsidRDefault="00551CF9" w:rsidP="00B35A22">
      <w:pPr>
        <w:widowControl w:val="0"/>
        <w:tabs>
          <w:tab w:val="left" w:pos="540"/>
          <w:tab w:val="left" w:pos="569"/>
        </w:tabs>
        <w:jc w:val="both"/>
        <w:rPr>
          <w:sz w:val="20"/>
          <w:lang w:val="sr-Latn-ME"/>
        </w:rPr>
      </w:pPr>
      <w:r w:rsidRPr="00B35A22">
        <w:rPr>
          <w:sz w:val="20"/>
          <w:lang w:val="sr-Latn-ME"/>
        </w:rPr>
        <w:t>**Analize PFS</w:t>
      </w:r>
      <w:r w:rsidRPr="00B35A22">
        <w:rPr>
          <w:sz w:val="20"/>
          <w:lang w:val="sr-Latn-ME"/>
        </w:rPr>
        <w:noBreakHyphen/>
        <w:t>a, ORR</w:t>
      </w:r>
      <w:r w:rsidRPr="00B35A22">
        <w:rPr>
          <w:sz w:val="20"/>
          <w:lang w:val="sr-Latn-ME"/>
        </w:rPr>
        <w:noBreakHyphen/>
        <w:t>a i trajanja odgovora u trenutku prekida prikupljanja kliničkih podataka 24. aprila 2018.</w:t>
      </w:r>
    </w:p>
    <w:p w14:paraId="70051561" w14:textId="77777777" w:rsidR="00551CF9" w:rsidRPr="00B35A22" w:rsidRDefault="00551CF9" w:rsidP="00B35A22">
      <w:pPr>
        <w:widowControl w:val="0"/>
        <w:tabs>
          <w:tab w:val="left" w:pos="540"/>
          <w:tab w:val="left" w:pos="569"/>
        </w:tabs>
        <w:jc w:val="both"/>
        <w:rPr>
          <w:sz w:val="20"/>
          <w:lang w:val="sr-Latn-ME"/>
        </w:rPr>
      </w:pPr>
      <w:r w:rsidRPr="00B35A22">
        <w:rPr>
          <w:sz w:val="20"/>
          <w:lang w:val="sr-Latn-ME"/>
        </w:rPr>
        <w:t>***Samo za deskriptivne potrebe.</w:t>
      </w:r>
    </w:p>
    <w:p w14:paraId="0E12280C" w14:textId="0B94FC27" w:rsidR="00551CF9" w:rsidRPr="00B35A22" w:rsidRDefault="00551CF9" w:rsidP="00B35A22">
      <w:pPr>
        <w:widowControl w:val="0"/>
        <w:tabs>
          <w:tab w:val="left" w:pos="540"/>
          <w:tab w:val="left" w:pos="569"/>
        </w:tabs>
        <w:jc w:val="both"/>
        <w:rPr>
          <w:sz w:val="20"/>
          <w:lang w:val="sr-Latn-ME"/>
        </w:rPr>
      </w:pPr>
      <w:r w:rsidRPr="00B35A22">
        <w:rPr>
          <w:sz w:val="20"/>
          <w:lang w:val="sr-Latn-ME"/>
        </w:rPr>
        <w:t>^Potvrđeni ORR i trajanje odgovora su eksploracijske mjere ishoda</w:t>
      </w:r>
    </w:p>
    <w:p w14:paraId="40E69D0F" w14:textId="77777777" w:rsidR="008960A5" w:rsidRPr="00B35A22" w:rsidRDefault="008960A5" w:rsidP="00B35A22">
      <w:pPr>
        <w:widowControl w:val="0"/>
        <w:tabs>
          <w:tab w:val="left" w:pos="540"/>
          <w:tab w:val="left" w:pos="569"/>
        </w:tabs>
        <w:jc w:val="both"/>
        <w:rPr>
          <w:b/>
          <w:bCs/>
          <w:sz w:val="22"/>
          <w:szCs w:val="22"/>
          <w:lang w:val="sr-Latn-ME"/>
        </w:rPr>
      </w:pPr>
    </w:p>
    <w:p w14:paraId="77BFC2A6" w14:textId="100ACF8C" w:rsidR="00551CF9" w:rsidRPr="00B35A22" w:rsidRDefault="00551CF9" w:rsidP="00B35A22">
      <w:pPr>
        <w:widowControl w:val="0"/>
        <w:tabs>
          <w:tab w:val="left" w:pos="540"/>
          <w:tab w:val="left" w:pos="569"/>
        </w:tabs>
        <w:jc w:val="both"/>
        <w:rPr>
          <w:b/>
          <w:sz w:val="22"/>
          <w:lang w:val="sr-Latn-ME"/>
        </w:rPr>
      </w:pPr>
      <w:r w:rsidRPr="00B35A22">
        <w:rPr>
          <w:b/>
          <w:sz w:val="22"/>
          <w:lang w:val="sr-Latn-ME"/>
        </w:rPr>
        <w:t>Slika </w:t>
      </w:r>
      <w:r w:rsidR="00D46A5F" w:rsidRPr="00B35A22">
        <w:rPr>
          <w:b/>
          <w:bCs/>
          <w:sz w:val="22"/>
          <w:szCs w:val="22"/>
          <w:lang w:val="sr-Latn-ME"/>
        </w:rPr>
        <w:t>17</w:t>
      </w:r>
      <w:r w:rsidRPr="00B35A22">
        <w:rPr>
          <w:b/>
          <w:sz w:val="22"/>
          <w:lang w:val="sr-Latn-ME"/>
        </w:rPr>
        <w:t xml:space="preserve">: </w:t>
      </w:r>
      <w:r w:rsidRPr="00B35A22">
        <w:rPr>
          <w:b/>
          <w:i/>
          <w:sz w:val="22"/>
          <w:lang w:val="sr-Latn-ME"/>
        </w:rPr>
        <w:t>Kaplan-Meier</w:t>
      </w:r>
      <w:r w:rsidRPr="00B35A22">
        <w:rPr>
          <w:b/>
          <w:sz w:val="22"/>
          <w:lang w:val="sr-Latn-ME"/>
        </w:rPr>
        <w:t>-ova kriva ukupnog preži</w:t>
      </w:r>
      <w:r w:rsidR="00620DBC" w:rsidRPr="00B35A22">
        <w:rPr>
          <w:b/>
          <w:sz w:val="22"/>
          <w:lang w:val="sr-Latn-ME"/>
        </w:rPr>
        <w:t>v</w:t>
      </w:r>
      <w:r w:rsidRPr="00B35A22">
        <w:rPr>
          <w:b/>
          <w:sz w:val="22"/>
          <w:lang w:val="sr-Latn-ME"/>
        </w:rPr>
        <w:t xml:space="preserve">ljavanja (IMpower133) </w:t>
      </w:r>
    </w:p>
    <w:p w14:paraId="2C85E42D" w14:textId="6AF152FC" w:rsidR="00551CF9" w:rsidRPr="00B35A22" w:rsidRDefault="00551CF9" w:rsidP="00B35A22">
      <w:pPr>
        <w:widowControl w:val="0"/>
        <w:tabs>
          <w:tab w:val="left" w:pos="540"/>
          <w:tab w:val="left" w:pos="569"/>
        </w:tabs>
        <w:jc w:val="both"/>
        <w:rPr>
          <w:sz w:val="22"/>
          <w:lang w:val="sr-Latn-ME"/>
        </w:rPr>
      </w:pPr>
    </w:p>
    <w:p w14:paraId="16BC5604" w14:textId="4DEFC351" w:rsidR="00C84284" w:rsidRPr="00B35A22" w:rsidRDefault="00551CF9" w:rsidP="00B35A22">
      <w:pPr>
        <w:widowControl w:val="0"/>
        <w:tabs>
          <w:tab w:val="left" w:pos="540"/>
          <w:tab w:val="left" w:pos="569"/>
        </w:tabs>
        <w:jc w:val="both"/>
        <w:rPr>
          <w:b/>
          <w:sz w:val="22"/>
          <w:lang w:val="sr-Latn-ME"/>
        </w:rPr>
      </w:pPr>
      <w:r w:rsidRPr="00B35A22">
        <w:rPr>
          <w:bCs/>
          <w:sz w:val="22"/>
          <w:szCs w:val="22"/>
          <w:lang w:val="sr-Latn-ME" w:eastAsia="sr-Latn-ME"/>
        </w:rPr>
        <w:drawing>
          <wp:inline distT="0" distB="0" distL="0" distR="0" wp14:anchorId="0096D428" wp14:editId="3555B1F6">
            <wp:extent cx="5768975" cy="27051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png"/>
                    <pic:cNvPicPr/>
                  </pic:nvPicPr>
                  <pic:blipFill rotWithShape="1">
                    <a:blip r:embed="rId30">
                      <a:extLst>
                        <a:ext uri="{28A0092B-C50C-407E-A947-70E740481C1C}">
                          <a14:useLocalDpi xmlns:a14="http://schemas.microsoft.com/office/drawing/2010/main" val="0"/>
                        </a:ext>
                      </a:extLst>
                    </a:blip>
                    <a:srcRect t="8512" b="8122"/>
                    <a:stretch/>
                  </pic:blipFill>
                  <pic:spPr bwMode="auto">
                    <a:xfrm>
                      <a:off x="0" y="0"/>
                      <a:ext cx="5768975" cy="2705100"/>
                    </a:xfrm>
                    <a:prstGeom prst="rect">
                      <a:avLst/>
                    </a:prstGeom>
                    <a:ln>
                      <a:noFill/>
                    </a:ln>
                    <a:extLst>
                      <a:ext uri="{53640926-AAD7-44D8-BBD7-CCE9431645EC}">
                        <a14:shadowObscured xmlns:a14="http://schemas.microsoft.com/office/drawing/2010/main"/>
                      </a:ext>
                    </a:extLst>
                  </pic:spPr>
                </pic:pic>
              </a:graphicData>
            </a:graphic>
          </wp:inline>
        </w:drawing>
      </w:r>
    </w:p>
    <w:p w14:paraId="36F8DFDE" w14:textId="08341BAE" w:rsidR="00C84284" w:rsidRPr="00B35A22" w:rsidRDefault="00C84284" w:rsidP="00B35A22">
      <w:pPr>
        <w:widowControl w:val="0"/>
        <w:tabs>
          <w:tab w:val="left" w:pos="540"/>
          <w:tab w:val="left" w:pos="569"/>
        </w:tabs>
        <w:jc w:val="both"/>
        <w:rPr>
          <w:b/>
          <w:sz w:val="22"/>
          <w:lang w:val="sr-Latn-ME"/>
        </w:rPr>
      </w:pPr>
    </w:p>
    <w:p w14:paraId="0826CD6E" w14:textId="09C8E17D" w:rsidR="008A4F2A" w:rsidRPr="00B35A22" w:rsidRDefault="008A4F2A" w:rsidP="00B35A22">
      <w:pPr>
        <w:widowControl w:val="0"/>
        <w:tabs>
          <w:tab w:val="left" w:pos="540"/>
          <w:tab w:val="left" w:pos="569"/>
        </w:tabs>
        <w:jc w:val="both"/>
        <w:rPr>
          <w:b/>
          <w:sz w:val="22"/>
          <w:lang w:val="sr-Latn-ME"/>
        </w:rPr>
      </w:pPr>
      <w:r w:rsidRPr="00B35A22">
        <w:rPr>
          <w:b/>
          <w:sz w:val="22"/>
          <w:lang w:val="sr-Latn-ME"/>
        </w:rPr>
        <w:t>Slika </w:t>
      </w:r>
      <w:r w:rsidR="00D46A5F" w:rsidRPr="00B35A22">
        <w:rPr>
          <w:b/>
          <w:bCs/>
          <w:sz w:val="22"/>
          <w:szCs w:val="22"/>
          <w:lang w:val="sr-Latn-ME"/>
        </w:rPr>
        <w:t>18</w:t>
      </w:r>
      <w:r w:rsidRPr="00B35A22">
        <w:rPr>
          <w:b/>
          <w:sz w:val="22"/>
          <w:lang w:val="sr-Latn-ME"/>
        </w:rPr>
        <w:t xml:space="preserve">: </w:t>
      </w:r>
      <w:r w:rsidRPr="00B35A22">
        <w:rPr>
          <w:b/>
          <w:i/>
          <w:sz w:val="22"/>
          <w:lang w:val="sr-Latn-ME"/>
        </w:rPr>
        <w:t>Kaplan-Meier</w:t>
      </w:r>
      <w:r w:rsidRPr="00B35A22">
        <w:rPr>
          <w:b/>
          <w:sz w:val="22"/>
          <w:lang w:val="sr-Latn-ME"/>
        </w:rPr>
        <w:t xml:space="preserve">-ova kriva preživljavanja bez progresije bolesti (IMpower133) </w:t>
      </w:r>
    </w:p>
    <w:p w14:paraId="4BAFA6F7" w14:textId="1B6D7394" w:rsidR="00551CF9" w:rsidRPr="00B35A22" w:rsidRDefault="00551CF9" w:rsidP="00B35A22">
      <w:pPr>
        <w:widowControl w:val="0"/>
        <w:tabs>
          <w:tab w:val="left" w:pos="540"/>
          <w:tab w:val="left" w:pos="569"/>
        </w:tabs>
        <w:jc w:val="both"/>
        <w:rPr>
          <w:sz w:val="22"/>
          <w:lang w:val="sr-Latn-ME"/>
        </w:rPr>
      </w:pPr>
    </w:p>
    <w:p w14:paraId="6ED14E59" w14:textId="7C0FCEC9" w:rsidR="00F95436" w:rsidRPr="00B35A22" w:rsidRDefault="008A4F2A" w:rsidP="00B35A22">
      <w:pPr>
        <w:widowControl w:val="0"/>
        <w:jc w:val="both"/>
        <w:rPr>
          <w:i/>
          <w:sz w:val="22"/>
          <w:u w:val="single"/>
          <w:lang w:val="sr-Latn-ME"/>
        </w:rPr>
      </w:pPr>
      <w:r w:rsidRPr="00B35A22">
        <w:rPr>
          <w:bCs/>
          <w:sz w:val="22"/>
          <w:szCs w:val="22"/>
          <w:lang w:val="sr-Latn-ME" w:eastAsia="sr-Latn-ME"/>
        </w:rPr>
        <w:lastRenderedPageBreak/>
        <w:drawing>
          <wp:inline distT="0" distB="0" distL="0" distR="0" wp14:anchorId="4251AAD7" wp14:editId="7C9A25EB">
            <wp:extent cx="5768975" cy="28575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png"/>
                    <pic:cNvPicPr/>
                  </pic:nvPicPr>
                  <pic:blipFill rotWithShape="1">
                    <a:blip r:embed="rId31" cstate="print">
                      <a:extLst>
                        <a:ext uri="{28A0092B-C50C-407E-A947-70E740481C1C}">
                          <a14:useLocalDpi xmlns:a14="http://schemas.microsoft.com/office/drawing/2010/main" val="0"/>
                        </a:ext>
                      </a:extLst>
                    </a:blip>
                    <a:srcRect b="10430"/>
                    <a:stretch/>
                  </pic:blipFill>
                  <pic:spPr bwMode="auto">
                    <a:xfrm>
                      <a:off x="0" y="0"/>
                      <a:ext cx="5768975" cy="2857500"/>
                    </a:xfrm>
                    <a:prstGeom prst="rect">
                      <a:avLst/>
                    </a:prstGeom>
                    <a:ln>
                      <a:noFill/>
                    </a:ln>
                    <a:extLst>
                      <a:ext uri="{53640926-AAD7-44D8-BBD7-CCE9431645EC}">
                        <a14:shadowObscured xmlns:a14="http://schemas.microsoft.com/office/drawing/2010/main"/>
                      </a:ext>
                    </a:extLst>
                  </pic:spPr>
                </pic:pic>
              </a:graphicData>
            </a:graphic>
          </wp:inline>
        </w:drawing>
      </w:r>
    </w:p>
    <w:p w14:paraId="0CC56248" w14:textId="77777777" w:rsidR="00F95436" w:rsidRPr="00B35A22" w:rsidRDefault="00F95436" w:rsidP="00B35A22">
      <w:pPr>
        <w:widowControl w:val="0"/>
        <w:jc w:val="both"/>
        <w:rPr>
          <w:i/>
          <w:sz w:val="22"/>
          <w:u w:val="single"/>
          <w:lang w:val="sr-Latn-ME"/>
        </w:rPr>
      </w:pPr>
    </w:p>
    <w:p w14:paraId="5B0FF331" w14:textId="1D02BACF" w:rsidR="00640028" w:rsidRPr="00B35A22" w:rsidRDefault="00640028" w:rsidP="00B35A22">
      <w:pPr>
        <w:widowControl w:val="0"/>
        <w:jc w:val="both"/>
        <w:rPr>
          <w:i/>
          <w:sz w:val="22"/>
          <w:u w:val="single"/>
          <w:lang w:val="sr-Latn-ME"/>
        </w:rPr>
      </w:pPr>
      <w:r w:rsidRPr="00B35A22">
        <w:rPr>
          <w:i/>
          <w:sz w:val="22"/>
          <w:u w:val="single"/>
          <w:lang w:val="sr-Latn-ME"/>
        </w:rPr>
        <w:t>Trostruko negativni karcinom dojke</w:t>
      </w:r>
    </w:p>
    <w:p w14:paraId="0DF18D79" w14:textId="77777777" w:rsidR="00640028" w:rsidRPr="00B35A22" w:rsidRDefault="00640028" w:rsidP="00B35A22">
      <w:pPr>
        <w:widowControl w:val="0"/>
        <w:tabs>
          <w:tab w:val="left" w:pos="540"/>
          <w:tab w:val="left" w:pos="569"/>
        </w:tabs>
        <w:jc w:val="both"/>
        <w:rPr>
          <w:sz w:val="22"/>
          <w:lang w:val="sr-Latn-ME"/>
        </w:rPr>
      </w:pPr>
    </w:p>
    <w:p w14:paraId="06CD194D" w14:textId="7BCF211C" w:rsidR="00640028" w:rsidRPr="00B35A22" w:rsidRDefault="00640028" w:rsidP="00B35A22">
      <w:pPr>
        <w:widowControl w:val="0"/>
        <w:jc w:val="both"/>
        <w:rPr>
          <w:i/>
          <w:sz w:val="22"/>
          <w:lang w:val="sr-Latn-ME"/>
        </w:rPr>
      </w:pPr>
      <w:r w:rsidRPr="00B35A22">
        <w:rPr>
          <w:i/>
          <w:sz w:val="22"/>
          <w:lang w:val="sr-Latn-ME"/>
        </w:rPr>
        <w:t xml:space="preserve">IMpassion130 (WO29522): Randomizovano ispitivanje faze III kod pacijenata sa lokalno uznapredovalim ili metastatskim </w:t>
      </w:r>
      <w:r w:rsidR="009F3636" w:rsidRPr="00B35A22">
        <w:rPr>
          <w:i/>
          <w:sz w:val="22"/>
          <w:lang w:val="sr-Latn-ME"/>
        </w:rPr>
        <w:t>TNBC-om</w:t>
      </w:r>
      <w:r w:rsidRPr="00B35A22">
        <w:rPr>
          <w:i/>
          <w:sz w:val="22"/>
          <w:lang w:val="sr-Latn-ME"/>
        </w:rPr>
        <w:t xml:space="preserve"> koji prethodno nijesu primali hemoterapiju za metastatsku bolest</w:t>
      </w:r>
    </w:p>
    <w:p w14:paraId="0550573F" w14:textId="77777777" w:rsidR="00640028" w:rsidRPr="00B35A22" w:rsidRDefault="00640028" w:rsidP="00B35A22">
      <w:pPr>
        <w:widowControl w:val="0"/>
        <w:jc w:val="both"/>
        <w:rPr>
          <w:i/>
          <w:sz w:val="22"/>
          <w:lang w:val="sr-Latn-ME"/>
        </w:rPr>
      </w:pPr>
    </w:p>
    <w:p w14:paraId="762FCF2B" w14:textId="731F6CF3" w:rsidR="00640028" w:rsidRPr="00B35A22" w:rsidRDefault="00640028" w:rsidP="00B35A22">
      <w:pPr>
        <w:widowControl w:val="0"/>
        <w:jc w:val="both"/>
        <w:rPr>
          <w:sz w:val="22"/>
          <w:lang w:val="sr-Latn-ME"/>
        </w:rPr>
      </w:pPr>
      <w:r w:rsidRPr="00B35A22">
        <w:rPr>
          <w:sz w:val="22"/>
          <w:lang w:val="sr-Latn-ME"/>
        </w:rPr>
        <w:t>Dvostruko slijepo, multicentrično, međunarodno, randomizovano, placebom kontrolisano ispitivanje faze III sa dvije grupe (IMpassion130) sprovedeno je radi procjene efikasnosti i bezbjednosti atezolizumaba u kombinaciji sa nab</w:t>
      </w:r>
      <w:r w:rsidRPr="00B35A22">
        <w:rPr>
          <w:sz w:val="22"/>
          <w:lang w:val="sr-Latn-ME"/>
        </w:rPr>
        <w:noBreakHyphen/>
        <w:t xml:space="preserve">paklitakselom kod pacijenata sa neresektabilnim lokalno uznapredovalim ili metastatskim </w:t>
      </w:r>
      <w:r w:rsidR="000E1E10" w:rsidRPr="00B35A22">
        <w:rPr>
          <w:sz w:val="22"/>
          <w:lang w:val="sr-Latn-ME"/>
        </w:rPr>
        <w:t>trostruko-negativnim</w:t>
      </w:r>
      <w:r w:rsidRPr="00B35A22">
        <w:rPr>
          <w:sz w:val="22"/>
          <w:lang w:val="sr-Latn-ME"/>
        </w:rPr>
        <w:t xml:space="preserve"> karcinomom dojke koji prethodno ni</w:t>
      </w:r>
      <w:r w:rsidR="00901D2D" w:rsidRPr="00B35A22">
        <w:rPr>
          <w:sz w:val="22"/>
          <w:lang w:val="sr-Latn-ME"/>
        </w:rPr>
        <w:t>je</w:t>
      </w:r>
      <w:r w:rsidRPr="00B35A22">
        <w:rPr>
          <w:sz w:val="22"/>
          <w:lang w:val="sr-Latn-ME"/>
        </w:rPr>
        <w:t>su primali hemoterapiju za metastatsku bolest. Pacijenti su morali biti pogodni za monoterapiju taksanom (tj. nijesu smjeli imati brzu kliničku progresiju, po život opasne visceralne metastaze ni potrebu za brzom kontrolom simptoma i/ili bolesti) i nijesu mogli biti uključeni ako su unutar prethodnih 12 m</w:t>
      </w:r>
      <w:r w:rsidR="00901D2D" w:rsidRPr="00B35A22">
        <w:rPr>
          <w:sz w:val="22"/>
          <w:lang w:val="sr-Latn-ME"/>
        </w:rPr>
        <w:t>j</w:t>
      </w:r>
      <w:r w:rsidRPr="00B35A22">
        <w:rPr>
          <w:sz w:val="22"/>
          <w:lang w:val="sr-Latn-ME"/>
        </w:rPr>
        <w:t xml:space="preserve">eseci primali hemoterapiju za neoadjuvantno ili adjuvantno liječenje, ako su imali autoimunu bolest u anamnezi, ako su primili živu ateniuisanu vakcinu u roku od 4 nedjelje prije randomizacije, ako su primali sistemske imunostimulatore unutar 4 nedjelje ili sistemske imunosupresive u roku od 2 nedjelje prije randomizacije i ako su imali neliječene, simptomatske ili od kortikosteroida zavisne moždane metastaze. Tumor se ocjenjivao na svakih 8 nedjelja (± 1 nedjelja) tokom prvih 12 mjeseci nakon 1. dana 1. ciklusa, a zatim na svakih 12 nedjelja (± 1 nedjelja).  </w:t>
      </w:r>
    </w:p>
    <w:p w14:paraId="232BA92C" w14:textId="77777777" w:rsidR="00640028" w:rsidRPr="00B35A22" w:rsidRDefault="00640028" w:rsidP="00B35A22">
      <w:pPr>
        <w:widowControl w:val="0"/>
        <w:jc w:val="both"/>
        <w:rPr>
          <w:sz w:val="22"/>
          <w:lang w:val="sr-Latn-ME"/>
        </w:rPr>
      </w:pPr>
    </w:p>
    <w:p w14:paraId="5D05BCE6" w14:textId="34F06B8E" w:rsidR="00640028" w:rsidRPr="00B35A22" w:rsidRDefault="00640028" w:rsidP="00B35A22">
      <w:pPr>
        <w:widowControl w:val="0"/>
        <w:jc w:val="both"/>
        <w:rPr>
          <w:sz w:val="22"/>
          <w:lang w:val="sr-Latn-ME"/>
        </w:rPr>
      </w:pPr>
      <w:r w:rsidRPr="00B35A22">
        <w:rPr>
          <w:sz w:val="22"/>
          <w:lang w:val="sr-Latn-ME"/>
        </w:rPr>
        <w:t>U ispitivanje su bila uključena ukupno 902 pacijenta, koja su bila stratifikovana prema prisutnosti metastaza na jetri, prethodnom liječenju taksanima i statusu PD-L1 ekspresije na ćelijama imunog sistema koje se infiltriraju u tumor (obo</w:t>
      </w:r>
      <w:r w:rsidR="00901D2D" w:rsidRPr="00B35A22">
        <w:rPr>
          <w:sz w:val="22"/>
          <w:lang w:val="sr-Latn-ME"/>
        </w:rPr>
        <w:t>l</w:t>
      </w:r>
      <w:r w:rsidRPr="00B35A22">
        <w:rPr>
          <w:sz w:val="22"/>
          <w:lang w:val="sr-Latn-ME"/>
        </w:rPr>
        <w:t>jenje ćelija imunog sistema koje se infiltriraju u tumor na PD</w:t>
      </w:r>
      <w:r w:rsidRPr="00B35A22">
        <w:rPr>
          <w:sz w:val="22"/>
          <w:lang w:val="sr-Latn-ME"/>
        </w:rPr>
        <w:noBreakHyphen/>
        <w:t>L1 u &lt; 1% tumorskog područja ili ≥ 1% tumorskog područja) utvrđenom testom VENTANA PD</w:t>
      </w:r>
      <w:r w:rsidRPr="00B35A22">
        <w:rPr>
          <w:sz w:val="22"/>
          <w:lang w:val="sr-Latn-ME"/>
        </w:rPr>
        <w:noBreakHyphen/>
        <w:t>L1 (SP142).</w:t>
      </w:r>
    </w:p>
    <w:p w14:paraId="402C9B12" w14:textId="77777777" w:rsidR="00640028" w:rsidRPr="00B35A22" w:rsidRDefault="00640028" w:rsidP="00B35A22">
      <w:pPr>
        <w:widowControl w:val="0"/>
        <w:jc w:val="both"/>
        <w:rPr>
          <w:sz w:val="22"/>
          <w:lang w:val="sr-Latn-ME"/>
        </w:rPr>
      </w:pPr>
    </w:p>
    <w:p w14:paraId="0A45E160" w14:textId="77777777" w:rsidR="00640028" w:rsidRPr="00B35A22" w:rsidRDefault="00640028" w:rsidP="00B35A22">
      <w:pPr>
        <w:widowControl w:val="0"/>
        <w:jc w:val="both"/>
        <w:rPr>
          <w:sz w:val="22"/>
          <w:lang w:val="sr-Latn-ME"/>
        </w:rPr>
      </w:pPr>
      <w:r w:rsidRPr="00B35A22">
        <w:rPr>
          <w:sz w:val="22"/>
          <w:lang w:val="sr-Latn-ME"/>
        </w:rPr>
        <w:t>Pacijenti su bili randomizovani za primanje atezolizumaba u dozi od 840 mg ili placeba intravenskom infuzijom 1. i 15. dana svakog 28</w:t>
      </w:r>
      <w:r w:rsidRPr="00B35A22">
        <w:rPr>
          <w:sz w:val="22"/>
          <w:lang w:val="sr-Latn-ME"/>
        </w:rPr>
        <w:noBreakHyphen/>
        <w:t>dnevnog ciklusa plus nab</w:t>
      </w:r>
      <w:r w:rsidRPr="00B35A22">
        <w:rPr>
          <w:sz w:val="22"/>
          <w:lang w:val="sr-Latn-ME"/>
        </w:rPr>
        <w:noBreakHyphen/>
        <w:t>paklitaksel (100 mg/m</w:t>
      </w:r>
      <w:r w:rsidRPr="00B35A22">
        <w:rPr>
          <w:sz w:val="22"/>
          <w:vertAlign w:val="superscript"/>
          <w:lang w:val="sr-Latn-ME"/>
        </w:rPr>
        <w:t>2</w:t>
      </w:r>
      <w:r w:rsidRPr="00B35A22">
        <w:rPr>
          <w:sz w:val="22"/>
          <w:lang w:val="sr-Latn-ME"/>
        </w:rPr>
        <w:t>) primijenjen intravenskom infuzijom 1., 8. i 15. dana svakog 28</w:t>
      </w:r>
      <w:r w:rsidRPr="00B35A22">
        <w:rPr>
          <w:sz w:val="22"/>
          <w:lang w:val="sr-Latn-ME"/>
        </w:rPr>
        <w:noBreakHyphen/>
        <w:t>dnevnog ciklusa. Pacijenti su primali terapiju do radiografske progresije bolesti prema verziji 1.1 RECIST kriterijuma ili do pojave neprihvatljive toksičnosti. Liječenje atezolizumabom moglo se nastaviti kada je primjena nab</w:t>
      </w:r>
      <w:r w:rsidRPr="00B35A22">
        <w:rPr>
          <w:sz w:val="22"/>
          <w:lang w:val="sr-Latn-ME"/>
        </w:rPr>
        <w:noBreakHyphen/>
        <w:t>paklitaksela prekinuta zbog neprihvatljive toksičnosti. Medijana broja ciklusa liječenja atezolizumabom bila je 7, a nab</w:t>
      </w:r>
      <w:r w:rsidRPr="00B35A22">
        <w:rPr>
          <w:sz w:val="22"/>
          <w:lang w:val="sr-Latn-ME"/>
        </w:rPr>
        <w:noBreakHyphen/>
        <w:t>paklitakselom 6 u svakoj liječenoj grupi.</w:t>
      </w:r>
    </w:p>
    <w:p w14:paraId="35E3DF91" w14:textId="77777777" w:rsidR="00640028" w:rsidRPr="00B35A22" w:rsidRDefault="00640028" w:rsidP="00B35A22">
      <w:pPr>
        <w:widowControl w:val="0"/>
        <w:jc w:val="both"/>
        <w:rPr>
          <w:sz w:val="22"/>
          <w:lang w:val="sr-Latn-ME"/>
        </w:rPr>
      </w:pPr>
    </w:p>
    <w:p w14:paraId="0204804B" w14:textId="77777777" w:rsidR="00640028" w:rsidRPr="00B35A22" w:rsidRDefault="00640028" w:rsidP="00B35A22">
      <w:pPr>
        <w:widowControl w:val="0"/>
        <w:jc w:val="both"/>
        <w:rPr>
          <w:sz w:val="22"/>
          <w:lang w:val="sr-Latn-ME"/>
        </w:rPr>
      </w:pPr>
      <w:r w:rsidRPr="00B35A22">
        <w:rPr>
          <w:sz w:val="22"/>
          <w:lang w:val="sr-Latn-ME"/>
        </w:rPr>
        <w:t>Demografske i početne karakteristike u ispitivanoj populaciji bile su dobro ujednačene između liječenih grupa. Većina pacijenata bila je ženskog pola (99,6%), 67,5% njih bili su bijele rase, a 17,8% azijskog porijekla. Medijana starosti bila je 55 godina (raspon: 20 – 86). Početni funkcionalni ECOG status iznosio je 0 (58,4%) ili 1 (41,3%). Ukupno je na početku ispitivanja 41% uključenih pacijenata imalo PD</w:t>
      </w:r>
      <w:r w:rsidRPr="00B35A22">
        <w:rPr>
          <w:sz w:val="22"/>
          <w:lang w:val="sr-Latn-ME"/>
        </w:rPr>
        <w:noBreakHyphen/>
        <w:t xml:space="preserve">L1 ekspresiju ≥ 1%, njih 27% imalo je metastaze na jetri, a 7% asimptomatske moždane metastaze. Približno je polovina pacijenata prethodno primala taksan (51%) ili antraciklin (54%) za </w:t>
      </w:r>
      <w:r w:rsidRPr="00B35A22">
        <w:rPr>
          <w:sz w:val="22"/>
          <w:lang w:val="sr-Latn-ME"/>
        </w:rPr>
        <w:lastRenderedPageBreak/>
        <w:t>(neo)adjuvantno liječenje. Demografske karakteristike pacijenata i tumorska bolest na početku ispitivanja kod pacijenata sa PD</w:t>
      </w:r>
      <w:r w:rsidRPr="00B35A22">
        <w:rPr>
          <w:sz w:val="22"/>
          <w:lang w:val="sr-Latn-ME"/>
        </w:rPr>
        <w:noBreakHyphen/>
        <w:t>L1 ekspresijom ≥ 1% načelno su dobro predstavljali širu ispitivanu populaciju.</w:t>
      </w:r>
    </w:p>
    <w:p w14:paraId="01BA5CB8" w14:textId="77777777" w:rsidR="00640028" w:rsidRPr="00B35A22" w:rsidRDefault="00640028" w:rsidP="00B35A22">
      <w:pPr>
        <w:widowControl w:val="0"/>
        <w:jc w:val="both"/>
        <w:rPr>
          <w:sz w:val="22"/>
          <w:lang w:val="sr-Latn-ME"/>
        </w:rPr>
      </w:pPr>
    </w:p>
    <w:p w14:paraId="6583BD69" w14:textId="0F551588" w:rsidR="00640028" w:rsidRPr="00B35A22" w:rsidRDefault="00640028" w:rsidP="00B35A22">
      <w:pPr>
        <w:widowControl w:val="0"/>
        <w:jc w:val="both"/>
        <w:rPr>
          <w:sz w:val="22"/>
          <w:lang w:val="sr-Latn-ME"/>
        </w:rPr>
      </w:pPr>
      <w:r w:rsidRPr="00B35A22">
        <w:rPr>
          <w:sz w:val="22"/>
          <w:lang w:val="sr-Latn-ME"/>
        </w:rPr>
        <w:t xml:space="preserve">Primarne mjere ishoda za efikasnost uključivale su preživljavanje bez progresije bolesti (engl. </w:t>
      </w:r>
      <w:r w:rsidRPr="00B35A22">
        <w:rPr>
          <w:i/>
          <w:sz w:val="22"/>
          <w:lang w:val="sr-Latn-ME"/>
        </w:rPr>
        <w:t>progression</w:t>
      </w:r>
      <w:r w:rsidRPr="00B35A22">
        <w:rPr>
          <w:i/>
          <w:sz w:val="22"/>
          <w:lang w:val="sr-Latn-ME"/>
        </w:rPr>
        <w:noBreakHyphen/>
        <w:t>free survival</w:t>
      </w:r>
      <w:r w:rsidRPr="00B35A22">
        <w:rPr>
          <w:sz w:val="22"/>
          <w:lang w:val="sr-Latn-ME"/>
        </w:rPr>
        <w:t xml:space="preserve">, PFS) u populaciji predviđenoj za liječenje (engl. </w:t>
      </w:r>
      <w:r w:rsidRPr="00B35A22">
        <w:rPr>
          <w:i/>
          <w:sz w:val="22"/>
          <w:lang w:val="sr-Latn-ME"/>
        </w:rPr>
        <w:t>intent</w:t>
      </w:r>
      <w:r w:rsidRPr="00B35A22">
        <w:rPr>
          <w:i/>
          <w:sz w:val="22"/>
          <w:lang w:val="sr-Latn-ME"/>
        </w:rPr>
        <w:noBreakHyphen/>
        <w:t>to</w:t>
      </w:r>
      <w:r w:rsidRPr="00B35A22">
        <w:rPr>
          <w:i/>
          <w:sz w:val="22"/>
          <w:lang w:val="sr-Latn-ME"/>
        </w:rPr>
        <w:noBreakHyphen/>
        <w:t>treat</w:t>
      </w:r>
      <w:r w:rsidRPr="00B35A22">
        <w:rPr>
          <w:sz w:val="22"/>
          <w:lang w:val="sr-Latn-ME"/>
        </w:rPr>
        <w:t>, ITT) i kod pacijenata sa PD</w:t>
      </w:r>
      <w:r w:rsidRPr="00B35A22">
        <w:rPr>
          <w:sz w:val="22"/>
          <w:lang w:val="sr-Latn-ME"/>
        </w:rPr>
        <w:noBreakHyphen/>
        <w:t xml:space="preserve">L1 ekspresijom ≥ 1% prema </w:t>
      </w:r>
      <w:r w:rsidR="008C4A4D" w:rsidRPr="00B35A22">
        <w:rPr>
          <w:sz w:val="22"/>
          <w:lang w:val="sr-Latn-ME"/>
        </w:rPr>
        <w:t>pr</w:t>
      </w:r>
      <w:r w:rsidRPr="00B35A22">
        <w:rPr>
          <w:sz w:val="22"/>
          <w:lang w:val="sr-Latn-ME"/>
        </w:rPr>
        <w:t xml:space="preserve">ocjeni istraživača na osnovu verzije 1.1 RECIST kriterijuma i ukupno preživljavanje (engl. </w:t>
      </w:r>
      <w:r w:rsidRPr="00B35A22">
        <w:rPr>
          <w:i/>
          <w:sz w:val="22"/>
          <w:lang w:val="sr-Latn-ME"/>
        </w:rPr>
        <w:t>overall survival</w:t>
      </w:r>
      <w:r w:rsidRPr="00B35A22">
        <w:rPr>
          <w:sz w:val="22"/>
          <w:lang w:val="sr-Latn-ME"/>
        </w:rPr>
        <w:t>, OS) u ITT populaciji i kod pacijenata sa PD</w:t>
      </w:r>
      <w:r w:rsidRPr="00B35A22">
        <w:rPr>
          <w:sz w:val="22"/>
          <w:lang w:val="sr-Latn-ME"/>
        </w:rPr>
        <w:noBreakHyphen/>
        <w:t xml:space="preserve">L1 ekspresijom ≥ 1%. Sekundarne mjere ishoda za efikasnost uključivale su stopu objektivnog odgovora (engl. </w:t>
      </w:r>
      <w:r w:rsidRPr="00B35A22">
        <w:rPr>
          <w:i/>
          <w:sz w:val="22"/>
          <w:lang w:val="sr-Latn-ME"/>
        </w:rPr>
        <w:t>objective response rate</w:t>
      </w:r>
      <w:r w:rsidRPr="00B35A22">
        <w:rPr>
          <w:sz w:val="22"/>
          <w:lang w:val="sr-Latn-ME"/>
        </w:rPr>
        <w:t xml:space="preserve">, ORR) i dužinu trajanja odgovora (engl. </w:t>
      </w:r>
      <w:r w:rsidRPr="00B35A22">
        <w:rPr>
          <w:i/>
          <w:sz w:val="22"/>
          <w:lang w:val="sr-Latn-ME"/>
        </w:rPr>
        <w:t>duration of response,</w:t>
      </w:r>
      <w:r w:rsidRPr="00B35A22">
        <w:rPr>
          <w:sz w:val="22"/>
          <w:lang w:val="sr-Latn-ME"/>
        </w:rPr>
        <w:t xml:space="preserve"> DOR) prema verziji 1.1 RECIST kriterijuma.</w:t>
      </w:r>
    </w:p>
    <w:p w14:paraId="0A064953" w14:textId="77777777" w:rsidR="00640028" w:rsidRPr="00B35A22" w:rsidRDefault="00640028" w:rsidP="00B35A22">
      <w:pPr>
        <w:widowControl w:val="0"/>
        <w:jc w:val="both"/>
        <w:rPr>
          <w:sz w:val="22"/>
          <w:lang w:val="sr-Latn-ME"/>
        </w:rPr>
      </w:pPr>
    </w:p>
    <w:p w14:paraId="2E379B5E" w14:textId="7CA0CB2D" w:rsidR="00640028" w:rsidRPr="00B35A22" w:rsidRDefault="00640028" w:rsidP="00B35A22">
      <w:pPr>
        <w:widowControl w:val="0"/>
        <w:jc w:val="both"/>
        <w:rPr>
          <w:sz w:val="22"/>
          <w:lang w:val="sr-Latn-ME"/>
        </w:rPr>
      </w:pPr>
      <w:r w:rsidRPr="00B35A22">
        <w:rPr>
          <w:sz w:val="22"/>
          <w:lang w:val="sr-Latn-ME"/>
        </w:rPr>
        <w:t>Rezultati za PFS, ORR i dužinu trajanja odgovora u ispitivanju IMpassion130 među pacijentima sa PD</w:t>
      </w:r>
      <w:r w:rsidRPr="00B35A22">
        <w:rPr>
          <w:sz w:val="22"/>
          <w:lang w:val="sr-Latn-ME"/>
        </w:rPr>
        <w:noBreakHyphen/>
        <w:t>L1 ekspresijom ≥ 1%, u trenutku završne analize PFS-a i nakon medijane praćenja preživljavanja od 13 mjeseci, sažeto su prikazani u Tabeli </w:t>
      </w:r>
      <w:r w:rsidR="00D46A5F" w:rsidRPr="00B35A22">
        <w:rPr>
          <w:sz w:val="22"/>
          <w:szCs w:val="20"/>
          <w:lang w:val="sr-Latn-ME" w:eastAsia="ja-JP"/>
        </w:rPr>
        <w:t>20</w:t>
      </w:r>
      <w:r w:rsidRPr="00B35A22">
        <w:rPr>
          <w:sz w:val="22"/>
          <w:lang w:val="sr-Latn-ME"/>
        </w:rPr>
        <w:t xml:space="preserve">, a </w:t>
      </w:r>
      <w:r w:rsidRPr="00B35A22">
        <w:rPr>
          <w:i/>
          <w:sz w:val="22"/>
          <w:lang w:val="sr-Latn-ME"/>
        </w:rPr>
        <w:t>Kaplan-Meier</w:t>
      </w:r>
      <w:r w:rsidRPr="00B35A22">
        <w:rPr>
          <w:sz w:val="22"/>
          <w:lang w:val="sr-Latn-ME"/>
        </w:rPr>
        <w:t>-ova kriva PFS</w:t>
      </w:r>
      <w:r w:rsidRPr="00B35A22">
        <w:rPr>
          <w:sz w:val="22"/>
          <w:lang w:val="sr-Latn-ME"/>
        </w:rPr>
        <w:noBreakHyphen/>
        <w:t>a na Slici </w:t>
      </w:r>
      <w:r w:rsidR="00D46A5F" w:rsidRPr="00B35A22">
        <w:rPr>
          <w:sz w:val="22"/>
          <w:szCs w:val="20"/>
          <w:lang w:val="sr-Latn-ME" w:eastAsia="ja-JP"/>
        </w:rPr>
        <w:t>19</w:t>
      </w:r>
      <w:r w:rsidRPr="00B35A22">
        <w:rPr>
          <w:sz w:val="22"/>
          <w:lang w:val="sr-Latn-ME"/>
        </w:rPr>
        <w:t>. Kod pacijenata sa PD</w:t>
      </w:r>
      <w:r w:rsidRPr="00B35A22">
        <w:rPr>
          <w:sz w:val="22"/>
          <w:lang w:val="sr-Latn-ME"/>
        </w:rPr>
        <w:noBreakHyphen/>
        <w:t>L1 ekspresijom &lt; 1% nije zapaženo produženje PFS</w:t>
      </w:r>
      <w:r w:rsidRPr="00B35A22">
        <w:rPr>
          <w:sz w:val="22"/>
          <w:lang w:val="sr-Latn-ME"/>
        </w:rPr>
        <w:noBreakHyphen/>
        <w:t>a kada je atezolizumab dodat nab</w:t>
      </w:r>
      <w:r w:rsidRPr="00B35A22">
        <w:rPr>
          <w:sz w:val="22"/>
          <w:lang w:val="sr-Latn-ME"/>
        </w:rPr>
        <w:noBreakHyphen/>
        <w:t>paklitakselu (HR: 0,94; 95% CI: 0,78; 1,13).</w:t>
      </w:r>
    </w:p>
    <w:p w14:paraId="2650310D" w14:textId="77777777" w:rsidR="00640028" w:rsidRPr="00B35A22" w:rsidRDefault="00640028" w:rsidP="00B35A22">
      <w:pPr>
        <w:widowControl w:val="0"/>
        <w:jc w:val="both"/>
        <w:rPr>
          <w:sz w:val="22"/>
          <w:lang w:val="sr-Latn-ME"/>
        </w:rPr>
      </w:pPr>
    </w:p>
    <w:p w14:paraId="6D7699A2" w14:textId="6F598932" w:rsidR="00640028" w:rsidRPr="00B35A22" w:rsidRDefault="00640028" w:rsidP="00B35A22">
      <w:pPr>
        <w:widowControl w:val="0"/>
        <w:jc w:val="both"/>
        <w:rPr>
          <w:sz w:val="22"/>
          <w:lang w:val="sr-Latn-ME"/>
        </w:rPr>
      </w:pPr>
      <w:r w:rsidRPr="00B35A22">
        <w:rPr>
          <w:sz w:val="22"/>
          <w:lang w:val="sr-Latn-ME"/>
        </w:rPr>
        <w:t>Sprovedena je završna analiza podataka o OS</w:t>
      </w:r>
      <w:r w:rsidRPr="00B35A22">
        <w:rPr>
          <w:sz w:val="22"/>
          <w:lang w:val="sr-Latn-ME"/>
        </w:rPr>
        <w:noBreakHyphen/>
        <w:t>u kod pacijenata sa PD-L1 ekspresijom ≥ 1% nakon medijane praćenja od 19,12 mjeseci. Rezultati za OS su prikazani u Tabeli </w:t>
      </w:r>
      <w:r w:rsidR="00D46A5F" w:rsidRPr="00B35A22">
        <w:rPr>
          <w:sz w:val="22"/>
          <w:szCs w:val="20"/>
          <w:lang w:val="sr-Latn-ME" w:eastAsia="ja-JP"/>
        </w:rPr>
        <w:t>20</w:t>
      </w:r>
      <w:r w:rsidRPr="00B35A22">
        <w:rPr>
          <w:sz w:val="22"/>
          <w:lang w:val="sr-Latn-ME"/>
        </w:rPr>
        <w:t xml:space="preserve">, a </w:t>
      </w:r>
      <w:r w:rsidRPr="00B35A22">
        <w:rPr>
          <w:i/>
          <w:sz w:val="22"/>
          <w:lang w:val="sr-Latn-ME"/>
        </w:rPr>
        <w:t>Kaplan</w:t>
      </w:r>
      <w:r w:rsidRPr="00B35A22">
        <w:rPr>
          <w:i/>
          <w:sz w:val="22"/>
          <w:lang w:val="sr-Latn-ME"/>
        </w:rPr>
        <w:noBreakHyphen/>
        <w:t>Meier</w:t>
      </w:r>
      <w:r w:rsidRPr="00B35A22">
        <w:rPr>
          <w:sz w:val="22"/>
          <w:lang w:val="sr-Latn-ME"/>
        </w:rPr>
        <w:t>-ove krive OS</w:t>
      </w:r>
      <w:r w:rsidRPr="00B35A22">
        <w:rPr>
          <w:sz w:val="22"/>
          <w:lang w:val="sr-Latn-ME"/>
        </w:rPr>
        <w:noBreakHyphen/>
        <w:t>a na Slici </w:t>
      </w:r>
      <w:r w:rsidR="00D46A5F" w:rsidRPr="00B35A22">
        <w:rPr>
          <w:sz w:val="22"/>
          <w:szCs w:val="20"/>
          <w:lang w:val="sr-Latn-ME" w:eastAsia="ja-JP"/>
        </w:rPr>
        <w:t>20</w:t>
      </w:r>
      <w:r w:rsidRPr="00B35A22">
        <w:rPr>
          <w:sz w:val="22"/>
          <w:lang w:val="sr-Latn-ME"/>
        </w:rPr>
        <w:t>. Kod pacijenata sa PD</w:t>
      </w:r>
      <w:r w:rsidRPr="00B35A22">
        <w:rPr>
          <w:sz w:val="22"/>
          <w:lang w:val="sr-Latn-ME"/>
        </w:rPr>
        <w:noBreakHyphen/>
        <w:t>L1 ekspresijom &lt; 1% nije zapaženo produženje OS</w:t>
      </w:r>
      <w:r w:rsidRPr="00B35A22">
        <w:rPr>
          <w:sz w:val="22"/>
          <w:lang w:val="sr-Latn-ME"/>
        </w:rPr>
        <w:noBreakHyphen/>
        <w:t>a kada je atezolizumab dodat nab</w:t>
      </w:r>
      <w:r w:rsidRPr="00B35A22">
        <w:rPr>
          <w:sz w:val="22"/>
          <w:lang w:val="sr-Latn-ME"/>
        </w:rPr>
        <w:noBreakHyphen/>
        <w:t xml:space="preserve">paklitakselu (HR: 1,02; 95% CI: 0,84; 1,24). </w:t>
      </w:r>
    </w:p>
    <w:p w14:paraId="79F0DADA" w14:textId="77777777" w:rsidR="00640028" w:rsidRPr="00B35A22" w:rsidRDefault="00640028" w:rsidP="00B35A22">
      <w:pPr>
        <w:widowControl w:val="0"/>
        <w:jc w:val="both"/>
        <w:rPr>
          <w:sz w:val="22"/>
          <w:lang w:val="sr-Latn-ME"/>
        </w:rPr>
      </w:pPr>
    </w:p>
    <w:p w14:paraId="2808D8E7" w14:textId="77777777" w:rsidR="00640028" w:rsidRPr="00B35A22" w:rsidRDefault="00640028" w:rsidP="00B35A22">
      <w:pPr>
        <w:widowControl w:val="0"/>
        <w:jc w:val="both"/>
        <w:rPr>
          <w:sz w:val="22"/>
          <w:lang w:val="sr-Latn-ME"/>
        </w:rPr>
      </w:pPr>
      <w:r w:rsidRPr="00B35A22">
        <w:rPr>
          <w:sz w:val="22"/>
          <w:lang w:val="sr-Latn-ME"/>
        </w:rPr>
        <w:t>Eksploracijske analize podgrupa sprovedene su kod pacijenata sa PD</w:t>
      </w:r>
      <w:r w:rsidRPr="00B35A22">
        <w:rPr>
          <w:sz w:val="22"/>
          <w:lang w:val="sr-Latn-ME"/>
        </w:rPr>
        <w:noBreakHyphen/>
        <w:t>L1 ekspresijom ≥ 1%, a istraživali su se prethodno (neo)adjuvantno liječenje, prisutnost mutacije BRCA1/2 i asimptomatske moždane metastaze na početku ispitivanja.</w:t>
      </w:r>
    </w:p>
    <w:p w14:paraId="24DABE65" w14:textId="77777777" w:rsidR="00640028" w:rsidRPr="00B35A22" w:rsidRDefault="00640028" w:rsidP="00B35A22">
      <w:pPr>
        <w:widowControl w:val="0"/>
        <w:jc w:val="both"/>
        <w:rPr>
          <w:sz w:val="22"/>
          <w:lang w:val="sr-Latn-ME"/>
        </w:rPr>
      </w:pPr>
      <w:r w:rsidRPr="00B35A22">
        <w:rPr>
          <w:sz w:val="22"/>
          <w:lang w:val="sr-Latn-ME"/>
        </w:rPr>
        <w:t>Među pacijentima koji su prethodno primali (neo)adjuvantno liječenje (n=242), koeficijent rizika za PFS u primarnoj (završnoj) analizi iznosio je 0,79, a za OS u završnoj analizi 0,77, dok je kod pacijenata koji prijethodno nijesu primali (neo)adjuvantno liječenje (n=127) koeficijent rizika za PFS u primarnoj (završnoj) analizi iznosio 0,44, dok je za OS u završnoj analizi iznosio 0,54.</w:t>
      </w:r>
    </w:p>
    <w:p w14:paraId="76C6DC77" w14:textId="77777777" w:rsidR="00640028" w:rsidRPr="00B35A22" w:rsidRDefault="00640028" w:rsidP="00B35A22">
      <w:pPr>
        <w:widowControl w:val="0"/>
        <w:jc w:val="both"/>
        <w:rPr>
          <w:sz w:val="22"/>
          <w:lang w:val="sr-Latn-ME"/>
        </w:rPr>
      </w:pPr>
    </w:p>
    <w:p w14:paraId="3CB1D159" w14:textId="727960D6" w:rsidR="00640028" w:rsidRPr="00B35A22" w:rsidRDefault="00640028" w:rsidP="00B35A22">
      <w:pPr>
        <w:widowControl w:val="0"/>
        <w:jc w:val="both"/>
        <w:rPr>
          <w:sz w:val="22"/>
          <w:lang w:val="sr-Latn-ME"/>
        </w:rPr>
      </w:pPr>
      <w:r w:rsidRPr="00B35A22">
        <w:rPr>
          <w:sz w:val="22"/>
          <w:lang w:val="sr-Latn-ME"/>
        </w:rPr>
        <w:t>Od 614 pacijenata testiranih u okviru ispitivanja IMpassion130, njih 89 (15%) su bili nosioci patogenih mutacija BRCA1/2. U podgrupi sa PD-L1+/BRCA1/2, 19 pacijenata je primalo atezolizumab plus nab</w:t>
      </w:r>
      <w:r w:rsidRPr="00B35A22">
        <w:rPr>
          <w:sz w:val="22"/>
          <w:lang w:val="sr-Latn-ME"/>
        </w:rPr>
        <w:noBreakHyphen/>
        <w:t>paklitaksel, a njih 26 placebo plus nab</w:t>
      </w:r>
      <w:r w:rsidRPr="00B35A22">
        <w:rPr>
          <w:sz w:val="22"/>
          <w:lang w:val="sr-Latn-ME"/>
        </w:rPr>
        <w:noBreakHyphen/>
        <w:t>paklitaksel. Sudeći prema eksploracijskoj analizi i uzimajući u obzir malu veličinu uzorka, čini se da prisutnost mutacije BRCA1/2 ne utiče na kliničku korist atezolizumaba i nab</w:t>
      </w:r>
      <w:r w:rsidRPr="00B35A22">
        <w:rPr>
          <w:sz w:val="22"/>
          <w:lang w:val="sr-Latn-ME"/>
        </w:rPr>
        <w:noBreakHyphen/>
        <w:t>paklitaksela u smislu PFS-a.</w:t>
      </w:r>
    </w:p>
    <w:p w14:paraId="522DEA78" w14:textId="18D051F4" w:rsidR="00557471" w:rsidRPr="00B35A22" w:rsidRDefault="00640028" w:rsidP="00B35A22">
      <w:pPr>
        <w:widowControl w:val="0"/>
        <w:jc w:val="both"/>
        <w:rPr>
          <w:b/>
          <w:sz w:val="22"/>
          <w:lang w:val="sr-Latn-ME"/>
        </w:rPr>
      </w:pPr>
      <w:r w:rsidRPr="00B35A22">
        <w:rPr>
          <w:sz w:val="22"/>
          <w:lang w:val="sr-Latn-ME"/>
        </w:rPr>
        <w:t>Nije bilo dokaza efikasnosti kod pacijenata sa asimptomatskim moždanim metastazama na početku ispitivanja; doduše, broj liječenih pacijenata bio je mali. Medijana PFS-a bila je 2,2 mjeseca u grupi liječenoj atezolizumabom plus nab</w:t>
      </w:r>
      <w:r w:rsidRPr="00B35A22">
        <w:rPr>
          <w:sz w:val="22"/>
          <w:lang w:val="sr-Latn-ME"/>
        </w:rPr>
        <w:noBreakHyphen/>
        <w:t>paklitakselom (n=15) u odnosu na 5,6 mjeseci u grupi koja je primala placebo plus nab</w:t>
      </w:r>
      <w:r w:rsidRPr="00B35A22">
        <w:rPr>
          <w:sz w:val="22"/>
          <w:lang w:val="sr-Latn-ME"/>
        </w:rPr>
        <w:noBreakHyphen/>
        <w:t>paklitaksel (n=11) (HR: 1,40; 95% CI: 0,57; 3,44).</w:t>
      </w:r>
    </w:p>
    <w:p w14:paraId="4FB274B8" w14:textId="77777777" w:rsidR="00557471" w:rsidRPr="00B35A22" w:rsidRDefault="00557471" w:rsidP="00B35A22">
      <w:pPr>
        <w:widowControl w:val="0"/>
        <w:jc w:val="both"/>
        <w:rPr>
          <w:b/>
          <w:bCs/>
          <w:sz w:val="22"/>
          <w:szCs w:val="20"/>
          <w:lang w:val="sr-Latn-ME" w:eastAsia="ja-JP"/>
        </w:rPr>
      </w:pPr>
    </w:p>
    <w:p w14:paraId="1153C090" w14:textId="58F1240C" w:rsidR="00D52D7D" w:rsidRPr="00B35A22" w:rsidRDefault="00D52D7D" w:rsidP="00B35A22">
      <w:pPr>
        <w:widowControl w:val="0"/>
        <w:jc w:val="both"/>
        <w:rPr>
          <w:b/>
          <w:sz w:val="22"/>
          <w:lang w:val="sr-Latn-ME"/>
        </w:rPr>
      </w:pPr>
      <w:r w:rsidRPr="00B35A22">
        <w:rPr>
          <w:b/>
          <w:sz w:val="22"/>
          <w:lang w:val="sr-Latn-ME"/>
        </w:rPr>
        <w:t xml:space="preserve">Tabela </w:t>
      </w:r>
      <w:r w:rsidR="00D46A5F" w:rsidRPr="00B35A22">
        <w:rPr>
          <w:b/>
          <w:bCs/>
          <w:sz w:val="22"/>
          <w:szCs w:val="20"/>
          <w:lang w:val="sr-Latn-ME" w:eastAsia="ja-JP"/>
        </w:rPr>
        <w:t>20</w:t>
      </w:r>
      <w:r w:rsidR="00D46A5F" w:rsidRPr="00B35A22">
        <w:rPr>
          <w:b/>
          <w:sz w:val="22"/>
          <w:lang w:val="sr-Latn-ME"/>
        </w:rPr>
        <w:t xml:space="preserve"> </w:t>
      </w:r>
      <w:r w:rsidRPr="00B35A22">
        <w:rPr>
          <w:b/>
          <w:sz w:val="22"/>
          <w:lang w:val="sr-Latn-ME"/>
        </w:rPr>
        <w:t>– Sažetak rezultata za efikasnost kod pacijenata sa PD-L1 ekspresijom ≥1% (IMpassion130)</w:t>
      </w:r>
    </w:p>
    <w:tbl>
      <w:tblPr>
        <w:tblpPr w:leftFromText="180" w:rightFromText="180" w:vertAnchor="text" w:horzAnchor="margin" w:tblpY="733"/>
        <w:tblW w:w="906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134"/>
      </w:tblGrid>
      <w:tr w:rsidR="00CC0044" w:rsidRPr="00B35A22" w14:paraId="06D67FB0" w14:textId="77777777" w:rsidTr="005124BA">
        <w:trPr>
          <w:tblHeader/>
        </w:trPr>
        <w:tc>
          <w:tcPr>
            <w:tcW w:w="4098" w:type="dxa"/>
            <w:tcBorders>
              <w:top w:val="single" w:sz="4" w:space="0" w:color="auto"/>
              <w:left w:val="single" w:sz="4" w:space="0" w:color="auto"/>
              <w:bottom w:val="single" w:sz="4" w:space="0" w:color="auto"/>
              <w:right w:val="nil"/>
            </w:tcBorders>
            <w:shd w:val="clear" w:color="auto" w:fill="D9D9D9"/>
            <w:hideMark/>
          </w:tcPr>
          <w:p w14:paraId="525FC0C6" w14:textId="552C0F0C" w:rsidR="00F86EB0" w:rsidRPr="00B35A22" w:rsidRDefault="00F86EB0" w:rsidP="00B35A22">
            <w:pPr>
              <w:widowControl w:val="0"/>
              <w:jc w:val="both"/>
              <w:rPr>
                <w:b/>
                <w:sz w:val="22"/>
                <w:lang w:val="sr-Latn-ME"/>
              </w:rPr>
            </w:pPr>
            <w:r w:rsidRPr="00B35A22">
              <w:rPr>
                <w:b/>
                <w:sz w:val="22"/>
                <w:lang w:val="sr-Latn-ME"/>
              </w:rPr>
              <w:t>Ključne mjere ishoda za efikasnost</w:t>
            </w:r>
          </w:p>
        </w:tc>
        <w:tc>
          <w:tcPr>
            <w:tcW w:w="2835" w:type="dxa"/>
            <w:gridSpan w:val="2"/>
            <w:tcBorders>
              <w:top w:val="single" w:sz="4" w:space="0" w:color="auto"/>
              <w:left w:val="nil"/>
              <w:bottom w:val="single" w:sz="4" w:space="0" w:color="auto"/>
              <w:right w:val="nil"/>
            </w:tcBorders>
            <w:shd w:val="clear" w:color="auto" w:fill="D9D9D9"/>
            <w:hideMark/>
          </w:tcPr>
          <w:p w14:paraId="3E7354C1" w14:textId="77777777" w:rsidR="00F86EB0" w:rsidRPr="00B35A22" w:rsidRDefault="00F86EB0" w:rsidP="00B35A22">
            <w:pPr>
              <w:widowControl w:val="0"/>
              <w:ind w:right="446"/>
              <w:jc w:val="both"/>
              <w:rPr>
                <w:b/>
                <w:sz w:val="22"/>
                <w:lang w:val="sr-Latn-ME"/>
              </w:rPr>
            </w:pPr>
            <w:r w:rsidRPr="00B35A22">
              <w:rPr>
                <w:b/>
                <w:sz w:val="22"/>
                <w:lang w:val="sr-Latn-ME"/>
              </w:rPr>
              <w:t>Atezolizumab + nab-paklitaksel</w:t>
            </w:r>
          </w:p>
        </w:tc>
        <w:tc>
          <w:tcPr>
            <w:tcW w:w="2134" w:type="dxa"/>
            <w:tcBorders>
              <w:top w:val="single" w:sz="4" w:space="0" w:color="auto"/>
              <w:left w:val="nil"/>
              <w:bottom w:val="single" w:sz="4" w:space="0" w:color="auto"/>
              <w:right w:val="single" w:sz="4" w:space="0" w:color="auto"/>
            </w:tcBorders>
            <w:shd w:val="clear" w:color="auto" w:fill="D9D9D9"/>
            <w:hideMark/>
          </w:tcPr>
          <w:p w14:paraId="69874E5F" w14:textId="77777777" w:rsidR="00F86EB0" w:rsidRPr="00B35A22" w:rsidRDefault="00F86EB0" w:rsidP="00B35A22">
            <w:pPr>
              <w:widowControl w:val="0"/>
              <w:ind w:right="28"/>
              <w:jc w:val="both"/>
              <w:rPr>
                <w:b/>
                <w:sz w:val="22"/>
                <w:lang w:val="sr-Latn-ME"/>
              </w:rPr>
            </w:pPr>
            <w:r w:rsidRPr="00B35A22">
              <w:rPr>
                <w:b/>
                <w:sz w:val="22"/>
                <w:lang w:val="sr-Latn-ME"/>
              </w:rPr>
              <w:t>Placebo + nab-paklitaksel</w:t>
            </w:r>
          </w:p>
        </w:tc>
      </w:tr>
      <w:tr w:rsidR="00CC0044" w:rsidRPr="00B35A22" w14:paraId="5156E73F" w14:textId="77777777" w:rsidTr="005124BA">
        <w:trPr>
          <w:trHeight w:val="92"/>
        </w:trPr>
        <w:tc>
          <w:tcPr>
            <w:tcW w:w="4098" w:type="dxa"/>
            <w:tcBorders>
              <w:top w:val="single" w:sz="4" w:space="0" w:color="auto"/>
              <w:left w:val="single" w:sz="4" w:space="0" w:color="auto"/>
              <w:bottom w:val="nil"/>
              <w:right w:val="nil"/>
            </w:tcBorders>
            <w:shd w:val="clear" w:color="auto" w:fill="auto"/>
          </w:tcPr>
          <w:p w14:paraId="6DED2900" w14:textId="77777777" w:rsidR="00F86EB0" w:rsidRPr="00B35A22" w:rsidRDefault="00F86EB0" w:rsidP="00B35A22">
            <w:pPr>
              <w:widowControl w:val="0"/>
              <w:jc w:val="both"/>
              <w:rPr>
                <w:b/>
                <w:sz w:val="22"/>
                <w:lang w:val="sr-Latn-ME"/>
              </w:rPr>
            </w:pPr>
            <w:r w:rsidRPr="00B35A22">
              <w:rPr>
                <w:b/>
                <w:i/>
                <w:sz w:val="22"/>
                <w:lang w:val="sr-Latn-ME"/>
              </w:rPr>
              <w:t>Primarne mjere ishoda za efikasnost</w:t>
            </w:r>
          </w:p>
        </w:tc>
        <w:tc>
          <w:tcPr>
            <w:tcW w:w="2835" w:type="dxa"/>
            <w:gridSpan w:val="2"/>
            <w:tcBorders>
              <w:top w:val="single" w:sz="4" w:space="0" w:color="auto"/>
              <w:left w:val="nil"/>
              <w:bottom w:val="nil"/>
              <w:right w:val="nil"/>
            </w:tcBorders>
            <w:shd w:val="clear" w:color="auto" w:fill="auto"/>
          </w:tcPr>
          <w:p w14:paraId="3E4AC954" w14:textId="77777777" w:rsidR="00F86EB0" w:rsidRPr="00B35A22" w:rsidRDefault="00F86EB0" w:rsidP="00B35A22">
            <w:pPr>
              <w:widowControl w:val="0"/>
              <w:jc w:val="both"/>
              <w:rPr>
                <w:b/>
                <w:sz w:val="22"/>
                <w:lang w:val="sr-Latn-ME"/>
              </w:rPr>
            </w:pPr>
            <w:r w:rsidRPr="00B35A22">
              <w:rPr>
                <w:b/>
                <w:sz w:val="22"/>
                <w:lang w:val="sr-Latn-ME"/>
              </w:rPr>
              <w:t>n=185</w:t>
            </w:r>
          </w:p>
        </w:tc>
        <w:tc>
          <w:tcPr>
            <w:tcW w:w="2134" w:type="dxa"/>
            <w:tcBorders>
              <w:top w:val="single" w:sz="4" w:space="0" w:color="auto"/>
              <w:left w:val="nil"/>
              <w:bottom w:val="nil"/>
              <w:right w:val="single" w:sz="4" w:space="0" w:color="auto"/>
            </w:tcBorders>
            <w:shd w:val="clear" w:color="auto" w:fill="auto"/>
          </w:tcPr>
          <w:p w14:paraId="561A7DBF" w14:textId="77777777" w:rsidR="00F86EB0" w:rsidRPr="00B35A22" w:rsidRDefault="00F86EB0" w:rsidP="00B35A22">
            <w:pPr>
              <w:widowControl w:val="0"/>
              <w:jc w:val="both"/>
              <w:rPr>
                <w:b/>
                <w:sz w:val="22"/>
                <w:lang w:val="sr-Latn-ME"/>
              </w:rPr>
            </w:pPr>
            <w:r w:rsidRPr="00B35A22">
              <w:rPr>
                <w:b/>
                <w:sz w:val="22"/>
                <w:lang w:val="sr-Latn-ME"/>
              </w:rPr>
              <w:t>n=184</w:t>
            </w:r>
          </w:p>
        </w:tc>
      </w:tr>
      <w:tr w:rsidR="00CC0044" w:rsidRPr="00B35A22" w14:paraId="0DA0B3C7" w14:textId="77777777" w:rsidTr="005124BA">
        <w:tc>
          <w:tcPr>
            <w:tcW w:w="5657" w:type="dxa"/>
            <w:gridSpan w:val="2"/>
            <w:tcBorders>
              <w:top w:val="single" w:sz="4" w:space="0" w:color="auto"/>
              <w:left w:val="single" w:sz="4" w:space="0" w:color="auto"/>
              <w:bottom w:val="nil"/>
              <w:right w:val="nil"/>
            </w:tcBorders>
            <w:shd w:val="clear" w:color="auto" w:fill="auto"/>
            <w:hideMark/>
          </w:tcPr>
          <w:p w14:paraId="0DF23415" w14:textId="77777777" w:rsidR="00F86EB0" w:rsidRPr="00B35A22" w:rsidRDefault="00F86EB0" w:rsidP="00B35A22">
            <w:pPr>
              <w:widowControl w:val="0"/>
              <w:jc w:val="both"/>
              <w:rPr>
                <w:b/>
                <w:sz w:val="22"/>
                <w:lang w:val="sr-Latn-ME"/>
              </w:rPr>
            </w:pPr>
            <w:r w:rsidRPr="00B35A22">
              <w:rPr>
                <w:b/>
                <w:sz w:val="22"/>
                <w:lang w:val="sr-Latn-ME"/>
              </w:rPr>
              <w:t>PFS prema procjeni istraživača (RECIST v1.1) – Primarna analiza</w:t>
            </w:r>
            <w:r w:rsidRPr="00B35A22">
              <w:rPr>
                <w:b/>
                <w:sz w:val="22"/>
                <w:vertAlign w:val="superscript"/>
                <w:lang w:val="sr-Latn-ME"/>
              </w:rPr>
              <w:t>3</w:t>
            </w:r>
          </w:p>
        </w:tc>
        <w:tc>
          <w:tcPr>
            <w:tcW w:w="1276" w:type="dxa"/>
            <w:tcBorders>
              <w:top w:val="single" w:sz="4" w:space="0" w:color="auto"/>
              <w:left w:val="nil"/>
              <w:bottom w:val="nil"/>
              <w:right w:val="nil"/>
            </w:tcBorders>
            <w:shd w:val="clear" w:color="auto" w:fill="auto"/>
          </w:tcPr>
          <w:p w14:paraId="1FC4B517" w14:textId="77777777" w:rsidR="00F86EB0" w:rsidRPr="00B35A22" w:rsidRDefault="00F86EB0" w:rsidP="00B35A22">
            <w:pPr>
              <w:widowControl w:val="0"/>
              <w:jc w:val="both"/>
              <w:rPr>
                <w:b/>
                <w:sz w:val="22"/>
                <w:lang w:val="sr-Latn-ME"/>
              </w:rPr>
            </w:pPr>
          </w:p>
        </w:tc>
        <w:tc>
          <w:tcPr>
            <w:tcW w:w="2134" w:type="dxa"/>
            <w:tcBorders>
              <w:top w:val="single" w:sz="4" w:space="0" w:color="auto"/>
              <w:left w:val="nil"/>
              <w:bottom w:val="nil"/>
              <w:right w:val="single" w:sz="4" w:space="0" w:color="auto"/>
            </w:tcBorders>
            <w:shd w:val="clear" w:color="auto" w:fill="auto"/>
          </w:tcPr>
          <w:p w14:paraId="5863F451" w14:textId="77777777" w:rsidR="00F86EB0" w:rsidRPr="00B35A22" w:rsidRDefault="00F86EB0" w:rsidP="00B35A22">
            <w:pPr>
              <w:widowControl w:val="0"/>
              <w:jc w:val="both"/>
              <w:rPr>
                <w:b/>
                <w:sz w:val="22"/>
                <w:lang w:val="sr-Latn-ME"/>
              </w:rPr>
            </w:pPr>
          </w:p>
        </w:tc>
      </w:tr>
      <w:tr w:rsidR="00CC0044" w:rsidRPr="00B35A22" w14:paraId="710A1F5A" w14:textId="77777777" w:rsidTr="005124BA">
        <w:tc>
          <w:tcPr>
            <w:tcW w:w="4098" w:type="dxa"/>
            <w:tcBorders>
              <w:top w:val="nil"/>
              <w:left w:val="single" w:sz="4" w:space="0" w:color="auto"/>
              <w:bottom w:val="nil"/>
              <w:right w:val="nil"/>
            </w:tcBorders>
            <w:shd w:val="clear" w:color="auto" w:fill="auto"/>
            <w:hideMark/>
          </w:tcPr>
          <w:p w14:paraId="691D7F6E" w14:textId="77777777" w:rsidR="00F86EB0" w:rsidRPr="00B35A22" w:rsidRDefault="00F86EB0" w:rsidP="00B35A22">
            <w:pPr>
              <w:widowControl w:val="0"/>
              <w:jc w:val="both"/>
              <w:rPr>
                <w:sz w:val="22"/>
                <w:lang w:val="sr-Latn-ME"/>
              </w:rPr>
            </w:pPr>
            <w:r w:rsidRPr="00B35A22">
              <w:rPr>
                <w:sz w:val="22"/>
                <w:lang w:val="sr-Latn-ME"/>
              </w:rPr>
              <w:t>Broj događaja (%)</w:t>
            </w:r>
          </w:p>
        </w:tc>
        <w:tc>
          <w:tcPr>
            <w:tcW w:w="2835" w:type="dxa"/>
            <w:gridSpan w:val="2"/>
            <w:tcBorders>
              <w:top w:val="nil"/>
              <w:left w:val="nil"/>
              <w:bottom w:val="nil"/>
              <w:right w:val="nil"/>
            </w:tcBorders>
            <w:shd w:val="clear" w:color="auto" w:fill="auto"/>
          </w:tcPr>
          <w:p w14:paraId="2BAE8A43" w14:textId="77777777" w:rsidR="00F86EB0" w:rsidRPr="00B35A22" w:rsidRDefault="00F86EB0" w:rsidP="00B35A22">
            <w:pPr>
              <w:widowControl w:val="0"/>
              <w:jc w:val="both"/>
              <w:rPr>
                <w:sz w:val="22"/>
                <w:lang w:val="sr-Latn-ME"/>
              </w:rPr>
            </w:pPr>
            <w:r w:rsidRPr="00B35A22">
              <w:rPr>
                <w:sz w:val="22"/>
                <w:lang w:val="sr-Latn-ME"/>
              </w:rPr>
              <w:t>138 (74,6%)</w:t>
            </w:r>
          </w:p>
        </w:tc>
        <w:tc>
          <w:tcPr>
            <w:tcW w:w="2134" w:type="dxa"/>
            <w:tcBorders>
              <w:top w:val="nil"/>
              <w:left w:val="nil"/>
              <w:bottom w:val="nil"/>
              <w:right w:val="single" w:sz="4" w:space="0" w:color="auto"/>
            </w:tcBorders>
            <w:shd w:val="clear" w:color="auto" w:fill="auto"/>
          </w:tcPr>
          <w:p w14:paraId="61FAE403" w14:textId="77777777" w:rsidR="00F86EB0" w:rsidRPr="00B35A22" w:rsidRDefault="00F86EB0" w:rsidP="00B35A22">
            <w:pPr>
              <w:widowControl w:val="0"/>
              <w:jc w:val="both"/>
              <w:rPr>
                <w:sz w:val="22"/>
                <w:lang w:val="sr-Latn-ME"/>
              </w:rPr>
            </w:pPr>
            <w:r w:rsidRPr="00B35A22">
              <w:rPr>
                <w:sz w:val="22"/>
                <w:lang w:val="sr-Latn-ME"/>
              </w:rPr>
              <w:t>157 (85,3%)</w:t>
            </w:r>
          </w:p>
        </w:tc>
      </w:tr>
      <w:tr w:rsidR="00CC0044" w:rsidRPr="00B35A22" w14:paraId="44ADB225" w14:textId="77777777" w:rsidTr="005124BA">
        <w:tc>
          <w:tcPr>
            <w:tcW w:w="4098" w:type="dxa"/>
            <w:tcBorders>
              <w:top w:val="nil"/>
              <w:left w:val="single" w:sz="4" w:space="0" w:color="auto"/>
              <w:bottom w:val="nil"/>
              <w:right w:val="nil"/>
            </w:tcBorders>
            <w:shd w:val="clear" w:color="auto" w:fill="auto"/>
            <w:hideMark/>
          </w:tcPr>
          <w:p w14:paraId="2C61BEDA" w14:textId="77777777" w:rsidR="00F86EB0" w:rsidRPr="00B35A22" w:rsidRDefault="00F86EB0" w:rsidP="00B35A22">
            <w:pPr>
              <w:widowControl w:val="0"/>
              <w:jc w:val="both"/>
              <w:rPr>
                <w:sz w:val="22"/>
                <w:lang w:val="sr-Latn-ME"/>
              </w:rPr>
            </w:pPr>
            <w:r w:rsidRPr="00B35A22">
              <w:rPr>
                <w:sz w:val="22"/>
                <w:lang w:val="sr-Latn-ME"/>
              </w:rPr>
              <w:t>Medijana trajanja PFS (mjeseci)</w:t>
            </w:r>
          </w:p>
        </w:tc>
        <w:tc>
          <w:tcPr>
            <w:tcW w:w="2835" w:type="dxa"/>
            <w:gridSpan w:val="2"/>
            <w:tcBorders>
              <w:top w:val="nil"/>
              <w:left w:val="nil"/>
              <w:bottom w:val="nil"/>
              <w:right w:val="nil"/>
            </w:tcBorders>
            <w:shd w:val="clear" w:color="auto" w:fill="auto"/>
          </w:tcPr>
          <w:p w14:paraId="3CE36E1D" w14:textId="77777777" w:rsidR="00F86EB0" w:rsidRPr="00B35A22" w:rsidRDefault="00F86EB0" w:rsidP="00B35A22">
            <w:pPr>
              <w:widowControl w:val="0"/>
              <w:jc w:val="both"/>
              <w:rPr>
                <w:sz w:val="22"/>
                <w:lang w:val="sr-Latn-ME"/>
              </w:rPr>
            </w:pPr>
            <w:r w:rsidRPr="00B35A22">
              <w:rPr>
                <w:sz w:val="22"/>
                <w:lang w:val="sr-Latn-ME"/>
              </w:rPr>
              <w:t>7,5</w:t>
            </w:r>
          </w:p>
        </w:tc>
        <w:tc>
          <w:tcPr>
            <w:tcW w:w="2134" w:type="dxa"/>
            <w:tcBorders>
              <w:top w:val="nil"/>
              <w:left w:val="nil"/>
              <w:bottom w:val="nil"/>
              <w:right w:val="single" w:sz="4" w:space="0" w:color="auto"/>
            </w:tcBorders>
            <w:shd w:val="clear" w:color="auto" w:fill="auto"/>
          </w:tcPr>
          <w:p w14:paraId="7C041BDC" w14:textId="77777777" w:rsidR="00F86EB0" w:rsidRPr="00B35A22" w:rsidRDefault="00F86EB0" w:rsidP="00B35A22">
            <w:pPr>
              <w:widowControl w:val="0"/>
              <w:jc w:val="both"/>
              <w:rPr>
                <w:sz w:val="22"/>
                <w:lang w:val="sr-Latn-ME"/>
              </w:rPr>
            </w:pPr>
            <w:r w:rsidRPr="00B35A22">
              <w:rPr>
                <w:sz w:val="22"/>
                <w:lang w:val="sr-Latn-ME"/>
              </w:rPr>
              <w:t>5,0</w:t>
            </w:r>
          </w:p>
        </w:tc>
      </w:tr>
      <w:tr w:rsidR="00CC0044" w:rsidRPr="00B35A22" w14:paraId="54B280B5" w14:textId="77777777" w:rsidTr="005124BA">
        <w:tc>
          <w:tcPr>
            <w:tcW w:w="4098" w:type="dxa"/>
            <w:tcBorders>
              <w:top w:val="nil"/>
              <w:left w:val="single" w:sz="4" w:space="0" w:color="auto"/>
              <w:bottom w:val="nil"/>
              <w:right w:val="nil"/>
            </w:tcBorders>
            <w:shd w:val="clear" w:color="auto" w:fill="auto"/>
            <w:hideMark/>
          </w:tcPr>
          <w:p w14:paraId="56980C95" w14:textId="77777777" w:rsidR="00F86EB0" w:rsidRPr="00B35A22" w:rsidRDefault="00F86EB0" w:rsidP="00B35A22">
            <w:pPr>
              <w:widowControl w:val="0"/>
              <w:jc w:val="both"/>
              <w:rPr>
                <w:sz w:val="22"/>
                <w:lang w:val="sr-Latn-ME"/>
              </w:rPr>
            </w:pPr>
            <w:r w:rsidRPr="00B35A22">
              <w:rPr>
                <w:sz w:val="22"/>
                <w:lang w:val="sr-Latn-ME"/>
              </w:rPr>
              <w:t>95% CI</w:t>
            </w:r>
          </w:p>
        </w:tc>
        <w:tc>
          <w:tcPr>
            <w:tcW w:w="2835" w:type="dxa"/>
            <w:gridSpan w:val="2"/>
            <w:tcBorders>
              <w:top w:val="nil"/>
              <w:left w:val="nil"/>
              <w:bottom w:val="nil"/>
              <w:right w:val="nil"/>
            </w:tcBorders>
            <w:shd w:val="clear" w:color="auto" w:fill="auto"/>
          </w:tcPr>
          <w:p w14:paraId="2227937C" w14:textId="77777777" w:rsidR="00F86EB0" w:rsidRPr="00B35A22" w:rsidRDefault="00F86EB0" w:rsidP="00B35A22">
            <w:pPr>
              <w:widowControl w:val="0"/>
              <w:jc w:val="both"/>
              <w:rPr>
                <w:sz w:val="22"/>
                <w:lang w:val="sr-Latn-ME"/>
              </w:rPr>
            </w:pPr>
            <w:r w:rsidRPr="00B35A22">
              <w:rPr>
                <w:sz w:val="22"/>
                <w:lang w:val="sr-Latn-ME"/>
              </w:rPr>
              <w:t>(6,7, 9,2)</w:t>
            </w:r>
          </w:p>
        </w:tc>
        <w:tc>
          <w:tcPr>
            <w:tcW w:w="2134" w:type="dxa"/>
            <w:tcBorders>
              <w:top w:val="nil"/>
              <w:left w:val="nil"/>
              <w:bottom w:val="nil"/>
              <w:right w:val="single" w:sz="4" w:space="0" w:color="auto"/>
            </w:tcBorders>
            <w:shd w:val="clear" w:color="auto" w:fill="auto"/>
          </w:tcPr>
          <w:p w14:paraId="6351D057" w14:textId="77777777" w:rsidR="00F86EB0" w:rsidRPr="00B35A22" w:rsidRDefault="00F86EB0" w:rsidP="00B35A22">
            <w:pPr>
              <w:widowControl w:val="0"/>
              <w:jc w:val="both"/>
              <w:rPr>
                <w:sz w:val="22"/>
                <w:lang w:val="sr-Latn-ME"/>
              </w:rPr>
            </w:pPr>
            <w:r w:rsidRPr="00B35A22">
              <w:rPr>
                <w:sz w:val="22"/>
                <w:lang w:val="sr-Latn-ME"/>
              </w:rPr>
              <w:t>(3,8, 5,6)</w:t>
            </w:r>
          </w:p>
        </w:tc>
      </w:tr>
      <w:tr w:rsidR="00CC0044" w:rsidRPr="00B35A22" w14:paraId="2E9400B8" w14:textId="77777777" w:rsidTr="005124BA">
        <w:tc>
          <w:tcPr>
            <w:tcW w:w="4098" w:type="dxa"/>
            <w:tcBorders>
              <w:top w:val="nil"/>
              <w:left w:val="single" w:sz="4" w:space="0" w:color="auto"/>
              <w:bottom w:val="nil"/>
              <w:right w:val="nil"/>
            </w:tcBorders>
            <w:shd w:val="clear" w:color="auto" w:fill="auto"/>
            <w:hideMark/>
          </w:tcPr>
          <w:p w14:paraId="5F007732" w14:textId="77777777" w:rsidR="00F86EB0" w:rsidRPr="00B35A22" w:rsidRDefault="00F86EB0" w:rsidP="00B35A22">
            <w:pPr>
              <w:widowControl w:val="0"/>
              <w:jc w:val="both"/>
              <w:rPr>
                <w:sz w:val="22"/>
                <w:lang w:val="sr-Latn-ME"/>
              </w:rPr>
            </w:pPr>
            <w:r w:rsidRPr="00B35A22">
              <w:rPr>
                <w:sz w:val="22"/>
                <w:lang w:val="sr-Latn-ME"/>
              </w:rPr>
              <w:t>Stratifikovan koeficijent rizika ‡ (95% CI)</w:t>
            </w:r>
          </w:p>
        </w:tc>
        <w:tc>
          <w:tcPr>
            <w:tcW w:w="4969" w:type="dxa"/>
            <w:gridSpan w:val="3"/>
            <w:tcBorders>
              <w:top w:val="nil"/>
              <w:left w:val="nil"/>
              <w:bottom w:val="nil"/>
              <w:right w:val="single" w:sz="4" w:space="0" w:color="auto"/>
            </w:tcBorders>
            <w:shd w:val="clear" w:color="auto" w:fill="auto"/>
          </w:tcPr>
          <w:p w14:paraId="2FE99208" w14:textId="77777777" w:rsidR="00F86EB0" w:rsidRPr="00B35A22" w:rsidRDefault="00F86EB0" w:rsidP="00B35A22">
            <w:pPr>
              <w:widowControl w:val="0"/>
              <w:jc w:val="both"/>
              <w:rPr>
                <w:sz w:val="22"/>
                <w:lang w:val="sr-Latn-ME"/>
              </w:rPr>
            </w:pPr>
            <w:r w:rsidRPr="00B35A22">
              <w:rPr>
                <w:sz w:val="22"/>
                <w:lang w:val="sr-Latn-ME"/>
              </w:rPr>
              <w:t xml:space="preserve">                  0,62 (0,49, 0,78)</w:t>
            </w:r>
          </w:p>
        </w:tc>
      </w:tr>
      <w:tr w:rsidR="00CC0044" w:rsidRPr="00B35A22" w14:paraId="5A9FC9CA" w14:textId="77777777" w:rsidTr="005124BA">
        <w:tc>
          <w:tcPr>
            <w:tcW w:w="4098" w:type="dxa"/>
            <w:tcBorders>
              <w:top w:val="nil"/>
              <w:left w:val="single" w:sz="4" w:space="0" w:color="auto"/>
              <w:bottom w:val="nil"/>
              <w:right w:val="nil"/>
            </w:tcBorders>
            <w:shd w:val="clear" w:color="auto" w:fill="auto"/>
            <w:hideMark/>
          </w:tcPr>
          <w:p w14:paraId="7EEC5514" w14:textId="77777777" w:rsidR="00F86EB0" w:rsidRPr="00B35A22" w:rsidRDefault="00F86EB0" w:rsidP="00B35A22">
            <w:pPr>
              <w:widowControl w:val="0"/>
              <w:jc w:val="both"/>
              <w:rPr>
                <w:sz w:val="22"/>
                <w:lang w:val="sr-Latn-ME"/>
              </w:rPr>
            </w:pPr>
            <w:r w:rsidRPr="00B35A22">
              <w:rPr>
                <w:sz w:val="22"/>
                <w:lang w:val="sr-Latn-ME"/>
              </w:rPr>
              <w:t>p-vrijednost</w:t>
            </w:r>
            <w:r w:rsidRPr="00B35A22">
              <w:rPr>
                <w:sz w:val="22"/>
                <w:vertAlign w:val="superscript"/>
                <w:lang w:val="sr-Latn-ME"/>
              </w:rPr>
              <w:t xml:space="preserve">1 </w:t>
            </w:r>
          </w:p>
        </w:tc>
        <w:tc>
          <w:tcPr>
            <w:tcW w:w="4969" w:type="dxa"/>
            <w:gridSpan w:val="3"/>
            <w:tcBorders>
              <w:top w:val="nil"/>
              <w:left w:val="nil"/>
              <w:bottom w:val="nil"/>
              <w:right w:val="single" w:sz="4" w:space="0" w:color="auto"/>
            </w:tcBorders>
            <w:shd w:val="clear" w:color="auto" w:fill="auto"/>
          </w:tcPr>
          <w:p w14:paraId="4B88CFFC" w14:textId="77777777" w:rsidR="00F86EB0" w:rsidRPr="00B35A22" w:rsidRDefault="00F86EB0" w:rsidP="00B35A22">
            <w:pPr>
              <w:widowControl w:val="0"/>
              <w:jc w:val="both"/>
              <w:rPr>
                <w:sz w:val="22"/>
                <w:lang w:val="sr-Latn-ME"/>
              </w:rPr>
            </w:pPr>
            <w:r w:rsidRPr="00B35A22">
              <w:rPr>
                <w:sz w:val="22"/>
                <w:lang w:val="sr-Latn-ME"/>
              </w:rPr>
              <w:t xml:space="preserve">                         &lt;0,0001</w:t>
            </w:r>
          </w:p>
        </w:tc>
      </w:tr>
      <w:tr w:rsidR="00CC0044" w:rsidRPr="00B35A22" w14:paraId="283B3C0D" w14:textId="77777777" w:rsidTr="005124BA">
        <w:tc>
          <w:tcPr>
            <w:tcW w:w="4098" w:type="dxa"/>
            <w:tcBorders>
              <w:top w:val="nil"/>
              <w:left w:val="single" w:sz="4" w:space="0" w:color="auto"/>
              <w:bottom w:val="single" w:sz="4" w:space="0" w:color="auto"/>
              <w:right w:val="nil"/>
            </w:tcBorders>
            <w:shd w:val="clear" w:color="auto" w:fill="auto"/>
          </w:tcPr>
          <w:p w14:paraId="3F0D4305" w14:textId="77777777" w:rsidR="00F86EB0" w:rsidRPr="00B35A22" w:rsidRDefault="00F86EB0" w:rsidP="00B35A22">
            <w:pPr>
              <w:widowControl w:val="0"/>
              <w:jc w:val="both"/>
              <w:rPr>
                <w:sz w:val="22"/>
                <w:lang w:val="sr-Latn-ME"/>
              </w:rPr>
            </w:pPr>
            <w:r w:rsidRPr="00B35A22">
              <w:rPr>
                <w:sz w:val="22"/>
                <w:lang w:val="sr-Latn-ME"/>
              </w:rPr>
              <w:t>12-mjesečni PFS (%)</w:t>
            </w:r>
          </w:p>
        </w:tc>
        <w:tc>
          <w:tcPr>
            <w:tcW w:w="2835" w:type="dxa"/>
            <w:gridSpan w:val="2"/>
            <w:tcBorders>
              <w:top w:val="nil"/>
              <w:left w:val="nil"/>
              <w:bottom w:val="single" w:sz="4" w:space="0" w:color="auto"/>
              <w:right w:val="nil"/>
            </w:tcBorders>
            <w:shd w:val="clear" w:color="auto" w:fill="auto"/>
          </w:tcPr>
          <w:p w14:paraId="7AD0DB39" w14:textId="77777777" w:rsidR="00F86EB0" w:rsidRPr="00B35A22" w:rsidRDefault="00F86EB0" w:rsidP="00B35A22">
            <w:pPr>
              <w:widowControl w:val="0"/>
              <w:jc w:val="both"/>
              <w:rPr>
                <w:sz w:val="22"/>
                <w:lang w:val="sr-Latn-ME"/>
              </w:rPr>
            </w:pPr>
            <w:r w:rsidRPr="00B35A22">
              <w:rPr>
                <w:sz w:val="22"/>
                <w:lang w:val="sr-Latn-ME"/>
              </w:rPr>
              <w:t>29,1</w:t>
            </w:r>
          </w:p>
        </w:tc>
        <w:tc>
          <w:tcPr>
            <w:tcW w:w="2134" w:type="dxa"/>
            <w:tcBorders>
              <w:top w:val="nil"/>
              <w:left w:val="nil"/>
              <w:bottom w:val="single" w:sz="4" w:space="0" w:color="auto"/>
              <w:right w:val="single" w:sz="4" w:space="0" w:color="auto"/>
            </w:tcBorders>
            <w:shd w:val="clear" w:color="auto" w:fill="auto"/>
          </w:tcPr>
          <w:p w14:paraId="397713B1" w14:textId="77777777" w:rsidR="00F86EB0" w:rsidRPr="00B35A22" w:rsidRDefault="00F86EB0" w:rsidP="00B35A22">
            <w:pPr>
              <w:widowControl w:val="0"/>
              <w:jc w:val="both"/>
              <w:rPr>
                <w:sz w:val="22"/>
                <w:lang w:val="sr-Latn-ME"/>
              </w:rPr>
            </w:pPr>
            <w:r w:rsidRPr="00B35A22">
              <w:rPr>
                <w:sz w:val="22"/>
                <w:lang w:val="sr-Latn-ME"/>
              </w:rPr>
              <w:t>16,4</w:t>
            </w:r>
          </w:p>
        </w:tc>
      </w:tr>
      <w:tr w:rsidR="00F86EB0" w:rsidRPr="00B35A22" w14:paraId="370BC452" w14:textId="77777777" w:rsidTr="0065270B">
        <w:tc>
          <w:tcPr>
            <w:tcW w:w="9067" w:type="dxa"/>
            <w:gridSpan w:val="4"/>
            <w:tcBorders>
              <w:top w:val="single" w:sz="4" w:space="0" w:color="auto"/>
              <w:left w:val="single" w:sz="4" w:space="0" w:color="auto"/>
              <w:bottom w:val="nil"/>
              <w:right w:val="single" w:sz="4" w:space="0" w:color="auto"/>
            </w:tcBorders>
            <w:shd w:val="clear" w:color="auto" w:fill="auto"/>
          </w:tcPr>
          <w:p w14:paraId="037B94E5" w14:textId="77777777" w:rsidR="00F86EB0" w:rsidRPr="00B35A22" w:rsidRDefault="00F86EB0" w:rsidP="00B35A22">
            <w:pPr>
              <w:widowControl w:val="0"/>
              <w:jc w:val="both"/>
              <w:rPr>
                <w:b/>
                <w:sz w:val="22"/>
                <w:lang w:val="sr-Latn-ME"/>
              </w:rPr>
            </w:pPr>
            <w:r w:rsidRPr="00B35A22">
              <w:rPr>
                <w:b/>
                <w:sz w:val="22"/>
                <w:lang w:val="sr-Latn-ME"/>
              </w:rPr>
              <w:t>PFS prema procjeni istraživača (RECIST v1.1) – Eksploracijska analiza ažuriranih podataka</w:t>
            </w:r>
            <w:r w:rsidRPr="00B35A22">
              <w:rPr>
                <w:b/>
                <w:sz w:val="22"/>
                <w:vertAlign w:val="superscript"/>
                <w:lang w:val="sr-Latn-ME"/>
              </w:rPr>
              <w:t>4</w:t>
            </w:r>
          </w:p>
        </w:tc>
      </w:tr>
      <w:tr w:rsidR="00CC0044" w:rsidRPr="00B35A22" w14:paraId="411F23E7" w14:textId="77777777" w:rsidTr="005124BA">
        <w:tc>
          <w:tcPr>
            <w:tcW w:w="4098" w:type="dxa"/>
            <w:tcBorders>
              <w:top w:val="nil"/>
              <w:left w:val="single" w:sz="4" w:space="0" w:color="auto"/>
              <w:bottom w:val="nil"/>
              <w:right w:val="nil"/>
            </w:tcBorders>
            <w:shd w:val="clear" w:color="auto" w:fill="auto"/>
          </w:tcPr>
          <w:p w14:paraId="5977614B" w14:textId="77777777" w:rsidR="00F86EB0" w:rsidRPr="00B35A22" w:rsidRDefault="00F86EB0" w:rsidP="00B35A22">
            <w:pPr>
              <w:widowControl w:val="0"/>
              <w:jc w:val="both"/>
              <w:rPr>
                <w:sz w:val="22"/>
                <w:lang w:val="sr-Latn-ME"/>
              </w:rPr>
            </w:pPr>
            <w:r w:rsidRPr="00B35A22">
              <w:rPr>
                <w:sz w:val="22"/>
                <w:lang w:val="sr-Latn-ME"/>
              </w:rPr>
              <w:t>Broj događaja (%)</w:t>
            </w:r>
          </w:p>
        </w:tc>
        <w:tc>
          <w:tcPr>
            <w:tcW w:w="2835" w:type="dxa"/>
            <w:gridSpan w:val="2"/>
            <w:tcBorders>
              <w:top w:val="nil"/>
              <w:left w:val="nil"/>
              <w:bottom w:val="nil"/>
              <w:right w:val="nil"/>
            </w:tcBorders>
            <w:shd w:val="clear" w:color="auto" w:fill="auto"/>
          </w:tcPr>
          <w:p w14:paraId="53DC5C7A" w14:textId="77777777" w:rsidR="00F86EB0" w:rsidRPr="00B35A22" w:rsidRDefault="00F86EB0" w:rsidP="00B35A22">
            <w:pPr>
              <w:widowControl w:val="0"/>
              <w:jc w:val="both"/>
              <w:rPr>
                <w:sz w:val="22"/>
                <w:lang w:val="sr-Latn-ME"/>
              </w:rPr>
            </w:pPr>
            <w:r w:rsidRPr="00B35A22">
              <w:rPr>
                <w:sz w:val="22"/>
                <w:lang w:val="sr-Latn-ME"/>
              </w:rPr>
              <w:t>149 (80,5%)</w:t>
            </w:r>
          </w:p>
        </w:tc>
        <w:tc>
          <w:tcPr>
            <w:tcW w:w="2134" w:type="dxa"/>
            <w:tcBorders>
              <w:top w:val="nil"/>
              <w:left w:val="nil"/>
              <w:bottom w:val="nil"/>
              <w:right w:val="single" w:sz="4" w:space="0" w:color="auto"/>
            </w:tcBorders>
            <w:shd w:val="clear" w:color="auto" w:fill="auto"/>
          </w:tcPr>
          <w:p w14:paraId="47D4932E" w14:textId="77777777" w:rsidR="00F86EB0" w:rsidRPr="00B35A22" w:rsidRDefault="00F86EB0" w:rsidP="00B35A22">
            <w:pPr>
              <w:widowControl w:val="0"/>
              <w:jc w:val="both"/>
              <w:rPr>
                <w:sz w:val="22"/>
                <w:lang w:val="sr-Latn-ME"/>
              </w:rPr>
            </w:pPr>
            <w:r w:rsidRPr="00B35A22">
              <w:rPr>
                <w:sz w:val="22"/>
                <w:lang w:val="sr-Latn-ME"/>
              </w:rPr>
              <w:t>163 (88,6%)</w:t>
            </w:r>
          </w:p>
        </w:tc>
      </w:tr>
      <w:tr w:rsidR="00CC0044" w:rsidRPr="00B35A22" w14:paraId="712B2FB1" w14:textId="77777777" w:rsidTr="005124BA">
        <w:tc>
          <w:tcPr>
            <w:tcW w:w="4098" w:type="dxa"/>
            <w:tcBorders>
              <w:top w:val="nil"/>
              <w:left w:val="single" w:sz="4" w:space="0" w:color="auto"/>
              <w:bottom w:val="nil"/>
              <w:right w:val="nil"/>
            </w:tcBorders>
            <w:shd w:val="clear" w:color="auto" w:fill="auto"/>
          </w:tcPr>
          <w:p w14:paraId="62B126BD" w14:textId="77777777" w:rsidR="00F86EB0" w:rsidRPr="00B35A22" w:rsidRDefault="00F86EB0" w:rsidP="00B35A22">
            <w:pPr>
              <w:widowControl w:val="0"/>
              <w:jc w:val="both"/>
              <w:rPr>
                <w:sz w:val="22"/>
                <w:lang w:val="sr-Latn-ME"/>
              </w:rPr>
            </w:pPr>
            <w:r w:rsidRPr="00B35A22">
              <w:rPr>
                <w:sz w:val="22"/>
                <w:lang w:val="sr-Latn-ME"/>
              </w:rPr>
              <w:lastRenderedPageBreak/>
              <w:t>Medijana trajanja PFS (mjeseci)</w:t>
            </w:r>
          </w:p>
        </w:tc>
        <w:tc>
          <w:tcPr>
            <w:tcW w:w="2835" w:type="dxa"/>
            <w:gridSpan w:val="2"/>
            <w:tcBorders>
              <w:top w:val="nil"/>
              <w:left w:val="nil"/>
              <w:bottom w:val="nil"/>
              <w:right w:val="nil"/>
            </w:tcBorders>
            <w:shd w:val="clear" w:color="auto" w:fill="auto"/>
          </w:tcPr>
          <w:p w14:paraId="412807FD" w14:textId="77777777" w:rsidR="00F86EB0" w:rsidRPr="00B35A22" w:rsidRDefault="00F86EB0" w:rsidP="00B35A22">
            <w:pPr>
              <w:widowControl w:val="0"/>
              <w:jc w:val="both"/>
              <w:rPr>
                <w:sz w:val="22"/>
                <w:lang w:val="sr-Latn-ME"/>
              </w:rPr>
            </w:pPr>
            <w:r w:rsidRPr="00B35A22">
              <w:rPr>
                <w:sz w:val="22"/>
                <w:lang w:val="sr-Latn-ME"/>
              </w:rPr>
              <w:t>7,5</w:t>
            </w:r>
          </w:p>
        </w:tc>
        <w:tc>
          <w:tcPr>
            <w:tcW w:w="2134" w:type="dxa"/>
            <w:tcBorders>
              <w:top w:val="nil"/>
              <w:left w:val="nil"/>
              <w:bottom w:val="nil"/>
              <w:right w:val="single" w:sz="4" w:space="0" w:color="auto"/>
            </w:tcBorders>
            <w:shd w:val="clear" w:color="auto" w:fill="auto"/>
          </w:tcPr>
          <w:p w14:paraId="37C73AE5" w14:textId="77777777" w:rsidR="00F86EB0" w:rsidRPr="00B35A22" w:rsidRDefault="00F86EB0" w:rsidP="00B35A22">
            <w:pPr>
              <w:widowControl w:val="0"/>
              <w:jc w:val="both"/>
              <w:rPr>
                <w:sz w:val="22"/>
                <w:lang w:val="sr-Latn-ME"/>
              </w:rPr>
            </w:pPr>
            <w:r w:rsidRPr="00B35A22">
              <w:rPr>
                <w:sz w:val="22"/>
                <w:lang w:val="sr-Latn-ME"/>
              </w:rPr>
              <w:t>5,3</w:t>
            </w:r>
          </w:p>
        </w:tc>
      </w:tr>
      <w:tr w:rsidR="00CC0044" w:rsidRPr="00B35A22" w14:paraId="33599A8D" w14:textId="77777777" w:rsidTr="005124BA">
        <w:tc>
          <w:tcPr>
            <w:tcW w:w="4098" w:type="dxa"/>
            <w:tcBorders>
              <w:top w:val="nil"/>
              <w:left w:val="single" w:sz="4" w:space="0" w:color="auto"/>
              <w:bottom w:val="nil"/>
              <w:right w:val="nil"/>
            </w:tcBorders>
            <w:shd w:val="clear" w:color="auto" w:fill="auto"/>
          </w:tcPr>
          <w:p w14:paraId="20D1849A" w14:textId="77777777" w:rsidR="00F86EB0" w:rsidRPr="00B35A22" w:rsidRDefault="00F86EB0" w:rsidP="00B35A22">
            <w:pPr>
              <w:widowControl w:val="0"/>
              <w:jc w:val="both"/>
              <w:rPr>
                <w:sz w:val="22"/>
                <w:lang w:val="sr-Latn-ME"/>
              </w:rPr>
            </w:pPr>
            <w:r w:rsidRPr="00B35A22">
              <w:rPr>
                <w:sz w:val="22"/>
                <w:lang w:val="sr-Latn-ME"/>
              </w:rPr>
              <w:t>95% CI</w:t>
            </w:r>
          </w:p>
        </w:tc>
        <w:tc>
          <w:tcPr>
            <w:tcW w:w="2835" w:type="dxa"/>
            <w:gridSpan w:val="2"/>
            <w:tcBorders>
              <w:top w:val="nil"/>
              <w:left w:val="nil"/>
              <w:bottom w:val="nil"/>
              <w:right w:val="nil"/>
            </w:tcBorders>
            <w:shd w:val="clear" w:color="auto" w:fill="auto"/>
          </w:tcPr>
          <w:p w14:paraId="20D8BF9F" w14:textId="77777777" w:rsidR="00F86EB0" w:rsidRPr="00B35A22" w:rsidRDefault="00F86EB0" w:rsidP="00B35A22">
            <w:pPr>
              <w:widowControl w:val="0"/>
              <w:jc w:val="both"/>
              <w:rPr>
                <w:sz w:val="22"/>
                <w:lang w:val="sr-Latn-ME"/>
              </w:rPr>
            </w:pPr>
            <w:r w:rsidRPr="00B35A22">
              <w:rPr>
                <w:sz w:val="22"/>
                <w:lang w:val="sr-Latn-ME"/>
              </w:rPr>
              <w:t>(6,7, 9,2)</w:t>
            </w:r>
          </w:p>
        </w:tc>
        <w:tc>
          <w:tcPr>
            <w:tcW w:w="2134" w:type="dxa"/>
            <w:tcBorders>
              <w:top w:val="nil"/>
              <w:left w:val="nil"/>
              <w:bottom w:val="nil"/>
              <w:right w:val="single" w:sz="4" w:space="0" w:color="auto"/>
            </w:tcBorders>
            <w:shd w:val="clear" w:color="auto" w:fill="auto"/>
          </w:tcPr>
          <w:p w14:paraId="363BE8AA" w14:textId="77777777" w:rsidR="00F86EB0" w:rsidRPr="00B35A22" w:rsidRDefault="00F86EB0" w:rsidP="00B35A22">
            <w:pPr>
              <w:widowControl w:val="0"/>
              <w:jc w:val="both"/>
              <w:rPr>
                <w:sz w:val="22"/>
                <w:lang w:val="sr-Latn-ME"/>
              </w:rPr>
            </w:pPr>
            <w:r w:rsidRPr="00B35A22">
              <w:rPr>
                <w:sz w:val="22"/>
                <w:lang w:val="sr-Latn-ME"/>
              </w:rPr>
              <w:t>(3,8, 5,6)</w:t>
            </w:r>
          </w:p>
        </w:tc>
      </w:tr>
      <w:tr w:rsidR="00CC0044" w:rsidRPr="00B35A22" w14:paraId="156B6AC1" w14:textId="77777777" w:rsidTr="005124BA">
        <w:tc>
          <w:tcPr>
            <w:tcW w:w="4098" w:type="dxa"/>
            <w:tcBorders>
              <w:top w:val="nil"/>
              <w:left w:val="single" w:sz="4" w:space="0" w:color="auto"/>
              <w:bottom w:val="nil"/>
              <w:right w:val="nil"/>
            </w:tcBorders>
            <w:shd w:val="clear" w:color="auto" w:fill="auto"/>
          </w:tcPr>
          <w:p w14:paraId="0F8AD011" w14:textId="77777777" w:rsidR="00F86EB0" w:rsidRPr="00B35A22" w:rsidRDefault="00F86EB0" w:rsidP="00B35A22">
            <w:pPr>
              <w:widowControl w:val="0"/>
              <w:jc w:val="both"/>
              <w:rPr>
                <w:sz w:val="22"/>
                <w:lang w:val="sr-Latn-ME"/>
              </w:rPr>
            </w:pPr>
            <w:r w:rsidRPr="00B35A22">
              <w:rPr>
                <w:sz w:val="22"/>
                <w:lang w:val="sr-Latn-ME"/>
              </w:rPr>
              <w:t>Stratifikovan koeficijent rizika‡ (95% CI)</w:t>
            </w:r>
          </w:p>
        </w:tc>
        <w:tc>
          <w:tcPr>
            <w:tcW w:w="4969" w:type="dxa"/>
            <w:gridSpan w:val="3"/>
            <w:tcBorders>
              <w:top w:val="nil"/>
              <w:left w:val="nil"/>
              <w:bottom w:val="nil"/>
              <w:right w:val="single" w:sz="4" w:space="0" w:color="auto"/>
            </w:tcBorders>
            <w:shd w:val="clear" w:color="auto" w:fill="auto"/>
          </w:tcPr>
          <w:p w14:paraId="5B5CE288" w14:textId="77777777" w:rsidR="00F86EB0" w:rsidRPr="00B35A22" w:rsidRDefault="00F86EB0" w:rsidP="00B35A22">
            <w:pPr>
              <w:widowControl w:val="0"/>
              <w:jc w:val="both"/>
              <w:rPr>
                <w:sz w:val="22"/>
                <w:lang w:val="sr-Latn-ME"/>
              </w:rPr>
            </w:pPr>
            <w:r w:rsidRPr="00B35A22">
              <w:rPr>
                <w:sz w:val="22"/>
                <w:lang w:val="sr-Latn-ME"/>
              </w:rPr>
              <w:t xml:space="preserve">                  0,63 (0,50-0,80)</w:t>
            </w:r>
          </w:p>
        </w:tc>
      </w:tr>
      <w:tr w:rsidR="00CC0044" w:rsidRPr="00B35A22" w14:paraId="055A0807" w14:textId="77777777" w:rsidTr="005124BA">
        <w:tc>
          <w:tcPr>
            <w:tcW w:w="4098" w:type="dxa"/>
            <w:tcBorders>
              <w:top w:val="nil"/>
              <w:left w:val="single" w:sz="4" w:space="0" w:color="auto"/>
              <w:bottom w:val="nil"/>
              <w:right w:val="nil"/>
            </w:tcBorders>
            <w:shd w:val="clear" w:color="auto" w:fill="auto"/>
          </w:tcPr>
          <w:p w14:paraId="54EB1E71" w14:textId="77777777" w:rsidR="00F86EB0" w:rsidRPr="00B35A22" w:rsidRDefault="00F86EB0" w:rsidP="00B35A22">
            <w:pPr>
              <w:widowControl w:val="0"/>
              <w:jc w:val="both"/>
              <w:rPr>
                <w:sz w:val="22"/>
                <w:lang w:val="sr-Latn-ME"/>
              </w:rPr>
            </w:pPr>
            <w:r w:rsidRPr="00B35A22">
              <w:rPr>
                <w:sz w:val="22"/>
                <w:lang w:val="sr-Latn-ME"/>
              </w:rPr>
              <w:t>p-vrijednost</w:t>
            </w:r>
            <w:r w:rsidRPr="00B35A22">
              <w:rPr>
                <w:sz w:val="22"/>
                <w:vertAlign w:val="superscript"/>
                <w:lang w:val="sr-Latn-ME"/>
              </w:rPr>
              <w:t xml:space="preserve">1 </w:t>
            </w:r>
          </w:p>
        </w:tc>
        <w:tc>
          <w:tcPr>
            <w:tcW w:w="4969" w:type="dxa"/>
            <w:gridSpan w:val="3"/>
            <w:tcBorders>
              <w:top w:val="nil"/>
              <w:left w:val="nil"/>
              <w:bottom w:val="nil"/>
              <w:right w:val="single" w:sz="4" w:space="0" w:color="auto"/>
            </w:tcBorders>
            <w:shd w:val="clear" w:color="auto" w:fill="auto"/>
          </w:tcPr>
          <w:p w14:paraId="5AFBB4F5" w14:textId="77777777" w:rsidR="00F86EB0" w:rsidRPr="00B35A22" w:rsidRDefault="00F86EB0" w:rsidP="00B35A22">
            <w:pPr>
              <w:widowControl w:val="0"/>
              <w:jc w:val="both"/>
              <w:rPr>
                <w:sz w:val="22"/>
                <w:lang w:val="sr-Latn-ME"/>
              </w:rPr>
            </w:pPr>
            <w:r w:rsidRPr="00B35A22">
              <w:rPr>
                <w:sz w:val="22"/>
                <w:lang w:val="sr-Latn-ME"/>
              </w:rPr>
              <w:t xml:space="preserve">                        &lt;0,0001</w:t>
            </w:r>
          </w:p>
        </w:tc>
      </w:tr>
      <w:tr w:rsidR="00CC0044" w:rsidRPr="00B35A22" w14:paraId="181F7982" w14:textId="77777777" w:rsidTr="005124BA">
        <w:tc>
          <w:tcPr>
            <w:tcW w:w="4098" w:type="dxa"/>
            <w:tcBorders>
              <w:top w:val="nil"/>
              <w:left w:val="single" w:sz="4" w:space="0" w:color="auto"/>
              <w:bottom w:val="single" w:sz="4" w:space="0" w:color="auto"/>
              <w:right w:val="nil"/>
            </w:tcBorders>
            <w:shd w:val="clear" w:color="auto" w:fill="auto"/>
          </w:tcPr>
          <w:p w14:paraId="69F2B308" w14:textId="77777777" w:rsidR="00F86EB0" w:rsidRPr="00B35A22" w:rsidRDefault="00F86EB0" w:rsidP="00B35A22">
            <w:pPr>
              <w:widowControl w:val="0"/>
              <w:jc w:val="both"/>
              <w:rPr>
                <w:sz w:val="22"/>
                <w:lang w:val="sr-Latn-ME"/>
              </w:rPr>
            </w:pPr>
            <w:r w:rsidRPr="00B35A22">
              <w:rPr>
                <w:sz w:val="22"/>
                <w:lang w:val="sr-Latn-ME"/>
              </w:rPr>
              <w:t>12-mjesečni PFS (%)</w:t>
            </w:r>
          </w:p>
        </w:tc>
        <w:tc>
          <w:tcPr>
            <w:tcW w:w="2835" w:type="dxa"/>
            <w:gridSpan w:val="2"/>
            <w:tcBorders>
              <w:top w:val="nil"/>
              <w:left w:val="nil"/>
              <w:bottom w:val="single" w:sz="4" w:space="0" w:color="auto"/>
              <w:right w:val="nil"/>
            </w:tcBorders>
            <w:shd w:val="clear" w:color="auto" w:fill="auto"/>
          </w:tcPr>
          <w:p w14:paraId="1ECB267B" w14:textId="77777777" w:rsidR="00F86EB0" w:rsidRPr="00B35A22" w:rsidRDefault="00F86EB0" w:rsidP="00B35A22">
            <w:pPr>
              <w:widowControl w:val="0"/>
              <w:jc w:val="both"/>
              <w:rPr>
                <w:sz w:val="22"/>
                <w:lang w:val="sr-Latn-ME"/>
              </w:rPr>
            </w:pPr>
            <w:r w:rsidRPr="00B35A22">
              <w:rPr>
                <w:sz w:val="22"/>
                <w:lang w:val="sr-Latn-ME"/>
              </w:rPr>
              <w:t>30,3</w:t>
            </w:r>
          </w:p>
        </w:tc>
        <w:tc>
          <w:tcPr>
            <w:tcW w:w="2134" w:type="dxa"/>
            <w:tcBorders>
              <w:top w:val="nil"/>
              <w:left w:val="nil"/>
              <w:bottom w:val="single" w:sz="4" w:space="0" w:color="auto"/>
              <w:right w:val="single" w:sz="4" w:space="0" w:color="auto"/>
            </w:tcBorders>
            <w:shd w:val="clear" w:color="auto" w:fill="auto"/>
          </w:tcPr>
          <w:p w14:paraId="728FF7B9" w14:textId="77777777" w:rsidR="00F86EB0" w:rsidRPr="00B35A22" w:rsidRDefault="00F86EB0" w:rsidP="00B35A22">
            <w:pPr>
              <w:widowControl w:val="0"/>
              <w:jc w:val="both"/>
              <w:rPr>
                <w:sz w:val="22"/>
                <w:lang w:val="sr-Latn-ME"/>
              </w:rPr>
            </w:pPr>
            <w:r w:rsidRPr="00B35A22">
              <w:rPr>
                <w:sz w:val="22"/>
                <w:lang w:val="sr-Latn-ME"/>
              </w:rPr>
              <w:t>17,3</w:t>
            </w:r>
          </w:p>
        </w:tc>
      </w:tr>
      <w:tr w:rsidR="00CC0044" w:rsidRPr="00B35A22" w14:paraId="597E1CB7" w14:textId="77777777" w:rsidTr="005124BA">
        <w:tc>
          <w:tcPr>
            <w:tcW w:w="4098" w:type="dxa"/>
            <w:tcBorders>
              <w:top w:val="single" w:sz="4" w:space="0" w:color="auto"/>
              <w:left w:val="single" w:sz="4" w:space="0" w:color="auto"/>
              <w:bottom w:val="nil"/>
              <w:right w:val="nil"/>
            </w:tcBorders>
            <w:shd w:val="clear" w:color="auto" w:fill="auto"/>
            <w:hideMark/>
          </w:tcPr>
          <w:p w14:paraId="0A85291A" w14:textId="77777777" w:rsidR="00F86EB0" w:rsidRPr="00B35A22" w:rsidRDefault="00F86EB0" w:rsidP="00B35A22">
            <w:pPr>
              <w:widowControl w:val="0"/>
              <w:jc w:val="both"/>
              <w:rPr>
                <w:sz w:val="22"/>
                <w:lang w:val="sr-Latn-ME"/>
              </w:rPr>
            </w:pPr>
            <w:r w:rsidRPr="00B35A22">
              <w:rPr>
                <w:sz w:val="22"/>
                <w:lang w:val="sr-Latn-ME"/>
              </w:rPr>
              <w:t>OS</w:t>
            </w:r>
            <w:r w:rsidRPr="00B35A22">
              <w:rPr>
                <w:sz w:val="22"/>
                <w:vertAlign w:val="superscript"/>
                <w:lang w:val="sr-Latn-ME"/>
              </w:rPr>
              <w:t>1,2,5</w:t>
            </w:r>
            <w:r w:rsidRPr="00B35A22">
              <w:rPr>
                <w:sz w:val="22"/>
                <w:lang w:val="sr-Latn-ME"/>
              </w:rPr>
              <w:t xml:space="preserve"> </w:t>
            </w:r>
          </w:p>
        </w:tc>
        <w:tc>
          <w:tcPr>
            <w:tcW w:w="2835" w:type="dxa"/>
            <w:gridSpan w:val="2"/>
            <w:tcBorders>
              <w:top w:val="single" w:sz="4" w:space="0" w:color="auto"/>
              <w:left w:val="nil"/>
              <w:bottom w:val="nil"/>
              <w:right w:val="nil"/>
            </w:tcBorders>
            <w:shd w:val="clear" w:color="auto" w:fill="auto"/>
            <w:hideMark/>
          </w:tcPr>
          <w:p w14:paraId="318678C1" w14:textId="77777777" w:rsidR="00F86EB0" w:rsidRPr="00B35A22" w:rsidRDefault="00F86EB0" w:rsidP="00B35A22">
            <w:pPr>
              <w:widowControl w:val="0"/>
              <w:jc w:val="both"/>
              <w:rPr>
                <w:sz w:val="22"/>
                <w:lang w:val="sr-Latn-ME"/>
              </w:rPr>
            </w:pPr>
          </w:p>
        </w:tc>
        <w:tc>
          <w:tcPr>
            <w:tcW w:w="2134" w:type="dxa"/>
            <w:tcBorders>
              <w:top w:val="single" w:sz="4" w:space="0" w:color="auto"/>
              <w:left w:val="nil"/>
              <w:bottom w:val="nil"/>
              <w:right w:val="single" w:sz="4" w:space="0" w:color="auto"/>
            </w:tcBorders>
            <w:shd w:val="clear" w:color="auto" w:fill="auto"/>
            <w:hideMark/>
          </w:tcPr>
          <w:p w14:paraId="0ED34155" w14:textId="77777777" w:rsidR="00F86EB0" w:rsidRPr="00B35A22" w:rsidRDefault="00F86EB0" w:rsidP="00B35A22">
            <w:pPr>
              <w:widowControl w:val="0"/>
              <w:jc w:val="both"/>
              <w:rPr>
                <w:sz w:val="22"/>
                <w:lang w:val="sr-Latn-ME"/>
              </w:rPr>
            </w:pPr>
          </w:p>
        </w:tc>
      </w:tr>
      <w:tr w:rsidR="00CC0044" w:rsidRPr="00B35A22" w14:paraId="174949A3" w14:textId="77777777" w:rsidTr="005124BA">
        <w:tc>
          <w:tcPr>
            <w:tcW w:w="4098" w:type="dxa"/>
            <w:tcBorders>
              <w:top w:val="nil"/>
              <w:left w:val="single" w:sz="4" w:space="0" w:color="auto"/>
              <w:bottom w:val="nil"/>
              <w:right w:val="nil"/>
            </w:tcBorders>
            <w:shd w:val="clear" w:color="auto" w:fill="auto"/>
            <w:hideMark/>
          </w:tcPr>
          <w:p w14:paraId="56207338" w14:textId="77777777" w:rsidR="00F86EB0" w:rsidRPr="00B35A22" w:rsidRDefault="00F86EB0" w:rsidP="00B35A22">
            <w:pPr>
              <w:widowControl w:val="0"/>
              <w:jc w:val="both"/>
              <w:rPr>
                <w:sz w:val="22"/>
                <w:lang w:val="sr-Latn-ME"/>
              </w:rPr>
            </w:pPr>
            <w:r w:rsidRPr="00B35A22">
              <w:rPr>
                <w:sz w:val="22"/>
                <w:lang w:val="sr-Latn-ME"/>
              </w:rPr>
              <w:t>Broj smrtnih slučajeva (%)</w:t>
            </w:r>
          </w:p>
        </w:tc>
        <w:tc>
          <w:tcPr>
            <w:tcW w:w="2835" w:type="dxa"/>
            <w:gridSpan w:val="2"/>
            <w:tcBorders>
              <w:top w:val="nil"/>
              <w:left w:val="nil"/>
              <w:bottom w:val="nil"/>
              <w:right w:val="nil"/>
            </w:tcBorders>
            <w:shd w:val="clear" w:color="auto" w:fill="auto"/>
          </w:tcPr>
          <w:p w14:paraId="35F103E9" w14:textId="77777777" w:rsidR="00F86EB0" w:rsidRPr="00B35A22" w:rsidRDefault="00F86EB0" w:rsidP="00B35A22">
            <w:pPr>
              <w:widowControl w:val="0"/>
              <w:jc w:val="both"/>
              <w:rPr>
                <w:sz w:val="22"/>
                <w:lang w:val="sr-Latn-ME"/>
              </w:rPr>
            </w:pPr>
            <w:r w:rsidRPr="00B35A22">
              <w:rPr>
                <w:sz w:val="22"/>
                <w:lang w:val="sr-Latn-ME"/>
              </w:rPr>
              <w:t xml:space="preserve">120 (64,9%) </w:t>
            </w:r>
          </w:p>
        </w:tc>
        <w:tc>
          <w:tcPr>
            <w:tcW w:w="2134" w:type="dxa"/>
            <w:tcBorders>
              <w:top w:val="nil"/>
              <w:left w:val="nil"/>
              <w:bottom w:val="nil"/>
              <w:right w:val="single" w:sz="4" w:space="0" w:color="auto"/>
            </w:tcBorders>
            <w:shd w:val="clear" w:color="auto" w:fill="auto"/>
          </w:tcPr>
          <w:p w14:paraId="7A2FCFF1" w14:textId="77777777" w:rsidR="00F86EB0" w:rsidRPr="00B35A22" w:rsidRDefault="00F86EB0" w:rsidP="00B35A22">
            <w:pPr>
              <w:widowControl w:val="0"/>
              <w:jc w:val="both"/>
              <w:rPr>
                <w:sz w:val="22"/>
                <w:lang w:val="sr-Latn-ME"/>
              </w:rPr>
            </w:pPr>
            <w:r w:rsidRPr="00B35A22">
              <w:rPr>
                <w:sz w:val="22"/>
                <w:lang w:val="sr-Latn-ME"/>
              </w:rPr>
              <w:t>139 (75,5%)</w:t>
            </w:r>
          </w:p>
        </w:tc>
      </w:tr>
      <w:tr w:rsidR="00CC0044" w:rsidRPr="00B35A22" w14:paraId="3DA2B6F4" w14:textId="77777777" w:rsidTr="005124BA">
        <w:tc>
          <w:tcPr>
            <w:tcW w:w="4098" w:type="dxa"/>
            <w:tcBorders>
              <w:top w:val="nil"/>
              <w:left w:val="single" w:sz="4" w:space="0" w:color="auto"/>
              <w:bottom w:val="nil"/>
              <w:right w:val="nil"/>
            </w:tcBorders>
            <w:shd w:val="clear" w:color="auto" w:fill="auto"/>
            <w:hideMark/>
          </w:tcPr>
          <w:p w14:paraId="719ABA12" w14:textId="77777777" w:rsidR="00F86EB0" w:rsidRPr="00B35A22" w:rsidRDefault="00F86EB0" w:rsidP="00B35A22">
            <w:pPr>
              <w:widowControl w:val="0"/>
              <w:jc w:val="both"/>
              <w:rPr>
                <w:sz w:val="22"/>
                <w:lang w:val="sr-Latn-ME"/>
              </w:rPr>
            </w:pPr>
            <w:r w:rsidRPr="00B35A22">
              <w:rPr>
                <w:sz w:val="22"/>
                <w:lang w:val="sr-Latn-ME"/>
              </w:rPr>
              <w:t>Medijana vremena do događaja (mjeseci)</w:t>
            </w:r>
          </w:p>
        </w:tc>
        <w:tc>
          <w:tcPr>
            <w:tcW w:w="2835" w:type="dxa"/>
            <w:gridSpan w:val="2"/>
            <w:tcBorders>
              <w:top w:val="nil"/>
              <w:left w:val="nil"/>
              <w:bottom w:val="nil"/>
              <w:right w:val="nil"/>
            </w:tcBorders>
            <w:shd w:val="clear" w:color="auto" w:fill="auto"/>
          </w:tcPr>
          <w:p w14:paraId="57E125CB" w14:textId="77777777" w:rsidR="00F86EB0" w:rsidRPr="00B35A22" w:rsidRDefault="00F86EB0" w:rsidP="00B35A22">
            <w:pPr>
              <w:widowControl w:val="0"/>
              <w:jc w:val="both"/>
              <w:rPr>
                <w:sz w:val="22"/>
                <w:lang w:val="sr-Latn-ME"/>
              </w:rPr>
            </w:pPr>
            <w:r w:rsidRPr="00B35A22">
              <w:rPr>
                <w:sz w:val="22"/>
                <w:lang w:val="sr-Latn-ME"/>
              </w:rPr>
              <w:t>25,4</w:t>
            </w:r>
          </w:p>
        </w:tc>
        <w:tc>
          <w:tcPr>
            <w:tcW w:w="2134" w:type="dxa"/>
            <w:tcBorders>
              <w:top w:val="nil"/>
              <w:left w:val="nil"/>
              <w:bottom w:val="nil"/>
              <w:right w:val="single" w:sz="4" w:space="0" w:color="auto"/>
            </w:tcBorders>
            <w:shd w:val="clear" w:color="auto" w:fill="auto"/>
          </w:tcPr>
          <w:p w14:paraId="7373D441" w14:textId="77777777" w:rsidR="00F86EB0" w:rsidRPr="00B35A22" w:rsidRDefault="00F86EB0" w:rsidP="00B35A22">
            <w:pPr>
              <w:widowControl w:val="0"/>
              <w:jc w:val="both"/>
              <w:rPr>
                <w:sz w:val="22"/>
                <w:lang w:val="sr-Latn-ME"/>
              </w:rPr>
            </w:pPr>
            <w:r w:rsidRPr="00B35A22">
              <w:rPr>
                <w:sz w:val="22"/>
                <w:lang w:val="sr-Latn-ME"/>
              </w:rPr>
              <w:t>17,9</w:t>
            </w:r>
          </w:p>
        </w:tc>
      </w:tr>
      <w:tr w:rsidR="00CC0044" w:rsidRPr="00B35A22" w14:paraId="6E4E453A" w14:textId="77777777" w:rsidTr="005124BA">
        <w:tc>
          <w:tcPr>
            <w:tcW w:w="4098" w:type="dxa"/>
            <w:tcBorders>
              <w:top w:val="nil"/>
              <w:left w:val="single" w:sz="4" w:space="0" w:color="auto"/>
              <w:bottom w:val="nil"/>
              <w:right w:val="nil"/>
            </w:tcBorders>
            <w:shd w:val="clear" w:color="auto" w:fill="auto"/>
            <w:hideMark/>
          </w:tcPr>
          <w:p w14:paraId="26517380" w14:textId="77777777" w:rsidR="00F86EB0" w:rsidRPr="00B35A22" w:rsidRDefault="00F86EB0" w:rsidP="00B35A22">
            <w:pPr>
              <w:widowControl w:val="0"/>
              <w:jc w:val="both"/>
              <w:rPr>
                <w:sz w:val="22"/>
                <w:lang w:val="sr-Latn-ME"/>
              </w:rPr>
            </w:pPr>
            <w:r w:rsidRPr="00B35A22">
              <w:rPr>
                <w:sz w:val="22"/>
                <w:lang w:val="sr-Latn-ME"/>
              </w:rPr>
              <w:t>95% CI</w:t>
            </w:r>
          </w:p>
        </w:tc>
        <w:tc>
          <w:tcPr>
            <w:tcW w:w="2835" w:type="dxa"/>
            <w:gridSpan w:val="2"/>
            <w:tcBorders>
              <w:top w:val="nil"/>
              <w:left w:val="nil"/>
              <w:bottom w:val="nil"/>
              <w:right w:val="nil"/>
            </w:tcBorders>
            <w:shd w:val="clear" w:color="auto" w:fill="auto"/>
          </w:tcPr>
          <w:p w14:paraId="1DC8CC92" w14:textId="77777777" w:rsidR="00F86EB0" w:rsidRPr="00B35A22" w:rsidRDefault="00F86EB0" w:rsidP="00B35A22">
            <w:pPr>
              <w:widowControl w:val="0"/>
              <w:jc w:val="both"/>
              <w:rPr>
                <w:sz w:val="22"/>
                <w:lang w:val="sr-Latn-ME"/>
              </w:rPr>
            </w:pPr>
            <w:r w:rsidRPr="00B35A22">
              <w:rPr>
                <w:sz w:val="22"/>
                <w:lang w:val="sr-Latn-ME"/>
              </w:rPr>
              <w:t>(19,6, 30,7)</w:t>
            </w:r>
          </w:p>
        </w:tc>
        <w:tc>
          <w:tcPr>
            <w:tcW w:w="2134" w:type="dxa"/>
            <w:tcBorders>
              <w:top w:val="nil"/>
              <w:left w:val="nil"/>
              <w:bottom w:val="nil"/>
              <w:right w:val="single" w:sz="4" w:space="0" w:color="auto"/>
            </w:tcBorders>
            <w:shd w:val="clear" w:color="auto" w:fill="auto"/>
          </w:tcPr>
          <w:p w14:paraId="3B5CB310" w14:textId="77777777" w:rsidR="00F86EB0" w:rsidRPr="00B35A22" w:rsidRDefault="00F86EB0" w:rsidP="00B35A22">
            <w:pPr>
              <w:widowControl w:val="0"/>
              <w:jc w:val="both"/>
              <w:rPr>
                <w:sz w:val="22"/>
                <w:lang w:val="sr-Latn-ME"/>
              </w:rPr>
            </w:pPr>
            <w:r w:rsidRPr="00B35A22">
              <w:rPr>
                <w:sz w:val="22"/>
                <w:lang w:val="sr-Latn-ME"/>
              </w:rPr>
              <w:t>(13,6, 20,3)</w:t>
            </w:r>
          </w:p>
        </w:tc>
      </w:tr>
      <w:tr w:rsidR="00CC0044" w:rsidRPr="00B35A22" w14:paraId="75E500E1" w14:textId="77777777" w:rsidTr="005124BA">
        <w:tc>
          <w:tcPr>
            <w:tcW w:w="4098" w:type="dxa"/>
            <w:tcBorders>
              <w:top w:val="nil"/>
              <w:left w:val="single" w:sz="4" w:space="0" w:color="auto"/>
              <w:bottom w:val="nil"/>
              <w:right w:val="nil"/>
            </w:tcBorders>
            <w:shd w:val="clear" w:color="auto" w:fill="auto"/>
            <w:hideMark/>
          </w:tcPr>
          <w:p w14:paraId="4BC2A8CC" w14:textId="77777777" w:rsidR="00F86EB0" w:rsidRPr="00B35A22" w:rsidRDefault="00F86EB0" w:rsidP="00B35A22">
            <w:pPr>
              <w:widowControl w:val="0"/>
              <w:jc w:val="both"/>
              <w:rPr>
                <w:sz w:val="22"/>
                <w:lang w:val="sr-Latn-ME"/>
              </w:rPr>
            </w:pPr>
            <w:r w:rsidRPr="00B35A22">
              <w:rPr>
                <w:sz w:val="22"/>
                <w:lang w:val="sr-Latn-ME"/>
              </w:rPr>
              <w:t>Stratifikovan koeficijent rizika‡ (95% CI)</w:t>
            </w:r>
          </w:p>
        </w:tc>
        <w:tc>
          <w:tcPr>
            <w:tcW w:w="4969" w:type="dxa"/>
            <w:gridSpan w:val="3"/>
            <w:tcBorders>
              <w:top w:val="nil"/>
              <w:left w:val="nil"/>
              <w:bottom w:val="nil"/>
              <w:right w:val="single" w:sz="4" w:space="0" w:color="auto"/>
            </w:tcBorders>
            <w:shd w:val="clear" w:color="auto" w:fill="auto"/>
          </w:tcPr>
          <w:p w14:paraId="05D27527" w14:textId="77777777" w:rsidR="00F86EB0" w:rsidRPr="00B35A22" w:rsidRDefault="00F86EB0" w:rsidP="00B35A22">
            <w:pPr>
              <w:widowControl w:val="0"/>
              <w:jc w:val="both"/>
              <w:rPr>
                <w:sz w:val="22"/>
                <w:lang w:val="sr-Latn-ME"/>
              </w:rPr>
            </w:pPr>
            <w:r w:rsidRPr="00B35A22">
              <w:rPr>
                <w:sz w:val="22"/>
                <w:lang w:val="sr-Latn-ME"/>
              </w:rPr>
              <w:t xml:space="preserve">                   0,67 (0,53, 0,86)</w:t>
            </w:r>
          </w:p>
        </w:tc>
      </w:tr>
      <w:tr w:rsidR="00F86EB0" w:rsidRPr="00B35A22" w14:paraId="07ED5AAB" w14:textId="77777777" w:rsidTr="0065270B">
        <w:trPr>
          <w:trHeight w:val="70"/>
        </w:trPr>
        <w:tc>
          <w:tcPr>
            <w:tcW w:w="9067" w:type="dxa"/>
            <w:gridSpan w:val="4"/>
            <w:tcBorders>
              <w:top w:val="single" w:sz="4" w:space="0" w:color="auto"/>
              <w:left w:val="single" w:sz="4" w:space="0" w:color="auto"/>
              <w:bottom w:val="nil"/>
              <w:right w:val="single" w:sz="4" w:space="0" w:color="auto"/>
            </w:tcBorders>
            <w:shd w:val="clear" w:color="auto" w:fill="auto"/>
          </w:tcPr>
          <w:p w14:paraId="6D5F9BEA" w14:textId="77777777" w:rsidR="00F86EB0" w:rsidRPr="00B35A22" w:rsidRDefault="00F86EB0" w:rsidP="00B35A22">
            <w:pPr>
              <w:widowControl w:val="0"/>
              <w:jc w:val="both"/>
              <w:rPr>
                <w:b/>
                <w:sz w:val="22"/>
                <w:lang w:val="sr-Latn-ME"/>
              </w:rPr>
            </w:pPr>
            <w:r w:rsidRPr="00B35A22">
              <w:rPr>
                <w:b/>
                <w:i/>
                <w:sz w:val="22"/>
                <w:lang w:val="sr-Latn-ME"/>
              </w:rPr>
              <w:t>Sekundarne i eksploracijske mjere ishoda</w:t>
            </w:r>
          </w:p>
        </w:tc>
      </w:tr>
      <w:tr w:rsidR="00CC0044" w:rsidRPr="00B35A22" w14:paraId="6563A3AE" w14:textId="77777777" w:rsidTr="005124BA">
        <w:tc>
          <w:tcPr>
            <w:tcW w:w="4098" w:type="dxa"/>
            <w:tcBorders>
              <w:top w:val="single" w:sz="4" w:space="0" w:color="auto"/>
              <w:left w:val="single" w:sz="4" w:space="0" w:color="auto"/>
              <w:bottom w:val="nil"/>
              <w:right w:val="nil"/>
            </w:tcBorders>
            <w:shd w:val="clear" w:color="auto" w:fill="auto"/>
            <w:hideMark/>
          </w:tcPr>
          <w:p w14:paraId="37BC12EF" w14:textId="77777777" w:rsidR="00F86EB0" w:rsidRPr="00B35A22" w:rsidRDefault="00F86EB0" w:rsidP="00B35A22">
            <w:pPr>
              <w:widowControl w:val="0"/>
              <w:jc w:val="both"/>
              <w:rPr>
                <w:b/>
                <w:sz w:val="22"/>
                <w:lang w:val="sr-Latn-ME"/>
              </w:rPr>
            </w:pPr>
            <w:r w:rsidRPr="00B35A22">
              <w:rPr>
                <w:b/>
                <w:sz w:val="22"/>
                <w:lang w:val="sr-Latn-ME"/>
              </w:rPr>
              <w:t>ORR prema procjeni istraživača (RECIST v1.1)</w:t>
            </w:r>
            <w:r w:rsidRPr="00B35A22">
              <w:rPr>
                <w:b/>
                <w:sz w:val="22"/>
                <w:vertAlign w:val="superscript"/>
                <w:lang w:val="sr-Latn-ME"/>
              </w:rPr>
              <w:t>3</w:t>
            </w:r>
          </w:p>
        </w:tc>
        <w:tc>
          <w:tcPr>
            <w:tcW w:w="2835" w:type="dxa"/>
            <w:gridSpan w:val="2"/>
            <w:tcBorders>
              <w:top w:val="single" w:sz="4" w:space="0" w:color="auto"/>
              <w:left w:val="nil"/>
              <w:bottom w:val="nil"/>
              <w:right w:val="nil"/>
            </w:tcBorders>
            <w:shd w:val="clear" w:color="auto" w:fill="auto"/>
            <w:hideMark/>
          </w:tcPr>
          <w:p w14:paraId="452F393C" w14:textId="77777777" w:rsidR="00F86EB0" w:rsidRPr="00B35A22" w:rsidRDefault="00F86EB0" w:rsidP="00B35A22">
            <w:pPr>
              <w:widowControl w:val="0"/>
              <w:jc w:val="both"/>
              <w:rPr>
                <w:b/>
                <w:sz w:val="22"/>
                <w:lang w:val="sr-Latn-ME"/>
              </w:rPr>
            </w:pPr>
            <w:r w:rsidRPr="00B35A22">
              <w:rPr>
                <w:b/>
                <w:sz w:val="22"/>
                <w:lang w:val="sr-Latn-ME"/>
              </w:rPr>
              <w:t>n=185</w:t>
            </w:r>
          </w:p>
        </w:tc>
        <w:tc>
          <w:tcPr>
            <w:tcW w:w="2134" w:type="dxa"/>
            <w:tcBorders>
              <w:top w:val="single" w:sz="4" w:space="0" w:color="auto"/>
              <w:left w:val="nil"/>
              <w:bottom w:val="nil"/>
              <w:right w:val="single" w:sz="4" w:space="0" w:color="auto"/>
            </w:tcBorders>
            <w:shd w:val="clear" w:color="auto" w:fill="auto"/>
            <w:hideMark/>
          </w:tcPr>
          <w:p w14:paraId="3FB3878B" w14:textId="77777777" w:rsidR="00F86EB0" w:rsidRPr="00B35A22" w:rsidRDefault="00F86EB0" w:rsidP="00B35A22">
            <w:pPr>
              <w:widowControl w:val="0"/>
              <w:jc w:val="both"/>
              <w:rPr>
                <w:b/>
                <w:sz w:val="22"/>
                <w:lang w:val="sr-Latn-ME"/>
              </w:rPr>
            </w:pPr>
            <w:r w:rsidRPr="00B35A22">
              <w:rPr>
                <w:b/>
                <w:sz w:val="22"/>
                <w:lang w:val="sr-Latn-ME"/>
              </w:rPr>
              <w:t>n=183</w:t>
            </w:r>
          </w:p>
        </w:tc>
      </w:tr>
      <w:tr w:rsidR="00CC0044" w:rsidRPr="00B35A22" w14:paraId="707D1644" w14:textId="77777777" w:rsidTr="005124BA">
        <w:tc>
          <w:tcPr>
            <w:tcW w:w="4098" w:type="dxa"/>
            <w:tcBorders>
              <w:top w:val="nil"/>
              <w:left w:val="single" w:sz="4" w:space="0" w:color="auto"/>
              <w:bottom w:val="nil"/>
              <w:right w:val="nil"/>
            </w:tcBorders>
            <w:shd w:val="clear" w:color="auto" w:fill="auto"/>
            <w:hideMark/>
          </w:tcPr>
          <w:p w14:paraId="3A8B2F4A" w14:textId="77777777" w:rsidR="00F86EB0" w:rsidRPr="00B35A22" w:rsidRDefault="00F86EB0" w:rsidP="00B35A22">
            <w:pPr>
              <w:widowControl w:val="0"/>
              <w:jc w:val="both"/>
              <w:rPr>
                <w:sz w:val="22"/>
                <w:lang w:val="sr-Latn-ME"/>
              </w:rPr>
            </w:pPr>
            <w:r w:rsidRPr="00B35A22">
              <w:rPr>
                <w:sz w:val="22"/>
                <w:lang w:val="sr-Latn-ME"/>
              </w:rPr>
              <w:t>Broj pacijenata sa odgovorom (%)</w:t>
            </w:r>
          </w:p>
        </w:tc>
        <w:tc>
          <w:tcPr>
            <w:tcW w:w="2835" w:type="dxa"/>
            <w:gridSpan w:val="2"/>
            <w:tcBorders>
              <w:top w:val="nil"/>
              <w:left w:val="nil"/>
              <w:bottom w:val="nil"/>
              <w:right w:val="nil"/>
            </w:tcBorders>
            <w:shd w:val="clear" w:color="auto" w:fill="auto"/>
          </w:tcPr>
          <w:p w14:paraId="08A20500" w14:textId="77777777" w:rsidR="00F86EB0" w:rsidRPr="00B35A22" w:rsidRDefault="00F86EB0" w:rsidP="00B35A22">
            <w:pPr>
              <w:widowControl w:val="0"/>
              <w:jc w:val="both"/>
              <w:rPr>
                <w:sz w:val="22"/>
                <w:lang w:val="sr-Latn-ME"/>
              </w:rPr>
            </w:pPr>
            <w:r w:rsidRPr="00B35A22">
              <w:rPr>
                <w:sz w:val="22"/>
                <w:lang w:val="sr-Latn-ME"/>
              </w:rPr>
              <w:t>109 (58,9%)</w:t>
            </w:r>
          </w:p>
        </w:tc>
        <w:tc>
          <w:tcPr>
            <w:tcW w:w="2134" w:type="dxa"/>
            <w:tcBorders>
              <w:top w:val="nil"/>
              <w:left w:val="nil"/>
              <w:bottom w:val="nil"/>
              <w:right w:val="single" w:sz="4" w:space="0" w:color="auto"/>
            </w:tcBorders>
            <w:shd w:val="clear" w:color="auto" w:fill="auto"/>
          </w:tcPr>
          <w:p w14:paraId="4AA67FAE" w14:textId="77777777" w:rsidR="00F86EB0" w:rsidRPr="00B35A22" w:rsidRDefault="00F86EB0" w:rsidP="00B35A22">
            <w:pPr>
              <w:widowControl w:val="0"/>
              <w:jc w:val="both"/>
              <w:rPr>
                <w:sz w:val="22"/>
                <w:lang w:val="sr-Latn-ME"/>
              </w:rPr>
            </w:pPr>
            <w:r w:rsidRPr="00B35A22">
              <w:rPr>
                <w:sz w:val="22"/>
                <w:lang w:val="sr-Latn-ME"/>
              </w:rPr>
              <w:t>78 (42,6%)</w:t>
            </w:r>
          </w:p>
        </w:tc>
      </w:tr>
      <w:tr w:rsidR="00CC0044" w:rsidRPr="00B35A22" w14:paraId="1C6FE1D5" w14:textId="77777777" w:rsidTr="005124BA">
        <w:tc>
          <w:tcPr>
            <w:tcW w:w="4098" w:type="dxa"/>
            <w:tcBorders>
              <w:top w:val="nil"/>
              <w:left w:val="single" w:sz="4" w:space="0" w:color="auto"/>
              <w:bottom w:val="nil"/>
              <w:right w:val="nil"/>
            </w:tcBorders>
            <w:shd w:val="clear" w:color="auto" w:fill="auto"/>
            <w:hideMark/>
          </w:tcPr>
          <w:p w14:paraId="09CC29AA" w14:textId="77777777" w:rsidR="00F86EB0" w:rsidRPr="00B35A22" w:rsidRDefault="00F86EB0" w:rsidP="00B35A22">
            <w:pPr>
              <w:widowControl w:val="0"/>
              <w:jc w:val="both"/>
              <w:rPr>
                <w:sz w:val="22"/>
                <w:lang w:val="sr-Latn-ME"/>
              </w:rPr>
            </w:pPr>
            <w:r w:rsidRPr="00B35A22">
              <w:rPr>
                <w:sz w:val="22"/>
                <w:lang w:val="sr-Latn-ME"/>
              </w:rPr>
              <w:t>95% CI</w:t>
            </w:r>
          </w:p>
        </w:tc>
        <w:tc>
          <w:tcPr>
            <w:tcW w:w="2835" w:type="dxa"/>
            <w:gridSpan w:val="2"/>
            <w:tcBorders>
              <w:top w:val="nil"/>
              <w:left w:val="nil"/>
              <w:bottom w:val="nil"/>
              <w:right w:val="nil"/>
            </w:tcBorders>
            <w:shd w:val="clear" w:color="auto" w:fill="auto"/>
          </w:tcPr>
          <w:p w14:paraId="78671514" w14:textId="77777777" w:rsidR="00F86EB0" w:rsidRPr="00B35A22" w:rsidRDefault="00F86EB0" w:rsidP="00B35A22">
            <w:pPr>
              <w:widowControl w:val="0"/>
              <w:jc w:val="both"/>
              <w:rPr>
                <w:sz w:val="22"/>
                <w:lang w:val="sr-Latn-ME"/>
              </w:rPr>
            </w:pPr>
            <w:r w:rsidRPr="00B35A22">
              <w:rPr>
                <w:sz w:val="22"/>
                <w:lang w:val="sr-Latn-ME"/>
              </w:rPr>
              <w:t>(51,5, 66,1)</w:t>
            </w:r>
          </w:p>
        </w:tc>
        <w:tc>
          <w:tcPr>
            <w:tcW w:w="2134" w:type="dxa"/>
            <w:tcBorders>
              <w:top w:val="nil"/>
              <w:left w:val="nil"/>
              <w:bottom w:val="nil"/>
              <w:right w:val="single" w:sz="4" w:space="0" w:color="auto"/>
            </w:tcBorders>
            <w:shd w:val="clear" w:color="auto" w:fill="auto"/>
          </w:tcPr>
          <w:p w14:paraId="25A0948E" w14:textId="77777777" w:rsidR="00F86EB0" w:rsidRPr="00B35A22" w:rsidRDefault="00F86EB0" w:rsidP="00B35A22">
            <w:pPr>
              <w:widowControl w:val="0"/>
              <w:jc w:val="both"/>
              <w:rPr>
                <w:sz w:val="22"/>
                <w:lang w:val="sr-Latn-ME"/>
              </w:rPr>
            </w:pPr>
            <w:r w:rsidRPr="00B35A22">
              <w:rPr>
                <w:sz w:val="22"/>
                <w:lang w:val="sr-Latn-ME"/>
              </w:rPr>
              <w:t>(35,4, 50,1)</w:t>
            </w:r>
          </w:p>
        </w:tc>
      </w:tr>
      <w:tr w:rsidR="00CC0044" w:rsidRPr="00B35A22" w14:paraId="3AF515FA" w14:textId="77777777" w:rsidTr="005124BA">
        <w:tc>
          <w:tcPr>
            <w:tcW w:w="4098" w:type="dxa"/>
            <w:tcBorders>
              <w:top w:val="nil"/>
              <w:left w:val="single" w:sz="4" w:space="0" w:color="auto"/>
              <w:bottom w:val="nil"/>
              <w:right w:val="nil"/>
            </w:tcBorders>
            <w:shd w:val="clear" w:color="auto" w:fill="auto"/>
            <w:hideMark/>
          </w:tcPr>
          <w:p w14:paraId="0B375E7B" w14:textId="77777777" w:rsidR="00F86EB0" w:rsidRPr="00B35A22" w:rsidRDefault="00F86EB0" w:rsidP="00B35A22">
            <w:pPr>
              <w:widowControl w:val="0"/>
              <w:jc w:val="both"/>
              <w:rPr>
                <w:sz w:val="22"/>
                <w:lang w:val="sr-Latn-ME"/>
              </w:rPr>
            </w:pPr>
            <w:r w:rsidRPr="00B35A22">
              <w:rPr>
                <w:sz w:val="22"/>
                <w:lang w:val="sr-Latn-ME"/>
              </w:rPr>
              <w:t>Broj pacijenata sa potpunim odgovorom (%)</w:t>
            </w:r>
          </w:p>
        </w:tc>
        <w:tc>
          <w:tcPr>
            <w:tcW w:w="2835" w:type="dxa"/>
            <w:gridSpan w:val="2"/>
            <w:tcBorders>
              <w:top w:val="nil"/>
              <w:left w:val="nil"/>
              <w:bottom w:val="nil"/>
              <w:right w:val="nil"/>
            </w:tcBorders>
            <w:shd w:val="clear" w:color="auto" w:fill="auto"/>
          </w:tcPr>
          <w:p w14:paraId="66304DB4" w14:textId="77777777" w:rsidR="00F86EB0" w:rsidRPr="00B35A22" w:rsidRDefault="00F86EB0" w:rsidP="00B35A22">
            <w:pPr>
              <w:widowControl w:val="0"/>
              <w:jc w:val="both"/>
              <w:rPr>
                <w:sz w:val="22"/>
                <w:lang w:val="sr-Latn-ME"/>
              </w:rPr>
            </w:pPr>
            <w:r w:rsidRPr="00B35A22">
              <w:rPr>
                <w:sz w:val="22"/>
                <w:lang w:val="sr-Latn-ME"/>
              </w:rPr>
              <w:t>19 (10,3%)</w:t>
            </w:r>
          </w:p>
        </w:tc>
        <w:tc>
          <w:tcPr>
            <w:tcW w:w="2134" w:type="dxa"/>
            <w:tcBorders>
              <w:top w:val="nil"/>
              <w:left w:val="nil"/>
              <w:bottom w:val="nil"/>
              <w:right w:val="single" w:sz="4" w:space="0" w:color="auto"/>
            </w:tcBorders>
            <w:shd w:val="clear" w:color="auto" w:fill="auto"/>
          </w:tcPr>
          <w:p w14:paraId="6621D4FF" w14:textId="77777777" w:rsidR="00F86EB0" w:rsidRPr="00B35A22" w:rsidRDefault="00F86EB0" w:rsidP="00B35A22">
            <w:pPr>
              <w:widowControl w:val="0"/>
              <w:jc w:val="both"/>
              <w:rPr>
                <w:sz w:val="22"/>
                <w:lang w:val="sr-Latn-ME"/>
              </w:rPr>
            </w:pPr>
            <w:r w:rsidRPr="00B35A22">
              <w:rPr>
                <w:sz w:val="22"/>
                <w:lang w:val="sr-Latn-ME"/>
              </w:rPr>
              <w:t>2 (1,1%)</w:t>
            </w:r>
          </w:p>
        </w:tc>
      </w:tr>
      <w:tr w:rsidR="00CC0044" w:rsidRPr="00B35A22" w14:paraId="1E77EFAF" w14:textId="77777777" w:rsidTr="005124BA">
        <w:tc>
          <w:tcPr>
            <w:tcW w:w="4098" w:type="dxa"/>
            <w:tcBorders>
              <w:top w:val="nil"/>
              <w:left w:val="single" w:sz="4" w:space="0" w:color="auto"/>
              <w:bottom w:val="nil"/>
              <w:right w:val="nil"/>
            </w:tcBorders>
            <w:shd w:val="clear" w:color="auto" w:fill="auto"/>
            <w:hideMark/>
          </w:tcPr>
          <w:p w14:paraId="6758DB67" w14:textId="77777777" w:rsidR="00F86EB0" w:rsidRPr="00B35A22" w:rsidRDefault="00F86EB0" w:rsidP="00B35A22">
            <w:pPr>
              <w:widowControl w:val="0"/>
              <w:jc w:val="both"/>
              <w:rPr>
                <w:sz w:val="22"/>
                <w:lang w:val="sr-Latn-ME"/>
              </w:rPr>
            </w:pPr>
            <w:r w:rsidRPr="00B35A22">
              <w:rPr>
                <w:sz w:val="22"/>
                <w:lang w:val="sr-Latn-ME"/>
              </w:rPr>
              <w:t>Broj pacijenata sa djelimičnim odgovorom (%)</w:t>
            </w:r>
          </w:p>
        </w:tc>
        <w:tc>
          <w:tcPr>
            <w:tcW w:w="2835" w:type="dxa"/>
            <w:gridSpan w:val="2"/>
            <w:tcBorders>
              <w:top w:val="nil"/>
              <w:left w:val="nil"/>
              <w:bottom w:val="nil"/>
              <w:right w:val="nil"/>
            </w:tcBorders>
            <w:shd w:val="clear" w:color="auto" w:fill="auto"/>
          </w:tcPr>
          <w:p w14:paraId="56E5F87A" w14:textId="77777777" w:rsidR="00F86EB0" w:rsidRPr="00B35A22" w:rsidRDefault="00F86EB0" w:rsidP="00B35A22">
            <w:pPr>
              <w:widowControl w:val="0"/>
              <w:jc w:val="both"/>
              <w:rPr>
                <w:sz w:val="22"/>
                <w:lang w:val="sr-Latn-ME"/>
              </w:rPr>
            </w:pPr>
            <w:r w:rsidRPr="00B35A22">
              <w:rPr>
                <w:sz w:val="22"/>
                <w:lang w:val="sr-Latn-ME"/>
              </w:rPr>
              <w:t>90 (48,6%)</w:t>
            </w:r>
          </w:p>
        </w:tc>
        <w:tc>
          <w:tcPr>
            <w:tcW w:w="2134" w:type="dxa"/>
            <w:tcBorders>
              <w:top w:val="nil"/>
              <w:left w:val="nil"/>
              <w:bottom w:val="nil"/>
              <w:right w:val="single" w:sz="4" w:space="0" w:color="auto"/>
            </w:tcBorders>
            <w:shd w:val="clear" w:color="auto" w:fill="auto"/>
          </w:tcPr>
          <w:p w14:paraId="4F7A360A" w14:textId="77777777" w:rsidR="00F86EB0" w:rsidRPr="00B35A22" w:rsidRDefault="00F86EB0" w:rsidP="00B35A22">
            <w:pPr>
              <w:widowControl w:val="0"/>
              <w:jc w:val="both"/>
              <w:rPr>
                <w:sz w:val="22"/>
                <w:lang w:val="sr-Latn-ME"/>
              </w:rPr>
            </w:pPr>
            <w:r w:rsidRPr="00B35A22">
              <w:rPr>
                <w:sz w:val="22"/>
                <w:lang w:val="sr-Latn-ME"/>
              </w:rPr>
              <w:t>76 (41,5%)</w:t>
            </w:r>
          </w:p>
        </w:tc>
      </w:tr>
      <w:tr w:rsidR="00CC0044" w:rsidRPr="00B35A22" w14:paraId="172268FB" w14:textId="77777777" w:rsidTr="005124BA">
        <w:tc>
          <w:tcPr>
            <w:tcW w:w="4098" w:type="dxa"/>
            <w:tcBorders>
              <w:top w:val="nil"/>
              <w:left w:val="single" w:sz="4" w:space="0" w:color="auto"/>
              <w:bottom w:val="single" w:sz="4" w:space="0" w:color="auto"/>
              <w:right w:val="nil"/>
            </w:tcBorders>
            <w:shd w:val="clear" w:color="auto" w:fill="auto"/>
            <w:hideMark/>
          </w:tcPr>
          <w:p w14:paraId="7A32BC13" w14:textId="77777777" w:rsidR="00F86EB0" w:rsidRPr="00B35A22" w:rsidRDefault="00F86EB0" w:rsidP="00B35A22">
            <w:pPr>
              <w:widowControl w:val="0"/>
              <w:jc w:val="both"/>
              <w:rPr>
                <w:sz w:val="22"/>
                <w:lang w:val="sr-Latn-ME"/>
              </w:rPr>
            </w:pPr>
            <w:r w:rsidRPr="00B35A22">
              <w:rPr>
                <w:sz w:val="22"/>
                <w:lang w:val="sr-Latn-ME"/>
              </w:rPr>
              <w:t>Broj pacijenata sa stabilnom bolešću</w:t>
            </w:r>
          </w:p>
        </w:tc>
        <w:tc>
          <w:tcPr>
            <w:tcW w:w="2835" w:type="dxa"/>
            <w:gridSpan w:val="2"/>
            <w:tcBorders>
              <w:top w:val="nil"/>
              <w:left w:val="nil"/>
              <w:bottom w:val="single" w:sz="4" w:space="0" w:color="auto"/>
              <w:right w:val="nil"/>
            </w:tcBorders>
            <w:shd w:val="clear" w:color="auto" w:fill="auto"/>
          </w:tcPr>
          <w:p w14:paraId="07662B41" w14:textId="77777777" w:rsidR="00F86EB0" w:rsidRPr="00B35A22" w:rsidRDefault="00F86EB0" w:rsidP="00B35A22">
            <w:pPr>
              <w:widowControl w:val="0"/>
              <w:jc w:val="both"/>
              <w:rPr>
                <w:sz w:val="22"/>
                <w:lang w:val="sr-Latn-ME"/>
              </w:rPr>
            </w:pPr>
            <w:r w:rsidRPr="00B35A22">
              <w:rPr>
                <w:sz w:val="22"/>
                <w:lang w:val="sr-Latn-ME"/>
              </w:rPr>
              <w:t>38 (20,5%)</w:t>
            </w:r>
          </w:p>
        </w:tc>
        <w:tc>
          <w:tcPr>
            <w:tcW w:w="2134" w:type="dxa"/>
            <w:tcBorders>
              <w:top w:val="nil"/>
              <w:left w:val="nil"/>
              <w:bottom w:val="single" w:sz="4" w:space="0" w:color="auto"/>
              <w:right w:val="single" w:sz="4" w:space="0" w:color="auto"/>
            </w:tcBorders>
            <w:shd w:val="clear" w:color="auto" w:fill="auto"/>
          </w:tcPr>
          <w:p w14:paraId="759603F3" w14:textId="77777777" w:rsidR="00F86EB0" w:rsidRPr="00B35A22" w:rsidRDefault="00F86EB0" w:rsidP="00B35A22">
            <w:pPr>
              <w:widowControl w:val="0"/>
              <w:jc w:val="both"/>
              <w:rPr>
                <w:sz w:val="22"/>
                <w:lang w:val="sr-Latn-ME"/>
              </w:rPr>
            </w:pPr>
            <w:r w:rsidRPr="00B35A22">
              <w:rPr>
                <w:sz w:val="22"/>
                <w:lang w:val="sr-Latn-ME"/>
              </w:rPr>
              <w:t>49 (26,8%)</w:t>
            </w:r>
          </w:p>
        </w:tc>
      </w:tr>
      <w:tr w:rsidR="00CC0044" w:rsidRPr="00B35A22" w14:paraId="63056774" w14:textId="77777777" w:rsidTr="005124BA">
        <w:tc>
          <w:tcPr>
            <w:tcW w:w="4098" w:type="dxa"/>
            <w:tcBorders>
              <w:top w:val="single" w:sz="4" w:space="0" w:color="auto"/>
              <w:left w:val="single" w:sz="4" w:space="0" w:color="auto"/>
              <w:bottom w:val="nil"/>
              <w:right w:val="nil"/>
            </w:tcBorders>
            <w:shd w:val="clear" w:color="auto" w:fill="auto"/>
            <w:hideMark/>
          </w:tcPr>
          <w:p w14:paraId="1E2227A6" w14:textId="77777777" w:rsidR="00F86EB0" w:rsidRPr="00B35A22" w:rsidRDefault="00F86EB0" w:rsidP="00B35A22">
            <w:pPr>
              <w:widowControl w:val="0"/>
              <w:jc w:val="both"/>
              <w:rPr>
                <w:b/>
                <w:sz w:val="22"/>
                <w:lang w:val="sr-Latn-ME"/>
              </w:rPr>
            </w:pPr>
            <w:r w:rsidRPr="00B35A22">
              <w:rPr>
                <w:b/>
                <w:sz w:val="22"/>
                <w:lang w:val="sr-Latn-ME"/>
              </w:rPr>
              <w:t>DOR na osnovu procjene istraživača</w:t>
            </w:r>
            <w:r w:rsidRPr="00B35A22">
              <w:rPr>
                <w:b/>
                <w:sz w:val="22"/>
                <w:vertAlign w:val="superscript"/>
                <w:lang w:val="sr-Latn-ME"/>
              </w:rPr>
              <w:t>3</w:t>
            </w:r>
          </w:p>
        </w:tc>
        <w:tc>
          <w:tcPr>
            <w:tcW w:w="2835" w:type="dxa"/>
            <w:gridSpan w:val="2"/>
            <w:tcBorders>
              <w:top w:val="single" w:sz="4" w:space="0" w:color="auto"/>
              <w:left w:val="nil"/>
              <w:bottom w:val="nil"/>
              <w:right w:val="nil"/>
            </w:tcBorders>
            <w:shd w:val="clear" w:color="auto" w:fill="auto"/>
            <w:hideMark/>
          </w:tcPr>
          <w:p w14:paraId="1F57C334" w14:textId="77777777" w:rsidR="00F86EB0" w:rsidRPr="00B35A22" w:rsidRDefault="00F86EB0" w:rsidP="00B35A22">
            <w:pPr>
              <w:widowControl w:val="0"/>
              <w:jc w:val="both"/>
              <w:rPr>
                <w:b/>
                <w:sz w:val="22"/>
                <w:lang w:val="sr-Latn-ME"/>
              </w:rPr>
            </w:pPr>
            <w:r w:rsidRPr="00B35A22">
              <w:rPr>
                <w:b/>
                <w:sz w:val="22"/>
                <w:lang w:val="sr-Latn-ME"/>
              </w:rPr>
              <w:t>n=109</w:t>
            </w:r>
          </w:p>
        </w:tc>
        <w:tc>
          <w:tcPr>
            <w:tcW w:w="2134" w:type="dxa"/>
            <w:tcBorders>
              <w:top w:val="single" w:sz="4" w:space="0" w:color="auto"/>
              <w:left w:val="nil"/>
              <w:bottom w:val="nil"/>
              <w:right w:val="single" w:sz="4" w:space="0" w:color="auto"/>
            </w:tcBorders>
            <w:shd w:val="clear" w:color="auto" w:fill="auto"/>
            <w:hideMark/>
          </w:tcPr>
          <w:p w14:paraId="04E868B4" w14:textId="77777777" w:rsidR="00F86EB0" w:rsidRPr="00B35A22" w:rsidRDefault="00F86EB0" w:rsidP="00B35A22">
            <w:pPr>
              <w:widowControl w:val="0"/>
              <w:jc w:val="both"/>
              <w:rPr>
                <w:b/>
                <w:sz w:val="22"/>
                <w:lang w:val="sr-Latn-ME"/>
              </w:rPr>
            </w:pPr>
            <w:r w:rsidRPr="00B35A22">
              <w:rPr>
                <w:b/>
                <w:sz w:val="22"/>
                <w:lang w:val="sr-Latn-ME"/>
              </w:rPr>
              <w:t>n=78</w:t>
            </w:r>
          </w:p>
        </w:tc>
      </w:tr>
      <w:tr w:rsidR="00CC0044" w:rsidRPr="00B35A22" w14:paraId="621772E3" w14:textId="77777777" w:rsidTr="005124BA">
        <w:tc>
          <w:tcPr>
            <w:tcW w:w="4098" w:type="dxa"/>
            <w:tcBorders>
              <w:top w:val="nil"/>
              <w:left w:val="single" w:sz="4" w:space="0" w:color="auto"/>
              <w:bottom w:val="nil"/>
              <w:right w:val="nil"/>
            </w:tcBorders>
            <w:shd w:val="clear" w:color="auto" w:fill="auto"/>
            <w:hideMark/>
          </w:tcPr>
          <w:p w14:paraId="615EB178" w14:textId="77777777" w:rsidR="00F86EB0" w:rsidRPr="00B35A22" w:rsidRDefault="00F86EB0" w:rsidP="00B35A22">
            <w:pPr>
              <w:widowControl w:val="0"/>
              <w:jc w:val="both"/>
              <w:rPr>
                <w:sz w:val="22"/>
                <w:lang w:val="sr-Latn-ME"/>
              </w:rPr>
            </w:pPr>
            <w:r w:rsidRPr="00B35A22">
              <w:rPr>
                <w:sz w:val="22"/>
                <w:lang w:val="sr-Latn-ME"/>
              </w:rPr>
              <w:t>Medijana u mjesecima</w:t>
            </w:r>
          </w:p>
        </w:tc>
        <w:tc>
          <w:tcPr>
            <w:tcW w:w="2835" w:type="dxa"/>
            <w:gridSpan w:val="2"/>
            <w:tcBorders>
              <w:top w:val="nil"/>
              <w:left w:val="nil"/>
              <w:bottom w:val="nil"/>
              <w:right w:val="nil"/>
            </w:tcBorders>
            <w:shd w:val="clear" w:color="auto" w:fill="auto"/>
          </w:tcPr>
          <w:p w14:paraId="08CB2AC1" w14:textId="77777777" w:rsidR="00F86EB0" w:rsidRPr="00B35A22" w:rsidRDefault="00F86EB0" w:rsidP="00B35A22">
            <w:pPr>
              <w:widowControl w:val="0"/>
              <w:jc w:val="both"/>
              <w:rPr>
                <w:sz w:val="22"/>
                <w:lang w:val="sr-Latn-ME"/>
              </w:rPr>
            </w:pPr>
            <w:r w:rsidRPr="00B35A22">
              <w:rPr>
                <w:sz w:val="22"/>
                <w:lang w:val="sr-Latn-ME"/>
              </w:rPr>
              <w:t>8,5</w:t>
            </w:r>
          </w:p>
        </w:tc>
        <w:tc>
          <w:tcPr>
            <w:tcW w:w="2134" w:type="dxa"/>
            <w:tcBorders>
              <w:top w:val="nil"/>
              <w:left w:val="nil"/>
              <w:bottom w:val="nil"/>
              <w:right w:val="single" w:sz="4" w:space="0" w:color="auto"/>
            </w:tcBorders>
            <w:shd w:val="clear" w:color="auto" w:fill="auto"/>
          </w:tcPr>
          <w:p w14:paraId="7533DFA3" w14:textId="77777777" w:rsidR="00F86EB0" w:rsidRPr="00B35A22" w:rsidRDefault="00F86EB0" w:rsidP="00B35A22">
            <w:pPr>
              <w:widowControl w:val="0"/>
              <w:jc w:val="both"/>
              <w:rPr>
                <w:sz w:val="22"/>
                <w:lang w:val="sr-Latn-ME"/>
              </w:rPr>
            </w:pPr>
            <w:r w:rsidRPr="00B35A22">
              <w:rPr>
                <w:sz w:val="22"/>
                <w:lang w:val="sr-Latn-ME"/>
              </w:rPr>
              <w:t>5,5</w:t>
            </w:r>
          </w:p>
        </w:tc>
      </w:tr>
      <w:tr w:rsidR="00CC0044" w:rsidRPr="00B35A22" w14:paraId="494DE63B" w14:textId="37710062" w:rsidTr="005124BA">
        <w:tc>
          <w:tcPr>
            <w:tcW w:w="4098" w:type="dxa"/>
            <w:tcBorders>
              <w:top w:val="nil"/>
              <w:left w:val="single" w:sz="4" w:space="0" w:color="auto"/>
              <w:bottom w:val="single" w:sz="4" w:space="0" w:color="auto"/>
              <w:right w:val="nil"/>
            </w:tcBorders>
            <w:shd w:val="clear" w:color="auto" w:fill="auto"/>
            <w:hideMark/>
          </w:tcPr>
          <w:p w14:paraId="389F6647" w14:textId="77777777" w:rsidR="00F86EB0" w:rsidRPr="00B35A22" w:rsidRDefault="00F86EB0" w:rsidP="00B35A22">
            <w:pPr>
              <w:widowControl w:val="0"/>
              <w:jc w:val="both"/>
              <w:rPr>
                <w:sz w:val="22"/>
                <w:lang w:val="sr-Latn-ME"/>
              </w:rPr>
            </w:pPr>
            <w:r w:rsidRPr="00B35A22">
              <w:rPr>
                <w:sz w:val="22"/>
                <w:lang w:val="sr-Latn-ME"/>
              </w:rPr>
              <w:t>95% CI</w:t>
            </w:r>
          </w:p>
        </w:tc>
        <w:tc>
          <w:tcPr>
            <w:tcW w:w="2835" w:type="dxa"/>
            <w:gridSpan w:val="2"/>
            <w:tcBorders>
              <w:top w:val="nil"/>
              <w:left w:val="nil"/>
              <w:bottom w:val="single" w:sz="4" w:space="0" w:color="auto"/>
              <w:right w:val="nil"/>
            </w:tcBorders>
            <w:shd w:val="clear" w:color="auto" w:fill="auto"/>
          </w:tcPr>
          <w:p w14:paraId="56237647" w14:textId="77777777" w:rsidR="00F86EB0" w:rsidRPr="00B35A22" w:rsidRDefault="00F86EB0" w:rsidP="00B35A22">
            <w:pPr>
              <w:widowControl w:val="0"/>
              <w:jc w:val="both"/>
              <w:rPr>
                <w:sz w:val="22"/>
                <w:lang w:val="sr-Latn-ME"/>
              </w:rPr>
            </w:pPr>
            <w:r w:rsidRPr="00B35A22">
              <w:rPr>
                <w:sz w:val="22"/>
                <w:lang w:val="sr-Latn-ME"/>
              </w:rPr>
              <w:t>(7,3, 9,7)</w:t>
            </w:r>
          </w:p>
        </w:tc>
        <w:tc>
          <w:tcPr>
            <w:tcW w:w="2134" w:type="dxa"/>
            <w:tcBorders>
              <w:top w:val="nil"/>
              <w:left w:val="nil"/>
              <w:bottom w:val="single" w:sz="4" w:space="0" w:color="auto"/>
              <w:right w:val="single" w:sz="4" w:space="0" w:color="auto"/>
            </w:tcBorders>
            <w:shd w:val="clear" w:color="auto" w:fill="auto"/>
          </w:tcPr>
          <w:p w14:paraId="297D5C62" w14:textId="77777777" w:rsidR="00F86EB0" w:rsidRPr="00B35A22" w:rsidRDefault="00F86EB0" w:rsidP="00B35A22">
            <w:pPr>
              <w:widowControl w:val="0"/>
              <w:jc w:val="both"/>
              <w:rPr>
                <w:sz w:val="22"/>
                <w:lang w:val="sr-Latn-ME"/>
              </w:rPr>
            </w:pPr>
            <w:r w:rsidRPr="00B35A22">
              <w:rPr>
                <w:sz w:val="22"/>
                <w:lang w:val="sr-Latn-ME"/>
              </w:rPr>
              <w:t>(3,7, 7,1)</w:t>
            </w:r>
          </w:p>
        </w:tc>
      </w:tr>
    </w:tbl>
    <w:p w14:paraId="35F48F96" w14:textId="77777777" w:rsidR="00557471" w:rsidRPr="00B35A22" w:rsidRDefault="00557471" w:rsidP="00B35A22">
      <w:pPr>
        <w:widowControl w:val="0"/>
        <w:numPr>
          <w:ilvl w:val="0"/>
          <w:numId w:val="31"/>
        </w:numPr>
        <w:jc w:val="both"/>
        <w:rPr>
          <w:sz w:val="20"/>
          <w:lang w:val="sr-Latn-ME"/>
        </w:rPr>
      </w:pPr>
      <w:r w:rsidRPr="00B35A22">
        <w:rPr>
          <w:sz w:val="20"/>
          <w:lang w:val="sr-Latn-ME"/>
        </w:rPr>
        <w:t>Na osnovu stratifikovanog log-rank testa.</w:t>
      </w:r>
    </w:p>
    <w:p w14:paraId="02353CD8" w14:textId="77777777" w:rsidR="00557471" w:rsidRPr="00B35A22" w:rsidRDefault="00557471" w:rsidP="00B35A22">
      <w:pPr>
        <w:widowControl w:val="0"/>
        <w:numPr>
          <w:ilvl w:val="0"/>
          <w:numId w:val="31"/>
        </w:numPr>
        <w:jc w:val="both"/>
        <w:rPr>
          <w:sz w:val="20"/>
          <w:lang w:val="sr-Latn-ME"/>
        </w:rPr>
      </w:pPr>
      <w:r w:rsidRPr="00B35A22">
        <w:rPr>
          <w:sz w:val="20"/>
          <w:lang w:val="sr-Latn-ME"/>
        </w:rPr>
        <w:t>Poređenja OS-a između liječenih grupa kod pacijenata sa PD-L1 ekspresijom ≥1% nijesu se formalno testirala, prema unaprijed određenoj hijerarhijskoj analizi.</w:t>
      </w:r>
    </w:p>
    <w:p w14:paraId="4F6BEBA8" w14:textId="77777777" w:rsidR="00557471" w:rsidRPr="00B35A22" w:rsidRDefault="00557471" w:rsidP="00B35A22">
      <w:pPr>
        <w:widowControl w:val="0"/>
        <w:numPr>
          <w:ilvl w:val="0"/>
          <w:numId w:val="31"/>
        </w:numPr>
        <w:jc w:val="both"/>
        <w:rPr>
          <w:sz w:val="20"/>
          <w:lang w:val="sr-Latn-ME"/>
        </w:rPr>
      </w:pPr>
      <w:r w:rsidRPr="00B35A22">
        <w:rPr>
          <w:sz w:val="20"/>
          <w:lang w:val="sr-Latn-ME"/>
        </w:rPr>
        <w:t>Prema završnoj analizi PFS-a, ORR-a, trajanja odgovora i prvoj interim analizi OS-a; završni datum prikupljanja kliničkih podataka: 17. april 2018.</w:t>
      </w:r>
    </w:p>
    <w:p w14:paraId="7A3C66EB" w14:textId="77777777" w:rsidR="00557471" w:rsidRPr="00B35A22" w:rsidRDefault="00557471" w:rsidP="00B35A22">
      <w:pPr>
        <w:widowControl w:val="0"/>
        <w:numPr>
          <w:ilvl w:val="0"/>
          <w:numId w:val="31"/>
        </w:numPr>
        <w:jc w:val="both"/>
        <w:rPr>
          <w:sz w:val="20"/>
          <w:lang w:val="sr-Latn-ME"/>
        </w:rPr>
      </w:pPr>
      <w:r w:rsidRPr="00B35A22">
        <w:rPr>
          <w:sz w:val="20"/>
          <w:lang w:val="sr-Latn-ME"/>
        </w:rPr>
        <w:t>Prema drugoj eksploracijskoj analizi PFS-a; završni datum prikupljanja kliničkih podataka: 2. januar 2019.</w:t>
      </w:r>
    </w:p>
    <w:p w14:paraId="7A4542DF" w14:textId="77777777" w:rsidR="00557471" w:rsidRPr="00B35A22" w:rsidRDefault="00557471" w:rsidP="00B35A22">
      <w:pPr>
        <w:widowControl w:val="0"/>
        <w:numPr>
          <w:ilvl w:val="0"/>
          <w:numId w:val="31"/>
        </w:numPr>
        <w:tabs>
          <w:tab w:val="num" w:pos="360"/>
        </w:tabs>
        <w:spacing w:line="259" w:lineRule="auto"/>
        <w:ind w:left="0" w:firstLine="0"/>
        <w:jc w:val="both"/>
        <w:rPr>
          <w:sz w:val="20"/>
          <w:lang w:val="sr-Latn-ME"/>
        </w:rPr>
      </w:pPr>
      <w:r w:rsidRPr="00B35A22">
        <w:rPr>
          <w:sz w:val="20"/>
          <w:lang w:val="sr-Latn-ME"/>
        </w:rPr>
        <w:t>Prema završnoj analizi OS-a, završni datum prikupljanja kliničkih podataka: 14. april 2020.</w:t>
      </w:r>
      <w:r w:rsidRPr="00B35A22">
        <w:rPr>
          <w:sz w:val="20"/>
          <w:vertAlign w:val="superscript"/>
          <w:lang w:val="sr-Latn-ME"/>
        </w:rPr>
        <w:br/>
        <w:t>‡</w:t>
      </w:r>
      <w:r w:rsidRPr="00B35A22">
        <w:rPr>
          <w:sz w:val="20"/>
          <w:lang w:val="sr-Latn-ME"/>
        </w:rPr>
        <w:t xml:space="preserve"> Stratifikovano prema prisustnosti metastaza na jetri i prethodnom liječenju taksanima.</w:t>
      </w:r>
      <w:r w:rsidRPr="00B35A22">
        <w:rPr>
          <w:sz w:val="20"/>
          <w:lang w:val="sr-Latn-ME"/>
        </w:rPr>
        <w:br/>
        <w:t>PFS = preživljavanje bez progresije bolesti; RECIST = Kriterijumi za evaluaciju odgovora kod solidnih tumora v1.1; CI = interval pouzdanosti; ORR = stopa objektivnog odgovora; DOR = dužina trajanja odgovora; OS = ukupno preživljavanje; NE= nije moguće procijeniti</w:t>
      </w:r>
    </w:p>
    <w:p w14:paraId="14DF2656" w14:textId="77777777" w:rsidR="00640028" w:rsidRPr="00B35A22" w:rsidRDefault="00640028" w:rsidP="00B35A22">
      <w:pPr>
        <w:widowControl w:val="0"/>
        <w:jc w:val="both"/>
        <w:rPr>
          <w:b/>
          <w:sz w:val="22"/>
          <w:lang w:val="sr-Latn-ME"/>
        </w:rPr>
      </w:pPr>
    </w:p>
    <w:p w14:paraId="7CC0F824" w14:textId="3600B4F4" w:rsidR="00640028" w:rsidRPr="00B35A22" w:rsidRDefault="00640028" w:rsidP="00B35A22">
      <w:pPr>
        <w:widowControl w:val="0"/>
        <w:jc w:val="both"/>
        <w:rPr>
          <w:b/>
          <w:sz w:val="22"/>
          <w:lang w:val="sr-Latn-ME"/>
        </w:rPr>
      </w:pPr>
      <w:r w:rsidRPr="00B35A22">
        <w:rPr>
          <w:b/>
          <w:sz w:val="22"/>
          <w:lang w:val="sr-Latn-ME"/>
        </w:rPr>
        <w:t xml:space="preserve">Slika </w:t>
      </w:r>
      <w:r w:rsidR="00D46A5F" w:rsidRPr="00B35A22">
        <w:rPr>
          <w:b/>
          <w:bCs/>
          <w:sz w:val="22"/>
          <w:szCs w:val="20"/>
          <w:lang w:val="sr-Latn-ME" w:eastAsia="ja-JP"/>
        </w:rPr>
        <w:t>19</w:t>
      </w:r>
      <w:r w:rsidRPr="00B35A22">
        <w:rPr>
          <w:b/>
          <w:sz w:val="22"/>
          <w:lang w:val="sr-Latn-ME"/>
        </w:rPr>
        <w:t xml:space="preserve">: </w:t>
      </w:r>
      <w:r w:rsidRPr="00B35A22">
        <w:rPr>
          <w:b/>
          <w:i/>
          <w:sz w:val="22"/>
          <w:lang w:val="sr-Latn-ME"/>
        </w:rPr>
        <w:t>Kaplan</w:t>
      </w:r>
      <w:r w:rsidRPr="00B35A22">
        <w:rPr>
          <w:b/>
          <w:i/>
          <w:sz w:val="22"/>
          <w:lang w:val="sr-Latn-ME"/>
        </w:rPr>
        <w:noBreakHyphen/>
        <w:t>Meier</w:t>
      </w:r>
      <w:r w:rsidRPr="00B35A22">
        <w:rPr>
          <w:b/>
          <w:sz w:val="22"/>
          <w:lang w:val="sr-Latn-ME"/>
        </w:rPr>
        <w:t>-ova kriva preživljavanja bez progresije bolesti kod pacijenata sa PD-L1 ekspresijom ≥ 1% (IMpassion130)</w:t>
      </w:r>
    </w:p>
    <w:p w14:paraId="11FC7F62" w14:textId="77777777" w:rsidR="00640028" w:rsidRPr="00B35A22" w:rsidRDefault="00640028" w:rsidP="00B35A22">
      <w:pPr>
        <w:widowControl w:val="0"/>
        <w:jc w:val="both"/>
        <w:rPr>
          <w:b/>
          <w:sz w:val="22"/>
          <w:lang w:val="sr-Latn-ME"/>
        </w:rPr>
      </w:pPr>
    </w:p>
    <w:p w14:paraId="4DFF8737" w14:textId="5EC6EB9B" w:rsidR="00640028" w:rsidRPr="00B35A22" w:rsidRDefault="00640028" w:rsidP="00B35A22">
      <w:pPr>
        <w:widowControl w:val="0"/>
        <w:jc w:val="both"/>
        <w:rPr>
          <w:b/>
          <w:sz w:val="22"/>
          <w:lang w:val="sr-Latn-ME"/>
        </w:rPr>
      </w:pPr>
      <w:r w:rsidRPr="00B35A22">
        <w:rPr>
          <w:b/>
          <w:sz w:val="22"/>
          <w:szCs w:val="20"/>
          <w:lang w:val="sr-Latn-ME" w:eastAsia="sr-Latn-ME"/>
        </w:rPr>
        <w:drawing>
          <wp:inline distT="0" distB="0" distL="0" distR="0" wp14:anchorId="33CB846D" wp14:editId="21A41D98">
            <wp:extent cx="4679950" cy="2495550"/>
            <wp:effectExtent l="0" t="0" r="6350" b="0"/>
            <wp:docPr id="31" name="Picture 31" descr="C:\Users\jankovm2\Desktop\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kovm2\Desktop\Untitled7.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093"/>
                    <a:stretch/>
                  </pic:blipFill>
                  <pic:spPr bwMode="auto">
                    <a:xfrm>
                      <a:off x="0" y="0"/>
                      <a:ext cx="467995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5EF31D93" w14:textId="77777777" w:rsidR="00640028" w:rsidRPr="00B35A22" w:rsidRDefault="00640028" w:rsidP="00B35A22">
      <w:pPr>
        <w:widowControl w:val="0"/>
        <w:jc w:val="both"/>
        <w:rPr>
          <w:b/>
          <w:sz w:val="22"/>
          <w:lang w:val="sr-Latn-ME"/>
        </w:rPr>
      </w:pPr>
    </w:p>
    <w:p w14:paraId="2FC26D04" w14:textId="542AD140" w:rsidR="00640028" w:rsidRPr="00B35A22" w:rsidRDefault="00640028" w:rsidP="00B35A22">
      <w:pPr>
        <w:widowControl w:val="0"/>
        <w:jc w:val="both"/>
        <w:rPr>
          <w:b/>
          <w:sz w:val="22"/>
          <w:lang w:val="sr-Latn-ME"/>
        </w:rPr>
      </w:pPr>
      <w:r w:rsidRPr="00B35A22">
        <w:rPr>
          <w:b/>
          <w:sz w:val="22"/>
          <w:lang w:val="sr-Latn-ME"/>
        </w:rPr>
        <w:t xml:space="preserve">Slika </w:t>
      </w:r>
      <w:r w:rsidR="00D46A5F" w:rsidRPr="00B35A22">
        <w:rPr>
          <w:b/>
          <w:bCs/>
          <w:sz w:val="22"/>
          <w:szCs w:val="20"/>
          <w:lang w:val="sr-Latn-ME" w:eastAsia="ja-JP"/>
        </w:rPr>
        <w:t>20</w:t>
      </w:r>
      <w:r w:rsidRPr="00B35A22">
        <w:rPr>
          <w:b/>
          <w:sz w:val="22"/>
          <w:lang w:val="sr-Latn-ME"/>
        </w:rPr>
        <w:t xml:space="preserve">: </w:t>
      </w:r>
      <w:r w:rsidRPr="00B35A22">
        <w:rPr>
          <w:b/>
          <w:i/>
          <w:sz w:val="22"/>
          <w:lang w:val="sr-Latn-ME"/>
        </w:rPr>
        <w:t>Kaplan</w:t>
      </w:r>
      <w:r w:rsidRPr="00B35A22">
        <w:rPr>
          <w:b/>
          <w:i/>
          <w:sz w:val="22"/>
          <w:lang w:val="sr-Latn-ME"/>
        </w:rPr>
        <w:noBreakHyphen/>
        <w:t>Meier</w:t>
      </w:r>
      <w:r w:rsidRPr="00B35A22">
        <w:rPr>
          <w:b/>
          <w:sz w:val="22"/>
          <w:lang w:val="sr-Latn-ME"/>
        </w:rPr>
        <w:t>-ova kriva ukupnog preživljavanja kod pacijenata sa PD-L1 ekspresijom ≥ 1% (IMpassion130)</w:t>
      </w:r>
    </w:p>
    <w:p w14:paraId="50DCF969" w14:textId="77777777" w:rsidR="00640028" w:rsidRPr="00B35A22" w:rsidRDefault="00640028" w:rsidP="00B35A22">
      <w:pPr>
        <w:widowControl w:val="0"/>
        <w:jc w:val="both"/>
        <w:rPr>
          <w:b/>
          <w:sz w:val="22"/>
          <w:lang w:val="sr-Latn-ME"/>
        </w:rPr>
      </w:pPr>
    </w:p>
    <w:p w14:paraId="74F9CC56" w14:textId="77777777" w:rsidR="00640028" w:rsidRPr="00B35A22" w:rsidRDefault="00640028" w:rsidP="00B35A22">
      <w:pPr>
        <w:widowControl w:val="0"/>
        <w:jc w:val="both"/>
        <w:rPr>
          <w:b/>
          <w:sz w:val="22"/>
          <w:szCs w:val="20"/>
          <w:lang w:val="sr-Latn-ME" w:eastAsia="ja-JP"/>
        </w:rPr>
      </w:pPr>
      <w:r w:rsidRPr="00B35A22">
        <w:rPr>
          <w:b/>
          <w:sz w:val="22"/>
          <w:szCs w:val="20"/>
          <w:lang w:val="sr-Latn-ME" w:eastAsia="sr-Latn-ME"/>
        </w:rPr>
        <w:lastRenderedPageBreak/>
        <w:drawing>
          <wp:inline distT="0" distB="0" distL="0" distR="0" wp14:anchorId="2E20FCF9" wp14:editId="4295AE81">
            <wp:extent cx="4913772" cy="2514600"/>
            <wp:effectExtent l="0" t="0" r="1270" b="0"/>
            <wp:docPr id="32" name="Picture 32" descr="C:\Users\jankovm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kovm2\Desktop\Untitled.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6682" b="5101"/>
                    <a:stretch/>
                  </pic:blipFill>
                  <pic:spPr bwMode="auto">
                    <a:xfrm>
                      <a:off x="0" y="0"/>
                      <a:ext cx="4927011" cy="2521375"/>
                    </a:xfrm>
                    <a:prstGeom prst="rect">
                      <a:avLst/>
                    </a:prstGeom>
                    <a:noFill/>
                    <a:ln>
                      <a:noFill/>
                    </a:ln>
                    <a:extLst>
                      <a:ext uri="{53640926-AAD7-44D8-BBD7-CCE9431645EC}">
                        <a14:shadowObscured xmlns:a14="http://schemas.microsoft.com/office/drawing/2010/main"/>
                      </a:ext>
                    </a:extLst>
                  </pic:spPr>
                </pic:pic>
              </a:graphicData>
            </a:graphic>
          </wp:inline>
        </w:drawing>
      </w:r>
    </w:p>
    <w:p w14:paraId="1B1B5651" w14:textId="77777777" w:rsidR="00640028" w:rsidRPr="00B35A22" w:rsidRDefault="00640028" w:rsidP="00B35A22">
      <w:pPr>
        <w:widowControl w:val="0"/>
        <w:jc w:val="both"/>
        <w:rPr>
          <w:i/>
          <w:sz w:val="22"/>
          <w:u w:val="single"/>
          <w:lang w:val="sr-Latn-ME"/>
        </w:rPr>
      </w:pPr>
    </w:p>
    <w:p w14:paraId="02CB1DF9" w14:textId="77777777" w:rsidR="00640028" w:rsidRPr="00B35A22" w:rsidRDefault="00640028" w:rsidP="00B35A22">
      <w:pPr>
        <w:widowControl w:val="0"/>
        <w:tabs>
          <w:tab w:val="left" w:pos="540"/>
          <w:tab w:val="left" w:pos="569"/>
        </w:tabs>
        <w:jc w:val="both"/>
        <w:rPr>
          <w:sz w:val="22"/>
          <w:lang w:val="sr-Latn-ME"/>
        </w:rPr>
      </w:pPr>
      <w:r w:rsidRPr="00B35A22">
        <w:rPr>
          <w:rFonts w:eastAsia="SimSun"/>
          <w:sz w:val="22"/>
          <w:lang w:val="sr-Latn-ME"/>
        </w:rPr>
        <w:t xml:space="preserve">Vrijeme do pogoršanja (održano smanjenje početnog rezultata za </w:t>
      </w:r>
      <w:r w:rsidRPr="00B35A22">
        <w:rPr>
          <w:rFonts w:eastAsia="SymbolMT"/>
          <w:sz w:val="22"/>
          <w:lang w:val="sr-Latn-ME"/>
        </w:rPr>
        <w:t>≥ </w:t>
      </w:r>
      <w:r w:rsidRPr="00B35A22">
        <w:rPr>
          <w:rFonts w:eastAsia="SimSun"/>
          <w:sz w:val="22"/>
          <w:lang w:val="sr-Latn-ME"/>
        </w:rPr>
        <w:t>10 bodova) opšteg zdravstvenog statusa/kvaliteta života u vezi sa zdravljem koje su prijavljivali pacijenti, mjereno upitnikom EORTC QLQ</w:t>
      </w:r>
      <w:r w:rsidRPr="00B35A22">
        <w:rPr>
          <w:rFonts w:eastAsia="SimSun"/>
          <w:sz w:val="22"/>
          <w:lang w:val="sr-Latn-ME"/>
        </w:rPr>
        <w:noBreakHyphen/>
        <w:t>C30, bilo je slično u obije liječene grupe, što ukazuje na to da su svi pacijenti podjednako dugo održali početni kvalitet života u vezi sa zdravljem.</w:t>
      </w:r>
    </w:p>
    <w:p w14:paraId="6A206389" w14:textId="77777777" w:rsidR="00640028" w:rsidRPr="00B35A22" w:rsidRDefault="00640028" w:rsidP="00B35A22">
      <w:pPr>
        <w:widowControl w:val="0"/>
        <w:autoSpaceDE w:val="0"/>
        <w:autoSpaceDN w:val="0"/>
        <w:adjustRightInd w:val="0"/>
        <w:jc w:val="both"/>
        <w:rPr>
          <w:rFonts w:eastAsia="SimSun"/>
          <w:i/>
          <w:sz w:val="22"/>
          <w:u w:val="single"/>
          <w:lang w:val="sr-Latn-ME"/>
        </w:rPr>
      </w:pPr>
    </w:p>
    <w:p w14:paraId="56B75394" w14:textId="3434D6C7" w:rsidR="00620DBC" w:rsidRPr="00B35A22" w:rsidRDefault="00620DBC" w:rsidP="00B35A22">
      <w:pPr>
        <w:widowControl w:val="0"/>
        <w:autoSpaceDE w:val="0"/>
        <w:autoSpaceDN w:val="0"/>
        <w:adjustRightInd w:val="0"/>
        <w:jc w:val="both"/>
        <w:rPr>
          <w:rFonts w:eastAsia="SimSun"/>
          <w:i/>
          <w:sz w:val="22"/>
          <w:u w:val="single"/>
          <w:lang w:val="sr-Latn-ME"/>
        </w:rPr>
      </w:pPr>
      <w:r w:rsidRPr="00B35A22">
        <w:rPr>
          <w:rFonts w:eastAsia="SimSun"/>
          <w:i/>
          <w:sz w:val="22"/>
          <w:u w:val="single"/>
          <w:lang w:val="sr-Latn-ME"/>
        </w:rPr>
        <w:t>Hepatocelularni karcinom</w:t>
      </w:r>
    </w:p>
    <w:p w14:paraId="520E44A2" w14:textId="77777777" w:rsidR="00620DBC" w:rsidRPr="00B35A22" w:rsidRDefault="00620DBC" w:rsidP="00B35A22">
      <w:pPr>
        <w:widowControl w:val="0"/>
        <w:autoSpaceDE w:val="0"/>
        <w:autoSpaceDN w:val="0"/>
        <w:adjustRightInd w:val="0"/>
        <w:jc w:val="both"/>
        <w:rPr>
          <w:rFonts w:eastAsia="SimSun"/>
          <w:i/>
          <w:sz w:val="22"/>
          <w:lang w:val="sr-Latn-ME"/>
        </w:rPr>
      </w:pPr>
    </w:p>
    <w:p w14:paraId="086BDBF6" w14:textId="396C98AA" w:rsidR="00620DBC" w:rsidRPr="00B35A22" w:rsidRDefault="00620DBC" w:rsidP="00B35A22">
      <w:pPr>
        <w:widowControl w:val="0"/>
        <w:autoSpaceDE w:val="0"/>
        <w:autoSpaceDN w:val="0"/>
        <w:adjustRightInd w:val="0"/>
        <w:jc w:val="both"/>
        <w:rPr>
          <w:rFonts w:eastAsia="SimSun"/>
          <w:i/>
          <w:sz w:val="22"/>
          <w:lang w:val="sr-Latn-ME"/>
        </w:rPr>
      </w:pPr>
      <w:r w:rsidRPr="00B35A22">
        <w:rPr>
          <w:rFonts w:eastAsia="SimSun"/>
          <w:i/>
          <w:sz w:val="22"/>
          <w:lang w:val="sr-Latn-ME"/>
        </w:rPr>
        <w:t>IMbrave150 (YO40245): Randomizovano ispitivanje faze III kod pacijenata sa neresektabilnim HCC</w:t>
      </w:r>
      <w:r w:rsidRPr="00B35A22">
        <w:rPr>
          <w:rFonts w:eastAsia="SimSun"/>
          <w:i/>
          <w:sz w:val="22"/>
          <w:lang w:val="sr-Latn-ME"/>
        </w:rPr>
        <w:noBreakHyphen/>
        <w:t>om koji prethodno ni</w:t>
      </w:r>
      <w:r w:rsidR="00825619" w:rsidRPr="00B35A22">
        <w:rPr>
          <w:rFonts w:eastAsia="SimSun"/>
          <w:i/>
          <w:sz w:val="22"/>
          <w:lang w:val="sr-Latn-ME"/>
        </w:rPr>
        <w:t>je</w:t>
      </w:r>
      <w:r w:rsidRPr="00B35A22">
        <w:rPr>
          <w:rFonts w:eastAsia="SimSun"/>
          <w:i/>
          <w:sz w:val="22"/>
          <w:lang w:val="sr-Latn-ME"/>
        </w:rPr>
        <w:t>su primali sistemsku terapiju, u kombinaciji sa bevacizumabom</w:t>
      </w:r>
    </w:p>
    <w:p w14:paraId="2CE22F6E" w14:textId="77777777" w:rsidR="00620DBC" w:rsidRPr="00B35A22" w:rsidRDefault="00620DBC" w:rsidP="00B35A22">
      <w:pPr>
        <w:widowControl w:val="0"/>
        <w:autoSpaceDE w:val="0"/>
        <w:autoSpaceDN w:val="0"/>
        <w:adjustRightInd w:val="0"/>
        <w:jc w:val="both"/>
        <w:rPr>
          <w:rFonts w:eastAsia="SimSun"/>
          <w:i/>
          <w:sz w:val="22"/>
          <w:lang w:val="sr-Latn-ME"/>
        </w:rPr>
      </w:pPr>
    </w:p>
    <w:p w14:paraId="7C42583D" w14:textId="16298D19" w:rsidR="00620DBC" w:rsidRPr="00B35A22" w:rsidRDefault="00620DBC" w:rsidP="00B35A22">
      <w:pPr>
        <w:widowControl w:val="0"/>
        <w:autoSpaceDE w:val="0"/>
        <w:autoSpaceDN w:val="0"/>
        <w:adjustRightInd w:val="0"/>
        <w:jc w:val="both"/>
        <w:rPr>
          <w:rFonts w:eastAsia="SimSun"/>
          <w:i/>
          <w:sz w:val="22"/>
          <w:lang w:val="sr-Latn-ME"/>
        </w:rPr>
      </w:pPr>
      <w:r w:rsidRPr="00B35A22">
        <w:rPr>
          <w:rFonts w:eastAsia="SimSun"/>
          <w:sz w:val="22"/>
          <w:lang w:val="sr-Latn-ME"/>
        </w:rPr>
        <w:t>IMbrave150 bilo je randomizovano, multicentrično, međunarodno, otvoreno ispitivanje faze III sprovedeno radi proc</w:t>
      </w:r>
      <w:r w:rsidR="00825619" w:rsidRPr="00B35A22">
        <w:rPr>
          <w:rFonts w:eastAsia="SimSun"/>
          <w:sz w:val="22"/>
          <w:lang w:val="sr-Latn-ME"/>
        </w:rPr>
        <w:t>j</w:t>
      </w:r>
      <w:r w:rsidRPr="00B35A22">
        <w:rPr>
          <w:rFonts w:eastAsia="SimSun"/>
          <w:sz w:val="22"/>
          <w:lang w:val="sr-Latn-ME"/>
        </w:rPr>
        <w:t>ene efikasnosti i bezb</w:t>
      </w:r>
      <w:r w:rsidR="00825619" w:rsidRPr="00B35A22">
        <w:rPr>
          <w:rFonts w:eastAsia="SimSun"/>
          <w:sz w:val="22"/>
          <w:lang w:val="sr-Latn-ME"/>
        </w:rPr>
        <w:t>j</w:t>
      </w:r>
      <w:r w:rsidRPr="00B35A22">
        <w:rPr>
          <w:rFonts w:eastAsia="SimSun"/>
          <w:sz w:val="22"/>
          <w:lang w:val="sr-Latn-ME"/>
        </w:rPr>
        <w:t>ednosti atezolizumaba u kombinaciji sa bevacizumabom kod pacijenata sa lokalno uznapredovalim ili metastatskim i/ili neresektabilnim HCC</w:t>
      </w:r>
      <w:r w:rsidRPr="00B35A22">
        <w:rPr>
          <w:rFonts w:eastAsia="SimSun"/>
          <w:sz w:val="22"/>
          <w:lang w:val="sr-Latn-ME"/>
        </w:rPr>
        <w:noBreakHyphen/>
        <w:t>om koji prethodno ni</w:t>
      </w:r>
      <w:r w:rsidR="00825619" w:rsidRPr="00B35A22">
        <w:rPr>
          <w:rFonts w:eastAsia="SimSun"/>
          <w:sz w:val="22"/>
          <w:lang w:val="sr-Latn-ME"/>
        </w:rPr>
        <w:t>je</w:t>
      </w:r>
      <w:r w:rsidRPr="00B35A22">
        <w:rPr>
          <w:rFonts w:eastAsia="SimSun"/>
          <w:sz w:val="22"/>
          <w:lang w:val="sr-Latn-ME"/>
        </w:rPr>
        <w:t>su primali sistemsko l</w:t>
      </w:r>
      <w:r w:rsidR="00825619" w:rsidRPr="00B35A22">
        <w:rPr>
          <w:rFonts w:eastAsia="SimSun"/>
          <w:sz w:val="22"/>
          <w:lang w:val="sr-Latn-ME"/>
        </w:rPr>
        <w:t>ij</w:t>
      </w:r>
      <w:r w:rsidRPr="00B35A22">
        <w:rPr>
          <w:rFonts w:eastAsia="SimSun"/>
          <w:sz w:val="22"/>
          <w:lang w:val="sr-Latn-ME"/>
        </w:rPr>
        <w:t xml:space="preserve">ečenje. Ukupno je 501 pacijent bio randomizovan (2:1) za primanje atezolizumaba (1200 mg) i 15 mg/kg </w:t>
      </w:r>
      <w:r w:rsidR="001C2391" w:rsidRPr="00B35A22">
        <w:rPr>
          <w:sz w:val="22"/>
          <w:lang w:val="sr-Latn-ME"/>
        </w:rPr>
        <w:t>t</w:t>
      </w:r>
      <w:r w:rsidR="00806CBB" w:rsidRPr="00B35A22">
        <w:rPr>
          <w:sz w:val="22"/>
          <w:lang w:val="sr-Latn-ME"/>
        </w:rPr>
        <w:t>j</w:t>
      </w:r>
      <w:r w:rsidR="001C2391" w:rsidRPr="00B35A22">
        <w:rPr>
          <w:sz w:val="22"/>
          <w:lang w:val="sr-Latn-ME"/>
        </w:rPr>
        <w:t>elesne mase</w:t>
      </w:r>
      <w:r w:rsidR="00640028" w:rsidRPr="00B35A22">
        <w:rPr>
          <w:rFonts w:eastAsia="SimSun"/>
          <w:sz w:val="22"/>
          <w:lang w:val="sr-Latn-ME"/>
        </w:rPr>
        <w:t xml:space="preserve"> </w:t>
      </w:r>
      <w:r w:rsidRPr="00B35A22">
        <w:rPr>
          <w:rFonts w:eastAsia="SimSun"/>
          <w:sz w:val="22"/>
          <w:lang w:val="sr-Latn-ME"/>
        </w:rPr>
        <w:t>bevacizumaba na svake tri ned</w:t>
      </w:r>
      <w:r w:rsidR="00825619" w:rsidRPr="00B35A22">
        <w:rPr>
          <w:rFonts w:eastAsia="SimSun"/>
          <w:sz w:val="22"/>
          <w:lang w:val="sr-Latn-ME"/>
        </w:rPr>
        <w:t>j</w:t>
      </w:r>
      <w:r w:rsidRPr="00B35A22">
        <w:rPr>
          <w:rFonts w:eastAsia="SimSun"/>
          <w:sz w:val="22"/>
          <w:lang w:val="sr-Latn-ME"/>
        </w:rPr>
        <w:t>elje intravenskom infuzijom ili sorafeniba u dozi od 400 mg peroralno dva puta na dan. Randomizacija je bila stratifikovana prema geografskoj regiji, makrovaskularnoj invaziji i/ili širenju van jetre, početnoj vr</w:t>
      </w:r>
      <w:r w:rsidR="00825619" w:rsidRPr="00B35A22">
        <w:rPr>
          <w:rFonts w:eastAsia="SimSun"/>
          <w:sz w:val="22"/>
          <w:lang w:val="sr-Latn-ME"/>
        </w:rPr>
        <w:t>ij</w:t>
      </w:r>
      <w:r w:rsidRPr="00B35A22">
        <w:rPr>
          <w:rFonts w:eastAsia="SimSun"/>
          <w:sz w:val="22"/>
          <w:lang w:val="sr-Latn-ME"/>
        </w:rPr>
        <w:t>ednosti α</w:t>
      </w:r>
      <w:r w:rsidRPr="00B35A22">
        <w:rPr>
          <w:rFonts w:eastAsia="SimSun"/>
          <w:sz w:val="22"/>
          <w:lang w:val="sr-Latn-ME"/>
        </w:rPr>
        <w:noBreakHyphen/>
        <w:t>fetoproteina (AFP) i funkcionalnom ECOG statusu. Pacijenti su u ob</w:t>
      </w:r>
      <w:r w:rsidR="00806CBB" w:rsidRPr="00B35A22">
        <w:rPr>
          <w:rFonts w:eastAsia="SimSun"/>
          <w:sz w:val="22"/>
          <w:lang w:val="sr-Latn-ME"/>
        </w:rPr>
        <w:t>ij</w:t>
      </w:r>
      <w:r w:rsidRPr="00B35A22">
        <w:rPr>
          <w:rFonts w:eastAsia="SimSun"/>
          <w:sz w:val="22"/>
          <w:lang w:val="sr-Latn-ME"/>
        </w:rPr>
        <w:t>e grupe primali l</w:t>
      </w:r>
      <w:r w:rsidR="00825619" w:rsidRPr="00B35A22">
        <w:rPr>
          <w:rFonts w:eastAsia="SimSun"/>
          <w:sz w:val="22"/>
          <w:lang w:val="sr-Latn-ME"/>
        </w:rPr>
        <w:t>ij</w:t>
      </w:r>
      <w:r w:rsidRPr="00B35A22">
        <w:rPr>
          <w:rFonts w:eastAsia="SimSun"/>
          <w:sz w:val="22"/>
          <w:lang w:val="sr-Latn-ME"/>
        </w:rPr>
        <w:t>ečenje do gubitka kliničke koristi ili pojave neprihvatljive toksičnosti. Pacijenti su mogli prekinuti l</w:t>
      </w:r>
      <w:r w:rsidR="00825619" w:rsidRPr="00B35A22">
        <w:rPr>
          <w:rFonts w:eastAsia="SimSun"/>
          <w:sz w:val="22"/>
          <w:lang w:val="sr-Latn-ME"/>
        </w:rPr>
        <w:t>ij</w:t>
      </w:r>
      <w:r w:rsidRPr="00B35A22">
        <w:rPr>
          <w:rFonts w:eastAsia="SimSun"/>
          <w:sz w:val="22"/>
          <w:lang w:val="sr-Latn-ME"/>
        </w:rPr>
        <w:t>ečenje atezolizumabom ili bevacizumabom (npr. zbog neželjenih događaja) i nastaviti l</w:t>
      </w:r>
      <w:r w:rsidR="00825619" w:rsidRPr="00B35A22">
        <w:rPr>
          <w:rFonts w:eastAsia="SimSun"/>
          <w:sz w:val="22"/>
          <w:lang w:val="sr-Latn-ME"/>
        </w:rPr>
        <w:t>ij</w:t>
      </w:r>
      <w:r w:rsidRPr="00B35A22">
        <w:rPr>
          <w:rFonts w:eastAsia="SimSun"/>
          <w:sz w:val="22"/>
          <w:lang w:val="sr-Latn-ME"/>
        </w:rPr>
        <w:t>ečenje samo jednim l</w:t>
      </w:r>
      <w:r w:rsidR="00825619" w:rsidRPr="00B35A22">
        <w:rPr>
          <w:rFonts w:eastAsia="SimSun"/>
          <w:sz w:val="22"/>
          <w:lang w:val="sr-Latn-ME"/>
        </w:rPr>
        <w:t>ij</w:t>
      </w:r>
      <w:r w:rsidRPr="00B35A22">
        <w:rPr>
          <w:rFonts w:eastAsia="SimSun"/>
          <w:sz w:val="22"/>
          <w:lang w:val="sr-Latn-ME"/>
        </w:rPr>
        <w:t>ekom do gubitka kliničke koristi ili pojave neprihvatljive toksičnosti povezane sa l</w:t>
      </w:r>
      <w:r w:rsidR="00825619" w:rsidRPr="00B35A22">
        <w:rPr>
          <w:rFonts w:eastAsia="SimSun"/>
          <w:sz w:val="22"/>
          <w:lang w:val="sr-Latn-ME"/>
        </w:rPr>
        <w:t>ij</w:t>
      </w:r>
      <w:r w:rsidRPr="00B35A22">
        <w:rPr>
          <w:rFonts w:eastAsia="SimSun"/>
          <w:sz w:val="22"/>
          <w:lang w:val="sr-Latn-ME"/>
        </w:rPr>
        <w:t>ekom koji se nastavio prim</w:t>
      </w:r>
      <w:r w:rsidR="00825619" w:rsidRPr="00B35A22">
        <w:rPr>
          <w:rFonts w:eastAsia="SimSun"/>
          <w:sz w:val="22"/>
          <w:lang w:val="sr-Latn-ME"/>
        </w:rPr>
        <w:t>j</w:t>
      </w:r>
      <w:r w:rsidRPr="00B35A22">
        <w:rPr>
          <w:rFonts w:eastAsia="SimSun"/>
          <w:sz w:val="22"/>
          <w:lang w:val="sr-Latn-ME"/>
        </w:rPr>
        <w:t>enjivati.</w:t>
      </w:r>
    </w:p>
    <w:p w14:paraId="18400EBA" w14:textId="77777777" w:rsidR="00620DBC" w:rsidRPr="00B35A22" w:rsidRDefault="00620DBC" w:rsidP="00B35A22">
      <w:pPr>
        <w:widowControl w:val="0"/>
        <w:autoSpaceDE w:val="0"/>
        <w:autoSpaceDN w:val="0"/>
        <w:adjustRightInd w:val="0"/>
        <w:jc w:val="both"/>
        <w:rPr>
          <w:rFonts w:eastAsia="SimSun"/>
          <w:sz w:val="22"/>
          <w:lang w:val="sr-Latn-ME"/>
        </w:rPr>
      </w:pPr>
    </w:p>
    <w:p w14:paraId="6C81C511" w14:textId="4751C7C7" w:rsidR="00620DBC" w:rsidRPr="00B35A22" w:rsidRDefault="00620DBC" w:rsidP="00B35A22">
      <w:pPr>
        <w:widowControl w:val="0"/>
        <w:autoSpaceDE w:val="0"/>
        <w:autoSpaceDN w:val="0"/>
        <w:adjustRightInd w:val="0"/>
        <w:jc w:val="both"/>
        <w:rPr>
          <w:rFonts w:eastAsia="SimSun"/>
          <w:sz w:val="22"/>
          <w:lang w:val="sr-Latn-ME"/>
        </w:rPr>
      </w:pPr>
      <w:r w:rsidRPr="00B35A22">
        <w:rPr>
          <w:rFonts w:eastAsia="SimSun"/>
          <w:sz w:val="22"/>
          <w:lang w:val="sr-Latn-ME"/>
        </w:rPr>
        <w:t>U ispitivanj</w:t>
      </w:r>
      <w:r w:rsidR="00912953" w:rsidRPr="00B35A22">
        <w:rPr>
          <w:rFonts w:eastAsia="SimSun"/>
          <w:sz w:val="22"/>
          <w:lang w:val="sr-Latn-ME"/>
        </w:rPr>
        <w:t>u</w:t>
      </w:r>
      <w:r w:rsidRPr="00B35A22">
        <w:rPr>
          <w:rFonts w:eastAsia="SimSun"/>
          <w:sz w:val="22"/>
          <w:lang w:val="sr-Latn-ME"/>
        </w:rPr>
        <w:t xml:space="preserve"> su bile uključene odrasle osobe čija bolest nije bila pogodna za hirurško i/ili lokoregionalno l</w:t>
      </w:r>
      <w:r w:rsidR="00825619" w:rsidRPr="00B35A22">
        <w:rPr>
          <w:rFonts w:eastAsia="SimSun"/>
          <w:sz w:val="22"/>
          <w:lang w:val="sr-Latn-ME"/>
        </w:rPr>
        <w:t>ij</w:t>
      </w:r>
      <w:r w:rsidRPr="00B35A22">
        <w:rPr>
          <w:rFonts w:eastAsia="SimSun"/>
          <w:sz w:val="22"/>
          <w:lang w:val="sr-Latn-ME"/>
        </w:rPr>
        <w:t>ečenje ili je uznapredovala nakon takvog l</w:t>
      </w:r>
      <w:r w:rsidR="00825619" w:rsidRPr="00B35A22">
        <w:rPr>
          <w:rFonts w:eastAsia="SimSun"/>
          <w:sz w:val="22"/>
          <w:lang w:val="sr-Latn-ME"/>
        </w:rPr>
        <w:t>ij</w:t>
      </w:r>
      <w:r w:rsidRPr="00B35A22">
        <w:rPr>
          <w:rFonts w:eastAsia="SimSun"/>
          <w:sz w:val="22"/>
          <w:lang w:val="sr-Latn-ME"/>
        </w:rPr>
        <w:t>ečenja, koje su imale bolest stadijuma A prema Child</w:t>
      </w:r>
      <w:r w:rsidRPr="00B35A22">
        <w:rPr>
          <w:rFonts w:eastAsia="SimSun"/>
          <w:sz w:val="22"/>
          <w:lang w:val="sr-Latn-ME"/>
        </w:rPr>
        <w:noBreakHyphen/>
        <w:t>Pugh klasifikaciji i ECOG status 0/1 i koje pr</w:t>
      </w:r>
      <w:r w:rsidR="00825619" w:rsidRPr="00B35A22">
        <w:rPr>
          <w:rFonts w:eastAsia="SimSun"/>
          <w:sz w:val="22"/>
          <w:lang w:val="sr-Latn-ME"/>
        </w:rPr>
        <w:t>ij</w:t>
      </w:r>
      <w:r w:rsidRPr="00B35A22">
        <w:rPr>
          <w:rFonts w:eastAsia="SimSun"/>
          <w:sz w:val="22"/>
          <w:lang w:val="sr-Latn-ME"/>
        </w:rPr>
        <w:t>ethodno ni</w:t>
      </w:r>
      <w:r w:rsidR="00825619" w:rsidRPr="00B35A22">
        <w:rPr>
          <w:rFonts w:eastAsia="SimSun"/>
          <w:sz w:val="22"/>
          <w:lang w:val="sr-Latn-ME"/>
        </w:rPr>
        <w:t>je</w:t>
      </w:r>
      <w:r w:rsidRPr="00B35A22">
        <w:rPr>
          <w:rFonts w:eastAsia="SimSun"/>
          <w:sz w:val="22"/>
          <w:lang w:val="sr-Latn-ME"/>
        </w:rPr>
        <w:t>su primale sistemsko l</w:t>
      </w:r>
      <w:r w:rsidR="00825619" w:rsidRPr="00B35A22">
        <w:rPr>
          <w:rFonts w:eastAsia="SimSun"/>
          <w:sz w:val="22"/>
          <w:lang w:val="sr-Latn-ME"/>
        </w:rPr>
        <w:t>ij</w:t>
      </w:r>
      <w:r w:rsidRPr="00B35A22">
        <w:rPr>
          <w:rFonts w:eastAsia="SimSun"/>
          <w:sz w:val="22"/>
          <w:lang w:val="sr-Latn-ME"/>
        </w:rPr>
        <w:t>ečenje. Krvarenje (uključujući slučajeve sa smrtnim ishodom) je poznata neželjena reakcija l</w:t>
      </w:r>
      <w:r w:rsidR="00825619" w:rsidRPr="00B35A22">
        <w:rPr>
          <w:rFonts w:eastAsia="SimSun"/>
          <w:sz w:val="22"/>
          <w:lang w:val="sr-Latn-ME"/>
        </w:rPr>
        <w:t>ij</w:t>
      </w:r>
      <w:r w:rsidRPr="00B35A22">
        <w:rPr>
          <w:rFonts w:eastAsia="SimSun"/>
          <w:sz w:val="22"/>
          <w:lang w:val="sr-Latn-ME"/>
        </w:rPr>
        <w:t>ečenja bevacizumabom, a krvarenje u gornjem d</w:t>
      </w:r>
      <w:r w:rsidR="00912953" w:rsidRPr="00B35A22">
        <w:rPr>
          <w:rFonts w:eastAsia="SimSun"/>
          <w:sz w:val="22"/>
          <w:lang w:val="sr-Latn-ME"/>
        </w:rPr>
        <w:t>ij</w:t>
      </w:r>
      <w:r w:rsidRPr="00B35A22">
        <w:rPr>
          <w:rFonts w:eastAsia="SimSun"/>
          <w:sz w:val="22"/>
          <w:lang w:val="sr-Latn-ME"/>
        </w:rPr>
        <w:t>elu gastrointestinalnog trakta je po život opasna komplikacija koja se često javlja kod pacijenata sa HCC</w:t>
      </w:r>
      <w:r w:rsidRPr="00B35A22">
        <w:rPr>
          <w:rFonts w:eastAsia="SimSun"/>
          <w:sz w:val="22"/>
          <w:lang w:val="sr-Latn-ME"/>
        </w:rPr>
        <w:noBreakHyphen/>
        <w:t>om. Zbog toga se moralo proc</w:t>
      </w:r>
      <w:r w:rsidR="00912953" w:rsidRPr="00B35A22">
        <w:rPr>
          <w:rFonts w:eastAsia="SimSun"/>
          <w:sz w:val="22"/>
          <w:lang w:val="sr-Latn-ME"/>
        </w:rPr>
        <w:t>i</w:t>
      </w:r>
      <w:r w:rsidR="00825619" w:rsidRPr="00B35A22">
        <w:rPr>
          <w:rFonts w:eastAsia="SimSun"/>
          <w:sz w:val="22"/>
          <w:lang w:val="sr-Latn-ME"/>
        </w:rPr>
        <w:t>j</w:t>
      </w:r>
      <w:r w:rsidRPr="00B35A22">
        <w:rPr>
          <w:rFonts w:eastAsia="SimSun"/>
          <w:sz w:val="22"/>
          <w:lang w:val="sr-Latn-ME"/>
        </w:rPr>
        <w:t>eniti da li su pacijenti imali varikozitete u roku od 6 m</w:t>
      </w:r>
      <w:r w:rsidR="00825619" w:rsidRPr="00B35A22">
        <w:rPr>
          <w:rFonts w:eastAsia="SimSun"/>
          <w:sz w:val="22"/>
          <w:lang w:val="sr-Latn-ME"/>
        </w:rPr>
        <w:t>j</w:t>
      </w:r>
      <w:r w:rsidRPr="00B35A22">
        <w:rPr>
          <w:rFonts w:eastAsia="SimSun"/>
          <w:sz w:val="22"/>
          <w:lang w:val="sr-Latn-ME"/>
        </w:rPr>
        <w:t>eseci pr</w:t>
      </w:r>
      <w:r w:rsidR="00912953" w:rsidRPr="00B35A22">
        <w:rPr>
          <w:rFonts w:eastAsia="SimSun"/>
          <w:sz w:val="22"/>
          <w:lang w:val="sr-Latn-ME"/>
        </w:rPr>
        <w:t>ij</w:t>
      </w:r>
      <w:r w:rsidRPr="00B35A22">
        <w:rPr>
          <w:rFonts w:eastAsia="SimSun"/>
          <w:sz w:val="22"/>
          <w:lang w:val="sr-Latn-ME"/>
        </w:rPr>
        <w:t>e l</w:t>
      </w:r>
      <w:r w:rsidR="00825619" w:rsidRPr="00B35A22">
        <w:rPr>
          <w:rFonts w:eastAsia="SimSun"/>
          <w:sz w:val="22"/>
          <w:lang w:val="sr-Latn-ME"/>
        </w:rPr>
        <w:t>ij</w:t>
      </w:r>
      <w:r w:rsidRPr="00B35A22">
        <w:rPr>
          <w:rFonts w:eastAsia="SimSun"/>
          <w:sz w:val="22"/>
          <w:lang w:val="sr-Latn-ME"/>
        </w:rPr>
        <w:t>ečenja. Pacijenti koji su unutar 6 m</w:t>
      </w:r>
      <w:r w:rsidR="00825619" w:rsidRPr="00B35A22">
        <w:rPr>
          <w:rFonts w:eastAsia="SimSun"/>
          <w:sz w:val="22"/>
          <w:lang w:val="sr-Latn-ME"/>
        </w:rPr>
        <w:t>j</w:t>
      </w:r>
      <w:r w:rsidRPr="00B35A22">
        <w:rPr>
          <w:rFonts w:eastAsia="SimSun"/>
          <w:sz w:val="22"/>
          <w:lang w:val="sr-Latn-ME"/>
        </w:rPr>
        <w:t>eseci pr</w:t>
      </w:r>
      <w:r w:rsidR="00825619" w:rsidRPr="00B35A22">
        <w:rPr>
          <w:rFonts w:eastAsia="SimSun"/>
          <w:sz w:val="22"/>
          <w:lang w:val="sr-Latn-ME"/>
        </w:rPr>
        <w:t>ij</w:t>
      </w:r>
      <w:r w:rsidRPr="00B35A22">
        <w:rPr>
          <w:rFonts w:eastAsia="SimSun"/>
          <w:sz w:val="22"/>
          <w:lang w:val="sr-Latn-ME"/>
        </w:rPr>
        <w:t>e l</w:t>
      </w:r>
      <w:r w:rsidR="00825619" w:rsidRPr="00B35A22">
        <w:rPr>
          <w:rFonts w:eastAsia="SimSun"/>
          <w:sz w:val="22"/>
          <w:lang w:val="sr-Latn-ME"/>
        </w:rPr>
        <w:t>ij</w:t>
      </w:r>
      <w:r w:rsidRPr="00B35A22">
        <w:rPr>
          <w:rFonts w:eastAsia="SimSun"/>
          <w:sz w:val="22"/>
          <w:lang w:val="sr-Latn-ME"/>
        </w:rPr>
        <w:t>ečenja imali krvarenje iz varikoziteta i oni sa nel</w:t>
      </w:r>
      <w:r w:rsidR="00825619" w:rsidRPr="00B35A22">
        <w:rPr>
          <w:rFonts w:eastAsia="SimSun"/>
          <w:sz w:val="22"/>
          <w:lang w:val="sr-Latn-ME"/>
        </w:rPr>
        <w:t>ij</w:t>
      </w:r>
      <w:r w:rsidRPr="00B35A22">
        <w:rPr>
          <w:rFonts w:eastAsia="SimSun"/>
          <w:sz w:val="22"/>
          <w:lang w:val="sr-Latn-ME"/>
        </w:rPr>
        <w:t>ečenim ili nepotpuno izl</w:t>
      </w:r>
      <w:r w:rsidR="00825619" w:rsidRPr="00B35A22">
        <w:rPr>
          <w:rFonts w:eastAsia="SimSun"/>
          <w:sz w:val="22"/>
          <w:lang w:val="sr-Latn-ME"/>
        </w:rPr>
        <w:t>ij</w:t>
      </w:r>
      <w:r w:rsidRPr="00B35A22">
        <w:rPr>
          <w:rFonts w:eastAsia="SimSun"/>
          <w:sz w:val="22"/>
          <w:lang w:val="sr-Latn-ME"/>
        </w:rPr>
        <w:t>ečenim varikozitetima koji krvare ili kod kojih postoji velik rizik od krvarenja ni</w:t>
      </w:r>
      <w:r w:rsidR="00825619" w:rsidRPr="00B35A22">
        <w:rPr>
          <w:rFonts w:eastAsia="SimSun"/>
          <w:sz w:val="22"/>
          <w:lang w:val="sr-Latn-ME"/>
        </w:rPr>
        <w:t>je</w:t>
      </w:r>
      <w:r w:rsidRPr="00B35A22">
        <w:rPr>
          <w:rFonts w:eastAsia="SimSun"/>
          <w:sz w:val="22"/>
          <w:lang w:val="sr-Latn-ME"/>
        </w:rPr>
        <w:t>su bili uključeni u ispitivanje. Pacijenti sa aktivnim hepatitisom B morali su da imaju HBV DNK &lt; 500 IU/m</w:t>
      </w:r>
      <w:r w:rsidR="00825619" w:rsidRPr="00B35A22">
        <w:rPr>
          <w:rFonts w:eastAsia="SimSun"/>
          <w:sz w:val="22"/>
          <w:lang w:val="sr-Latn-ME"/>
        </w:rPr>
        <w:t>l</w:t>
      </w:r>
      <w:r w:rsidRPr="00B35A22">
        <w:rPr>
          <w:rFonts w:eastAsia="SimSun"/>
          <w:sz w:val="22"/>
          <w:lang w:val="sr-Latn-ME"/>
        </w:rPr>
        <w:t xml:space="preserve"> u roku od 28 dana pr</w:t>
      </w:r>
      <w:r w:rsidR="00825619" w:rsidRPr="00B35A22">
        <w:rPr>
          <w:rFonts w:eastAsia="SimSun"/>
          <w:sz w:val="22"/>
          <w:lang w:val="sr-Latn-ME"/>
        </w:rPr>
        <w:t>ij</w:t>
      </w:r>
      <w:r w:rsidRPr="00B35A22">
        <w:rPr>
          <w:rFonts w:eastAsia="SimSun"/>
          <w:sz w:val="22"/>
          <w:lang w:val="sr-Latn-ME"/>
        </w:rPr>
        <w:t>e početka ispitivanog l</w:t>
      </w:r>
      <w:r w:rsidR="00825619" w:rsidRPr="00B35A22">
        <w:rPr>
          <w:rFonts w:eastAsia="SimSun"/>
          <w:sz w:val="22"/>
          <w:lang w:val="sr-Latn-ME"/>
        </w:rPr>
        <w:t>ij</w:t>
      </w:r>
      <w:r w:rsidRPr="00B35A22">
        <w:rPr>
          <w:rFonts w:eastAsia="SimSun"/>
          <w:sz w:val="22"/>
          <w:lang w:val="sr-Latn-ME"/>
        </w:rPr>
        <w:t>ečenja i da primaju standardnu terapiju za hepatitis B tokom najmanje 14 dana pr</w:t>
      </w:r>
      <w:r w:rsidR="00912953" w:rsidRPr="00B35A22">
        <w:rPr>
          <w:rFonts w:eastAsia="SimSun"/>
          <w:sz w:val="22"/>
          <w:lang w:val="sr-Latn-ME"/>
        </w:rPr>
        <w:t>ij</w:t>
      </w:r>
      <w:r w:rsidRPr="00B35A22">
        <w:rPr>
          <w:rFonts w:eastAsia="SimSun"/>
          <w:sz w:val="22"/>
          <w:lang w:val="sr-Latn-ME"/>
        </w:rPr>
        <w:t xml:space="preserve">e uključivanja u ispitivanje i za </w:t>
      </w:r>
      <w:r w:rsidR="00912953" w:rsidRPr="00B35A22">
        <w:rPr>
          <w:rFonts w:eastAsia="SimSun"/>
          <w:sz w:val="22"/>
          <w:lang w:val="sr-Latn-ME"/>
        </w:rPr>
        <w:t xml:space="preserve">sve </w:t>
      </w:r>
      <w:r w:rsidRPr="00B35A22">
        <w:rPr>
          <w:rFonts w:eastAsia="SimSun"/>
          <w:sz w:val="22"/>
          <w:lang w:val="sr-Latn-ME"/>
        </w:rPr>
        <w:t>vr</w:t>
      </w:r>
      <w:r w:rsidR="00825619" w:rsidRPr="00B35A22">
        <w:rPr>
          <w:rFonts w:eastAsia="SimSun"/>
          <w:sz w:val="22"/>
          <w:lang w:val="sr-Latn-ME"/>
        </w:rPr>
        <w:t>ij</w:t>
      </w:r>
      <w:r w:rsidRPr="00B35A22">
        <w:rPr>
          <w:rFonts w:eastAsia="SimSun"/>
          <w:sz w:val="22"/>
          <w:lang w:val="sr-Latn-ME"/>
        </w:rPr>
        <w:t xml:space="preserve">eme njegovog trajanja.  </w:t>
      </w:r>
    </w:p>
    <w:p w14:paraId="497212AA" w14:textId="77777777" w:rsidR="00620DBC" w:rsidRPr="00B35A22" w:rsidRDefault="00620DBC" w:rsidP="00B35A22">
      <w:pPr>
        <w:widowControl w:val="0"/>
        <w:autoSpaceDE w:val="0"/>
        <w:autoSpaceDN w:val="0"/>
        <w:adjustRightInd w:val="0"/>
        <w:jc w:val="both"/>
        <w:rPr>
          <w:rFonts w:eastAsia="SimSun"/>
          <w:sz w:val="22"/>
          <w:lang w:val="sr-Latn-ME"/>
        </w:rPr>
      </w:pPr>
    </w:p>
    <w:p w14:paraId="3842D668" w14:textId="2769FD47" w:rsidR="00620DBC" w:rsidRPr="00B35A22" w:rsidRDefault="00620DBC" w:rsidP="00B35A22">
      <w:pPr>
        <w:widowControl w:val="0"/>
        <w:autoSpaceDE w:val="0"/>
        <w:autoSpaceDN w:val="0"/>
        <w:adjustRightInd w:val="0"/>
        <w:jc w:val="both"/>
        <w:rPr>
          <w:rFonts w:eastAsia="SimSun"/>
          <w:sz w:val="22"/>
          <w:lang w:val="sr-Latn-ME"/>
        </w:rPr>
      </w:pPr>
      <w:r w:rsidRPr="00B35A22">
        <w:rPr>
          <w:rFonts w:eastAsia="SimSun"/>
          <w:sz w:val="22"/>
          <w:lang w:val="sr-Latn-ME"/>
        </w:rPr>
        <w:t>U ispitivanje ni</w:t>
      </w:r>
      <w:r w:rsidR="00825619" w:rsidRPr="00B35A22">
        <w:rPr>
          <w:rFonts w:eastAsia="SimSun"/>
          <w:sz w:val="22"/>
          <w:lang w:val="sr-Latn-ME"/>
        </w:rPr>
        <w:t>je</w:t>
      </w:r>
      <w:r w:rsidRPr="00B35A22">
        <w:rPr>
          <w:rFonts w:eastAsia="SimSun"/>
          <w:sz w:val="22"/>
          <w:lang w:val="sr-Latn-ME"/>
        </w:rPr>
        <w:t>su bili uključeni ni pacijenti koji su imali um</w:t>
      </w:r>
      <w:r w:rsidR="00825619" w:rsidRPr="00B35A22">
        <w:rPr>
          <w:rFonts w:eastAsia="SimSun"/>
          <w:sz w:val="22"/>
          <w:lang w:val="sr-Latn-ME"/>
        </w:rPr>
        <w:t>j</w:t>
      </w:r>
      <w:r w:rsidRPr="00B35A22">
        <w:rPr>
          <w:rFonts w:eastAsia="SimSun"/>
          <w:sz w:val="22"/>
          <w:lang w:val="sr-Latn-ME"/>
        </w:rPr>
        <w:t>eren ili težak ascites, jetrenu encefalopatiju u anamnezi, prepoznati fibrolamelarni HCC, sarkomatoidni HCC, m</w:t>
      </w:r>
      <w:r w:rsidR="00912953" w:rsidRPr="00B35A22">
        <w:rPr>
          <w:rFonts w:eastAsia="SimSun"/>
          <w:sz w:val="22"/>
          <w:lang w:val="sr-Latn-ME"/>
        </w:rPr>
        <w:t>i</w:t>
      </w:r>
      <w:r w:rsidR="00825619" w:rsidRPr="00B35A22">
        <w:rPr>
          <w:rFonts w:eastAsia="SimSun"/>
          <w:sz w:val="22"/>
          <w:lang w:val="sr-Latn-ME"/>
        </w:rPr>
        <w:t>j</w:t>
      </w:r>
      <w:r w:rsidRPr="00B35A22">
        <w:rPr>
          <w:rFonts w:eastAsia="SimSun"/>
          <w:sz w:val="22"/>
          <w:lang w:val="sr-Latn-ME"/>
        </w:rPr>
        <w:t>ešani holangiokarcinom i HCC, aktivnu istovr</w:t>
      </w:r>
      <w:r w:rsidR="00825619" w:rsidRPr="00B35A22">
        <w:rPr>
          <w:rFonts w:eastAsia="SimSun"/>
          <w:sz w:val="22"/>
          <w:lang w:val="sr-Latn-ME"/>
        </w:rPr>
        <w:t>ij</w:t>
      </w:r>
      <w:r w:rsidRPr="00B35A22">
        <w:rPr>
          <w:rFonts w:eastAsia="SimSun"/>
          <w:sz w:val="22"/>
          <w:lang w:val="sr-Latn-ME"/>
        </w:rPr>
        <w:t>emenu infekciju virusom hepatitisa B i hepatitisa C ili autoimunu bolest u anamnezi, pacijenti koji su primili živu, atenuisanu vakcinu u periodu od 4 ned</w:t>
      </w:r>
      <w:r w:rsidR="00825619" w:rsidRPr="00B35A22">
        <w:rPr>
          <w:rFonts w:eastAsia="SimSun"/>
          <w:sz w:val="22"/>
          <w:lang w:val="sr-Latn-ME"/>
        </w:rPr>
        <w:t>j</w:t>
      </w:r>
      <w:r w:rsidRPr="00B35A22">
        <w:rPr>
          <w:rFonts w:eastAsia="SimSun"/>
          <w:sz w:val="22"/>
          <w:lang w:val="sr-Latn-ME"/>
        </w:rPr>
        <w:t>elje pr</w:t>
      </w:r>
      <w:r w:rsidR="00912953" w:rsidRPr="00B35A22">
        <w:rPr>
          <w:rFonts w:eastAsia="SimSun"/>
          <w:sz w:val="22"/>
          <w:lang w:val="sr-Latn-ME"/>
        </w:rPr>
        <w:t>ij</w:t>
      </w:r>
      <w:r w:rsidRPr="00B35A22">
        <w:rPr>
          <w:rFonts w:eastAsia="SimSun"/>
          <w:sz w:val="22"/>
          <w:lang w:val="sr-Latn-ME"/>
        </w:rPr>
        <w:t>e randomizacije, sistemske imunostimulatore u periodu od 4 ned</w:t>
      </w:r>
      <w:r w:rsidR="00825619" w:rsidRPr="00B35A22">
        <w:rPr>
          <w:rFonts w:eastAsia="SimSun"/>
          <w:sz w:val="22"/>
          <w:lang w:val="sr-Latn-ME"/>
        </w:rPr>
        <w:t>j</w:t>
      </w:r>
      <w:r w:rsidRPr="00B35A22">
        <w:rPr>
          <w:rFonts w:eastAsia="SimSun"/>
          <w:sz w:val="22"/>
          <w:lang w:val="sr-Latn-ME"/>
        </w:rPr>
        <w:t>elje ili sistemske imunosupresive u periodu od 2 ned</w:t>
      </w:r>
      <w:r w:rsidR="00825619" w:rsidRPr="00B35A22">
        <w:rPr>
          <w:rFonts w:eastAsia="SimSun"/>
          <w:sz w:val="22"/>
          <w:lang w:val="sr-Latn-ME"/>
        </w:rPr>
        <w:t>j</w:t>
      </w:r>
      <w:r w:rsidRPr="00B35A22">
        <w:rPr>
          <w:rFonts w:eastAsia="SimSun"/>
          <w:sz w:val="22"/>
          <w:lang w:val="sr-Latn-ME"/>
        </w:rPr>
        <w:t>elje pr</w:t>
      </w:r>
      <w:r w:rsidR="00825619" w:rsidRPr="00B35A22">
        <w:rPr>
          <w:rFonts w:eastAsia="SimSun"/>
          <w:sz w:val="22"/>
          <w:lang w:val="sr-Latn-ME"/>
        </w:rPr>
        <w:t>ij</w:t>
      </w:r>
      <w:r w:rsidRPr="00B35A22">
        <w:rPr>
          <w:rFonts w:eastAsia="SimSun"/>
          <w:sz w:val="22"/>
          <w:lang w:val="sr-Latn-ME"/>
        </w:rPr>
        <w:t>e randomizacije kao ni pacijenti sa nel</w:t>
      </w:r>
      <w:r w:rsidR="00825619" w:rsidRPr="00B35A22">
        <w:rPr>
          <w:rFonts w:eastAsia="SimSun"/>
          <w:sz w:val="22"/>
          <w:lang w:val="sr-Latn-ME"/>
        </w:rPr>
        <w:t>ij</w:t>
      </w:r>
      <w:r w:rsidRPr="00B35A22">
        <w:rPr>
          <w:rFonts w:eastAsia="SimSun"/>
          <w:sz w:val="22"/>
          <w:lang w:val="sr-Latn-ME"/>
        </w:rPr>
        <w:t xml:space="preserve">ečenim ili o kortikosteroidima zavisnim </w:t>
      </w:r>
      <w:r w:rsidRPr="00B35A22">
        <w:rPr>
          <w:rFonts w:eastAsia="SimSun"/>
          <w:sz w:val="22"/>
          <w:lang w:val="sr-Latn-ME"/>
        </w:rPr>
        <w:lastRenderedPageBreak/>
        <w:t>moždanim metastazama. Proc</w:t>
      </w:r>
      <w:r w:rsidR="00825619" w:rsidRPr="00B35A22">
        <w:rPr>
          <w:rFonts w:eastAsia="SimSun"/>
          <w:sz w:val="22"/>
          <w:lang w:val="sr-Latn-ME"/>
        </w:rPr>
        <w:t>j</w:t>
      </w:r>
      <w:r w:rsidRPr="00B35A22">
        <w:rPr>
          <w:rFonts w:eastAsia="SimSun"/>
          <w:sz w:val="22"/>
          <w:lang w:val="sr-Latn-ME"/>
        </w:rPr>
        <w:t>ene tumorskog odgovora sprovodile su se na svakih 6 ned</w:t>
      </w:r>
      <w:r w:rsidR="00825619" w:rsidRPr="00B35A22">
        <w:rPr>
          <w:rFonts w:eastAsia="SimSun"/>
          <w:sz w:val="22"/>
          <w:lang w:val="sr-Latn-ME"/>
        </w:rPr>
        <w:t>j</w:t>
      </w:r>
      <w:r w:rsidRPr="00B35A22">
        <w:rPr>
          <w:rFonts w:eastAsia="SimSun"/>
          <w:sz w:val="22"/>
          <w:lang w:val="sr-Latn-ME"/>
        </w:rPr>
        <w:t>elja tokom prve 54 ned</w:t>
      </w:r>
      <w:r w:rsidR="00825619" w:rsidRPr="00B35A22">
        <w:rPr>
          <w:rFonts w:eastAsia="SimSun"/>
          <w:sz w:val="22"/>
          <w:lang w:val="sr-Latn-ME"/>
        </w:rPr>
        <w:t>j</w:t>
      </w:r>
      <w:r w:rsidRPr="00B35A22">
        <w:rPr>
          <w:rFonts w:eastAsia="SimSun"/>
          <w:sz w:val="22"/>
          <w:lang w:val="sr-Latn-ME"/>
        </w:rPr>
        <w:t>elje nakon 1. dana 1. ciklusa, a zatim na svakih 9 ned</w:t>
      </w:r>
      <w:r w:rsidR="00825619" w:rsidRPr="00B35A22">
        <w:rPr>
          <w:rFonts w:eastAsia="SimSun"/>
          <w:sz w:val="22"/>
          <w:lang w:val="sr-Latn-ME"/>
        </w:rPr>
        <w:t>j</w:t>
      </w:r>
      <w:r w:rsidRPr="00B35A22">
        <w:rPr>
          <w:rFonts w:eastAsia="SimSun"/>
          <w:sz w:val="22"/>
          <w:lang w:val="sr-Latn-ME"/>
        </w:rPr>
        <w:t>elja.</w:t>
      </w:r>
    </w:p>
    <w:p w14:paraId="772814AB" w14:textId="77777777" w:rsidR="00620DBC" w:rsidRPr="00B35A22" w:rsidRDefault="00620DBC" w:rsidP="00B35A22">
      <w:pPr>
        <w:widowControl w:val="0"/>
        <w:autoSpaceDE w:val="0"/>
        <w:autoSpaceDN w:val="0"/>
        <w:adjustRightInd w:val="0"/>
        <w:jc w:val="both"/>
        <w:rPr>
          <w:rFonts w:eastAsia="SimSun"/>
          <w:sz w:val="22"/>
          <w:lang w:val="sr-Latn-ME"/>
        </w:rPr>
      </w:pPr>
    </w:p>
    <w:p w14:paraId="57ADC97F" w14:textId="71325435" w:rsidR="00620DBC" w:rsidRPr="00B35A22" w:rsidRDefault="00620DBC" w:rsidP="00B35A22">
      <w:pPr>
        <w:widowControl w:val="0"/>
        <w:autoSpaceDE w:val="0"/>
        <w:autoSpaceDN w:val="0"/>
        <w:adjustRightInd w:val="0"/>
        <w:jc w:val="both"/>
        <w:rPr>
          <w:rFonts w:eastAsia="SimSun"/>
          <w:sz w:val="22"/>
          <w:lang w:val="sr-Latn-ME"/>
        </w:rPr>
      </w:pPr>
      <w:r w:rsidRPr="00B35A22">
        <w:rPr>
          <w:rFonts w:eastAsia="SimSun"/>
          <w:sz w:val="22"/>
          <w:lang w:val="sr-Latn-ME"/>
        </w:rPr>
        <w:t>Demografske i početne karakteristike bolesti u ispitivanoj populaciji bile su dobro ujednačene između l</w:t>
      </w:r>
      <w:r w:rsidR="00825619" w:rsidRPr="00B35A22">
        <w:rPr>
          <w:rFonts w:eastAsia="SimSun"/>
          <w:sz w:val="22"/>
          <w:lang w:val="sr-Latn-ME"/>
        </w:rPr>
        <w:t>ij</w:t>
      </w:r>
      <w:r w:rsidRPr="00B35A22">
        <w:rPr>
          <w:rFonts w:eastAsia="SimSun"/>
          <w:sz w:val="22"/>
          <w:lang w:val="sr-Latn-ME"/>
        </w:rPr>
        <w:t>ečenih grupa. Medijana vremena bila je 65 godina (raspon: 26 </w:t>
      </w:r>
      <w:r w:rsidRPr="00B35A22">
        <w:rPr>
          <w:rFonts w:eastAsia="SimSun"/>
          <w:sz w:val="22"/>
          <w:lang w:val="sr-Latn-ME"/>
        </w:rPr>
        <w:noBreakHyphen/>
        <w:t> 88 godina), a 83% pacijenata bili su muškarci. Većinu pacijenata činili su Azijati (57%) i pacijenti b</w:t>
      </w:r>
      <w:r w:rsidR="00825619" w:rsidRPr="00B35A22">
        <w:rPr>
          <w:rFonts w:eastAsia="SimSun"/>
          <w:sz w:val="22"/>
          <w:lang w:val="sr-Latn-ME"/>
        </w:rPr>
        <w:t>ij</w:t>
      </w:r>
      <w:r w:rsidRPr="00B35A22">
        <w:rPr>
          <w:rFonts w:eastAsia="SimSun"/>
          <w:sz w:val="22"/>
          <w:lang w:val="sr-Latn-ME"/>
        </w:rPr>
        <w:t>ele rase (35%); 40% njih bilo je iz Azije (osim Japana), a 60% iz ostatka sv</w:t>
      </w:r>
      <w:r w:rsidR="00825619" w:rsidRPr="00B35A22">
        <w:rPr>
          <w:rFonts w:eastAsia="SimSun"/>
          <w:sz w:val="22"/>
          <w:lang w:val="sr-Latn-ME"/>
        </w:rPr>
        <w:t>ij</w:t>
      </w:r>
      <w:r w:rsidRPr="00B35A22">
        <w:rPr>
          <w:rFonts w:eastAsia="SimSun"/>
          <w:sz w:val="22"/>
          <w:lang w:val="sr-Latn-ME"/>
        </w:rPr>
        <w:t>eta. Približno 75% pacijenta imalo je makrovaskularnu invaziju i/ili bolest proširenu van jetre, a 37% njih imalo je početnu vr</w:t>
      </w:r>
      <w:r w:rsidR="00825619" w:rsidRPr="00B35A22">
        <w:rPr>
          <w:rFonts w:eastAsia="SimSun"/>
          <w:sz w:val="22"/>
          <w:lang w:val="sr-Latn-ME"/>
        </w:rPr>
        <w:t>ij</w:t>
      </w:r>
      <w:r w:rsidRPr="00B35A22">
        <w:rPr>
          <w:rFonts w:eastAsia="SimSun"/>
          <w:sz w:val="22"/>
          <w:lang w:val="sr-Latn-ME"/>
        </w:rPr>
        <w:t>ednost AFP-a ≥ 400 ng/m</w:t>
      </w:r>
      <w:r w:rsidR="00825619" w:rsidRPr="00B35A22">
        <w:rPr>
          <w:rFonts w:eastAsia="SimSun"/>
          <w:sz w:val="22"/>
          <w:lang w:val="sr-Latn-ME"/>
        </w:rPr>
        <w:t>l</w:t>
      </w:r>
      <w:r w:rsidRPr="00B35A22">
        <w:rPr>
          <w:rFonts w:eastAsia="SimSun"/>
          <w:sz w:val="22"/>
          <w:lang w:val="sr-Latn-ME"/>
        </w:rPr>
        <w:t>. Početni funkcionalni ECOG status bio je 0 (62%) ili 1 (38%). Primarni faktori rizika za razvoj HCC</w:t>
      </w:r>
      <w:r w:rsidRPr="00B35A22">
        <w:rPr>
          <w:rFonts w:eastAsia="SimSun"/>
          <w:sz w:val="22"/>
          <w:lang w:val="sr-Latn-ME"/>
        </w:rPr>
        <w:noBreakHyphen/>
        <w:t>a bili su infekcija virusom hepatitisa B kod 48% pacijenata, infekcija virusom hepatitisa C kod 22% pacijenata i nevirusna bolest kod 31% pacijenata. Prema klasifikacijskom sistemu BCLC (</w:t>
      </w:r>
      <w:r w:rsidRPr="00B35A22">
        <w:rPr>
          <w:rFonts w:eastAsia="SimSun"/>
          <w:i/>
          <w:sz w:val="22"/>
          <w:lang w:val="sr-Latn-ME"/>
        </w:rPr>
        <w:t>Barcelona Clinic Liver Cancer</w:t>
      </w:r>
      <w:r w:rsidRPr="00B35A22">
        <w:rPr>
          <w:rFonts w:eastAsia="SimSun"/>
          <w:sz w:val="22"/>
          <w:lang w:val="sr-Latn-ME"/>
        </w:rPr>
        <w:t>), HCC je kategorizovan kao bolest stadijuma C kod 82% pacijenata, stadijuma B kod 16% pacijenata i stadijuma A kod 3% pacijenata.</w:t>
      </w:r>
    </w:p>
    <w:p w14:paraId="41180433" w14:textId="77777777" w:rsidR="00620DBC" w:rsidRPr="00B35A22" w:rsidRDefault="00620DBC" w:rsidP="00B35A22">
      <w:pPr>
        <w:widowControl w:val="0"/>
        <w:autoSpaceDE w:val="0"/>
        <w:autoSpaceDN w:val="0"/>
        <w:adjustRightInd w:val="0"/>
        <w:jc w:val="both"/>
        <w:rPr>
          <w:rFonts w:eastAsia="SimSun"/>
          <w:sz w:val="22"/>
          <w:lang w:val="sr-Latn-ME"/>
        </w:rPr>
      </w:pPr>
      <w:r w:rsidRPr="00B35A22">
        <w:rPr>
          <w:rFonts w:eastAsia="SimSun"/>
          <w:sz w:val="22"/>
          <w:lang w:val="sr-Latn-ME"/>
        </w:rPr>
        <w:t xml:space="preserve"> </w:t>
      </w:r>
    </w:p>
    <w:p w14:paraId="4CEACA85" w14:textId="6AD3C866" w:rsidR="00620DBC" w:rsidRPr="00B35A22" w:rsidRDefault="00620DBC" w:rsidP="00B35A22">
      <w:pPr>
        <w:widowControl w:val="0"/>
        <w:jc w:val="both"/>
        <w:rPr>
          <w:sz w:val="22"/>
          <w:lang w:val="sr-Latn-ME"/>
        </w:rPr>
      </w:pPr>
      <w:r w:rsidRPr="00B35A22">
        <w:rPr>
          <w:color w:val="000000"/>
          <w:sz w:val="22"/>
          <w:lang w:val="sr-Latn-ME"/>
        </w:rPr>
        <w:t>Ko</w:t>
      </w:r>
      <w:r w:rsidR="008B719C" w:rsidRPr="00B35A22">
        <w:rPr>
          <w:color w:val="000000"/>
          <w:sz w:val="22"/>
          <w:lang w:val="sr-Latn-ME"/>
        </w:rPr>
        <w:t>-</w:t>
      </w:r>
      <w:r w:rsidRPr="00B35A22">
        <w:rPr>
          <w:color w:val="000000"/>
          <w:sz w:val="22"/>
          <w:lang w:val="sr-Latn-ME"/>
        </w:rPr>
        <w:t>primarne</w:t>
      </w:r>
      <w:r w:rsidRPr="00B35A22">
        <w:rPr>
          <w:rFonts w:eastAsia="SimSun"/>
          <w:sz w:val="22"/>
          <w:lang w:val="sr-Latn-ME"/>
        </w:rPr>
        <w:t xml:space="preserve"> m</w:t>
      </w:r>
      <w:r w:rsidR="00825619" w:rsidRPr="00B35A22">
        <w:rPr>
          <w:rFonts w:eastAsia="SimSun"/>
          <w:sz w:val="22"/>
          <w:lang w:val="sr-Latn-ME"/>
        </w:rPr>
        <w:t>j</w:t>
      </w:r>
      <w:r w:rsidRPr="00B35A22">
        <w:rPr>
          <w:rFonts w:eastAsia="SimSun"/>
          <w:sz w:val="22"/>
          <w:lang w:val="sr-Latn-ME"/>
        </w:rPr>
        <w:t xml:space="preserve">ere ishoda za efikasnost bile su OS i PFS </w:t>
      </w:r>
      <w:r w:rsidRPr="00B35A22">
        <w:rPr>
          <w:sz w:val="22"/>
          <w:lang w:val="sr-Latn-ME"/>
        </w:rPr>
        <w:t>prema proc</w:t>
      </w:r>
      <w:r w:rsidR="00825619" w:rsidRPr="00B35A22">
        <w:rPr>
          <w:sz w:val="22"/>
          <w:lang w:val="sr-Latn-ME"/>
        </w:rPr>
        <w:t>j</w:t>
      </w:r>
      <w:r w:rsidRPr="00B35A22">
        <w:rPr>
          <w:sz w:val="22"/>
          <w:lang w:val="sr-Latn-ME"/>
        </w:rPr>
        <w:t>eni nezavisnog oc</w:t>
      </w:r>
      <w:r w:rsidR="00825619" w:rsidRPr="00B35A22">
        <w:rPr>
          <w:sz w:val="22"/>
          <w:lang w:val="sr-Latn-ME"/>
        </w:rPr>
        <w:t>j</w:t>
      </w:r>
      <w:r w:rsidRPr="00B35A22">
        <w:rPr>
          <w:sz w:val="22"/>
          <w:lang w:val="sr-Latn-ME"/>
        </w:rPr>
        <w:t>enjivačkog t</w:t>
      </w:r>
      <w:r w:rsidR="00825619" w:rsidRPr="00B35A22">
        <w:rPr>
          <w:sz w:val="22"/>
          <w:lang w:val="sr-Latn-ME"/>
        </w:rPr>
        <w:t>ij</w:t>
      </w:r>
      <w:r w:rsidRPr="00B35A22">
        <w:rPr>
          <w:sz w:val="22"/>
          <w:lang w:val="sr-Latn-ME"/>
        </w:rPr>
        <w:t>ela na osnovu verzije 1.1 RECIST kriterijuma. U trenutku sprovođenja primarne analize medijana praćenja preživljavanja pacijenata bila je 8,6 m</w:t>
      </w:r>
      <w:r w:rsidR="00825619" w:rsidRPr="00B35A22">
        <w:rPr>
          <w:sz w:val="22"/>
          <w:lang w:val="sr-Latn-ME"/>
        </w:rPr>
        <w:t>j</w:t>
      </w:r>
      <w:r w:rsidRPr="00B35A22">
        <w:rPr>
          <w:sz w:val="22"/>
          <w:lang w:val="sr-Latn-ME"/>
        </w:rPr>
        <w:t>eseci. Podaci su pokazali statistički značajno poboljšanje OS</w:t>
      </w:r>
      <w:r w:rsidRPr="00B35A22">
        <w:rPr>
          <w:sz w:val="22"/>
          <w:lang w:val="sr-Latn-ME"/>
        </w:rPr>
        <w:noBreakHyphen/>
        <w:t>a i PFS</w:t>
      </w:r>
      <w:r w:rsidRPr="00B35A22">
        <w:rPr>
          <w:sz w:val="22"/>
          <w:lang w:val="sr-Latn-ME"/>
        </w:rPr>
        <w:noBreakHyphen/>
        <w:t>a prema proc</w:t>
      </w:r>
      <w:r w:rsidR="00825619" w:rsidRPr="00B35A22">
        <w:rPr>
          <w:sz w:val="22"/>
          <w:lang w:val="sr-Latn-ME"/>
        </w:rPr>
        <w:t>j</w:t>
      </w:r>
      <w:r w:rsidRPr="00B35A22">
        <w:rPr>
          <w:sz w:val="22"/>
          <w:lang w:val="sr-Latn-ME"/>
        </w:rPr>
        <w:t>eni nezavisnog ocenjivačkog t</w:t>
      </w:r>
      <w:r w:rsidR="00825619" w:rsidRPr="00B35A22">
        <w:rPr>
          <w:sz w:val="22"/>
          <w:lang w:val="sr-Latn-ME"/>
        </w:rPr>
        <w:t>ij</w:t>
      </w:r>
      <w:r w:rsidRPr="00B35A22">
        <w:rPr>
          <w:sz w:val="22"/>
          <w:lang w:val="sr-Latn-ME"/>
        </w:rPr>
        <w:t>ela na osnovu verzije 1.1 RECIST kriterijuma uz atezolizumab + bevacizumab u odnosu na sorafenib. Statistički značajno poboljšanje zapaženo je i za stopu potvrđenog objektivnog odgovora (ORR) prema proc</w:t>
      </w:r>
      <w:r w:rsidR="00825619" w:rsidRPr="00B35A22">
        <w:rPr>
          <w:sz w:val="22"/>
          <w:lang w:val="sr-Latn-ME"/>
        </w:rPr>
        <w:t>j</w:t>
      </w:r>
      <w:r w:rsidRPr="00B35A22">
        <w:rPr>
          <w:sz w:val="22"/>
          <w:lang w:val="sr-Latn-ME"/>
        </w:rPr>
        <w:t>eni nezavisnog ocenjivačkog t</w:t>
      </w:r>
      <w:r w:rsidR="00825619" w:rsidRPr="00B35A22">
        <w:rPr>
          <w:sz w:val="22"/>
          <w:lang w:val="sr-Latn-ME"/>
        </w:rPr>
        <w:t>ij</w:t>
      </w:r>
      <w:r w:rsidRPr="00B35A22">
        <w:rPr>
          <w:sz w:val="22"/>
          <w:lang w:val="sr-Latn-ME"/>
        </w:rPr>
        <w:t>ela na osnovu verzije 1.1 RECIST kriterijuma i modifikovanih RECIST kriterijuma (mRECIST) za HCC. Ključni rezultati za efika</w:t>
      </w:r>
      <w:r w:rsidR="00EE12B7" w:rsidRPr="00B35A22">
        <w:rPr>
          <w:sz w:val="22"/>
          <w:lang w:val="sr-Latn-ME"/>
        </w:rPr>
        <w:t>s</w:t>
      </w:r>
      <w:r w:rsidRPr="00B35A22">
        <w:rPr>
          <w:sz w:val="22"/>
          <w:lang w:val="sr-Latn-ME"/>
        </w:rPr>
        <w:t xml:space="preserve">nost </w:t>
      </w:r>
      <w:r w:rsidR="00EE12B7" w:rsidRPr="00B35A22">
        <w:rPr>
          <w:sz w:val="22"/>
          <w:lang w:val="sr-Latn-ME"/>
        </w:rPr>
        <w:t xml:space="preserve">iz primarne analize </w:t>
      </w:r>
      <w:r w:rsidRPr="00B35A22">
        <w:rPr>
          <w:sz w:val="22"/>
          <w:lang w:val="sr-Latn-ME"/>
        </w:rPr>
        <w:t xml:space="preserve">sažeto su prikazani u Tabeli </w:t>
      </w:r>
      <w:r w:rsidR="00D46A5F" w:rsidRPr="00B35A22">
        <w:rPr>
          <w:sz w:val="22"/>
          <w:szCs w:val="22"/>
          <w:lang w:val="sr-Latn-ME"/>
        </w:rPr>
        <w:t>21</w:t>
      </w:r>
      <w:r w:rsidRPr="00B35A22">
        <w:rPr>
          <w:sz w:val="22"/>
          <w:lang w:val="sr-Latn-ME"/>
        </w:rPr>
        <w:t xml:space="preserve">. </w:t>
      </w:r>
    </w:p>
    <w:p w14:paraId="5E7F26C6" w14:textId="5A970E7F" w:rsidR="00EE12B7" w:rsidRPr="00B35A22" w:rsidRDefault="00EE12B7" w:rsidP="00B35A22">
      <w:pPr>
        <w:widowControl w:val="0"/>
        <w:jc w:val="both"/>
        <w:rPr>
          <w:sz w:val="22"/>
          <w:lang w:val="sr-Latn-ME"/>
        </w:rPr>
      </w:pPr>
    </w:p>
    <w:p w14:paraId="173B423C" w14:textId="37D35F50" w:rsidR="00EE12B7" w:rsidRPr="00B35A22" w:rsidRDefault="00EE12B7" w:rsidP="00B35A22">
      <w:pPr>
        <w:widowControl w:val="0"/>
        <w:jc w:val="both"/>
        <w:rPr>
          <w:sz w:val="22"/>
          <w:lang w:val="sr-Latn-ME"/>
        </w:rPr>
      </w:pPr>
      <w:r w:rsidRPr="00B35A22">
        <w:rPr>
          <w:rFonts w:eastAsia="SimSun"/>
          <w:sz w:val="22"/>
          <w:lang w:val="sr-Latn-ME"/>
        </w:rPr>
        <w:t xml:space="preserve">Sprovedena je deskriptivna analiza ažuriranih podataka o efikasnosti nakon </w:t>
      </w:r>
      <w:r w:rsidRPr="00B35A22">
        <w:rPr>
          <w:sz w:val="22"/>
          <w:lang w:val="sr-Latn-ME"/>
        </w:rPr>
        <w:t>medijane praćenja preživljavanja od 15,6 mjeseci. Medijana OS</w:t>
      </w:r>
      <w:r w:rsidRPr="00B35A22">
        <w:rPr>
          <w:sz w:val="22"/>
          <w:lang w:val="sr-Latn-ME"/>
        </w:rPr>
        <w:noBreakHyphen/>
        <w:t>a iznosila je 19,2 mjeseca (95% CI: 17,0; 23,7) u grupi liječenoj atezolizumabom i bevacizumabom u odnosu na 13,4 mjeseca (95% CI: 11,4; 16,9) u grupi liječenoj sorafenibom, uz HR od 0,66 (95% CI: 0,52; 0,85). Medijana PFS</w:t>
      </w:r>
      <w:r w:rsidRPr="00B35A22">
        <w:rPr>
          <w:sz w:val="22"/>
          <w:lang w:val="sr-Latn-ME"/>
        </w:rPr>
        <w:noBreakHyphen/>
        <w:t>a prema procjeni nezavisnog ocjenjivačkog tijela na osnovu verzije 1.1 RECIST kriterijuma iznosila je 6,9 mjeseci (95% CI: 5,8; 8,6) u grupi liječenoj atezolizumabom i bevacizumabom u odnosu na 4,3 mjeseca (95% CI: 4,0; 5,6) u grupi liječenoj sorafenibom, uz HR od 0,65 (95% CI: 0,53; 0,81).</w:t>
      </w:r>
    </w:p>
    <w:p w14:paraId="669081D0" w14:textId="48E8F101" w:rsidR="00EE12B7" w:rsidRPr="00B35A22" w:rsidRDefault="00EE12B7" w:rsidP="00B35A22">
      <w:pPr>
        <w:widowControl w:val="0"/>
        <w:jc w:val="both"/>
        <w:rPr>
          <w:sz w:val="22"/>
          <w:lang w:val="sr-Latn-ME"/>
        </w:rPr>
      </w:pPr>
      <w:r w:rsidRPr="00B35A22">
        <w:rPr>
          <w:rFonts w:eastAsia="SimSun"/>
          <w:sz w:val="22"/>
          <w:lang w:val="sr-Latn-ME"/>
        </w:rPr>
        <w:t>ORR prema procjeni nezavisnog ocjenjivačkog tijela</w:t>
      </w:r>
      <w:r w:rsidRPr="00B35A22">
        <w:rPr>
          <w:sz w:val="22"/>
          <w:lang w:val="sr-Latn-ME"/>
        </w:rPr>
        <w:t xml:space="preserve"> na osnovu verzije 1.1 RECIST kriterijuma iznosio je 29,8% (95% CI: 24,8; 35,0) u grupi liječenoj atezolizumabom i bevacizumabom, a 11,3% (</w:t>
      </w:r>
      <w:r w:rsidRPr="00B35A22">
        <w:rPr>
          <w:color w:val="000000" w:themeColor="text1"/>
          <w:sz w:val="22"/>
          <w:lang w:val="sr-Latn-ME"/>
        </w:rPr>
        <w:t>95% CI: 6,9; 17,3)</w:t>
      </w:r>
      <w:r w:rsidRPr="00B35A22">
        <w:rPr>
          <w:sz w:val="22"/>
          <w:lang w:val="sr-Latn-ME"/>
        </w:rPr>
        <w:t xml:space="preserve"> u grupi liječenoj sorafenibom. Medijana trajanja odgovora </w:t>
      </w:r>
      <w:r w:rsidRPr="00B35A22">
        <w:rPr>
          <w:rFonts w:eastAsia="SimSun"/>
          <w:sz w:val="22"/>
          <w:lang w:val="sr-Latn-ME"/>
        </w:rPr>
        <w:t>prema procjeni nezavisnog ocjenjivačkog tijela</w:t>
      </w:r>
      <w:r w:rsidRPr="00B35A22">
        <w:rPr>
          <w:sz w:val="22"/>
          <w:lang w:val="sr-Latn-ME"/>
        </w:rPr>
        <w:t xml:space="preserve"> na osnovu verzije 1.1 RECIST kriterijuma kod pacijenata sa potvrđenim odgovorom iznosila je 18,1 mjesec (95% CI: 14,6; NP) u grupi liječenoj atezolizumabom i bevacizumabom u odnosu na 14,9 mjeseci (95% CI: 4,9; 17,0) u grupi liječenoj sorafenibom. </w:t>
      </w:r>
    </w:p>
    <w:p w14:paraId="57C58DD4" w14:textId="77777777" w:rsidR="000D7FBD" w:rsidRPr="00B35A22" w:rsidRDefault="000D7FBD" w:rsidP="00B35A22">
      <w:pPr>
        <w:widowControl w:val="0"/>
        <w:jc w:val="both"/>
        <w:rPr>
          <w:i/>
          <w:sz w:val="22"/>
          <w:lang w:val="sr-Latn-ME"/>
        </w:rPr>
      </w:pPr>
    </w:p>
    <w:p w14:paraId="50D10072" w14:textId="1A797ED9" w:rsidR="00EE12B7" w:rsidRPr="00B35A22" w:rsidRDefault="00EE12B7" w:rsidP="00B35A22">
      <w:pPr>
        <w:widowControl w:val="0"/>
        <w:jc w:val="both"/>
        <w:rPr>
          <w:sz w:val="22"/>
          <w:lang w:val="sr-Latn-ME"/>
        </w:rPr>
      </w:pPr>
      <w:r w:rsidRPr="00B35A22">
        <w:rPr>
          <w:i/>
          <w:sz w:val="22"/>
          <w:lang w:val="sr-Latn-ME"/>
        </w:rPr>
        <w:t>Kaplan</w:t>
      </w:r>
      <w:r w:rsidRPr="00B35A22">
        <w:rPr>
          <w:i/>
          <w:sz w:val="22"/>
          <w:lang w:val="sr-Latn-ME"/>
        </w:rPr>
        <w:noBreakHyphen/>
        <w:t>Meier</w:t>
      </w:r>
      <w:r w:rsidRPr="00B35A22">
        <w:rPr>
          <w:sz w:val="22"/>
          <w:lang w:val="sr-Latn-ME"/>
        </w:rPr>
        <w:t>-ove krive za OS (analiza ažuriranih podataka) i PFS (primarna analiza) prikazane su na Slikama </w:t>
      </w:r>
      <w:r w:rsidR="00D46A5F" w:rsidRPr="00B35A22">
        <w:rPr>
          <w:sz w:val="22"/>
          <w:szCs w:val="22"/>
          <w:lang w:val="sr-Latn-ME"/>
        </w:rPr>
        <w:t>21</w:t>
      </w:r>
      <w:r w:rsidR="00D46A5F" w:rsidRPr="00B35A22">
        <w:rPr>
          <w:sz w:val="22"/>
          <w:lang w:val="sr-Latn-ME"/>
        </w:rPr>
        <w:t xml:space="preserve"> </w:t>
      </w:r>
      <w:r w:rsidRPr="00B35A22">
        <w:rPr>
          <w:sz w:val="22"/>
          <w:lang w:val="sr-Latn-ME"/>
        </w:rPr>
        <w:t>odnosno </w:t>
      </w:r>
      <w:r w:rsidR="00D46A5F" w:rsidRPr="00B35A22">
        <w:rPr>
          <w:sz w:val="22"/>
          <w:szCs w:val="22"/>
          <w:lang w:val="sr-Latn-ME"/>
        </w:rPr>
        <w:t>22</w:t>
      </w:r>
      <w:r w:rsidR="00D52D7D" w:rsidRPr="00B35A22">
        <w:rPr>
          <w:sz w:val="22"/>
          <w:lang w:val="sr-Latn-ME"/>
        </w:rPr>
        <w:t>.</w:t>
      </w:r>
      <w:r w:rsidRPr="00B35A22">
        <w:rPr>
          <w:sz w:val="22"/>
          <w:lang w:val="sr-Latn-ME"/>
        </w:rPr>
        <w:t xml:space="preserve"> </w:t>
      </w:r>
    </w:p>
    <w:p w14:paraId="28C23F2D" w14:textId="1FBFEED7" w:rsidR="00857F7D" w:rsidRPr="00B35A22" w:rsidRDefault="00857F7D" w:rsidP="00B35A22">
      <w:pPr>
        <w:widowControl w:val="0"/>
        <w:jc w:val="both"/>
        <w:rPr>
          <w:sz w:val="22"/>
          <w:szCs w:val="22"/>
          <w:lang w:val="sr-Latn-ME"/>
        </w:rPr>
      </w:pPr>
    </w:p>
    <w:p w14:paraId="0EE97135" w14:textId="2DF251DD" w:rsidR="00857F7D" w:rsidRPr="00B35A22" w:rsidRDefault="00857F7D" w:rsidP="00B35A22">
      <w:pPr>
        <w:widowControl w:val="0"/>
        <w:jc w:val="both"/>
        <w:rPr>
          <w:b/>
          <w:sz w:val="22"/>
          <w:lang w:val="sr-Latn-ME"/>
        </w:rPr>
      </w:pPr>
      <w:r w:rsidRPr="00B35A22">
        <w:rPr>
          <w:b/>
          <w:sz w:val="22"/>
          <w:lang w:val="sr-Latn-ME"/>
        </w:rPr>
        <w:t>Tabela </w:t>
      </w:r>
      <w:r w:rsidR="00D46A5F" w:rsidRPr="00B35A22">
        <w:rPr>
          <w:b/>
          <w:sz w:val="22"/>
          <w:szCs w:val="22"/>
          <w:lang w:val="sr-Latn-ME"/>
        </w:rPr>
        <w:t>21</w:t>
      </w:r>
      <w:r w:rsidRPr="00B35A22">
        <w:rPr>
          <w:b/>
          <w:sz w:val="22"/>
          <w:lang w:val="sr-Latn-ME"/>
        </w:rPr>
        <w:t>: Sažetak rezultata za efikasnost (</w:t>
      </w:r>
      <w:r w:rsidR="00EE12B7" w:rsidRPr="00B35A22">
        <w:rPr>
          <w:b/>
          <w:sz w:val="22"/>
          <w:lang w:val="sr-Latn-ME"/>
        </w:rPr>
        <w:t xml:space="preserve">primarna analiza iz ispitivanja </w:t>
      </w:r>
      <w:r w:rsidRPr="00B35A22">
        <w:rPr>
          <w:b/>
          <w:sz w:val="22"/>
          <w:lang w:val="sr-Latn-ME"/>
        </w:rPr>
        <w:t>IMbrave150)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5"/>
        <w:gridCol w:w="2576"/>
        <w:gridCol w:w="2932"/>
      </w:tblGrid>
      <w:tr w:rsidR="00CC0044" w:rsidRPr="00B35A22" w14:paraId="27114AA2" w14:textId="77777777" w:rsidTr="00770680">
        <w:trPr>
          <w:cantSplit/>
          <w:trHeight w:val="309"/>
        </w:trPr>
        <w:tc>
          <w:tcPr>
            <w:tcW w:w="1999"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2CA8B122" w14:textId="77777777" w:rsidR="00857F7D" w:rsidRPr="00B35A22" w:rsidRDefault="00857F7D" w:rsidP="00B35A22">
            <w:pPr>
              <w:widowControl w:val="0"/>
              <w:jc w:val="both"/>
              <w:rPr>
                <w:b/>
                <w:sz w:val="20"/>
                <w:lang w:val="sr-Latn-ME"/>
              </w:rPr>
            </w:pPr>
            <w:r w:rsidRPr="00B35A22">
              <w:rPr>
                <w:b/>
                <w:sz w:val="20"/>
                <w:lang w:val="sr-Latn-ME"/>
              </w:rPr>
              <w:t>Ključne mjere ishoda za efikasnost</w:t>
            </w:r>
          </w:p>
        </w:tc>
        <w:tc>
          <w:tcPr>
            <w:tcW w:w="1346" w:type="pct"/>
            <w:tcBorders>
              <w:top w:val="single" w:sz="4" w:space="0" w:color="auto"/>
              <w:left w:val="nil"/>
              <w:bottom w:val="single" w:sz="4" w:space="0" w:color="auto"/>
              <w:right w:val="nil"/>
            </w:tcBorders>
            <w:tcMar>
              <w:top w:w="0" w:type="dxa"/>
              <w:left w:w="108" w:type="dxa"/>
              <w:bottom w:w="0" w:type="dxa"/>
              <w:right w:w="108" w:type="dxa"/>
            </w:tcMar>
            <w:hideMark/>
          </w:tcPr>
          <w:p w14:paraId="5EA025A3" w14:textId="4075DE26" w:rsidR="00857F7D" w:rsidRPr="00B35A22" w:rsidRDefault="00857F7D" w:rsidP="00B35A22">
            <w:pPr>
              <w:widowControl w:val="0"/>
              <w:tabs>
                <w:tab w:val="left" w:pos="1002"/>
              </w:tabs>
              <w:ind w:right="1182"/>
              <w:jc w:val="both"/>
              <w:rPr>
                <w:b/>
                <w:sz w:val="20"/>
                <w:lang w:val="sr-Latn-ME"/>
              </w:rPr>
            </w:pPr>
            <w:r w:rsidRPr="00B35A22">
              <w:rPr>
                <w:b/>
                <w:sz w:val="20"/>
                <w:lang w:val="sr-Latn-ME"/>
              </w:rPr>
              <w:t xml:space="preserve">Atezolizumab + </w:t>
            </w:r>
            <w:r w:rsidR="0043492D" w:rsidRPr="00B35A22">
              <w:rPr>
                <w:b/>
                <w:sz w:val="20"/>
                <w:lang w:val="sr-Latn-ME"/>
              </w:rPr>
              <w:t>B</w:t>
            </w:r>
            <w:r w:rsidRPr="00B35A22">
              <w:rPr>
                <w:b/>
                <w:sz w:val="20"/>
                <w:lang w:val="sr-Latn-ME"/>
              </w:rPr>
              <w:t>evacizumab</w:t>
            </w:r>
          </w:p>
        </w:tc>
        <w:tc>
          <w:tcPr>
            <w:tcW w:w="165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0D0D893" w14:textId="77777777" w:rsidR="00857F7D" w:rsidRPr="00B35A22" w:rsidRDefault="00857F7D" w:rsidP="00B35A22">
            <w:pPr>
              <w:widowControl w:val="0"/>
              <w:jc w:val="both"/>
              <w:rPr>
                <w:sz w:val="20"/>
                <w:lang w:val="sr-Latn-ME"/>
              </w:rPr>
            </w:pPr>
            <w:r w:rsidRPr="00B35A22">
              <w:rPr>
                <w:b/>
                <w:sz w:val="20"/>
                <w:lang w:val="sr-Latn-ME"/>
              </w:rPr>
              <w:t>Sorafenib</w:t>
            </w:r>
          </w:p>
        </w:tc>
      </w:tr>
      <w:tr w:rsidR="00CC0044" w:rsidRPr="00B35A22" w14:paraId="0AA20F5D" w14:textId="77777777" w:rsidTr="00770680">
        <w:trPr>
          <w:cantSplit/>
          <w:trHeight w:val="233"/>
        </w:trPr>
        <w:tc>
          <w:tcPr>
            <w:tcW w:w="1999" w:type="pct"/>
            <w:tcBorders>
              <w:top w:val="single" w:sz="4" w:space="0" w:color="auto"/>
              <w:left w:val="single" w:sz="4" w:space="0" w:color="auto"/>
              <w:bottom w:val="nil"/>
              <w:right w:val="nil"/>
            </w:tcBorders>
            <w:tcMar>
              <w:top w:w="0" w:type="dxa"/>
              <w:left w:w="108" w:type="dxa"/>
              <w:bottom w:w="0" w:type="dxa"/>
              <w:right w:w="108" w:type="dxa"/>
            </w:tcMar>
            <w:hideMark/>
          </w:tcPr>
          <w:p w14:paraId="5D68EA6A" w14:textId="77777777" w:rsidR="00857F7D" w:rsidRPr="00B35A22" w:rsidRDefault="00857F7D" w:rsidP="00B35A22">
            <w:pPr>
              <w:widowControl w:val="0"/>
              <w:jc w:val="both"/>
              <w:rPr>
                <w:sz w:val="20"/>
                <w:lang w:val="sr-Latn-ME"/>
              </w:rPr>
            </w:pPr>
            <w:r w:rsidRPr="00B35A22">
              <w:rPr>
                <w:b/>
                <w:sz w:val="20"/>
                <w:lang w:val="sr-Latn-ME"/>
              </w:rPr>
              <w:t>OS</w:t>
            </w:r>
          </w:p>
        </w:tc>
        <w:tc>
          <w:tcPr>
            <w:tcW w:w="1346" w:type="pct"/>
            <w:tcBorders>
              <w:top w:val="single" w:sz="4" w:space="0" w:color="auto"/>
              <w:left w:val="nil"/>
              <w:bottom w:val="nil"/>
              <w:right w:val="nil"/>
            </w:tcBorders>
          </w:tcPr>
          <w:p w14:paraId="1CF5BBE0" w14:textId="77777777" w:rsidR="00857F7D" w:rsidRPr="00B35A22" w:rsidRDefault="00857F7D" w:rsidP="00B35A22">
            <w:pPr>
              <w:widowControl w:val="0"/>
              <w:ind w:left="286" w:right="-258" w:hanging="144"/>
              <w:jc w:val="both"/>
              <w:rPr>
                <w:sz w:val="20"/>
                <w:lang w:val="sr-Latn-ME"/>
              </w:rPr>
            </w:pPr>
            <w:r w:rsidRPr="00B35A22">
              <w:rPr>
                <w:sz w:val="20"/>
                <w:lang w:val="sr-Latn-ME"/>
              </w:rPr>
              <w:t>n=336</w:t>
            </w:r>
          </w:p>
        </w:tc>
        <w:tc>
          <w:tcPr>
            <w:tcW w:w="1656" w:type="pct"/>
            <w:tcBorders>
              <w:top w:val="single" w:sz="4" w:space="0" w:color="auto"/>
              <w:left w:val="nil"/>
              <w:bottom w:val="nil"/>
              <w:right w:val="single" w:sz="4" w:space="0" w:color="auto"/>
            </w:tcBorders>
          </w:tcPr>
          <w:p w14:paraId="1A355246" w14:textId="704B8855" w:rsidR="00857F7D" w:rsidRPr="00B35A22" w:rsidRDefault="000D7FBD" w:rsidP="00B35A22">
            <w:pPr>
              <w:widowControl w:val="0"/>
              <w:jc w:val="both"/>
              <w:rPr>
                <w:sz w:val="20"/>
                <w:lang w:val="sr-Latn-ME"/>
              </w:rPr>
            </w:pPr>
            <w:r w:rsidRPr="00B35A22">
              <w:rPr>
                <w:sz w:val="20"/>
                <w:lang w:val="sr-Latn-ME"/>
              </w:rPr>
              <w:t xml:space="preserve">  </w:t>
            </w:r>
            <w:r w:rsidR="00857F7D" w:rsidRPr="00B35A22">
              <w:rPr>
                <w:sz w:val="20"/>
                <w:lang w:val="sr-Latn-ME"/>
              </w:rPr>
              <w:t>n=165</w:t>
            </w:r>
          </w:p>
        </w:tc>
      </w:tr>
      <w:tr w:rsidR="00CC0044" w:rsidRPr="00B35A22" w14:paraId="1D0B29D8" w14:textId="77777777" w:rsidTr="00770680">
        <w:trPr>
          <w:cantSplit/>
          <w:trHeight w:val="258"/>
        </w:trPr>
        <w:tc>
          <w:tcPr>
            <w:tcW w:w="1999" w:type="pct"/>
            <w:tcBorders>
              <w:top w:val="nil"/>
              <w:left w:val="single" w:sz="4" w:space="0" w:color="auto"/>
              <w:bottom w:val="nil"/>
              <w:right w:val="nil"/>
            </w:tcBorders>
            <w:tcMar>
              <w:top w:w="0" w:type="dxa"/>
              <w:left w:w="108" w:type="dxa"/>
              <w:bottom w:w="0" w:type="dxa"/>
              <w:right w:w="108" w:type="dxa"/>
            </w:tcMar>
            <w:hideMark/>
          </w:tcPr>
          <w:p w14:paraId="063424A7" w14:textId="77777777" w:rsidR="00857F7D" w:rsidRPr="00B35A22" w:rsidRDefault="00857F7D" w:rsidP="00B35A22">
            <w:pPr>
              <w:widowControl w:val="0"/>
              <w:jc w:val="both"/>
              <w:rPr>
                <w:sz w:val="20"/>
                <w:lang w:val="sr-Latn-ME"/>
              </w:rPr>
            </w:pPr>
            <w:r w:rsidRPr="00B35A22">
              <w:rPr>
                <w:sz w:val="20"/>
                <w:lang w:val="sr-Latn-ME"/>
              </w:rPr>
              <w:t>Broj smrtnih slučajeva (%)</w:t>
            </w:r>
          </w:p>
        </w:tc>
        <w:tc>
          <w:tcPr>
            <w:tcW w:w="1346" w:type="pct"/>
            <w:tcBorders>
              <w:top w:val="nil"/>
              <w:left w:val="nil"/>
              <w:bottom w:val="nil"/>
              <w:right w:val="nil"/>
            </w:tcBorders>
            <w:tcMar>
              <w:top w:w="0" w:type="dxa"/>
              <w:left w:w="108" w:type="dxa"/>
              <w:bottom w:w="0" w:type="dxa"/>
              <w:right w:w="108" w:type="dxa"/>
            </w:tcMar>
            <w:hideMark/>
          </w:tcPr>
          <w:p w14:paraId="196EC12F" w14:textId="77777777" w:rsidR="00857F7D" w:rsidRPr="00B35A22" w:rsidRDefault="00857F7D" w:rsidP="00B35A22">
            <w:pPr>
              <w:widowControl w:val="0"/>
              <w:jc w:val="both"/>
              <w:rPr>
                <w:rFonts w:eastAsia="Calibri"/>
                <w:sz w:val="20"/>
                <w:lang w:val="sr-Latn-ME"/>
              </w:rPr>
            </w:pPr>
            <w:r w:rsidRPr="00B35A22">
              <w:rPr>
                <w:rFonts w:eastAsia="SimSun"/>
                <w:sz w:val="20"/>
                <w:lang w:val="sr-Latn-ME"/>
              </w:rPr>
              <w:t>96 (28,6%)</w:t>
            </w:r>
          </w:p>
        </w:tc>
        <w:tc>
          <w:tcPr>
            <w:tcW w:w="1656" w:type="pct"/>
            <w:tcBorders>
              <w:top w:val="nil"/>
              <w:left w:val="nil"/>
              <w:bottom w:val="nil"/>
              <w:right w:val="single" w:sz="4" w:space="0" w:color="auto"/>
            </w:tcBorders>
            <w:tcMar>
              <w:top w:w="0" w:type="dxa"/>
              <w:left w:w="108" w:type="dxa"/>
              <w:bottom w:w="0" w:type="dxa"/>
              <w:right w:w="108" w:type="dxa"/>
            </w:tcMar>
            <w:hideMark/>
          </w:tcPr>
          <w:p w14:paraId="48F5E97D"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65 (39,4%)</w:t>
            </w:r>
          </w:p>
        </w:tc>
      </w:tr>
      <w:tr w:rsidR="00CC0044" w:rsidRPr="00B35A22" w14:paraId="17565F24" w14:textId="77777777" w:rsidTr="00770680">
        <w:trPr>
          <w:cantSplit/>
          <w:trHeight w:val="270"/>
        </w:trPr>
        <w:tc>
          <w:tcPr>
            <w:tcW w:w="1999" w:type="pct"/>
            <w:tcBorders>
              <w:top w:val="nil"/>
              <w:left w:val="single" w:sz="4" w:space="0" w:color="auto"/>
              <w:bottom w:val="nil"/>
              <w:right w:val="nil"/>
            </w:tcBorders>
            <w:tcMar>
              <w:top w:w="0" w:type="dxa"/>
              <w:left w:w="108" w:type="dxa"/>
              <w:bottom w:w="0" w:type="dxa"/>
              <w:right w:w="108" w:type="dxa"/>
            </w:tcMar>
            <w:hideMark/>
          </w:tcPr>
          <w:p w14:paraId="5050F73E" w14:textId="77777777" w:rsidR="00857F7D" w:rsidRPr="00B35A22" w:rsidRDefault="00857F7D" w:rsidP="00B35A22">
            <w:pPr>
              <w:widowControl w:val="0"/>
              <w:jc w:val="both"/>
              <w:rPr>
                <w:sz w:val="20"/>
                <w:lang w:val="sr-Latn-ME"/>
              </w:rPr>
            </w:pPr>
            <w:r w:rsidRPr="00B35A22">
              <w:rPr>
                <w:sz w:val="20"/>
                <w:lang w:val="sr-Latn-ME"/>
              </w:rPr>
              <w:t>Medijana vremena do događaja (mjeseci)</w:t>
            </w:r>
          </w:p>
        </w:tc>
        <w:tc>
          <w:tcPr>
            <w:tcW w:w="1346" w:type="pct"/>
            <w:tcBorders>
              <w:top w:val="nil"/>
              <w:left w:val="nil"/>
              <w:bottom w:val="nil"/>
              <w:right w:val="nil"/>
            </w:tcBorders>
            <w:tcMar>
              <w:top w:w="0" w:type="dxa"/>
              <w:left w:w="108" w:type="dxa"/>
              <w:bottom w:w="0" w:type="dxa"/>
              <w:right w:w="108" w:type="dxa"/>
            </w:tcMar>
            <w:hideMark/>
          </w:tcPr>
          <w:p w14:paraId="4D29F311" w14:textId="77777777" w:rsidR="00857F7D" w:rsidRPr="00B35A22" w:rsidRDefault="00857F7D" w:rsidP="00B35A22">
            <w:pPr>
              <w:widowControl w:val="0"/>
              <w:jc w:val="both"/>
              <w:rPr>
                <w:rFonts w:eastAsia="Calibri"/>
                <w:sz w:val="20"/>
                <w:lang w:val="sr-Latn-ME"/>
              </w:rPr>
            </w:pPr>
            <w:r w:rsidRPr="00B35A22">
              <w:rPr>
                <w:rFonts w:eastAsia="SimSun"/>
                <w:sz w:val="20"/>
                <w:lang w:val="sr-Latn-ME"/>
              </w:rPr>
              <w:t xml:space="preserve">NP </w:t>
            </w:r>
          </w:p>
        </w:tc>
        <w:tc>
          <w:tcPr>
            <w:tcW w:w="1656" w:type="pct"/>
            <w:tcBorders>
              <w:top w:val="nil"/>
              <w:left w:val="nil"/>
              <w:bottom w:val="nil"/>
              <w:right w:val="single" w:sz="4" w:space="0" w:color="auto"/>
            </w:tcBorders>
            <w:tcMar>
              <w:top w:w="0" w:type="dxa"/>
              <w:left w:w="108" w:type="dxa"/>
              <w:bottom w:w="0" w:type="dxa"/>
              <w:right w:w="108" w:type="dxa"/>
            </w:tcMar>
            <w:hideMark/>
          </w:tcPr>
          <w:p w14:paraId="5D5EC271"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13,2</w:t>
            </w:r>
          </w:p>
        </w:tc>
      </w:tr>
      <w:tr w:rsidR="00CC0044" w:rsidRPr="00B35A22" w14:paraId="5407D0F3" w14:textId="77777777" w:rsidTr="00770680">
        <w:trPr>
          <w:cantSplit/>
          <w:trHeight w:val="233"/>
        </w:trPr>
        <w:tc>
          <w:tcPr>
            <w:tcW w:w="1999" w:type="pct"/>
            <w:tcBorders>
              <w:top w:val="nil"/>
              <w:left w:val="single" w:sz="4" w:space="0" w:color="auto"/>
              <w:bottom w:val="nil"/>
              <w:right w:val="nil"/>
            </w:tcBorders>
            <w:tcMar>
              <w:top w:w="0" w:type="dxa"/>
              <w:left w:w="108" w:type="dxa"/>
              <w:bottom w:w="0" w:type="dxa"/>
              <w:right w:w="108" w:type="dxa"/>
            </w:tcMar>
          </w:tcPr>
          <w:p w14:paraId="678CA5BE" w14:textId="77777777" w:rsidR="00857F7D" w:rsidRPr="00B35A22" w:rsidRDefault="00857F7D" w:rsidP="00B35A22">
            <w:pPr>
              <w:widowControl w:val="0"/>
              <w:jc w:val="both"/>
              <w:rPr>
                <w:sz w:val="20"/>
                <w:lang w:val="sr-Latn-ME"/>
              </w:rPr>
            </w:pPr>
            <w:r w:rsidRPr="00B35A22">
              <w:rPr>
                <w:sz w:val="20"/>
                <w:lang w:val="sr-Latn-ME"/>
              </w:rPr>
              <w:t>95% CI</w:t>
            </w:r>
          </w:p>
        </w:tc>
        <w:tc>
          <w:tcPr>
            <w:tcW w:w="1346" w:type="pct"/>
            <w:tcBorders>
              <w:top w:val="nil"/>
              <w:left w:val="nil"/>
              <w:bottom w:val="nil"/>
              <w:right w:val="nil"/>
            </w:tcBorders>
            <w:tcMar>
              <w:top w:w="0" w:type="dxa"/>
              <w:left w:w="108" w:type="dxa"/>
              <w:bottom w:w="0" w:type="dxa"/>
              <w:right w:w="108" w:type="dxa"/>
            </w:tcMar>
          </w:tcPr>
          <w:p w14:paraId="19BF56AC"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(NP; NP)</w:t>
            </w:r>
          </w:p>
        </w:tc>
        <w:tc>
          <w:tcPr>
            <w:tcW w:w="1656" w:type="pct"/>
            <w:tcBorders>
              <w:top w:val="nil"/>
              <w:left w:val="nil"/>
              <w:bottom w:val="nil"/>
              <w:right w:val="single" w:sz="4" w:space="0" w:color="auto"/>
            </w:tcBorders>
            <w:tcMar>
              <w:top w:w="0" w:type="dxa"/>
              <w:left w:w="108" w:type="dxa"/>
              <w:bottom w:w="0" w:type="dxa"/>
              <w:right w:w="108" w:type="dxa"/>
            </w:tcMar>
          </w:tcPr>
          <w:p w14:paraId="5C6CC67F"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(10,4; NP)</w:t>
            </w:r>
          </w:p>
        </w:tc>
      </w:tr>
      <w:tr w:rsidR="00CC0044" w:rsidRPr="00B35A22" w14:paraId="62BDAE1E" w14:textId="77777777" w:rsidTr="00770680">
        <w:trPr>
          <w:cantSplit/>
          <w:trHeight w:val="268"/>
        </w:trPr>
        <w:tc>
          <w:tcPr>
            <w:tcW w:w="1999" w:type="pct"/>
            <w:tcBorders>
              <w:top w:val="nil"/>
              <w:left w:val="single" w:sz="4" w:space="0" w:color="auto"/>
              <w:bottom w:val="nil"/>
              <w:right w:val="nil"/>
            </w:tcBorders>
            <w:tcMar>
              <w:top w:w="0" w:type="dxa"/>
              <w:left w:w="108" w:type="dxa"/>
              <w:bottom w:w="0" w:type="dxa"/>
              <w:right w:w="108" w:type="dxa"/>
            </w:tcMar>
            <w:hideMark/>
          </w:tcPr>
          <w:p w14:paraId="4AE7D9D0" w14:textId="77777777" w:rsidR="00857F7D" w:rsidRPr="00B35A22" w:rsidRDefault="00857F7D" w:rsidP="00B35A22">
            <w:pPr>
              <w:widowControl w:val="0"/>
              <w:jc w:val="both"/>
              <w:rPr>
                <w:sz w:val="20"/>
                <w:lang w:val="sr-Latn-ME"/>
              </w:rPr>
            </w:pPr>
            <w:r w:rsidRPr="00B35A22">
              <w:rPr>
                <w:sz w:val="20"/>
                <w:lang w:val="sr-Latn-ME"/>
              </w:rPr>
              <w:t>Stratifikovani koeficijent rizika</w:t>
            </w:r>
            <w:r w:rsidRPr="00B35A22">
              <w:rPr>
                <w:sz w:val="20"/>
                <w:vertAlign w:val="superscript"/>
                <w:lang w:val="sr-Latn-ME"/>
              </w:rPr>
              <w:t>‡</w:t>
            </w:r>
            <w:r w:rsidRPr="00B35A22">
              <w:rPr>
                <w:sz w:val="20"/>
                <w:lang w:val="sr-Latn-ME"/>
              </w:rPr>
              <w:t xml:space="preserve"> (95% CI)</w:t>
            </w:r>
          </w:p>
        </w:tc>
        <w:tc>
          <w:tcPr>
            <w:tcW w:w="3001" w:type="pct"/>
            <w:gridSpan w:val="2"/>
            <w:tcBorders>
              <w:top w:val="nil"/>
              <w:left w:val="nil"/>
              <w:bottom w:val="nil"/>
              <w:right w:val="single" w:sz="4" w:space="0" w:color="auto"/>
            </w:tcBorders>
            <w:tcMar>
              <w:top w:w="0" w:type="dxa"/>
              <w:left w:w="108" w:type="dxa"/>
              <w:bottom w:w="0" w:type="dxa"/>
              <w:right w:w="108" w:type="dxa"/>
            </w:tcMar>
          </w:tcPr>
          <w:p w14:paraId="3B9BCABE" w14:textId="77777777" w:rsidR="00857F7D" w:rsidRPr="00B35A22" w:rsidRDefault="00857F7D" w:rsidP="00B35A22">
            <w:pPr>
              <w:widowControl w:val="0"/>
              <w:ind w:left="1017"/>
              <w:jc w:val="both"/>
              <w:rPr>
                <w:rFonts w:eastAsia="SimSun"/>
                <w:sz w:val="20"/>
                <w:lang w:val="sr-Latn-ME"/>
              </w:rPr>
            </w:pPr>
            <w:r w:rsidRPr="00B35A22">
              <w:rPr>
                <w:rFonts w:eastAsia="SimSun"/>
                <w:sz w:val="20"/>
                <w:lang w:val="sr-Latn-ME"/>
              </w:rPr>
              <w:t>0,58 (0,42; 0,79)</w:t>
            </w:r>
          </w:p>
        </w:tc>
      </w:tr>
      <w:tr w:rsidR="00CC0044" w:rsidRPr="00B35A22" w14:paraId="3E8139AB" w14:textId="77777777" w:rsidTr="00770680">
        <w:trPr>
          <w:cantSplit/>
          <w:trHeight w:val="258"/>
        </w:trPr>
        <w:tc>
          <w:tcPr>
            <w:tcW w:w="1999" w:type="pct"/>
            <w:tcBorders>
              <w:top w:val="nil"/>
              <w:left w:val="single" w:sz="4" w:space="0" w:color="auto"/>
              <w:bottom w:val="nil"/>
              <w:right w:val="nil"/>
            </w:tcBorders>
            <w:tcMar>
              <w:top w:w="0" w:type="dxa"/>
              <w:left w:w="108" w:type="dxa"/>
              <w:bottom w:w="0" w:type="dxa"/>
              <w:right w:w="108" w:type="dxa"/>
            </w:tcMar>
            <w:hideMark/>
          </w:tcPr>
          <w:p w14:paraId="21CD9F99" w14:textId="77777777" w:rsidR="00857F7D" w:rsidRPr="00B35A22" w:rsidRDefault="00857F7D" w:rsidP="00B35A22">
            <w:pPr>
              <w:widowControl w:val="0"/>
              <w:jc w:val="both"/>
              <w:rPr>
                <w:sz w:val="20"/>
                <w:lang w:val="sr-Latn-ME"/>
              </w:rPr>
            </w:pPr>
            <w:r w:rsidRPr="00B35A22">
              <w:rPr>
                <w:sz w:val="20"/>
                <w:lang w:val="sr-Latn-ME"/>
              </w:rPr>
              <w:t>p</w:t>
            </w:r>
            <w:r w:rsidRPr="00B35A22">
              <w:rPr>
                <w:sz w:val="20"/>
                <w:lang w:val="sr-Latn-ME"/>
              </w:rPr>
              <w:noBreakHyphen/>
              <w:t>vrijednost</w:t>
            </w:r>
            <w:r w:rsidRPr="00B35A22">
              <w:rPr>
                <w:sz w:val="20"/>
                <w:vertAlign w:val="superscript"/>
                <w:lang w:val="sr-Latn-ME"/>
              </w:rPr>
              <w:t>1</w:t>
            </w:r>
          </w:p>
        </w:tc>
        <w:tc>
          <w:tcPr>
            <w:tcW w:w="3001" w:type="pct"/>
            <w:gridSpan w:val="2"/>
            <w:tcBorders>
              <w:top w:val="nil"/>
              <w:left w:val="nil"/>
              <w:bottom w:val="nil"/>
              <w:right w:val="single" w:sz="4" w:space="0" w:color="auto"/>
            </w:tcBorders>
            <w:tcMar>
              <w:top w:w="0" w:type="dxa"/>
              <w:left w:w="108" w:type="dxa"/>
              <w:bottom w:w="0" w:type="dxa"/>
              <w:right w:w="108" w:type="dxa"/>
            </w:tcMar>
            <w:hideMark/>
          </w:tcPr>
          <w:p w14:paraId="68707D3B" w14:textId="77777777" w:rsidR="00857F7D" w:rsidRPr="00B35A22" w:rsidRDefault="00857F7D" w:rsidP="00B35A22">
            <w:pPr>
              <w:widowControl w:val="0"/>
              <w:ind w:firstLine="1300"/>
              <w:jc w:val="both"/>
              <w:rPr>
                <w:rFonts w:eastAsia="Calibri"/>
                <w:sz w:val="20"/>
                <w:lang w:val="sr-Latn-ME"/>
              </w:rPr>
            </w:pPr>
            <w:r w:rsidRPr="00B35A22">
              <w:rPr>
                <w:color w:val="000000"/>
                <w:sz w:val="20"/>
                <w:lang w:val="sr-Latn-ME"/>
              </w:rPr>
              <w:t>0,0006</w:t>
            </w:r>
          </w:p>
        </w:tc>
      </w:tr>
      <w:tr w:rsidR="00CC0044" w:rsidRPr="00B35A22" w14:paraId="6E4D6B74" w14:textId="77777777" w:rsidTr="00770680">
        <w:trPr>
          <w:cantSplit/>
          <w:trHeight w:val="260"/>
        </w:trPr>
        <w:tc>
          <w:tcPr>
            <w:tcW w:w="1999" w:type="pct"/>
            <w:tcBorders>
              <w:top w:val="nil"/>
              <w:left w:val="single" w:sz="4" w:space="0" w:color="auto"/>
              <w:bottom w:val="single" w:sz="4" w:space="0" w:color="auto"/>
              <w:right w:val="nil"/>
            </w:tcBorders>
            <w:tcMar>
              <w:top w:w="0" w:type="dxa"/>
              <w:left w:w="108" w:type="dxa"/>
              <w:bottom w:w="0" w:type="dxa"/>
              <w:right w:w="108" w:type="dxa"/>
            </w:tcMar>
          </w:tcPr>
          <w:p w14:paraId="7E8E2AE9" w14:textId="77777777" w:rsidR="00857F7D" w:rsidRPr="00B35A22" w:rsidRDefault="00857F7D" w:rsidP="00B35A22">
            <w:pPr>
              <w:widowControl w:val="0"/>
              <w:jc w:val="both"/>
              <w:rPr>
                <w:b/>
                <w:sz w:val="20"/>
                <w:lang w:val="sr-Latn-ME"/>
              </w:rPr>
            </w:pPr>
            <w:r w:rsidRPr="00B35A22">
              <w:rPr>
                <w:sz w:val="20"/>
                <w:lang w:val="sr-Latn-ME"/>
              </w:rPr>
              <w:t>6</w:t>
            </w:r>
            <w:r w:rsidRPr="00B35A22">
              <w:rPr>
                <w:sz w:val="20"/>
                <w:lang w:val="sr-Latn-ME"/>
              </w:rPr>
              <w:noBreakHyphen/>
              <w:t>mjesečni OS (%)</w:t>
            </w:r>
          </w:p>
        </w:tc>
        <w:tc>
          <w:tcPr>
            <w:tcW w:w="1346" w:type="pct"/>
            <w:tcBorders>
              <w:top w:val="nil"/>
              <w:left w:val="nil"/>
              <w:bottom w:val="single" w:sz="4" w:space="0" w:color="auto"/>
              <w:right w:val="nil"/>
            </w:tcBorders>
          </w:tcPr>
          <w:p w14:paraId="2F112C06" w14:textId="77777777" w:rsidR="00857F7D" w:rsidRPr="00B35A22" w:rsidRDefault="00857F7D" w:rsidP="00B35A22">
            <w:pPr>
              <w:widowControl w:val="0"/>
              <w:ind w:left="144"/>
              <w:jc w:val="both"/>
              <w:rPr>
                <w:sz w:val="20"/>
                <w:lang w:val="sr-Latn-ME"/>
              </w:rPr>
            </w:pPr>
            <w:r w:rsidRPr="00B35A22">
              <w:rPr>
                <w:sz w:val="20"/>
                <w:lang w:val="sr-Latn-ME"/>
              </w:rPr>
              <w:t>84,8%</w:t>
            </w:r>
          </w:p>
        </w:tc>
        <w:tc>
          <w:tcPr>
            <w:tcW w:w="1656" w:type="pct"/>
            <w:tcBorders>
              <w:top w:val="nil"/>
              <w:left w:val="nil"/>
              <w:bottom w:val="single" w:sz="4" w:space="0" w:color="auto"/>
              <w:right w:val="single" w:sz="4" w:space="0" w:color="auto"/>
            </w:tcBorders>
          </w:tcPr>
          <w:p w14:paraId="40D2B3ED" w14:textId="77777777" w:rsidR="00857F7D" w:rsidRPr="00B35A22" w:rsidRDefault="00857F7D" w:rsidP="00B35A22">
            <w:pPr>
              <w:widowControl w:val="0"/>
              <w:jc w:val="both"/>
              <w:rPr>
                <w:sz w:val="20"/>
                <w:lang w:val="sr-Latn-ME"/>
              </w:rPr>
            </w:pPr>
            <w:r w:rsidRPr="00B35A22">
              <w:rPr>
                <w:sz w:val="20"/>
                <w:lang w:val="sr-Latn-ME"/>
              </w:rPr>
              <w:t>72,3%</w:t>
            </w:r>
          </w:p>
        </w:tc>
      </w:tr>
      <w:tr w:rsidR="00CC0044" w:rsidRPr="00B35A22" w14:paraId="160FE1A2" w14:textId="77777777" w:rsidTr="00770680">
        <w:trPr>
          <w:cantSplit/>
          <w:trHeight w:val="260"/>
        </w:trPr>
        <w:tc>
          <w:tcPr>
            <w:tcW w:w="1999" w:type="pct"/>
            <w:tcBorders>
              <w:top w:val="single" w:sz="4" w:space="0" w:color="auto"/>
              <w:left w:val="single" w:sz="4" w:space="0" w:color="auto"/>
              <w:bottom w:val="nil"/>
              <w:right w:val="nil"/>
            </w:tcBorders>
            <w:tcMar>
              <w:top w:w="0" w:type="dxa"/>
              <w:left w:w="108" w:type="dxa"/>
              <w:bottom w:w="0" w:type="dxa"/>
              <w:right w:w="108" w:type="dxa"/>
            </w:tcMar>
            <w:hideMark/>
          </w:tcPr>
          <w:p w14:paraId="2B20319C" w14:textId="77777777" w:rsidR="00857F7D" w:rsidRPr="00B35A22" w:rsidRDefault="00857F7D" w:rsidP="00B35A22">
            <w:pPr>
              <w:widowControl w:val="0"/>
              <w:jc w:val="both"/>
              <w:rPr>
                <w:sz w:val="20"/>
                <w:vertAlign w:val="superscript"/>
                <w:lang w:val="sr-Latn-ME"/>
              </w:rPr>
            </w:pPr>
            <w:r w:rsidRPr="00B35A22">
              <w:rPr>
                <w:b/>
                <w:sz w:val="20"/>
                <w:lang w:val="sr-Latn-ME"/>
              </w:rPr>
              <w:t>PFS prema procjeni nezavisnog ocjenjivačkog tijela (RECIST, verzija 1.1)</w:t>
            </w:r>
          </w:p>
        </w:tc>
        <w:tc>
          <w:tcPr>
            <w:tcW w:w="1346" w:type="pct"/>
            <w:tcBorders>
              <w:top w:val="single" w:sz="4" w:space="0" w:color="auto"/>
              <w:left w:val="nil"/>
              <w:bottom w:val="nil"/>
              <w:right w:val="nil"/>
            </w:tcBorders>
          </w:tcPr>
          <w:p w14:paraId="0D1BF9E1" w14:textId="77777777" w:rsidR="00857F7D" w:rsidRPr="00B35A22" w:rsidRDefault="00857F7D" w:rsidP="00B35A22">
            <w:pPr>
              <w:widowControl w:val="0"/>
              <w:ind w:left="144"/>
              <w:jc w:val="both"/>
              <w:rPr>
                <w:sz w:val="20"/>
                <w:vertAlign w:val="superscript"/>
                <w:lang w:val="sr-Latn-ME"/>
              </w:rPr>
            </w:pPr>
            <w:r w:rsidRPr="00B35A22">
              <w:rPr>
                <w:sz w:val="20"/>
                <w:lang w:val="sr-Latn-ME"/>
              </w:rPr>
              <w:t>n=336</w:t>
            </w:r>
          </w:p>
        </w:tc>
        <w:tc>
          <w:tcPr>
            <w:tcW w:w="1656" w:type="pct"/>
            <w:tcBorders>
              <w:top w:val="single" w:sz="4" w:space="0" w:color="auto"/>
              <w:left w:val="nil"/>
              <w:bottom w:val="nil"/>
              <w:right w:val="single" w:sz="4" w:space="0" w:color="auto"/>
            </w:tcBorders>
          </w:tcPr>
          <w:p w14:paraId="054DD5CE" w14:textId="77777777" w:rsidR="00857F7D" w:rsidRPr="00B35A22" w:rsidRDefault="00857F7D" w:rsidP="00B35A22">
            <w:pPr>
              <w:widowControl w:val="0"/>
              <w:ind w:left="116"/>
              <w:jc w:val="both"/>
              <w:rPr>
                <w:sz w:val="20"/>
                <w:vertAlign w:val="superscript"/>
                <w:lang w:val="sr-Latn-ME"/>
              </w:rPr>
            </w:pPr>
            <w:r w:rsidRPr="00B35A22">
              <w:rPr>
                <w:sz w:val="20"/>
                <w:lang w:val="sr-Latn-ME"/>
              </w:rPr>
              <w:t>n=165</w:t>
            </w:r>
          </w:p>
        </w:tc>
      </w:tr>
      <w:tr w:rsidR="00CC0044" w:rsidRPr="00B35A22" w14:paraId="03FB77CD" w14:textId="77777777" w:rsidTr="00770680">
        <w:trPr>
          <w:cantSplit/>
          <w:trHeight w:val="268"/>
        </w:trPr>
        <w:tc>
          <w:tcPr>
            <w:tcW w:w="1999" w:type="pct"/>
            <w:tcBorders>
              <w:top w:val="nil"/>
              <w:left w:val="single" w:sz="4" w:space="0" w:color="auto"/>
              <w:bottom w:val="nil"/>
              <w:right w:val="nil"/>
            </w:tcBorders>
            <w:tcMar>
              <w:top w:w="0" w:type="dxa"/>
              <w:left w:w="108" w:type="dxa"/>
              <w:bottom w:w="0" w:type="dxa"/>
              <w:right w:w="108" w:type="dxa"/>
            </w:tcMar>
            <w:hideMark/>
          </w:tcPr>
          <w:p w14:paraId="7A4FB441" w14:textId="77777777" w:rsidR="00857F7D" w:rsidRPr="00B35A22" w:rsidRDefault="00857F7D" w:rsidP="00B35A22">
            <w:pPr>
              <w:widowControl w:val="0"/>
              <w:jc w:val="both"/>
              <w:rPr>
                <w:sz w:val="20"/>
                <w:lang w:val="sr-Latn-ME"/>
              </w:rPr>
            </w:pPr>
            <w:r w:rsidRPr="00B35A22">
              <w:rPr>
                <w:sz w:val="20"/>
                <w:lang w:val="sr-Latn-ME"/>
              </w:rPr>
              <w:t>Broj događaja (%)</w:t>
            </w:r>
          </w:p>
        </w:tc>
        <w:tc>
          <w:tcPr>
            <w:tcW w:w="1346" w:type="pct"/>
            <w:tcBorders>
              <w:top w:val="nil"/>
              <w:left w:val="nil"/>
              <w:bottom w:val="nil"/>
              <w:right w:val="nil"/>
            </w:tcBorders>
            <w:tcMar>
              <w:top w:w="0" w:type="dxa"/>
              <w:left w:w="108" w:type="dxa"/>
              <w:bottom w:w="0" w:type="dxa"/>
              <w:right w:w="108" w:type="dxa"/>
            </w:tcMar>
            <w:hideMark/>
          </w:tcPr>
          <w:p w14:paraId="5EC3087D" w14:textId="77777777" w:rsidR="00857F7D" w:rsidRPr="00B35A22" w:rsidRDefault="00857F7D" w:rsidP="00B35A22">
            <w:pPr>
              <w:widowControl w:val="0"/>
              <w:jc w:val="both"/>
              <w:rPr>
                <w:rFonts w:eastAsia="Calibri"/>
                <w:sz w:val="20"/>
                <w:lang w:val="sr-Latn-ME"/>
              </w:rPr>
            </w:pPr>
            <w:r w:rsidRPr="00B35A22">
              <w:rPr>
                <w:color w:val="000000"/>
                <w:sz w:val="20"/>
                <w:lang w:val="sr-Latn-ME"/>
              </w:rPr>
              <w:t>197 (58,6%)</w:t>
            </w:r>
          </w:p>
        </w:tc>
        <w:tc>
          <w:tcPr>
            <w:tcW w:w="1656" w:type="pct"/>
            <w:tcBorders>
              <w:top w:val="nil"/>
              <w:left w:val="nil"/>
              <w:bottom w:val="nil"/>
              <w:right w:val="single" w:sz="4" w:space="0" w:color="auto"/>
            </w:tcBorders>
            <w:tcMar>
              <w:top w:w="0" w:type="dxa"/>
              <w:left w:w="108" w:type="dxa"/>
              <w:bottom w:w="0" w:type="dxa"/>
              <w:right w:w="108" w:type="dxa"/>
            </w:tcMar>
            <w:hideMark/>
          </w:tcPr>
          <w:p w14:paraId="7B298C62" w14:textId="77777777" w:rsidR="00857F7D" w:rsidRPr="00B35A22" w:rsidRDefault="00857F7D" w:rsidP="00B35A22">
            <w:pPr>
              <w:widowControl w:val="0"/>
              <w:jc w:val="both"/>
              <w:rPr>
                <w:rFonts w:eastAsia="SimSun"/>
                <w:sz w:val="20"/>
                <w:lang w:val="sr-Latn-ME"/>
              </w:rPr>
            </w:pPr>
            <w:r w:rsidRPr="00B35A22">
              <w:rPr>
                <w:color w:val="000000"/>
                <w:sz w:val="20"/>
                <w:lang w:val="sr-Latn-ME"/>
              </w:rPr>
              <w:t>109 (66,1%)</w:t>
            </w:r>
          </w:p>
        </w:tc>
      </w:tr>
      <w:tr w:rsidR="00CC0044" w:rsidRPr="00B35A22" w14:paraId="5CF0B46E" w14:textId="77777777" w:rsidTr="00770680">
        <w:trPr>
          <w:cantSplit/>
          <w:trHeight w:val="278"/>
        </w:trPr>
        <w:tc>
          <w:tcPr>
            <w:tcW w:w="1999" w:type="pct"/>
            <w:tcBorders>
              <w:top w:val="nil"/>
              <w:left w:val="single" w:sz="4" w:space="0" w:color="auto"/>
              <w:bottom w:val="nil"/>
              <w:right w:val="nil"/>
            </w:tcBorders>
            <w:tcMar>
              <w:top w:w="0" w:type="dxa"/>
              <w:left w:w="108" w:type="dxa"/>
              <w:bottom w:w="0" w:type="dxa"/>
              <w:right w:w="108" w:type="dxa"/>
            </w:tcMar>
            <w:hideMark/>
          </w:tcPr>
          <w:p w14:paraId="612FB209" w14:textId="77777777" w:rsidR="00857F7D" w:rsidRPr="00B35A22" w:rsidRDefault="00857F7D" w:rsidP="00B35A22">
            <w:pPr>
              <w:widowControl w:val="0"/>
              <w:jc w:val="both"/>
              <w:rPr>
                <w:sz w:val="20"/>
                <w:lang w:val="sr-Latn-ME"/>
              </w:rPr>
            </w:pPr>
            <w:r w:rsidRPr="00B35A22">
              <w:rPr>
                <w:sz w:val="20"/>
                <w:lang w:val="sr-Latn-ME"/>
              </w:rPr>
              <w:t>Medijana trajanja PFS</w:t>
            </w:r>
            <w:r w:rsidRPr="00B35A22">
              <w:rPr>
                <w:sz w:val="20"/>
                <w:lang w:val="sr-Latn-ME"/>
              </w:rPr>
              <w:noBreakHyphen/>
              <w:t>a (mjeseci)</w:t>
            </w:r>
          </w:p>
        </w:tc>
        <w:tc>
          <w:tcPr>
            <w:tcW w:w="1346" w:type="pct"/>
            <w:tcBorders>
              <w:top w:val="nil"/>
              <w:left w:val="nil"/>
              <w:bottom w:val="nil"/>
              <w:right w:val="nil"/>
            </w:tcBorders>
            <w:tcMar>
              <w:top w:w="0" w:type="dxa"/>
              <w:left w:w="108" w:type="dxa"/>
              <w:bottom w:w="0" w:type="dxa"/>
              <w:right w:w="108" w:type="dxa"/>
            </w:tcMar>
            <w:hideMark/>
          </w:tcPr>
          <w:p w14:paraId="7DCDF6CE" w14:textId="77777777" w:rsidR="00857F7D" w:rsidRPr="00B35A22" w:rsidRDefault="00857F7D" w:rsidP="00B35A22">
            <w:pPr>
              <w:widowControl w:val="0"/>
              <w:jc w:val="both"/>
              <w:rPr>
                <w:rFonts w:eastAsia="Calibri"/>
                <w:sz w:val="20"/>
                <w:lang w:val="sr-Latn-ME"/>
              </w:rPr>
            </w:pPr>
            <w:r w:rsidRPr="00B35A22">
              <w:rPr>
                <w:color w:val="000000"/>
                <w:sz w:val="20"/>
                <w:lang w:val="sr-Latn-ME"/>
              </w:rPr>
              <w:t>6,8</w:t>
            </w:r>
          </w:p>
        </w:tc>
        <w:tc>
          <w:tcPr>
            <w:tcW w:w="1656" w:type="pct"/>
            <w:tcBorders>
              <w:top w:val="nil"/>
              <w:left w:val="nil"/>
              <w:bottom w:val="nil"/>
              <w:right w:val="single" w:sz="4" w:space="0" w:color="auto"/>
            </w:tcBorders>
            <w:tcMar>
              <w:top w:w="0" w:type="dxa"/>
              <w:left w:w="108" w:type="dxa"/>
              <w:bottom w:w="0" w:type="dxa"/>
              <w:right w:w="108" w:type="dxa"/>
            </w:tcMar>
            <w:hideMark/>
          </w:tcPr>
          <w:p w14:paraId="6182407C" w14:textId="77777777" w:rsidR="00857F7D" w:rsidRPr="00B35A22" w:rsidRDefault="00857F7D" w:rsidP="00B35A22">
            <w:pPr>
              <w:widowControl w:val="0"/>
              <w:jc w:val="both"/>
              <w:rPr>
                <w:rFonts w:eastAsia="SimSun"/>
                <w:sz w:val="20"/>
                <w:lang w:val="sr-Latn-ME"/>
              </w:rPr>
            </w:pPr>
            <w:r w:rsidRPr="00B35A22">
              <w:rPr>
                <w:color w:val="000000"/>
                <w:sz w:val="20"/>
                <w:lang w:val="sr-Latn-ME"/>
              </w:rPr>
              <w:t>4,3</w:t>
            </w:r>
          </w:p>
        </w:tc>
      </w:tr>
      <w:tr w:rsidR="00CC0044" w:rsidRPr="00B35A22" w14:paraId="578EAC54" w14:textId="77777777" w:rsidTr="00770680">
        <w:trPr>
          <w:cantSplit/>
          <w:trHeight w:val="268"/>
        </w:trPr>
        <w:tc>
          <w:tcPr>
            <w:tcW w:w="1999" w:type="pct"/>
            <w:tcBorders>
              <w:top w:val="nil"/>
              <w:left w:val="single" w:sz="4" w:space="0" w:color="auto"/>
              <w:bottom w:val="nil"/>
              <w:right w:val="nil"/>
            </w:tcBorders>
            <w:tcMar>
              <w:top w:w="0" w:type="dxa"/>
              <w:left w:w="108" w:type="dxa"/>
              <w:bottom w:w="0" w:type="dxa"/>
              <w:right w:w="108" w:type="dxa"/>
            </w:tcMar>
            <w:hideMark/>
          </w:tcPr>
          <w:p w14:paraId="1946C292" w14:textId="77777777" w:rsidR="00857F7D" w:rsidRPr="00B35A22" w:rsidRDefault="00857F7D" w:rsidP="00B35A22">
            <w:pPr>
              <w:widowControl w:val="0"/>
              <w:jc w:val="both"/>
              <w:rPr>
                <w:sz w:val="20"/>
                <w:lang w:val="sr-Latn-ME"/>
              </w:rPr>
            </w:pPr>
            <w:r w:rsidRPr="00B35A22">
              <w:rPr>
                <w:color w:val="000000"/>
                <w:sz w:val="20"/>
                <w:lang w:val="sr-Latn-ME"/>
              </w:rPr>
              <w:t>95% CI</w:t>
            </w:r>
          </w:p>
        </w:tc>
        <w:tc>
          <w:tcPr>
            <w:tcW w:w="1346" w:type="pct"/>
            <w:tcBorders>
              <w:top w:val="nil"/>
              <w:left w:val="nil"/>
              <w:bottom w:val="nil"/>
              <w:right w:val="nil"/>
            </w:tcBorders>
            <w:tcMar>
              <w:top w:w="0" w:type="dxa"/>
              <w:left w:w="108" w:type="dxa"/>
              <w:bottom w:w="0" w:type="dxa"/>
              <w:right w:w="108" w:type="dxa"/>
            </w:tcMar>
            <w:hideMark/>
          </w:tcPr>
          <w:p w14:paraId="4AA31003" w14:textId="77777777" w:rsidR="00857F7D" w:rsidRPr="00B35A22" w:rsidRDefault="00857F7D" w:rsidP="00B35A22">
            <w:pPr>
              <w:widowControl w:val="0"/>
              <w:jc w:val="both"/>
              <w:rPr>
                <w:rFonts w:eastAsia="SimSun"/>
                <w:sz w:val="20"/>
                <w:lang w:val="sr-Latn-ME"/>
              </w:rPr>
            </w:pPr>
            <w:r w:rsidRPr="00B35A22">
              <w:rPr>
                <w:color w:val="000000"/>
                <w:sz w:val="20"/>
                <w:lang w:val="sr-Latn-ME"/>
              </w:rPr>
              <w:t>(5,8; 8,3)</w:t>
            </w:r>
          </w:p>
        </w:tc>
        <w:tc>
          <w:tcPr>
            <w:tcW w:w="1656" w:type="pct"/>
            <w:tcBorders>
              <w:top w:val="nil"/>
              <w:left w:val="nil"/>
              <w:bottom w:val="nil"/>
              <w:right w:val="single" w:sz="4" w:space="0" w:color="auto"/>
            </w:tcBorders>
          </w:tcPr>
          <w:p w14:paraId="6CAA2D09" w14:textId="77777777" w:rsidR="00857F7D" w:rsidRPr="00B35A22" w:rsidRDefault="00857F7D" w:rsidP="00B35A22">
            <w:pPr>
              <w:widowControl w:val="0"/>
              <w:jc w:val="both"/>
              <w:rPr>
                <w:rFonts w:eastAsia="SimSun"/>
                <w:sz w:val="20"/>
                <w:lang w:val="sr-Latn-ME"/>
              </w:rPr>
            </w:pPr>
            <w:r w:rsidRPr="00B35A22">
              <w:rPr>
                <w:color w:val="000000"/>
                <w:sz w:val="20"/>
                <w:lang w:val="sr-Latn-ME"/>
              </w:rPr>
              <w:t>(4,0; 5,6)</w:t>
            </w:r>
          </w:p>
        </w:tc>
      </w:tr>
      <w:tr w:rsidR="00CC0044" w:rsidRPr="00B35A22" w14:paraId="2CF4F93B" w14:textId="77777777" w:rsidTr="00770680">
        <w:trPr>
          <w:cantSplit/>
          <w:trHeight w:val="125"/>
        </w:trPr>
        <w:tc>
          <w:tcPr>
            <w:tcW w:w="1999" w:type="pct"/>
            <w:tcBorders>
              <w:top w:val="nil"/>
              <w:left w:val="single" w:sz="4" w:space="0" w:color="auto"/>
              <w:bottom w:val="nil"/>
              <w:right w:val="nil"/>
            </w:tcBorders>
            <w:tcMar>
              <w:top w:w="0" w:type="dxa"/>
              <w:left w:w="108" w:type="dxa"/>
              <w:bottom w:w="0" w:type="dxa"/>
              <w:right w:w="108" w:type="dxa"/>
            </w:tcMar>
            <w:hideMark/>
          </w:tcPr>
          <w:p w14:paraId="1775E850" w14:textId="77777777" w:rsidR="00857F7D" w:rsidRPr="00B35A22" w:rsidRDefault="00857F7D" w:rsidP="00B35A22">
            <w:pPr>
              <w:widowControl w:val="0"/>
              <w:jc w:val="both"/>
              <w:rPr>
                <w:sz w:val="20"/>
                <w:lang w:val="sr-Latn-ME"/>
              </w:rPr>
            </w:pPr>
            <w:r w:rsidRPr="00B35A22">
              <w:rPr>
                <w:sz w:val="20"/>
                <w:lang w:val="sr-Latn-ME"/>
              </w:rPr>
              <w:t>Stratifikovani koeficijent rizika</w:t>
            </w:r>
            <w:r w:rsidRPr="00B35A22">
              <w:rPr>
                <w:sz w:val="20"/>
                <w:vertAlign w:val="superscript"/>
                <w:lang w:val="sr-Latn-ME"/>
              </w:rPr>
              <w:t>‡</w:t>
            </w:r>
            <w:r w:rsidRPr="00B35A22">
              <w:rPr>
                <w:sz w:val="20"/>
                <w:lang w:val="sr-Latn-ME"/>
              </w:rPr>
              <w:t xml:space="preserve"> (95% CI)</w:t>
            </w:r>
          </w:p>
        </w:tc>
        <w:tc>
          <w:tcPr>
            <w:tcW w:w="3001" w:type="pct"/>
            <w:gridSpan w:val="2"/>
            <w:tcBorders>
              <w:top w:val="nil"/>
              <w:left w:val="nil"/>
              <w:bottom w:val="nil"/>
              <w:right w:val="single" w:sz="4" w:space="0" w:color="auto"/>
            </w:tcBorders>
            <w:tcMar>
              <w:top w:w="0" w:type="dxa"/>
              <w:left w:w="108" w:type="dxa"/>
              <w:bottom w:w="0" w:type="dxa"/>
              <w:right w:w="108" w:type="dxa"/>
            </w:tcMar>
            <w:hideMark/>
          </w:tcPr>
          <w:p w14:paraId="215DF7B7" w14:textId="77777777" w:rsidR="00857F7D" w:rsidRPr="00B35A22" w:rsidRDefault="00857F7D" w:rsidP="00B35A22">
            <w:pPr>
              <w:widowControl w:val="0"/>
              <w:ind w:left="591" w:firstLine="426"/>
              <w:jc w:val="both"/>
              <w:rPr>
                <w:rFonts w:eastAsia="Calibri"/>
                <w:sz w:val="20"/>
                <w:lang w:val="sr-Latn-ME"/>
              </w:rPr>
            </w:pPr>
            <w:r w:rsidRPr="00B35A22">
              <w:rPr>
                <w:color w:val="000000"/>
                <w:sz w:val="20"/>
                <w:lang w:val="sr-Latn-ME"/>
              </w:rPr>
              <w:t>0,59 (0,47; 0,76)</w:t>
            </w:r>
          </w:p>
        </w:tc>
      </w:tr>
      <w:tr w:rsidR="00CC0044" w:rsidRPr="00B35A22" w14:paraId="2A627C4E" w14:textId="77777777" w:rsidTr="00770680">
        <w:trPr>
          <w:cantSplit/>
          <w:trHeight w:val="125"/>
        </w:trPr>
        <w:tc>
          <w:tcPr>
            <w:tcW w:w="1999" w:type="pct"/>
            <w:tcBorders>
              <w:top w:val="nil"/>
              <w:left w:val="single" w:sz="4" w:space="0" w:color="auto"/>
              <w:bottom w:val="nil"/>
              <w:right w:val="nil"/>
            </w:tcBorders>
            <w:tcMar>
              <w:top w:w="0" w:type="dxa"/>
              <w:left w:w="108" w:type="dxa"/>
              <w:bottom w:w="0" w:type="dxa"/>
              <w:right w:w="108" w:type="dxa"/>
            </w:tcMar>
          </w:tcPr>
          <w:p w14:paraId="4D0A066D" w14:textId="77777777" w:rsidR="00857F7D" w:rsidRPr="00B35A22" w:rsidRDefault="00857F7D" w:rsidP="00B35A22">
            <w:pPr>
              <w:widowControl w:val="0"/>
              <w:jc w:val="both"/>
              <w:rPr>
                <w:color w:val="000000"/>
                <w:sz w:val="20"/>
                <w:lang w:val="sr-Latn-ME"/>
              </w:rPr>
            </w:pPr>
            <w:r w:rsidRPr="00B35A22">
              <w:rPr>
                <w:sz w:val="20"/>
                <w:lang w:val="sr-Latn-ME"/>
              </w:rPr>
              <w:t>p</w:t>
            </w:r>
            <w:r w:rsidRPr="00B35A22">
              <w:rPr>
                <w:sz w:val="20"/>
                <w:lang w:val="sr-Latn-ME"/>
              </w:rPr>
              <w:noBreakHyphen/>
              <w:t>vrijednost</w:t>
            </w:r>
            <w:r w:rsidRPr="00B35A22">
              <w:rPr>
                <w:sz w:val="20"/>
                <w:vertAlign w:val="superscript"/>
                <w:lang w:val="sr-Latn-ME"/>
              </w:rPr>
              <w:t>1</w:t>
            </w:r>
          </w:p>
        </w:tc>
        <w:tc>
          <w:tcPr>
            <w:tcW w:w="3001" w:type="pct"/>
            <w:gridSpan w:val="2"/>
            <w:tcBorders>
              <w:top w:val="nil"/>
              <w:left w:val="nil"/>
              <w:bottom w:val="nil"/>
              <w:right w:val="single" w:sz="4" w:space="0" w:color="auto"/>
            </w:tcBorders>
            <w:tcMar>
              <w:top w:w="0" w:type="dxa"/>
              <w:left w:w="108" w:type="dxa"/>
              <w:bottom w:w="0" w:type="dxa"/>
              <w:right w:w="108" w:type="dxa"/>
            </w:tcMar>
          </w:tcPr>
          <w:p w14:paraId="14A57411" w14:textId="77777777" w:rsidR="00857F7D" w:rsidRPr="00B35A22" w:rsidRDefault="00857F7D" w:rsidP="00B35A22">
            <w:pPr>
              <w:widowControl w:val="0"/>
              <w:ind w:firstLine="1300"/>
              <w:jc w:val="both"/>
              <w:rPr>
                <w:rFonts w:eastAsia="SimSun"/>
                <w:sz w:val="20"/>
                <w:lang w:val="sr-Latn-ME"/>
              </w:rPr>
            </w:pPr>
            <w:r w:rsidRPr="00B35A22">
              <w:rPr>
                <w:color w:val="000000"/>
                <w:sz w:val="20"/>
                <w:lang w:val="sr-Latn-ME"/>
              </w:rPr>
              <w:t>&lt;0,0001</w:t>
            </w:r>
          </w:p>
        </w:tc>
      </w:tr>
      <w:tr w:rsidR="00CC0044" w:rsidRPr="00B35A22" w14:paraId="45D4A370" w14:textId="77777777" w:rsidTr="00770680">
        <w:trPr>
          <w:cantSplit/>
          <w:trHeight w:val="125"/>
        </w:trPr>
        <w:tc>
          <w:tcPr>
            <w:tcW w:w="1999" w:type="pct"/>
            <w:tcBorders>
              <w:top w:val="nil"/>
              <w:left w:val="single" w:sz="4" w:space="0" w:color="auto"/>
              <w:bottom w:val="single" w:sz="4" w:space="0" w:color="auto"/>
              <w:right w:val="nil"/>
            </w:tcBorders>
            <w:tcMar>
              <w:top w:w="0" w:type="dxa"/>
              <w:left w:w="108" w:type="dxa"/>
              <w:bottom w:w="0" w:type="dxa"/>
              <w:right w:w="108" w:type="dxa"/>
            </w:tcMar>
          </w:tcPr>
          <w:p w14:paraId="1F4784CB" w14:textId="77777777" w:rsidR="00857F7D" w:rsidRPr="00B35A22" w:rsidRDefault="00857F7D" w:rsidP="00B35A22">
            <w:pPr>
              <w:widowControl w:val="0"/>
              <w:jc w:val="both"/>
              <w:rPr>
                <w:color w:val="000000"/>
                <w:sz w:val="20"/>
                <w:lang w:val="sr-Latn-ME"/>
              </w:rPr>
            </w:pPr>
            <w:r w:rsidRPr="00B35A22">
              <w:rPr>
                <w:sz w:val="20"/>
                <w:lang w:val="sr-Latn-ME"/>
              </w:rPr>
              <w:lastRenderedPageBreak/>
              <w:t>6</w:t>
            </w:r>
            <w:r w:rsidRPr="00B35A22">
              <w:rPr>
                <w:sz w:val="20"/>
                <w:lang w:val="sr-Latn-ME"/>
              </w:rPr>
              <w:noBreakHyphen/>
              <w:t>mjesečni PFS (%)</w:t>
            </w:r>
          </w:p>
        </w:tc>
        <w:tc>
          <w:tcPr>
            <w:tcW w:w="1346" w:type="pct"/>
            <w:tcBorders>
              <w:top w:val="nil"/>
              <w:left w:val="nil"/>
              <w:bottom w:val="single" w:sz="4" w:space="0" w:color="auto"/>
              <w:right w:val="nil"/>
            </w:tcBorders>
            <w:tcMar>
              <w:top w:w="0" w:type="dxa"/>
              <w:left w:w="108" w:type="dxa"/>
              <w:bottom w:w="0" w:type="dxa"/>
              <w:right w:w="108" w:type="dxa"/>
            </w:tcMar>
          </w:tcPr>
          <w:p w14:paraId="15BE2C07" w14:textId="77777777" w:rsidR="00857F7D" w:rsidRPr="00B35A22" w:rsidRDefault="00857F7D" w:rsidP="00B35A22">
            <w:pPr>
              <w:widowControl w:val="0"/>
              <w:jc w:val="both"/>
              <w:rPr>
                <w:rFonts w:eastAsia="SimSun"/>
                <w:sz w:val="20"/>
                <w:lang w:val="sr-Latn-ME"/>
              </w:rPr>
            </w:pPr>
            <w:r w:rsidRPr="00B35A22">
              <w:rPr>
                <w:color w:val="000000"/>
                <w:sz w:val="20"/>
                <w:lang w:val="sr-Latn-ME"/>
              </w:rPr>
              <w:t>54,5%</w:t>
            </w:r>
          </w:p>
        </w:tc>
        <w:tc>
          <w:tcPr>
            <w:tcW w:w="1656" w:type="pct"/>
            <w:tcBorders>
              <w:top w:val="nil"/>
              <w:left w:val="nil"/>
              <w:bottom w:val="single" w:sz="4" w:space="0" w:color="auto"/>
              <w:right w:val="single" w:sz="4" w:space="0" w:color="auto"/>
            </w:tcBorders>
          </w:tcPr>
          <w:p w14:paraId="3BABB893" w14:textId="77777777" w:rsidR="00857F7D" w:rsidRPr="00B35A22" w:rsidRDefault="00857F7D" w:rsidP="00B35A22">
            <w:pPr>
              <w:widowControl w:val="0"/>
              <w:jc w:val="both"/>
              <w:rPr>
                <w:rFonts w:eastAsia="SimSun"/>
                <w:sz w:val="20"/>
                <w:lang w:val="sr-Latn-ME"/>
              </w:rPr>
            </w:pPr>
            <w:r w:rsidRPr="00B35A22">
              <w:rPr>
                <w:color w:val="000000"/>
                <w:sz w:val="20"/>
                <w:lang w:val="sr-Latn-ME"/>
              </w:rPr>
              <w:t>37,2%</w:t>
            </w:r>
          </w:p>
        </w:tc>
      </w:tr>
      <w:tr w:rsidR="00CC0044" w:rsidRPr="00B35A22" w14:paraId="4772ABF0" w14:textId="77777777" w:rsidTr="00770680">
        <w:trPr>
          <w:cantSplit/>
          <w:trHeight w:val="251"/>
        </w:trPr>
        <w:tc>
          <w:tcPr>
            <w:tcW w:w="1999" w:type="pct"/>
            <w:tcBorders>
              <w:top w:val="single" w:sz="4" w:space="0" w:color="auto"/>
              <w:bottom w:val="nil"/>
              <w:right w:val="nil"/>
            </w:tcBorders>
            <w:tcMar>
              <w:top w:w="0" w:type="dxa"/>
              <w:left w:w="108" w:type="dxa"/>
              <w:bottom w:w="0" w:type="dxa"/>
              <w:right w:w="108" w:type="dxa"/>
            </w:tcMar>
          </w:tcPr>
          <w:p w14:paraId="098ED6D5" w14:textId="77777777" w:rsidR="00857F7D" w:rsidRPr="00B35A22" w:rsidRDefault="00857F7D" w:rsidP="00B35A22">
            <w:pPr>
              <w:widowControl w:val="0"/>
              <w:jc w:val="both"/>
              <w:rPr>
                <w:sz w:val="20"/>
                <w:lang w:val="sr-Latn-ME"/>
              </w:rPr>
            </w:pPr>
            <w:r w:rsidRPr="00B35A22">
              <w:rPr>
                <w:b/>
                <w:sz w:val="20"/>
                <w:lang w:val="sr-Latn-ME"/>
              </w:rPr>
              <w:t>ORR prema procjeni nezavisnog ocjenjivačkog tijela (RECIST, verzija 1.1)</w:t>
            </w:r>
          </w:p>
        </w:tc>
        <w:tc>
          <w:tcPr>
            <w:tcW w:w="1346" w:type="pct"/>
            <w:tcBorders>
              <w:top w:val="single" w:sz="4" w:space="0" w:color="auto"/>
              <w:left w:val="nil"/>
              <w:bottom w:val="nil"/>
              <w:right w:val="nil"/>
            </w:tcBorders>
          </w:tcPr>
          <w:p w14:paraId="47D4665F" w14:textId="77777777" w:rsidR="00857F7D" w:rsidRPr="00B35A22" w:rsidRDefault="00857F7D" w:rsidP="00B35A22">
            <w:pPr>
              <w:widowControl w:val="0"/>
              <w:ind w:left="144"/>
              <w:jc w:val="both"/>
              <w:rPr>
                <w:sz w:val="20"/>
                <w:lang w:val="sr-Latn-ME"/>
              </w:rPr>
            </w:pPr>
            <w:r w:rsidRPr="00B35A22">
              <w:rPr>
                <w:sz w:val="20"/>
                <w:lang w:val="sr-Latn-ME"/>
              </w:rPr>
              <w:t>n=326</w:t>
            </w:r>
          </w:p>
        </w:tc>
        <w:tc>
          <w:tcPr>
            <w:tcW w:w="1656" w:type="pct"/>
            <w:tcBorders>
              <w:top w:val="single" w:sz="4" w:space="0" w:color="auto"/>
              <w:left w:val="nil"/>
              <w:bottom w:val="nil"/>
            </w:tcBorders>
          </w:tcPr>
          <w:p w14:paraId="3A681ECF" w14:textId="77777777" w:rsidR="00857F7D" w:rsidRPr="00B35A22" w:rsidRDefault="00857F7D" w:rsidP="00B35A22">
            <w:pPr>
              <w:widowControl w:val="0"/>
              <w:ind w:left="-26" w:firstLine="26"/>
              <w:jc w:val="both"/>
              <w:rPr>
                <w:sz w:val="20"/>
                <w:lang w:val="sr-Latn-ME"/>
              </w:rPr>
            </w:pPr>
            <w:r w:rsidRPr="00B35A22">
              <w:rPr>
                <w:sz w:val="20"/>
                <w:lang w:val="sr-Latn-ME"/>
              </w:rPr>
              <w:t>n=159</w:t>
            </w:r>
          </w:p>
        </w:tc>
      </w:tr>
      <w:tr w:rsidR="00CC0044" w:rsidRPr="00B35A22" w14:paraId="0C145D40" w14:textId="77777777" w:rsidTr="00770680">
        <w:trPr>
          <w:cantSplit/>
          <w:trHeight w:val="269"/>
        </w:trPr>
        <w:tc>
          <w:tcPr>
            <w:tcW w:w="1999" w:type="pct"/>
            <w:tcBorders>
              <w:top w:val="nil"/>
              <w:left w:val="single" w:sz="4" w:space="0" w:color="auto"/>
              <w:bottom w:val="nil"/>
              <w:right w:val="nil"/>
            </w:tcBorders>
            <w:tcMar>
              <w:top w:w="0" w:type="dxa"/>
              <w:left w:w="108" w:type="dxa"/>
              <w:bottom w:w="0" w:type="dxa"/>
              <w:right w:w="108" w:type="dxa"/>
            </w:tcMar>
          </w:tcPr>
          <w:p w14:paraId="153AEDA2" w14:textId="77777777" w:rsidR="00857F7D" w:rsidRPr="00B35A22" w:rsidRDefault="00857F7D" w:rsidP="00B35A22">
            <w:pPr>
              <w:widowControl w:val="0"/>
              <w:jc w:val="both"/>
              <w:rPr>
                <w:sz w:val="20"/>
                <w:lang w:val="sr-Latn-ME"/>
              </w:rPr>
            </w:pPr>
            <w:r w:rsidRPr="00B35A22">
              <w:rPr>
                <w:sz w:val="20"/>
                <w:lang w:val="sr-Latn-ME"/>
              </w:rPr>
              <w:t>Broj pacijenata sa potvrđenim odgovorom (%)</w:t>
            </w:r>
          </w:p>
        </w:tc>
        <w:tc>
          <w:tcPr>
            <w:tcW w:w="1346" w:type="pct"/>
            <w:tcBorders>
              <w:top w:val="nil"/>
              <w:left w:val="nil"/>
              <w:bottom w:val="nil"/>
              <w:right w:val="nil"/>
            </w:tcBorders>
            <w:tcMar>
              <w:top w:w="0" w:type="dxa"/>
              <w:left w:w="108" w:type="dxa"/>
              <w:bottom w:w="0" w:type="dxa"/>
              <w:right w:w="108" w:type="dxa"/>
            </w:tcMar>
          </w:tcPr>
          <w:p w14:paraId="10BB125B" w14:textId="77777777" w:rsidR="00857F7D" w:rsidRPr="00B35A22" w:rsidRDefault="00857F7D" w:rsidP="00B35A22">
            <w:pPr>
              <w:widowControl w:val="0"/>
              <w:jc w:val="both"/>
              <w:rPr>
                <w:sz w:val="20"/>
                <w:lang w:val="sr-Latn-ME"/>
              </w:rPr>
            </w:pPr>
            <w:r w:rsidRPr="00B35A22">
              <w:rPr>
                <w:color w:val="000000"/>
                <w:sz w:val="20"/>
                <w:lang w:val="sr-Latn-ME"/>
              </w:rPr>
              <w:t>89 (27,3%)</w:t>
            </w:r>
          </w:p>
        </w:tc>
        <w:tc>
          <w:tcPr>
            <w:tcW w:w="1656" w:type="pct"/>
            <w:tcBorders>
              <w:top w:val="nil"/>
              <w:left w:val="nil"/>
              <w:bottom w:val="nil"/>
              <w:right w:val="single" w:sz="4" w:space="0" w:color="auto"/>
            </w:tcBorders>
          </w:tcPr>
          <w:p w14:paraId="73BBF0DE" w14:textId="77777777" w:rsidR="00857F7D" w:rsidRPr="00B35A22" w:rsidRDefault="00857F7D" w:rsidP="00B35A22">
            <w:pPr>
              <w:widowControl w:val="0"/>
              <w:jc w:val="both"/>
              <w:rPr>
                <w:rFonts w:eastAsia="SimSun"/>
                <w:sz w:val="20"/>
                <w:lang w:val="sr-Latn-ME"/>
              </w:rPr>
            </w:pPr>
            <w:r w:rsidRPr="00B35A22">
              <w:rPr>
                <w:color w:val="000000"/>
                <w:sz w:val="20"/>
                <w:lang w:val="sr-Latn-ME"/>
              </w:rPr>
              <w:t>19 (11,9%)</w:t>
            </w:r>
          </w:p>
        </w:tc>
      </w:tr>
      <w:tr w:rsidR="00CC0044" w:rsidRPr="00B35A22" w14:paraId="08626972" w14:textId="77777777" w:rsidTr="00770680">
        <w:trPr>
          <w:cantSplit/>
          <w:trHeight w:val="251"/>
        </w:trPr>
        <w:tc>
          <w:tcPr>
            <w:tcW w:w="1999" w:type="pct"/>
            <w:tcBorders>
              <w:top w:val="nil"/>
              <w:left w:val="single" w:sz="4" w:space="0" w:color="auto"/>
              <w:bottom w:val="nil"/>
              <w:right w:val="nil"/>
            </w:tcBorders>
            <w:tcMar>
              <w:top w:w="0" w:type="dxa"/>
              <w:left w:w="108" w:type="dxa"/>
              <w:bottom w:w="0" w:type="dxa"/>
              <w:right w:w="108" w:type="dxa"/>
            </w:tcMar>
          </w:tcPr>
          <w:p w14:paraId="044A299C" w14:textId="77777777" w:rsidR="00857F7D" w:rsidRPr="00B35A22" w:rsidRDefault="00857F7D" w:rsidP="00B35A22">
            <w:pPr>
              <w:widowControl w:val="0"/>
              <w:jc w:val="both"/>
              <w:rPr>
                <w:sz w:val="20"/>
                <w:lang w:val="sr-Latn-ME"/>
              </w:rPr>
            </w:pPr>
            <w:r w:rsidRPr="00B35A22">
              <w:rPr>
                <w:sz w:val="20"/>
                <w:lang w:val="sr-Latn-ME"/>
              </w:rPr>
              <w:t>95% CI</w:t>
            </w:r>
          </w:p>
        </w:tc>
        <w:tc>
          <w:tcPr>
            <w:tcW w:w="1346" w:type="pct"/>
            <w:tcBorders>
              <w:top w:val="nil"/>
              <w:left w:val="nil"/>
              <w:bottom w:val="nil"/>
              <w:right w:val="nil"/>
            </w:tcBorders>
            <w:tcMar>
              <w:top w:w="0" w:type="dxa"/>
              <w:left w:w="108" w:type="dxa"/>
              <w:bottom w:w="0" w:type="dxa"/>
              <w:right w:w="108" w:type="dxa"/>
            </w:tcMar>
          </w:tcPr>
          <w:p w14:paraId="2C2AF27B" w14:textId="77777777" w:rsidR="00857F7D" w:rsidRPr="00B35A22" w:rsidRDefault="00857F7D" w:rsidP="00B35A22">
            <w:pPr>
              <w:widowControl w:val="0"/>
              <w:jc w:val="both"/>
              <w:rPr>
                <w:rFonts w:eastAsia="DengXian"/>
                <w:sz w:val="20"/>
                <w:lang w:val="sr-Latn-ME"/>
              </w:rPr>
            </w:pPr>
            <w:r w:rsidRPr="00B35A22">
              <w:rPr>
                <w:color w:val="000000"/>
                <w:sz w:val="20"/>
                <w:lang w:val="sr-Latn-ME"/>
              </w:rPr>
              <w:t>(22,5; 32,5)</w:t>
            </w:r>
          </w:p>
        </w:tc>
        <w:tc>
          <w:tcPr>
            <w:tcW w:w="1656" w:type="pct"/>
            <w:tcBorders>
              <w:top w:val="nil"/>
              <w:left w:val="nil"/>
              <w:bottom w:val="nil"/>
              <w:right w:val="single" w:sz="4" w:space="0" w:color="auto"/>
            </w:tcBorders>
          </w:tcPr>
          <w:p w14:paraId="06A523FE" w14:textId="77777777" w:rsidR="00857F7D" w:rsidRPr="00B35A22" w:rsidRDefault="00857F7D" w:rsidP="00B35A22">
            <w:pPr>
              <w:widowControl w:val="0"/>
              <w:jc w:val="both"/>
              <w:rPr>
                <w:sz w:val="20"/>
                <w:lang w:val="sr-Latn-ME"/>
              </w:rPr>
            </w:pPr>
            <w:r w:rsidRPr="00B35A22">
              <w:rPr>
                <w:color w:val="000000"/>
                <w:sz w:val="20"/>
                <w:lang w:val="sr-Latn-ME"/>
              </w:rPr>
              <w:t>(7,4; 18,0)</w:t>
            </w:r>
          </w:p>
        </w:tc>
      </w:tr>
      <w:tr w:rsidR="00CC0044" w:rsidRPr="00B35A22" w14:paraId="22634283" w14:textId="77777777" w:rsidTr="00770680">
        <w:trPr>
          <w:cantSplit/>
          <w:trHeight w:val="269"/>
        </w:trPr>
        <w:tc>
          <w:tcPr>
            <w:tcW w:w="1999" w:type="pct"/>
            <w:tcBorders>
              <w:top w:val="nil"/>
              <w:left w:val="single" w:sz="4" w:space="0" w:color="auto"/>
              <w:bottom w:val="nil"/>
              <w:right w:val="nil"/>
            </w:tcBorders>
            <w:tcMar>
              <w:top w:w="0" w:type="dxa"/>
              <w:left w:w="108" w:type="dxa"/>
              <w:bottom w:w="0" w:type="dxa"/>
              <w:right w:w="108" w:type="dxa"/>
            </w:tcMar>
            <w:hideMark/>
          </w:tcPr>
          <w:p w14:paraId="4273E74C" w14:textId="77777777" w:rsidR="00857F7D" w:rsidRPr="00B35A22" w:rsidRDefault="00857F7D" w:rsidP="00B35A22">
            <w:pPr>
              <w:widowControl w:val="0"/>
              <w:jc w:val="both"/>
              <w:rPr>
                <w:sz w:val="20"/>
                <w:lang w:val="sr-Latn-ME"/>
              </w:rPr>
            </w:pPr>
            <w:r w:rsidRPr="00B35A22">
              <w:rPr>
                <w:sz w:val="20"/>
                <w:lang w:val="sr-Latn-ME"/>
              </w:rPr>
              <w:t>p</w:t>
            </w:r>
            <w:r w:rsidRPr="00B35A22">
              <w:rPr>
                <w:sz w:val="20"/>
                <w:lang w:val="sr-Latn-ME"/>
              </w:rPr>
              <w:noBreakHyphen/>
              <w:t>vrijednost</w:t>
            </w:r>
            <w:r w:rsidRPr="00B35A22">
              <w:rPr>
                <w:sz w:val="20"/>
                <w:vertAlign w:val="superscript"/>
                <w:lang w:val="sr-Latn-ME"/>
              </w:rPr>
              <w:t>2</w:t>
            </w:r>
          </w:p>
        </w:tc>
        <w:tc>
          <w:tcPr>
            <w:tcW w:w="3001" w:type="pct"/>
            <w:gridSpan w:val="2"/>
            <w:tcBorders>
              <w:top w:val="nil"/>
              <w:left w:val="nil"/>
              <w:bottom w:val="nil"/>
              <w:right w:val="single" w:sz="4" w:space="0" w:color="auto"/>
            </w:tcBorders>
            <w:tcMar>
              <w:top w:w="0" w:type="dxa"/>
              <w:left w:w="108" w:type="dxa"/>
              <w:bottom w:w="0" w:type="dxa"/>
              <w:right w:w="108" w:type="dxa"/>
            </w:tcMar>
          </w:tcPr>
          <w:p w14:paraId="737D20E1" w14:textId="77777777" w:rsidR="00857F7D" w:rsidRPr="00B35A22" w:rsidRDefault="00857F7D" w:rsidP="00B35A22">
            <w:pPr>
              <w:widowControl w:val="0"/>
              <w:ind w:firstLine="1300"/>
              <w:jc w:val="both"/>
              <w:rPr>
                <w:sz w:val="20"/>
                <w:lang w:val="sr-Latn-ME"/>
              </w:rPr>
            </w:pPr>
            <w:r w:rsidRPr="00B35A22">
              <w:rPr>
                <w:rFonts w:eastAsia="DengXian"/>
                <w:sz w:val="20"/>
                <w:lang w:val="sr-Latn-ME"/>
              </w:rPr>
              <w:t>&lt;0,0001</w:t>
            </w:r>
          </w:p>
        </w:tc>
      </w:tr>
      <w:tr w:rsidR="00CC0044" w:rsidRPr="00B35A22" w14:paraId="560CC61F" w14:textId="77777777" w:rsidTr="00770680">
        <w:trPr>
          <w:cantSplit/>
          <w:trHeight w:val="251"/>
        </w:trPr>
        <w:tc>
          <w:tcPr>
            <w:tcW w:w="1999" w:type="pct"/>
            <w:tcBorders>
              <w:top w:val="nil"/>
              <w:left w:val="single" w:sz="4" w:space="0" w:color="auto"/>
              <w:bottom w:val="nil"/>
              <w:right w:val="nil"/>
            </w:tcBorders>
            <w:tcMar>
              <w:top w:w="0" w:type="dxa"/>
              <w:left w:w="108" w:type="dxa"/>
              <w:bottom w:w="0" w:type="dxa"/>
              <w:right w:w="108" w:type="dxa"/>
            </w:tcMar>
            <w:hideMark/>
          </w:tcPr>
          <w:p w14:paraId="54FB6F49" w14:textId="77777777" w:rsidR="00857F7D" w:rsidRPr="00B35A22" w:rsidRDefault="00857F7D" w:rsidP="00B35A22">
            <w:pPr>
              <w:widowControl w:val="0"/>
              <w:jc w:val="both"/>
              <w:rPr>
                <w:sz w:val="20"/>
                <w:lang w:val="sr-Latn-ME"/>
              </w:rPr>
            </w:pPr>
            <w:r w:rsidRPr="00B35A22">
              <w:rPr>
                <w:sz w:val="20"/>
                <w:lang w:val="sr-Latn-ME"/>
              </w:rPr>
              <w:t>Broj pacijenata sa potpunim odgovorom (%)</w:t>
            </w:r>
          </w:p>
        </w:tc>
        <w:tc>
          <w:tcPr>
            <w:tcW w:w="1346" w:type="pct"/>
            <w:tcBorders>
              <w:top w:val="nil"/>
              <w:left w:val="nil"/>
              <w:bottom w:val="nil"/>
              <w:right w:val="nil"/>
            </w:tcBorders>
            <w:tcMar>
              <w:top w:w="0" w:type="dxa"/>
              <w:left w:w="108" w:type="dxa"/>
              <w:bottom w:w="0" w:type="dxa"/>
              <w:right w:w="108" w:type="dxa"/>
            </w:tcMar>
          </w:tcPr>
          <w:p w14:paraId="4CE9193D" w14:textId="77777777" w:rsidR="00857F7D" w:rsidRPr="00B35A22" w:rsidRDefault="00857F7D" w:rsidP="00B35A22">
            <w:pPr>
              <w:widowControl w:val="0"/>
              <w:jc w:val="both"/>
              <w:rPr>
                <w:rFonts w:eastAsia="DengXian"/>
                <w:sz w:val="20"/>
                <w:lang w:val="sr-Latn-ME"/>
              </w:rPr>
            </w:pPr>
            <w:r w:rsidRPr="00B35A22">
              <w:rPr>
                <w:color w:val="000000"/>
                <w:sz w:val="20"/>
                <w:lang w:val="sr-Latn-ME"/>
              </w:rPr>
              <w:t>18 (5,5%)</w:t>
            </w:r>
          </w:p>
        </w:tc>
        <w:tc>
          <w:tcPr>
            <w:tcW w:w="1656" w:type="pct"/>
            <w:tcBorders>
              <w:top w:val="nil"/>
              <w:left w:val="nil"/>
              <w:bottom w:val="nil"/>
              <w:right w:val="single" w:sz="4" w:space="0" w:color="auto"/>
            </w:tcBorders>
          </w:tcPr>
          <w:p w14:paraId="257A0B35" w14:textId="77777777" w:rsidR="00857F7D" w:rsidRPr="00B35A22" w:rsidRDefault="00857F7D" w:rsidP="00B35A22">
            <w:pPr>
              <w:widowControl w:val="0"/>
              <w:jc w:val="both"/>
              <w:rPr>
                <w:sz w:val="20"/>
                <w:lang w:val="sr-Latn-ME"/>
              </w:rPr>
            </w:pPr>
            <w:r w:rsidRPr="00B35A22">
              <w:rPr>
                <w:sz w:val="20"/>
                <w:lang w:val="sr-Latn-ME"/>
              </w:rPr>
              <w:t>0</w:t>
            </w:r>
          </w:p>
        </w:tc>
      </w:tr>
      <w:tr w:rsidR="00CC0044" w:rsidRPr="00B35A22" w14:paraId="35C85DBC" w14:textId="77777777" w:rsidTr="00770680">
        <w:trPr>
          <w:cantSplit/>
          <w:trHeight w:val="170"/>
        </w:trPr>
        <w:tc>
          <w:tcPr>
            <w:tcW w:w="1999" w:type="pct"/>
            <w:tcBorders>
              <w:top w:val="nil"/>
              <w:left w:val="single" w:sz="4" w:space="0" w:color="auto"/>
              <w:bottom w:val="nil"/>
              <w:right w:val="nil"/>
            </w:tcBorders>
            <w:tcMar>
              <w:top w:w="0" w:type="dxa"/>
              <w:left w:w="108" w:type="dxa"/>
              <w:bottom w:w="0" w:type="dxa"/>
              <w:right w:w="108" w:type="dxa"/>
            </w:tcMar>
            <w:hideMark/>
          </w:tcPr>
          <w:p w14:paraId="4319733F" w14:textId="0C354F51" w:rsidR="00857F7D" w:rsidRPr="00B35A22" w:rsidRDefault="00857F7D" w:rsidP="00B35A22">
            <w:pPr>
              <w:widowControl w:val="0"/>
              <w:jc w:val="both"/>
              <w:rPr>
                <w:sz w:val="20"/>
                <w:lang w:val="sr-Latn-ME"/>
              </w:rPr>
            </w:pPr>
            <w:r w:rsidRPr="00B35A22">
              <w:rPr>
                <w:sz w:val="20"/>
                <w:lang w:val="sr-Latn-ME"/>
              </w:rPr>
              <w:t>Broj pacijenata sa d</w:t>
            </w:r>
            <w:r w:rsidR="00BF7C4B" w:rsidRPr="00B35A22">
              <w:rPr>
                <w:sz w:val="20"/>
                <w:lang w:val="sr-Latn-ME"/>
              </w:rPr>
              <w:t>j</w:t>
            </w:r>
            <w:r w:rsidRPr="00B35A22">
              <w:rPr>
                <w:sz w:val="20"/>
                <w:lang w:val="sr-Latn-ME"/>
              </w:rPr>
              <w:t>elimičnim odgovorom (%)</w:t>
            </w:r>
          </w:p>
        </w:tc>
        <w:tc>
          <w:tcPr>
            <w:tcW w:w="1346" w:type="pct"/>
            <w:tcBorders>
              <w:top w:val="nil"/>
              <w:left w:val="nil"/>
              <w:bottom w:val="nil"/>
              <w:right w:val="nil"/>
            </w:tcBorders>
            <w:tcMar>
              <w:top w:w="0" w:type="dxa"/>
              <w:left w:w="108" w:type="dxa"/>
              <w:bottom w:w="0" w:type="dxa"/>
              <w:right w:w="108" w:type="dxa"/>
            </w:tcMar>
            <w:hideMark/>
          </w:tcPr>
          <w:p w14:paraId="42670583" w14:textId="77777777" w:rsidR="00857F7D" w:rsidRPr="00B35A22" w:rsidRDefault="00857F7D" w:rsidP="00B35A22">
            <w:pPr>
              <w:widowControl w:val="0"/>
              <w:jc w:val="both"/>
              <w:rPr>
                <w:rFonts w:eastAsia="DengXian"/>
                <w:sz w:val="20"/>
                <w:lang w:val="sr-Latn-ME"/>
              </w:rPr>
            </w:pPr>
            <w:r w:rsidRPr="00B35A22">
              <w:rPr>
                <w:color w:val="000000"/>
                <w:sz w:val="20"/>
                <w:lang w:val="sr-Latn-ME"/>
              </w:rPr>
              <w:t>71 (21,8%)</w:t>
            </w:r>
          </w:p>
        </w:tc>
        <w:tc>
          <w:tcPr>
            <w:tcW w:w="1656" w:type="pct"/>
            <w:tcBorders>
              <w:top w:val="nil"/>
              <w:left w:val="nil"/>
              <w:bottom w:val="nil"/>
              <w:right w:val="single" w:sz="4" w:space="0" w:color="auto"/>
            </w:tcBorders>
          </w:tcPr>
          <w:p w14:paraId="054B5354" w14:textId="77777777" w:rsidR="00857F7D" w:rsidRPr="00B35A22" w:rsidRDefault="00857F7D" w:rsidP="00B35A22">
            <w:pPr>
              <w:widowControl w:val="0"/>
              <w:jc w:val="both"/>
              <w:rPr>
                <w:sz w:val="20"/>
                <w:lang w:val="sr-Latn-ME"/>
              </w:rPr>
            </w:pPr>
            <w:r w:rsidRPr="00B35A22">
              <w:rPr>
                <w:color w:val="000000"/>
                <w:sz w:val="20"/>
                <w:lang w:val="sr-Latn-ME"/>
              </w:rPr>
              <w:t>19 (11,9%)</w:t>
            </w:r>
          </w:p>
        </w:tc>
      </w:tr>
      <w:tr w:rsidR="00CC0044" w:rsidRPr="00B35A22" w14:paraId="75B68A3B" w14:textId="77777777" w:rsidTr="00770680">
        <w:trPr>
          <w:cantSplit/>
          <w:trHeight w:val="170"/>
        </w:trPr>
        <w:tc>
          <w:tcPr>
            <w:tcW w:w="1999" w:type="pct"/>
            <w:tcBorders>
              <w:top w:val="nil"/>
              <w:left w:val="single" w:sz="4" w:space="0" w:color="auto"/>
              <w:bottom w:val="single" w:sz="4" w:space="0" w:color="auto"/>
              <w:right w:val="nil"/>
            </w:tcBorders>
            <w:tcMar>
              <w:top w:w="0" w:type="dxa"/>
              <w:left w:w="108" w:type="dxa"/>
              <w:bottom w:w="0" w:type="dxa"/>
              <w:right w:w="108" w:type="dxa"/>
            </w:tcMar>
          </w:tcPr>
          <w:p w14:paraId="62C0D32E" w14:textId="77777777" w:rsidR="00857F7D" w:rsidRPr="00B35A22" w:rsidRDefault="00857F7D" w:rsidP="00B35A22">
            <w:pPr>
              <w:widowControl w:val="0"/>
              <w:jc w:val="both"/>
              <w:rPr>
                <w:color w:val="000000"/>
                <w:sz w:val="20"/>
                <w:lang w:val="sr-Latn-ME"/>
              </w:rPr>
            </w:pPr>
            <w:r w:rsidRPr="00B35A22">
              <w:rPr>
                <w:sz w:val="20"/>
                <w:lang w:val="sr-Latn-ME"/>
              </w:rPr>
              <w:t xml:space="preserve">Broj pacijenata sa stabilnom bolešću </w:t>
            </w:r>
            <w:r w:rsidRPr="00B35A22">
              <w:rPr>
                <w:color w:val="000000"/>
                <w:sz w:val="20"/>
                <w:lang w:val="sr-Latn-ME"/>
              </w:rPr>
              <w:t>(%)</w:t>
            </w:r>
          </w:p>
        </w:tc>
        <w:tc>
          <w:tcPr>
            <w:tcW w:w="1346" w:type="pct"/>
            <w:tcBorders>
              <w:top w:val="nil"/>
              <w:left w:val="nil"/>
              <w:bottom w:val="single" w:sz="4" w:space="0" w:color="auto"/>
              <w:right w:val="nil"/>
            </w:tcBorders>
            <w:tcMar>
              <w:top w:w="0" w:type="dxa"/>
              <w:left w:w="108" w:type="dxa"/>
              <w:bottom w:w="0" w:type="dxa"/>
              <w:right w:w="108" w:type="dxa"/>
            </w:tcMar>
          </w:tcPr>
          <w:p w14:paraId="1A727C68" w14:textId="77777777" w:rsidR="00857F7D" w:rsidRPr="00B35A22" w:rsidRDefault="00857F7D" w:rsidP="00B35A22">
            <w:pPr>
              <w:widowControl w:val="0"/>
              <w:jc w:val="both"/>
              <w:rPr>
                <w:sz w:val="20"/>
                <w:lang w:val="sr-Latn-ME"/>
              </w:rPr>
            </w:pPr>
            <w:r w:rsidRPr="00B35A22">
              <w:rPr>
                <w:color w:val="000000"/>
                <w:sz w:val="20"/>
                <w:lang w:val="sr-Latn-ME"/>
              </w:rPr>
              <w:t>151 (46,3%)</w:t>
            </w:r>
          </w:p>
        </w:tc>
        <w:tc>
          <w:tcPr>
            <w:tcW w:w="1656" w:type="pct"/>
            <w:tcBorders>
              <w:top w:val="nil"/>
              <w:left w:val="nil"/>
              <w:bottom w:val="single" w:sz="4" w:space="0" w:color="auto"/>
              <w:right w:val="single" w:sz="4" w:space="0" w:color="auto"/>
            </w:tcBorders>
          </w:tcPr>
          <w:p w14:paraId="351B5C73" w14:textId="77777777" w:rsidR="00857F7D" w:rsidRPr="00B35A22" w:rsidRDefault="00857F7D" w:rsidP="00B35A22">
            <w:pPr>
              <w:widowControl w:val="0"/>
              <w:jc w:val="both"/>
              <w:rPr>
                <w:rFonts w:eastAsia="DengXian"/>
                <w:sz w:val="20"/>
                <w:lang w:val="sr-Latn-ME"/>
              </w:rPr>
            </w:pPr>
            <w:r w:rsidRPr="00B35A22">
              <w:rPr>
                <w:color w:val="000000"/>
                <w:sz w:val="20"/>
                <w:lang w:val="sr-Latn-ME"/>
              </w:rPr>
              <w:t>69 (43,4%)</w:t>
            </w:r>
          </w:p>
        </w:tc>
      </w:tr>
      <w:tr w:rsidR="00CC0044" w:rsidRPr="00B35A22" w14:paraId="63C4BBE2" w14:textId="77777777" w:rsidTr="00770680">
        <w:trPr>
          <w:cantSplit/>
          <w:trHeight w:val="206"/>
        </w:trPr>
        <w:tc>
          <w:tcPr>
            <w:tcW w:w="1999" w:type="pct"/>
            <w:tcBorders>
              <w:top w:val="single" w:sz="4" w:space="0" w:color="auto"/>
              <w:bottom w:val="nil"/>
              <w:right w:val="nil"/>
            </w:tcBorders>
            <w:tcMar>
              <w:top w:w="0" w:type="dxa"/>
              <w:left w:w="108" w:type="dxa"/>
              <w:bottom w:w="0" w:type="dxa"/>
              <w:right w:w="108" w:type="dxa"/>
            </w:tcMar>
          </w:tcPr>
          <w:p w14:paraId="76E1ED32" w14:textId="5ED740B9" w:rsidR="00857F7D" w:rsidRPr="00B35A22" w:rsidRDefault="00857F7D" w:rsidP="00B35A22">
            <w:pPr>
              <w:widowControl w:val="0"/>
              <w:ind w:right="34"/>
              <w:jc w:val="both"/>
              <w:rPr>
                <w:rFonts w:eastAsia="DengXian"/>
                <w:sz w:val="20"/>
                <w:lang w:val="sr-Latn-ME"/>
              </w:rPr>
            </w:pPr>
            <w:r w:rsidRPr="00B35A22">
              <w:rPr>
                <w:b/>
                <w:sz w:val="20"/>
                <w:lang w:val="sr-Latn-ME"/>
              </w:rPr>
              <w:t>Trajanje odgovora prema proc</w:t>
            </w:r>
            <w:r w:rsidR="00BF7C4B" w:rsidRPr="00B35A22">
              <w:rPr>
                <w:b/>
                <w:sz w:val="20"/>
                <w:lang w:val="sr-Latn-ME"/>
              </w:rPr>
              <w:t>j</w:t>
            </w:r>
            <w:r w:rsidRPr="00B35A22">
              <w:rPr>
                <w:b/>
                <w:sz w:val="20"/>
                <w:lang w:val="sr-Latn-ME"/>
              </w:rPr>
              <w:t>eni nezavisnog oc</w:t>
            </w:r>
            <w:r w:rsidR="00BF7C4B" w:rsidRPr="00B35A22">
              <w:rPr>
                <w:b/>
                <w:sz w:val="20"/>
                <w:lang w:val="sr-Latn-ME"/>
              </w:rPr>
              <w:t>j</w:t>
            </w:r>
            <w:r w:rsidRPr="00B35A22">
              <w:rPr>
                <w:b/>
                <w:sz w:val="20"/>
                <w:lang w:val="sr-Latn-ME"/>
              </w:rPr>
              <w:t>enjivačkog t</w:t>
            </w:r>
            <w:r w:rsidR="00BF7C4B" w:rsidRPr="00B35A22">
              <w:rPr>
                <w:b/>
                <w:sz w:val="20"/>
                <w:lang w:val="sr-Latn-ME"/>
              </w:rPr>
              <w:t>ij</w:t>
            </w:r>
            <w:r w:rsidRPr="00B35A22">
              <w:rPr>
                <w:b/>
                <w:sz w:val="20"/>
                <w:lang w:val="sr-Latn-ME"/>
              </w:rPr>
              <w:t>ela (RECIST, verzija 1.1)</w:t>
            </w:r>
          </w:p>
        </w:tc>
        <w:tc>
          <w:tcPr>
            <w:tcW w:w="1346" w:type="pct"/>
            <w:tcBorders>
              <w:top w:val="single" w:sz="4" w:space="0" w:color="auto"/>
              <w:left w:val="nil"/>
              <w:bottom w:val="nil"/>
              <w:right w:val="nil"/>
            </w:tcBorders>
          </w:tcPr>
          <w:p w14:paraId="5455896E" w14:textId="77777777" w:rsidR="00857F7D" w:rsidRPr="00B35A22" w:rsidRDefault="00857F7D" w:rsidP="00B35A22">
            <w:pPr>
              <w:widowControl w:val="0"/>
              <w:ind w:left="144"/>
              <w:jc w:val="both"/>
              <w:rPr>
                <w:rFonts w:eastAsia="DengXian"/>
                <w:sz w:val="20"/>
                <w:lang w:val="sr-Latn-ME"/>
              </w:rPr>
            </w:pPr>
            <w:r w:rsidRPr="00B35A22">
              <w:rPr>
                <w:color w:val="000000"/>
                <w:sz w:val="20"/>
                <w:lang w:val="sr-Latn-ME"/>
              </w:rPr>
              <w:t>n=89</w:t>
            </w:r>
          </w:p>
        </w:tc>
        <w:tc>
          <w:tcPr>
            <w:tcW w:w="1656" w:type="pct"/>
            <w:tcBorders>
              <w:top w:val="single" w:sz="4" w:space="0" w:color="auto"/>
              <w:left w:val="nil"/>
              <w:bottom w:val="nil"/>
            </w:tcBorders>
          </w:tcPr>
          <w:p w14:paraId="70861AF2" w14:textId="77777777" w:rsidR="00857F7D" w:rsidRPr="00B35A22" w:rsidRDefault="00857F7D" w:rsidP="00B35A22">
            <w:pPr>
              <w:widowControl w:val="0"/>
              <w:jc w:val="both"/>
              <w:rPr>
                <w:rFonts w:eastAsia="DengXian"/>
                <w:sz w:val="20"/>
                <w:lang w:val="sr-Latn-ME"/>
              </w:rPr>
            </w:pPr>
            <w:r w:rsidRPr="00B35A22">
              <w:rPr>
                <w:color w:val="000000"/>
                <w:sz w:val="20"/>
                <w:lang w:val="sr-Latn-ME"/>
              </w:rPr>
              <w:t>n=19</w:t>
            </w:r>
          </w:p>
        </w:tc>
      </w:tr>
      <w:tr w:rsidR="00CC0044" w:rsidRPr="00B35A22" w14:paraId="5A53D69A" w14:textId="77777777" w:rsidTr="00770680">
        <w:trPr>
          <w:cantSplit/>
          <w:trHeight w:val="258"/>
        </w:trPr>
        <w:tc>
          <w:tcPr>
            <w:tcW w:w="1999" w:type="pct"/>
            <w:tcBorders>
              <w:top w:val="nil"/>
              <w:left w:val="single" w:sz="4" w:space="0" w:color="auto"/>
              <w:bottom w:val="nil"/>
              <w:right w:val="nil"/>
            </w:tcBorders>
            <w:tcMar>
              <w:top w:w="0" w:type="dxa"/>
              <w:left w:w="108" w:type="dxa"/>
              <w:bottom w:w="0" w:type="dxa"/>
              <w:right w:w="108" w:type="dxa"/>
            </w:tcMar>
            <w:hideMark/>
          </w:tcPr>
          <w:p w14:paraId="0D68C49E" w14:textId="77777777" w:rsidR="00857F7D" w:rsidRPr="00B35A22" w:rsidRDefault="00857F7D" w:rsidP="00B35A22">
            <w:pPr>
              <w:widowControl w:val="0"/>
              <w:jc w:val="both"/>
              <w:rPr>
                <w:sz w:val="20"/>
                <w:lang w:val="sr-Latn-ME"/>
              </w:rPr>
            </w:pPr>
            <w:r w:rsidRPr="00B35A22">
              <w:rPr>
                <w:sz w:val="20"/>
                <w:lang w:val="sr-Latn-ME"/>
              </w:rPr>
              <w:t>Medijana u mjesecima</w:t>
            </w:r>
          </w:p>
        </w:tc>
        <w:tc>
          <w:tcPr>
            <w:tcW w:w="1346" w:type="pct"/>
            <w:tcBorders>
              <w:top w:val="nil"/>
              <w:left w:val="nil"/>
              <w:bottom w:val="nil"/>
              <w:right w:val="nil"/>
            </w:tcBorders>
          </w:tcPr>
          <w:p w14:paraId="074B8A03" w14:textId="77777777" w:rsidR="00857F7D" w:rsidRPr="00B35A22" w:rsidRDefault="00857F7D" w:rsidP="00B35A22">
            <w:pPr>
              <w:widowControl w:val="0"/>
              <w:ind w:left="144"/>
              <w:jc w:val="both"/>
              <w:rPr>
                <w:sz w:val="20"/>
                <w:lang w:val="sr-Latn-ME"/>
              </w:rPr>
            </w:pPr>
            <w:r w:rsidRPr="00B35A22">
              <w:rPr>
                <w:color w:val="000000"/>
                <w:sz w:val="20"/>
                <w:lang w:val="sr-Latn-ME"/>
              </w:rPr>
              <w:t>NP</w:t>
            </w:r>
          </w:p>
        </w:tc>
        <w:tc>
          <w:tcPr>
            <w:tcW w:w="1656" w:type="pct"/>
            <w:tcBorders>
              <w:top w:val="nil"/>
              <w:left w:val="nil"/>
              <w:bottom w:val="nil"/>
              <w:right w:val="single" w:sz="4" w:space="0" w:color="auto"/>
            </w:tcBorders>
          </w:tcPr>
          <w:p w14:paraId="77FA59CC" w14:textId="77777777" w:rsidR="00857F7D" w:rsidRPr="00B35A22" w:rsidRDefault="00857F7D" w:rsidP="00B35A22">
            <w:pPr>
              <w:widowControl w:val="0"/>
              <w:jc w:val="both"/>
              <w:rPr>
                <w:sz w:val="20"/>
                <w:lang w:val="sr-Latn-ME"/>
              </w:rPr>
            </w:pPr>
            <w:r w:rsidRPr="00B35A22">
              <w:rPr>
                <w:color w:val="000000"/>
                <w:sz w:val="20"/>
                <w:lang w:val="sr-Latn-ME"/>
              </w:rPr>
              <w:t>6,3</w:t>
            </w:r>
          </w:p>
        </w:tc>
      </w:tr>
      <w:tr w:rsidR="00CC0044" w:rsidRPr="00B35A22" w14:paraId="6CC9BBB9" w14:textId="77777777" w:rsidTr="00770680">
        <w:trPr>
          <w:cantSplit/>
          <w:trHeight w:val="252"/>
        </w:trPr>
        <w:tc>
          <w:tcPr>
            <w:tcW w:w="1999" w:type="pct"/>
            <w:tcBorders>
              <w:top w:val="nil"/>
              <w:left w:val="single" w:sz="4" w:space="0" w:color="auto"/>
              <w:bottom w:val="nil"/>
              <w:right w:val="nil"/>
            </w:tcBorders>
            <w:tcMar>
              <w:top w:w="0" w:type="dxa"/>
              <w:left w:w="108" w:type="dxa"/>
              <w:bottom w:w="0" w:type="dxa"/>
              <w:right w:w="108" w:type="dxa"/>
            </w:tcMar>
            <w:hideMark/>
          </w:tcPr>
          <w:p w14:paraId="5D5CB693" w14:textId="77777777" w:rsidR="00857F7D" w:rsidRPr="00B35A22" w:rsidRDefault="00857F7D" w:rsidP="00B35A22">
            <w:pPr>
              <w:widowControl w:val="0"/>
              <w:jc w:val="both"/>
              <w:rPr>
                <w:sz w:val="20"/>
                <w:lang w:val="sr-Latn-ME"/>
              </w:rPr>
            </w:pPr>
            <w:r w:rsidRPr="00B35A22">
              <w:rPr>
                <w:color w:val="000000"/>
                <w:sz w:val="20"/>
                <w:lang w:val="sr-Latn-ME"/>
              </w:rPr>
              <w:t>95% CI</w:t>
            </w:r>
          </w:p>
        </w:tc>
        <w:tc>
          <w:tcPr>
            <w:tcW w:w="1346" w:type="pct"/>
            <w:tcBorders>
              <w:top w:val="nil"/>
              <w:left w:val="nil"/>
              <w:bottom w:val="nil"/>
              <w:right w:val="nil"/>
            </w:tcBorders>
            <w:tcMar>
              <w:top w:w="0" w:type="dxa"/>
              <w:left w:w="108" w:type="dxa"/>
              <w:bottom w:w="0" w:type="dxa"/>
              <w:right w:w="108" w:type="dxa"/>
            </w:tcMar>
            <w:hideMark/>
          </w:tcPr>
          <w:p w14:paraId="48D4FD11" w14:textId="77777777" w:rsidR="00857F7D" w:rsidRPr="00B35A22" w:rsidRDefault="00857F7D" w:rsidP="00B35A22">
            <w:pPr>
              <w:widowControl w:val="0"/>
              <w:jc w:val="both"/>
              <w:rPr>
                <w:sz w:val="20"/>
                <w:lang w:val="sr-Latn-ME"/>
              </w:rPr>
            </w:pPr>
            <w:r w:rsidRPr="00B35A22">
              <w:rPr>
                <w:color w:val="000000"/>
                <w:sz w:val="20"/>
                <w:lang w:val="sr-Latn-ME"/>
              </w:rPr>
              <w:t>(NP; NP)</w:t>
            </w:r>
          </w:p>
        </w:tc>
        <w:tc>
          <w:tcPr>
            <w:tcW w:w="1656" w:type="pct"/>
            <w:tcBorders>
              <w:top w:val="nil"/>
              <w:left w:val="nil"/>
              <w:bottom w:val="nil"/>
              <w:right w:val="single" w:sz="4" w:space="0" w:color="auto"/>
            </w:tcBorders>
          </w:tcPr>
          <w:p w14:paraId="2DFD62F2" w14:textId="77777777" w:rsidR="00857F7D" w:rsidRPr="00B35A22" w:rsidRDefault="00857F7D" w:rsidP="00B35A22">
            <w:pPr>
              <w:widowControl w:val="0"/>
              <w:jc w:val="both"/>
              <w:rPr>
                <w:sz w:val="20"/>
                <w:lang w:val="sr-Latn-ME"/>
              </w:rPr>
            </w:pPr>
            <w:r w:rsidRPr="00B35A22">
              <w:rPr>
                <w:color w:val="000000"/>
                <w:sz w:val="20"/>
                <w:lang w:val="sr-Latn-ME"/>
              </w:rPr>
              <w:t>(4,7; NP)</w:t>
            </w:r>
          </w:p>
        </w:tc>
      </w:tr>
      <w:tr w:rsidR="00CC0044" w:rsidRPr="00B35A22" w14:paraId="5824FAB6" w14:textId="77777777" w:rsidTr="00770680">
        <w:trPr>
          <w:cantSplit/>
          <w:trHeight w:val="251"/>
        </w:trPr>
        <w:tc>
          <w:tcPr>
            <w:tcW w:w="1999" w:type="pct"/>
            <w:tcBorders>
              <w:top w:val="nil"/>
              <w:left w:val="single" w:sz="4" w:space="0" w:color="auto"/>
              <w:bottom w:val="single" w:sz="4" w:space="0" w:color="auto"/>
              <w:right w:val="nil"/>
            </w:tcBorders>
            <w:tcMar>
              <w:top w:w="0" w:type="dxa"/>
              <w:left w:w="108" w:type="dxa"/>
              <w:bottom w:w="0" w:type="dxa"/>
              <w:right w:w="108" w:type="dxa"/>
            </w:tcMar>
          </w:tcPr>
          <w:p w14:paraId="123391EF" w14:textId="77777777" w:rsidR="00857F7D" w:rsidRPr="00B35A22" w:rsidRDefault="00857F7D" w:rsidP="00B35A22">
            <w:pPr>
              <w:widowControl w:val="0"/>
              <w:jc w:val="both"/>
              <w:rPr>
                <w:sz w:val="20"/>
                <w:lang w:val="sr-Latn-ME"/>
              </w:rPr>
            </w:pPr>
            <w:r w:rsidRPr="00B35A22">
              <w:rPr>
                <w:sz w:val="20"/>
                <w:lang w:val="sr-Latn-ME"/>
              </w:rPr>
              <w:t>Raspon (mjeseci)</w:t>
            </w:r>
          </w:p>
        </w:tc>
        <w:tc>
          <w:tcPr>
            <w:tcW w:w="1346" w:type="pct"/>
            <w:tcBorders>
              <w:top w:val="nil"/>
              <w:left w:val="nil"/>
              <w:bottom w:val="single" w:sz="4" w:space="0" w:color="auto"/>
              <w:right w:val="nil"/>
            </w:tcBorders>
            <w:tcMar>
              <w:top w:w="0" w:type="dxa"/>
              <w:left w:w="108" w:type="dxa"/>
              <w:bottom w:w="0" w:type="dxa"/>
              <w:right w:w="108" w:type="dxa"/>
            </w:tcMar>
          </w:tcPr>
          <w:p w14:paraId="5F723CB0"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(1,3+; 13,4+)</w:t>
            </w:r>
          </w:p>
        </w:tc>
        <w:tc>
          <w:tcPr>
            <w:tcW w:w="1656" w:type="pct"/>
            <w:tcBorders>
              <w:top w:val="nil"/>
              <w:left w:val="nil"/>
              <w:bottom w:val="single" w:sz="4" w:space="0" w:color="auto"/>
              <w:right w:val="single" w:sz="4" w:space="0" w:color="auto"/>
            </w:tcBorders>
          </w:tcPr>
          <w:p w14:paraId="3C8F14FD"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(1,4+; 9,1+)</w:t>
            </w:r>
          </w:p>
        </w:tc>
      </w:tr>
      <w:tr w:rsidR="00CC0044" w:rsidRPr="00B35A22" w14:paraId="535B8064" w14:textId="77777777" w:rsidTr="00770680">
        <w:trPr>
          <w:cantSplit/>
          <w:trHeight w:val="284"/>
        </w:trPr>
        <w:tc>
          <w:tcPr>
            <w:tcW w:w="1999" w:type="pct"/>
            <w:tcBorders>
              <w:top w:val="single" w:sz="4" w:space="0" w:color="auto"/>
              <w:bottom w:val="nil"/>
              <w:right w:val="nil"/>
            </w:tcBorders>
            <w:tcMar>
              <w:top w:w="0" w:type="dxa"/>
              <w:left w:w="108" w:type="dxa"/>
              <w:bottom w:w="0" w:type="dxa"/>
              <w:right w:w="108" w:type="dxa"/>
            </w:tcMar>
          </w:tcPr>
          <w:p w14:paraId="1DB2F8ED" w14:textId="77777777" w:rsidR="00857F7D" w:rsidRPr="00B35A22" w:rsidRDefault="00857F7D" w:rsidP="00B35A22">
            <w:pPr>
              <w:widowControl w:val="0"/>
              <w:jc w:val="both"/>
              <w:rPr>
                <w:sz w:val="20"/>
                <w:lang w:val="sr-Latn-ME"/>
              </w:rPr>
            </w:pPr>
            <w:r w:rsidRPr="00B35A22">
              <w:rPr>
                <w:b/>
                <w:sz w:val="20"/>
                <w:lang w:val="sr-Latn-ME"/>
              </w:rPr>
              <w:t>ORR prema procjeni nezavisnog ocjenjivačkog tijela (mRECIST za HCC)</w:t>
            </w:r>
          </w:p>
        </w:tc>
        <w:tc>
          <w:tcPr>
            <w:tcW w:w="1346" w:type="pct"/>
            <w:tcBorders>
              <w:top w:val="single" w:sz="4" w:space="0" w:color="auto"/>
              <w:left w:val="nil"/>
              <w:bottom w:val="nil"/>
              <w:right w:val="nil"/>
            </w:tcBorders>
          </w:tcPr>
          <w:p w14:paraId="760469A5" w14:textId="77777777" w:rsidR="00857F7D" w:rsidRPr="00B35A22" w:rsidRDefault="00857F7D" w:rsidP="00B35A22">
            <w:pPr>
              <w:widowControl w:val="0"/>
              <w:ind w:left="144"/>
              <w:jc w:val="both"/>
              <w:rPr>
                <w:sz w:val="20"/>
                <w:lang w:val="sr-Latn-ME"/>
              </w:rPr>
            </w:pPr>
            <w:r w:rsidRPr="00B35A22">
              <w:rPr>
                <w:color w:val="000000"/>
                <w:sz w:val="20"/>
                <w:lang w:val="sr-Latn-ME"/>
              </w:rPr>
              <w:t>n=325</w:t>
            </w:r>
          </w:p>
        </w:tc>
        <w:tc>
          <w:tcPr>
            <w:tcW w:w="1656" w:type="pct"/>
            <w:tcBorders>
              <w:top w:val="single" w:sz="4" w:space="0" w:color="auto"/>
              <w:left w:val="nil"/>
              <w:bottom w:val="nil"/>
            </w:tcBorders>
          </w:tcPr>
          <w:p w14:paraId="2255DF12" w14:textId="77777777" w:rsidR="00857F7D" w:rsidRPr="00B35A22" w:rsidRDefault="00857F7D" w:rsidP="00B35A22">
            <w:pPr>
              <w:widowControl w:val="0"/>
              <w:jc w:val="both"/>
              <w:rPr>
                <w:sz w:val="20"/>
                <w:lang w:val="sr-Latn-ME"/>
              </w:rPr>
            </w:pPr>
            <w:r w:rsidRPr="00B35A22">
              <w:rPr>
                <w:color w:val="000000"/>
                <w:sz w:val="20"/>
                <w:lang w:val="sr-Latn-ME"/>
              </w:rPr>
              <w:t>n=158</w:t>
            </w:r>
          </w:p>
        </w:tc>
      </w:tr>
      <w:tr w:rsidR="00CC0044" w:rsidRPr="00B35A22" w14:paraId="0BBF01F7" w14:textId="77777777" w:rsidTr="00770680">
        <w:trPr>
          <w:cantSplit/>
          <w:trHeight w:val="169"/>
        </w:trPr>
        <w:tc>
          <w:tcPr>
            <w:tcW w:w="1999" w:type="pct"/>
            <w:tcBorders>
              <w:top w:val="nil"/>
              <w:left w:val="single" w:sz="4" w:space="0" w:color="auto"/>
              <w:bottom w:val="nil"/>
              <w:right w:val="nil"/>
            </w:tcBorders>
            <w:tcMar>
              <w:top w:w="0" w:type="dxa"/>
              <w:left w:w="108" w:type="dxa"/>
              <w:bottom w:w="0" w:type="dxa"/>
              <w:right w:w="108" w:type="dxa"/>
            </w:tcMar>
          </w:tcPr>
          <w:p w14:paraId="785967C6" w14:textId="77777777" w:rsidR="00857F7D" w:rsidRPr="00B35A22" w:rsidRDefault="00857F7D" w:rsidP="00B35A22">
            <w:pPr>
              <w:widowControl w:val="0"/>
              <w:jc w:val="both"/>
              <w:rPr>
                <w:sz w:val="20"/>
                <w:lang w:val="sr-Latn-ME"/>
              </w:rPr>
            </w:pPr>
            <w:r w:rsidRPr="00B35A22">
              <w:rPr>
                <w:sz w:val="20"/>
                <w:lang w:val="sr-Latn-ME"/>
              </w:rPr>
              <w:t>Broj pacijenata sa potvrđenim odgovorom (%)</w:t>
            </w:r>
          </w:p>
        </w:tc>
        <w:tc>
          <w:tcPr>
            <w:tcW w:w="1346" w:type="pct"/>
            <w:tcBorders>
              <w:top w:val="nil"/>
              <w:left w:val="nil"/>
              <w:bottom w:val="nil"/>
              <w:right w:val="nil"/>
            </w:tcBorders>
            <w:tcMar>
              <w:top w:w="0" w:type="dxa"/>
              <w:left w:w="108" w:type="dxa"/>
              <w:bottom w:w="0" w:type="dxa"/>
              <w:right w:w="108" w:type="dxa"/>
            </w:tcMar>
          </w:tcPr>
          <w:p w14:paraId="18EF02E7" w14:textId="77777777" w:rsidR="00857F7D" w:rsidRPr="00B35A22" w:rsidRDefault="00857F7D" w:rsidP="00B35A22">
            <w:pPr>
              <w:widowControl w:val="0"/>
              <w:jc w:val="both"/>
              <w:rPr>
                <w:sz w:val="20"/>
                <w:lang w:val="sr-Latn-ME"/>
              </w:rPr>
            </w:pPr>
            <w:r w:rsidRPr="00B35A22">
              <w:rPr>
                <w:color w:val="000000"/>
                <w:sz w:val="20"/>
                <w:lang w:val="sr-Latn-ME"/>
              </w:rPr>
              <w:t>108 (33,2%)</w:t>
            </w:r>
          </w:p>
        </w:tc>
        <w:tc>
          <w:tcPr>
            <w:tcW w:w="1656" w:type="pct"/>
            <w:tcBorders>
              <w:top w:val="nil"/>
              <w:left w:val="nil"/>
              <w:bottom w:val="nil"/>
              <w:right w:val="single" w:sz="4" w:space="0" w:color="auto"/>
            </w:tcBorders>
          </w:tcPr>
          <w:p w14:paraId="244F2805" w14:textId="77777777" w:rsidR="00857F7D" w:rsidRPr="00B35A22" w:rsidRDefault="00857F7D" w:rsidP="00B35A22">
            <w:pPr>
              <w:widowControl w:val="0"/>
              <w:jc w:val="both"/>
              <w:rPr>
                <w:rFonts w:eastAsia="SimSun"/>
                <w:sz w:val="20"/>
                <w:lang w:val="sr-Latn-ME"/>
              </w:rPr>
            </w:pPr>
            <w:r w:rsidRPr="00B35A22">
              <w:rPr>
                <w:color w:val="000000"/>
                <w:sz w:val="20"/>
                <w:lang w:val="sr-Latn-ME"/>
              </w:rPr>
              <w:t>21 (13,3%)</w:t>
            </w:r>
          </w:p>
        </w:tc>
      </w:tr>
      <w:tr w:rsidR="00CC0044" w:rsidRPr="00B35A22" w14:paraId="732583C4" w14:textId="77777777" w:rsidTr="00770680">
        <w:trPr>
          <w:cantSplit/>
          <w:trHeight w:val="277"/>
        </w:trPr>
        <w:tc>
          <w:tcPr>
            <w:tcW w:w="1999" w:type="pct"/>
            <w:tcBorders>
              <w:top w:val="nil"/>
              <w:bottom w:val="nil"/>
              <w:right w:val="nil"/>
            </w:tcBorders>
            <w:tcMar>
              <w:top w:w="0" w:type="dxa"/>
              <w:left w:w="108" w:type="dxa"/>
              <w:bottom w:w="0" w:type="dxa"/>
              <w:right w:w="108" w:type="dxa"/>
            </w:tcMar>
          </w:tcPr>
          <w:p w14:paraId="39BB1269" w14:textId="77777777" w:rsidR="00857F7D" w:rsidRPr="00B35A22" w:rsidRDefault="00857F7D" w:rsidP="00B35A22">
            <w:pPr>
              <w:widowControl w:val="0"/>
              <w:jc w:val="both"/>
              <w:rPr>
                <w:sz w:val="20"/>
                <w:lang w:val="sr-Latn-ME"/>
              </w:rPr>
            </w:pPr>
            <w:r w:rsidRPr="00B35A22">
              <w:rPr>
                <w:sz w:val="20"/>
                <w:lang w:val="sr-Latn-ME"/>
              </w:rPr>
              <w:t>95% CI</w:t>
            </w:r>
          </w:p>
        </w:tc>
        <w:tc>
          <w:tcPr>
            <w:tcW w:w="1346" w:type="pct"/>
            <w:tcBorders>
              <w:top w:val="nil"/>
              <w:left w:val="nil"/>
              <w:bottom w:val="nil"/>
              <w:right w:val="nil"/>
            </w:tcBorders>
            <w:tcMar>
              <w:top w:w="0" w:type="dxa"/>
              <w:left w:w="108" w:type="dxa"/>
              <w:bottom w:w="0" w:type="dxa"/>
              <w:right w:w="108" w:type="dxa"/>
            </w:tcMar>
          </w:tcPr>
          <w:p w14:paraId="58BE0A07" w14:textId="77777777" w:rsidR="00857F7D" w:rsidRPr="00B35A22" w:rsidRDefault="00857F7D" w:rsidP="00B35A22">
            <w:pPr>
              <w:widowControl w:val="0"/>
              <w:jc w:val="both"/>
              <w:rPr>
                <w:sz w:val="20"/>
                <w:lang w:val="sr-Latn-ME"/>
              </w:rPr>
            </w:pPr>
            <w:r w:rsidRPr="00B35A22">
              <w:rPr>
                <w:color w:val="000000"/>
                <w:sz w:val="20"/>
                <w:lang w:val="sr-Latn-ME"/>
              </w:rPr>
              <w:t>(28,1; 38,6)</w:t>
            </w:r>
          </w:p>
        </w:tc>
        <w:tc>
          <w:tcPr>
            <w:tcW w:w="1656" w:type="pct"/>
            <w:tcBorders>
              <w:top w:val="nil"/>
              <w:left w:val="nil"/>
              <w:bottom w:val="nil"/>
            </w:tcBorders>
          </w:tcPr>
          <w:p w14:paraId="0D939E1D" w14:textId="77777777" w:rsidR="00857F7D" w:rsidRPr="00B35A22" w:rsidRDefault="00857F7D" w:rsidP="00B35A22">
            <w:pPr>
              <w:widowControl w:val="0"/>
              <w:jc w:val="both"/>
              <w:rPr>
                <w:sz w:val="20"/>
                <w:lang w:val="sr-Latn-ME"/>
              </w:rPr>
            </w:pPr>
            <w:r w:rsidRPr="00B35A22">
              <w:rPr>
                <w:color w:val="000000"/>
                <w:sz w:val="20"/>
                <w:lang w:val="sr-Latn-ME"/>
              </w:rPr>
              <w:t>(8,4; 19,6)</w:t>
            </w:r>
          </w:p>
        </w:tc>
      </w:tr>
      <w:tr w:rsidR="00CC0044" w:rsidRPr="00B35A22" w14:paraId="011CED97" w14:textId="77777777" w:rsidTr="00770680">
        <w:trPr>
          <w:cantSplit/>
          <w:trHeight w:val="206"/>
        </w:trPr>
        <w:tc>
          <w:tcPr>
            <w:tcW w:w="1999" w:type="pct"/>
            <w:tcBorders>
              <w:top w:val="nil"/>
              <w:bottom w:val="nil"/>
              <w:right w:val="nil"/>
            </w:tcBorders>
            <w:tcMar>
              <w:top w:w="0" w:type="dxa"/>
              <w:left w:w="108" w:type="dxa"/>
              <w:bottom w:w="0" w:type="dxa"/>
              <w:right w:w="108" w:type="dxa"/>
            </w:tcMar>
            <w:hideMark/>
          </w:tcPr>
          <w:p w14:paraId="013CF01E" w14:textId="77777777" w:rsidR="00857F7D" w:rsidRPr="00B35A22" w:rsidRDefault="00857F7D" w:rsidP="00B35A22">
            <w:pPr>
              <w:widowControl w:val="0"/>
              <w:jc w:val="both"/>
              <w:rPr>
                <w:sz w:val="20"/>
                <w:lang w:val="sr-Latn-ME"/>
              </w:rPr>
            </w:pPr>
            <w:r w:rsidRPr="00B35A22">
              <w:rPr>
                <w:sz w:val="20"/>
                <w:lang w:val="sr-Latn-ME"/>
              </w:rPr>
              <w:t>p</w:t>
            </w:r>
            <w:r w:rsidRPr="00B35A22">
              <w:rPr>
                <w:sz w:val="20"/>
                <w:lang w:val="sr-Latn-ME"/>
              </w:rPr>
              <w:noBreakHyphen/>
              <w:t>vrijednost</w:t>
            </w:r>
            <w:r w:rsidRPr="00B35A22">
              <w:rPr>
                <w:sz w:val="20"/>
                <w:vertAlign w:val="superscript"/>
                <w:lang w:val="sr-Latn-ME"/>
              </w:rPr>
              <w:t>2</w:t>
            </w:r>
          </w:p>
        </w:tc>
        <w:tc>
          <w:tcPr>
            <w:tcW w:w="3001" w:type="pct"/>
            <w:gridSpan w:val="2"/>
            <w:tcBorders>
              <w:top w:val="nil"/>
              <w:left w:val="nil"/>
              <w:bottom w:val="nil"/>
            </w:tcBorders>
            <w:tcMar>
              <w:top w:w="0" w:type="dxa"/>
              <w:left w:w="108" w:type="dxa"/>
              <w:bottom w:w="0" w:type="dxa"/>
              <w:right w:w="108" w:type="dxa"/>
            </w:tcMar>
          </w:tcPr>
          <w:p w14:paraId="19D45065" w14:textId="77777777" w:rsidR="00857F7D" w:rsidRPr="00B35A22" w:rsidRDefault="00857F7D" w:rsidP="00B35A22">
            <w:pPr>
              <w:widowControl w:val="0"/>
              <w:ind w:left="1017" w:firstLine="283"/>
              <w:jc w:val="both"/>
              <w:rPr>
                <w:rFonts w:eastAsia="DengXian"/>
                <w:sz w:val="20"/>
                <w:lang w:val="sr-Latn-ME"/>
              </w:rPr>
            </w:pPr>
            <w:r w:rsidRPr="00B35A22">
              <w:rPr>
                <w:color w:val="000000"/>
                <w:sz w:val="20"/>
                <w:lang w:val="sr-Latn-ME"/>
              </w:rPr>
              <w:t>&lt;0,0001</w:t>
            </w:r>
          </w:p>
        </w:tc>
      </w:tr>
      <w:tr w:rsidR="00CC0044" w:rsidRPr="00B35A22" w14:paraId="5896219B" w14:textId="77777777" w:rsidTr="00770680">
        <w:trPr>
          <w:cantSplit/>
          <w:trHeight w:val="268"/>
        </w:trPr>
        <w:tc>
          <w:tcPr>
            <w:tcW w:w="1999" w:type="pct"/>
            <w:tcBorders>
              <w:top w:val="nil"/>
              <w:bottom w:val="nil"/>
              <w:right w:val="nil"/>
            </w:tcBorders>
            <w:tcMar>
              <w:top w:w="0" w:type="dxa"/>
              <w:left w:w="108" w:type="dxa"/>
              <w:bottom w:w="0" w:type="dxa"/>
              <w:right w:w="108" w:type="dxa"/>
            </w:tcMar>
            <w:hideMark/>
          </w:tcPr>
          <w:p w14:paraId="4DD36FFE" w14:textId="77777777" w:rsidR="00857F7D" w:rsidRPr="00B35A22" w:rsidRDefault="00857F7D" w:rsidP="00B35A22">
            <w:pPr>
              <w:widowControl w:val="0"/>
              <w:jc w:val="both"/>
              <w:rPr>
                <w:sz w:val="20"/>
                <w:lang w:val="sr-Latn-ME"/>
              </w:rPr>
            </w:pPr>
            <w:r w:rsidRPr="00B35A22">
              <w:rPr>
                <w:sz w:val="20"/>
                <w:lang w:val="sr-Latn-ME"/>
              </w:rPr>
              <w:t>Broj pacijenata sa potpunim odgovorom (%)</w:t>
            </w:r>
          </w:p>
        </w:tc>
        <w:tc>
          <w:tcPr>
            <w:tcW w:w="1346" w:type="pct"/>
            <w:tcBorders>
              <w:top w:val="nil"/>
              <w:left w:val="nil"/>
              <w:bottom w:val="nil"/>
              <w:right w:val="nil"/>
            </w:tcBorders>
            <w:tcMar>
              <w:top w:w="0" w:type="dxa"/>
              <w:left w:w="108" w:type="dxa"/>
              <w:bottom w:w="0" w:type="dxa"/>
              <w:right w:w="108" w:type="dxa"/>
            </w:tcMar>
          </w:tcPr>
          <w:p w14:paraId="437C32F6" w14:textId="77777777" w:rsidR="00857F7D" w:rsidRPr="00B35A22" w:rsidRDefault="00857F7D" w:rsidP="00B35A22">
            <w:pPr>
              <w:widowControl w:val="0"/>
              <w:jc w:val="both"/>
              <w:rPr>
                <w:rFonts w:eastAsia="DengXian"/>
                <w:sz w:val="20"/>
                <w:lang w:val="sr-Latn-ME"/>
              </w:rPr>
            </w:pPr>
            <w:r w:rsidRPr="00B35A22">
              <w:rPr>
                <w:color w:val="000000"/>
                <w:sz w:val="20"/>
                <w:lang w:val="sr-Latn-ME"/>
              </w:rPr>
              <w:t>33 (10,2%)</w:t>
            </w:r>
          </w:p>
        </w:tc>
        <w:tc>
          <w:tcPr>
            <w:tcW w:w="1656" w:type="pct"/>
            <w:tcBorders>
              <w:top w:val="nil"/>
              <w:left w:val="nil"/>
              <w:bottom w:val="nil"/>
            </w:tcBorders>
          </w:tcPr>
          <w:p w14:paraId="0EBBE03C" w14:textId="77777777" w:rsidR="00857F7D" w:rsidRPr="00B35A22" w:rsidRDefault="00857F7D" w:rsidP="00B35A22">
            <w:pPr>
              <w:widowControl w:val="0"/>
              <w:jc w:val="both"/>
              <w:rPr>
                <w:sz w:val="20"/>
                <w:lang w:val="sr-Latn-ME"/>
              </w:rPr>
            </w:pPr>
            <w:r w:rsidRPr="00B35A22">
              <w:rPr>
                <w:color w:val="000000"/>
                <w:sz w:val="20"/>
                <w:lang w:val="sr-Latn-ME"/>
              </w:rPr>
              <w:t>3 (1,9%)</w:t>
            </w:r>
          </w:p>
        </w:tc>
      </w:tr>
      <w:tr w:rsidR="00CC0044" w:rsidRPr="00B35A22" w14:paraId="5482F949" w14:textId="77777777" w:rsidTr="00770680">
        <w:trPr>
          <w:cantSplit/>
          <w:trHeight w:val="268"/>
        </w:trPr>
        <w:tc>
          <w:tcPr>
            <w:tcW w:w="1999" w:type="pct"/>
            <w:tcBorders>
              <w:top w:val="nil"/>
              <w:bottom w:val="nil"/>
              <w:right w:val="nil"/>
            </w:tcBorders>
            <w:tcMar>
              <w:top w:w="0" w:type="dxa"/>
              <w:left w:w="108" w:type="dxa"/>
              <w:bottom w:w="0" w:type="dxa"/>
              <w:right w:w="108" w:type="dxa"/>
            </w:tcMar>
            <w:hideMark/>
          </w:tcPr>
          <w:p w14:paraId="12941FE9" w14:textId="46CF6C51" w:rsidR="00857F7D" w:rsidRPr="00B35A22" w:rsidRDefault="00857F7D" w:rsidP="00B35A22">
            <w:pPr>
              <w:widowControl w:val="0"/>
              <w:jc w:val="both"/>
              <w:rPr>
                <w:sz w:val="20"/>
                <w:lang w:val="sr-Latn-ME"/>
              </w:rPr>
            </w:pPr>
            <w:r w:rsidRPr="00B35A22">
              <w:rPr>
                <w:sz w:val="20"/>
                <w:lang w:val="sr-Latn-ME"/>
              </w:rPr>
              <w:t>Broj pacijenata sa d</w:t>
            </w:r>
            <w:r w:rsidR="00BF7C4B" w:rsidRPr="00B35A22">
              <w:rPr>
                <w:sz w:val="20"/>
                <w:lang w:val="sr-Latn-ME"/>
              </w:rPr>
              <w:t>j</w:t>
            </w:r>
            <w:r w:rsidRPr="00B35A22">
              <w:rPr>
                <w:sz w:val="20"/>
                <w:lang w:val="sr-Latn-ME"/>
              </w:rPr>
              <w:t>elimičnim odgovorom (%)</w:t>
            </w:r>
          </w:p>
        </w:tc>
        <w:tc>
          <w:tcPr>
            <w:tcW w:w="1346" w:type="pct"/>
            <w:tcBorders>
              <w:top w:val="nil"/>
              <w:left w:val="nil"/>
              <w:bottom w:val="nil"/>
              <w:right w:val="nil"/>
            </w:tcBorders>
            <w:tcMar>
              <w:top w:w="0" w:type="dxa"/>
              <w:left w:w="108" w:type="dxa"/>
              <w:bottom w:w="0" w:type="dxa"/>
              <w:right w:w="108" w:type="dxa"/>
            </w:tcMar>
          </w:tcPr>
          <w:p w14:paraId="5798F700" w14:textId="77777777" w:rsidR="00857F7D" w:rsidRPr="00B35A22" w:rsidRDefault="00857F7D" w:rsidP="00B35A22">
            <w:pPr>
              <w:widowControl w:val="0"/>
              <w:jc w:val="both"/>
              <w:rPr>
                <w:rFonts w:eastAsia="DengXian"/>
                <w:sz w:val="20"/>
                <w:lang w:val="sr-Latn-ME"/>
              </w:rPr>
            </w:pPr>
            <w:r w:rsidRPr="00B35A22">
              <w:rPr>
                <w:color w:val="000000"/>
                <w:sz w:val="20"/>
                <w:lang w:val="sr-Latn-ME"/>
              </w:rPr>
              <w:t>75 (23,1%)</w:t>
            </w:r>
          </w:p>
        </w:tc>
        <w:tc>
          <w:tcPr>
            <w:tcW w:w="1656" w:type="pct"/>
            <w:tcBorders>
              <w:top w:val="nil"/>
              <w:left w:val="nil"/>
              <w:bottom w:val="nil"/>
            </w:tcBorders>
          </w:tcPr>
          <w:p w14:paraId="22488E2C" w14:textId="77777777" w:rsidR="00857F7D" w:rsidRPr="00B35A22" w:rsidRDefault="00857F7D" w:rsidP="00B35A22">
            <w:pPr>
              <w:widowControl w:val="0"/>
              <w:jc w:val="both"/>
              <w:rPr>
                <w:sz w:val="20"/>
                <w:lang w:val="sr-Latn-ME"/>
              </w:rPr>
            </w:pPr>
            <w:r w:rsidRPr="00B35A22">
              <w:rPr>
                <w:color w:val="000000"/>
                <w:sz w:val="20"/>
                <w:lang w:val="sr-Latn-ME"/>
              </w:rPr>
              <w:t>18 (11,4%)</w:t>
            </w:r>
          </w:p>
        </w:tc>
      </w:tr>
      <w:tr w:rsidR="00CC0044" w:rsidRPr="00B35A22" w14:paraId="7D70615F" w14:textId="77777777" w:rsidTr="00770680">
        <w:trPr>
          <w:cantSplit/>
          <w:trHeight w:val="268"/>
        </w:trPr>
        <w:tc>
          <w:tcPr>
            <w:tcW w:w="1999" w:type="pct"/>
            <w:tcBorders>
              <w:top w:val="nil"/>
              <w:bottom w:val="single" w:sz="4" w:space="0" w:color="auto"/>
              <w:right w:val="nil"/>
            </w:tcBorders>
            <w:tcMar>
              <w:top w:w="0" w:type="dxa"/>
              <w:left w:w="108" w:type="dxa"/>
              <w:bottom w:w="0" w:type="dxa"/>
              <w:right w:w="108" w:type="dxa"/>
            </w:tcMar>
          </w:tcPr>
          <w:p w14:paraId="3FA2546A" w14:textId="77777777" w:rsidR="00857F7D" w:rsidRPr="00B35A22" w:rsidRDefault="00857F7D" w:rsidP="00B35A22">
            <w:pPr>
              <w:widowControl w:val="0"/>
              <w:jc w:val="both"/>
              <w:rPr>
                <w:color w:val="000000"/>
                <w:sz w:val="20"/>
                <w:lang w:val="sr-Latn-ME"/>
              </w:rPr>
            </w:pPr>
            <w:r w:rsidRPr="00B35A22">
              <w:rPr>
                <w:sz w:val="20"/>
                <w:lang w:val="sr-Latn-ME"/>
              </w:rPr>
              <w:t xml:space="preserve">Broj pacijenata sa stabilnom bolešću </w:t>
            </w:r>
            <w:r w:rsidRPr="00B35A22">
              <w:rPr>
                <w:color w:val="000000"/>
                <w:sz w:val="20"/>
                <w:lang w:val="sr-Latn-ME"/>
              </w:rPr>
              <w:t>(%)</w:t>
            </w:r>
          </w:p>
        </w:tc>
        <w:tc>
          <w:tcPr>
            <w:tcW w:w="1346" w:type="pct"/>
            <w:tcBorders>
              <w:top w:val="nil"/>
              <w:left w:val="nil"/>
              <w:bottom w:val="single" w:sz="4" w:space="0" w:color="auto"/>
              <w:right w:val="nil"/>
            </w:tcBorders>
            <w:tcMar>
              <w:top w:w="0" w:type="dxa"/>
              <w:left w:w="108" w:type="dxa"/>
              <w:bottom w:w="0" w:type="dxa"/>
              <w:right w:w="108" w:type="dxa"/>
            </w:tcMar>
          </w:tcPr>
          <w:p w14:paraId="518D39C1" w14:textId="77777777" w:rsidR="00857F7D" w:rsidRPr="00B35A22" w:rsidRDefault="00857F7D" w:rsidP="00B35A22">
            <w:pPr>
              <w:widowControl w:val="0"/>
              <w:jc w:val="both"/>
              <w:rPr>
                <w:rFonts w:eastAsia="SimSun"/>
                <w:sz w:val="20"/>
                <w:lang w:val="sr-Latn-ME"/>
              </w:rPr>
            </w:pPr>
            <w:r w:rsidRPr="00B35A22">
              <w:rPr>
                <w:color w:val="000000"/>
                <w:sz w:val="20"/>
                <w:lang w:val="sr-Latn-ME"/>
              </w:rPr>
              <w:t>127 (39,1%)</w:t>
            </w:r>
          </w:p>
        </w:tc>
        <w:tc>
          <w:tcPr>
            <w:tcW w:w="1656" w:type="pct"/>
            <w:tcBorders>
              <w:top w:val="nil"/>
              <w:left w:val="nil"/>
            </w:tcBorders>
          </w:tcPr>
          <w:p w14:paraId="31ED7363" w14:textId="77777777" w:rsidR="00857F7D" w:rsidRPr="00B35A22" w:rsidRDefault="00857F7D" w:rsidP="00B35A22">
            <w:pPr>
              <w:widowControl w:val="0"/>
              <w:jc w:val="both"/>
              <w:rPr>
                <w:rFonts w:eastAsia="SimSun"/>
                <w:sz w:val="20"/>
                <w:lang w:val="sr-Latn-ME"/>
              </w:rPr>
            </w:pPr>
            <w:r w:rsidRPr="00B35A22">
              <w:rPr>
                <w:color w:val="000000"/>
                <w:sz w:val="20"/>
                <w:lang w:val="sr-Latn-ME"/>
              </w:rPr>
              <w:t>66 (41,8%)</w:t>
            </w:r>
          </w:p>
        </w:tc>
      </w:tr>
      <w:tr w:rsidR="00CC0044" w:rsidRPr="00B35A22" w14:paraId="72019358" w14:textId="77777777" w:rsidTr="00770680">
        <w:trPr>
          <w:cantSplit/>
          <w:trHeight w:val="258"/>
        </w:trPr>
        <w:tc>
          <w:tcPr>
            <w:tcW w:w="1999" w:type="pct"/>
            <w:tcBorders>
              <w:bottom w:val="nil"/>
              <w:right w:val="nil"/>
            </w:tcBorders>
            <w:tcMar>
              <w:top w:w="0" w:type="dxa"/>
              <w:left w:w="108" w:type="dxa"/>
              <w:bottom w:w="0" w:type="dxa"/>
              <w:right w:w="108" w:type="dxa"/>
            </w:tcMar>
          </w:tcPr>
          <w:p w14:paraId="5B54737E" w14:textId="77777777" w:rsidR="00857F7D" w:rsidRPr="00B35A22" w:rsidRDefault="00857F7D" w:rsidP="00B35A22">
            <w:pPr>
              <w:widowControl w:val="0"/>
              <w:jc w:val="both"/>
              <w:rPr>
                <w:rFonts w:eastAsia="SimSun"/>
                <w:sz w:val="20"/>
                <w:lang w:val="sr-Latn-ME"/>
              </w:rPr>
            </w:pPr>
            <w:r w:rsidRPr="00B35A22">
              <w:rPr>
                <w:b/>
                <w:sz w:val="20"/>
                <w:lang w:val="sr-Latn-ME"/>
              </w:rPr>
              <w:t>Trajanje odgovora prema procjeni nezavisnog ocjenjivačkog tijela (mRECIST za HCC)</w:t>
            </w:r>
          </w:p>
        </w:tc>
        <w:tc>
          <w:tcPr>
            <w:tcW w:w="1346" w:type="pct"/>
            <w:tcBorders>
              <w:left w:val="nil"/>
              <w:bottom w:val="nil"/>
              <w:right w:val="nil"/>
            </w:tcBorders>
          </w:tcPr>
          <w:p w14:paraId="51DF9DE3" w14:textId="77777777" w:rsidR="00857F7D" w:rsidRPr="00B35A22" w:rsidRDefault="00857F7D" w:rsidP="00B35A22">
            <w:pPr>
              <w:widowControl w:val="0"/>
              <w:ind w:left="144"/>
              <w:jc w:val="both"/>
              <w:rPr>
                <w:rFonts w:eastAsia="SimSun"/>
                <w:sz w:val="20"/>
                <w:lang w:val="sr-Latn-ME"/>
              </w:rPr>
            </w:pPr>
            <w:r w:rsidRPr="00B35A22">
              <w:rPr>
                <w:color w:val="000000"/>
                <w:sz w:val="20"/>
                <w:lang w:val="sr-Latn-ME"/>
              </w:rPr>
              <w:t>n=108</w:t>
            </w:r>
          </w:p>
        </w:tc>
        <w:tc>
          <w:tcPr>
            <w:tcW w:w="1656" w:type="pct"/>
            <w:tcBorders>
              <w:left w:val="nil"/>
              <w:bottom w:val="nil"/>
            </w:tcBorders>
          </w:tcPr>
          <w:p w14:paraId="0AB8E3A3" w14:textId="77777777" w:rsidR="00857F7D" w:rsidRPr="00B35A22" w:rsidRDefault="00857F7D" w:rsidP="00B35A22">
            <w:pPr>
              <w:widowControl w:val="0"/>
              <w:jc w:val="both"/>
              <w:rPr>
                <w:rFonts w:eastAsia="SimSun"/>
                <w:sz w:val="20"/>
                <w:lang w:val="sr-Latn-ME"/>
              </w:rPr>
            </w:pPr>
            <w:r w:rsidRPr="00B35A22">
              <w:rPr>
                <w:color w:val="000000"/>
                <w:sz w:val="20"/>
                <w:lang w:val="sr-Latn-ME"/>
              </w:rPr>
              <w:t>n=21</w:t>
            </w:r>
          </w:p>
        </w:tc>
      </w:tr>
      <w:tr w:rsidR="00CC0044" w:rsidRPr="00B35A22" w14:paraId="3DD891CD" w14:textId="77777777" w:rsidTr="00770680">
        <w:trPr>
          <w:cantSplit/>
          <w:trHeight w:val="258"/>
        </w:trPr>
        <w:tc>
          <w:tcPr>
            <w:tcW w:w="1999" w:type="pct"/>
            <w:tcBorders>
              <w:top w:val="nil"/>
              <w:bottom w:val="nil"/>
              <w:right w:val="nil"/>
            </w:tcBorders>
            <w:tcMar>
              <w:top w:w="0" w:type="dxa"/>
              <w:left w:w="108" w:type="dxa"/>
              <w:bottom w:w="0" w:type="dxa"/>
              <w:right w:w="108" w:type="dxa"/>
            </w:tcMar>
            <w:hideMark/>
          </w:tcPr>
          <w:p w14:paraId="417E7A79" w14:textId="77777777" w:rsidR="00857F7D" w:rsidRPr="00B35A22" w:rsidRDefault="00857F7D" w:rsidP="00B35A22">
            <w:pPr>
              <w:widowControl w:val="0"/>
              <w:jc w:val="both"/>
              <w:rPr>
                <w:sz w:val="20"/>
                <w:lang w:val="sr-Latn-ME"/>
              </w:rPr>
            </w:pPr>
            <w:r w:rsidRPr="00B35A22">
              <w:rPr>
                <w:color w:val="000000"/>
                <w:sz w:val="20"/>
                <w:lang w:val="sr-Latn-ME"/>
              </w:rPr>
              <w:t>Medijana u mjesecima</w:t>
            </w:r>
          </w:p>
        </w:tc>
        <w:tc>
          <w:tcPr>
            <w:tcW w:w="1346" w:type="pct"/>
            <w:tcBorders>
              <w:top w:val="nil"/>
              <w:left w:val="nil"/>
              <w:bottom w:val="nil"/>
              <w:right w:val="nil"/>
            </w:tcBorders>
          </w:tcPr>
          <w:p w14:paraId="2C2D5631" w14:textId="77777777" w:rsidR="00857F7D" w:rsidRPr="00B35A22" w:rsidRDefault="00857F7D" w:rsidP="00B35A22">
            <w:pPr>
              <w:widowControl w:val="0"/>
              <w:ind w:firstLine="144"/>
              <w:jc w:val="both"/>
              <w:rPr>
                <w:sz w:val="20"/>
                <w:lang w:val="sr-Latn-ME"/>
              </w:rPr>
            </w:pPr>
            <w:r w:rsidRPr="00B35A22">
              <w:rPr>
                <w:color w:val="000000"/>
                <w:sz w:val="20"/>
                <w:lang w:val="sr-Latn-ME"/>
              </w:rPr>
              <w:t>NP</w:t>
            </w:r>
          </w:p>
        </w:tc>
        <w:tc>
          <w:tcPr>
            <w:tcW w:w="1656" w:type="pct"/>
            <w:tcBorders>
              <w:top w:val="nil"/>
              <w:left w:val="nil"/>
              <w:bottom w:val="nil"/>
            </w:tcBorders>
          </w:tcPr>
          <w:p w14:paraId="62504E4C" w14:textId="77777777" w:rsidR="00857F7D" w:rsidRPr="00B35A22" w:rsidRDefault="00857F7D" w:rsidP="00B35A22">
            <w:pPr>
              <w:widowControl w:val="0"/>
              <w:jc w:val="both"/>
              <w:rPr>
                <w:sz w:val="20"/>
                <w:lang w:val="sr-Latn-ME"/>
              </w:rPr>
            </w:pPr>
            <w:r w:rsidRPr="00B35A22">
              <w:rPr>
                <w:color w:val="000000"/>
                <w:sz w:val="20"/>
                <w:lang w:val="sr-Latn-ME"/>
              </w:rPr>
              <w:t>6,3</w:t>
            </w:r>
          </w:p>
        </w:tc>
      </w:tr>
      <w:tr w:rsidR="00CC0044" w:rsidRPr="00B35A22" w14:paraId="1F857278" w14:textId="77777777" w:rsidTr="00770680">
        <w:trPr>
          <w:cantSplit/>
          <w:trHeight w:val="265"/>
        </w:trPr>
        <w:tc>
          <w:tcPr>
            <w:tcW w:w="1999" w:type="pct"/>
            <w:tcBorders>
              <w:top w:val="nil"/>
              <w:bottom w:val="nil"/>
              <w:right w:val="nil"/>
            </w:tcBorders>
            <w:tcMar>
              <w:top w:w="0" w:type="dxa"/>
              <w:left w:w="108" w:type="dxa"/>
              <w:bottom w:w="0" w:type="dxa"/>
              <w:right w:w="108" w:type="dxa"/>
            </w:tcMar>
            <w:hideMark/>
          </w:tcPr>
          <w:p w14:paraId="385E374C" w14:textId="77777777" w:rsidR="00857F7D" w:rsidRPr="00B35A22" w:rsidRDefault="00857F7D" w:rsidP="00B35A22">
            <w:pPr>
              <w:widowControl w:val="0"/>
              <w:jc w:val="both"/>
              <w:rPr>
                <w:sz w:val="20"/>
                <w:lang w:val="sr-Latn-ME"/>
              </w:rPr>
            </w:pPr>
            <w:r w:rsidRPr="00B35A22">
              <w:rPr>
                <w:color w:val="000000"/>
                <w:sz w:val="20"/>
                <w:lang w:val="sr-Latn-ME"/>
              </w:rPr>
              <w:t>95% CI</w:t>
            </w:r>
          </w:p>
        </w:tc>
        <w:tc>
          <w:tcPr>
            <w:tcW w:w="1346" w:type="pct"/>
            <w:tcBorders>
              <w:top w:val="nil"/>
              <w:left w:val="nil"/>
              <w:bottom w:val="nil"/>
              <w:right w:val="nil"/>
            </w:tcBorders>
            <w:tcMar>
              <w:top w:w="0" w:type="dxa"/>
              <w:left w:w="108" w:type="dxa"/>
              <w:bottom w:w="0" w:type="dxa"/>
              <w:right w:w="108" w:type="dxa"/>
            </w:tcMar>
          </w:tcPr>
          <w:p w14:paraId="117C1F93" w14:textId="77777777" w:rsidR="00857F7D" w:rsidRPr="00B35A22" w:rsidRDefault="00857F7D" w:rsidP="00B35A22">
            <w:pPr>
              <w:widowControl w:val="0"/>
              <w:jc w:val="both"/>
              <w:rPr>
                <w:sz w:val="20"/>
                <w:lang w:val="sr-Latn-ME"/>
              </w:rPr>
            </w:pPr>
            <w:r w:rsidRPr="00B35A22">
              <w:rPr>
                <w:color w:val="000000"/>
                <w:sz w:val="20"/>
                <w:lang w:val="sr-Latn-ME"/>
              </w:rPr>
              <w:t>(NP; NP)</w:t>
            </w:r>
          </w:p>
        </w:tc>
        <w:tc>
          <w:tcPr>
            <w:tcW w:w="1656" w:type="pct"/>
            <w:tcBorders>
              <w:top w:val="nil"/>
              <w:left w:val="nil"/>
              <w:bottom w:val="nil"/>
            </w:tcBorders>
          </w:tcPr>
          <w:p w14:paraId="61D41062" w14:textId="77777777" w:rsidR="00857F7D" w:rsidRPr="00B35A22" w:rsidRDefault="00857F7D" w:rsidP="00B35A22">
            <w:pPr>
              <w:widowControl w:val="0"/>
              <w:jc w:val="both"/>
              <w:rPr>
                <w:sz w:val="20"/>
                <w:lang w:val="sr-Latn-ME"/>
              </w:rPr>
            </w:pPr>
            <w:r w:rsidRPr="00B35A22">
              <w:rPr>
                <w:color w:val="000000"/>
                <w:sz w:val="20"/>
                <w:lang w:val="sr-Latn-ME"/>
              </w:rPr>
              <w:t>(4,9; NP)</w:t>
            </w:r>
          </w:p>
        </w:tc>
      </w:tr>
      <w:tr w:rsidR="00CC0044" w:rsidRPr="00B35A22" w14:paraId="27A7C833" w14:textId="77777777" w:rsidTr="00770680">
        <w:trPr>
          <w:cantSplit/>
          <w:trHeight w:val="215"/>
        </w:trPr>
        <w:tc>
          <w:tcPr>
            <w:tcW w:w="1999" w:type="pct"/>
            <w:tcBorders>
              <w:top w:val="nil"/>
              <w:right w:val="nil"/>
            </w:tcBorders>
            <w:tcMar>
              <w:top w:w="0" w:type="dxa"/>
              <w:left w:w="108" w:type="dxa"/>
              <w:bottom w:w="0" w:type="dxa"/>
              <w:right w:w="108" w:type="dxa"/>
            </w:tcMar>
          </w:tcPr>
          <w:p w14:paraId="5D852A87" w14:textId="77777777" w:rsidR="00857F7D" w:rsidRPr="00B35A22" w:rsidRDefault="00857F7D" w:rsidP="00B35A22">
            <w:pPr>
              <w:widowControl w:val="0"/>
              <w:jc w:val="both"/>
              <w:rPr>
                <w:sz w:val="20"/>
                <w:lang w:val="sr-Latn-ME"/>
              </w:rPr>
            </w:pPr>
            <w:r w:rsidRPr="00B35A22">
              <w:rPr>
                <w:sz w:val="20"/>
                <w:lang w:val="sr-Latn-ME"/>
              </w:rPr>
              <w:t>Raspon (mjeseci)</w:t>
            </w:r>
          </w:p>
        </w:tc>
        <w:tc>
          <w:tcPr>
            <w:tcW w:w="1346" w:type="pct"/>
            <w:tcBorders>
              <w:top w:val="nil"/>
              <w:left w:val="nil"/>
              <w:right w:val="nil"/>
            </w:tcBorders>
            <w:tcMar>
              <w:top w:w="0" w:type="dxa"/>
              <w:left w:w="108" w:type="dxa"/>
              <w:bottom w:w="0" w:type="dxa"/>
              <w:right w:w="108" w:type="dxa"/>
            </w:tcMar>
          </w:tcPr>
          <w:p w14:paraId="58BD5B14"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(1,3+; 13,4+)</w:t>
            </w:r>
          </w:p>
        </w:tc>
        <w:tc>
          <w:tcPr>
            <w:tcW w:w="1656" w:type="pct"/>
            <w:tcBorders>
              <w:top w:val="nil"/>
              <w:left w:val="nil"/>
            </w:tcBorders>
          </w:tcPr>
          <w:p w14:paraId="735BE687" w14:textId="77777777" w:rsidR="00857F7D" w:rsidRPr="00B35A22" w:rsidRDefault="00857F7D" w:rsidP="00B35A22">
            <w:pPr>
              <w:widowControl w:val="0"/>
              <w:jc w:val="both"/>
              <w:rPr>
                <w:rFonts w:eastAsia="SimSun"/>
                <w:sz w:val="20"/>
                <w:lang w:val="sr-Latn-ME"/>
              </w:rPr>
            </w:pPr>
            <w:r w:rsidRPr="00B35A22">
              <w:rPr>
                <w:rFonts w:eastAsia="SimSun"/>
                <w:sz w:val="20"/>
                <w:lang w:val="sr-Latn-ME"/>
              </w:rPr>
              <w:t>(1,4+; 9,1+)</w:t>
            </w:r>
          </w:p>
        </w:tc>
      </w:tr>
      <w:tr w:rsidR="00857F7D" w:rsidRPr="00B35A22" w14:paraId="2DB7A025" w14:textId="77777777" w:rsidTr="00770680">
        <w:trPr>
          <w:cantSplit/>
          <w:trHeight w:val="540"/>
        </w:trPr>
        <w:tc>
          <w:tcPr>
            <w:tcW w:w="5000" w:type="pct"/>
            <w:gridSpan w:val="3"/>
            <w:shd w:val="clear" w:color="auto" w:fill="auto"/>
          </w:tcPr>
          <w:p w14:paraId="6AB80971" w14:textId="7A56355A" w:rsidR="00857F7D" w:rsidRPr="00B35A22" w:rsidRDefault="00857F7D" w:rsidP="00B35A22">
            <w:pPr>
              <w:widowControl w:val="0"/>
              <w:jc w:val="both"/>
              <w:rPr>
                <w:color w:val="000000"/>
                <w:sz w:val="18"/>
                <w:lang w:val="sr-Latn-ME"/>
              </w:rPr>
            </w:pPr>
            <w:r w:rsidRPr="00B35A22">
              <w:rPr>
                <w:color w:val="000000"/>
                <w:sz w:val="18"/>
                <w:vertAlign w:val="superscript"/>
                <w:lang w:val="sr-Latn-ME"/>
              </w:rPr>
              <w:t>‡</w:t>
            </w:r>
            <w:r w:rsidRPr="00B35A22">
              <w:rPr>
                <w:color w:val="000000"/>
                <w:sz w:val="18"/>
                <w:lang w:val="sr-Latn-ME"/>
              </w:rPr>
              <w:t xml:space="preserve"> Stratifikova</w:t>
            </w:r>
            <w:r w:rsidR="00BF7C4B" w:rsidRPr="00B35A22">
              <w:rPr>
                <w:color w:val="000000"/>
                <w:sz w:val="18"/>
                <w:lang w:val="sr-Latn-ME"/>
              </w:rPr>
              <w:t>n</w:t>
            </w:r>
            <w:r w:rsidRPr="00B35A22">
              <w:rPr>
                <w:color w:val="000000"/>
                <w:sz w:val="18"/>
                <w:lang w:val="sr-Latn-ME"/>
              </w:rPr>
              <w:t>o prema geografskoj regiji (Azija [osim Japana] ili ostatak svijeta), makrovaskularnoj invaziji i/ili širenju van jetre (da ili ne) i početnoj vrijednosti AFP</w:t>
            </w:r>
            <w:r w:rsidRPr="00B35A22">
              <w:rPr>
                <w:color w:val="000000"/>
                <w:sz w:val="18"/>
                <w:lang w:val="sr-Latn-ME"/>
              </w:rPr>
              <w:noBreakHyphen/>
              <w:t>a (&lt; 400 ili ≥ 400 ng/ml)</w:t>
            </w:r>
          </w:p>
          <w:p w14:paraId="314F27BE" w14:textId="77777777" w:rsidR="00857F7D" w:rsidRPr="00B35A22" w:rsidRDefault="00857F7D" w:rsidP="00B35A22">
            <w:pPr>
              <w:widowControl w:val="0"/>
              <w:ind w:left="181" w:hanging="181"/>
              <w:jc w:val="both"/>
              <w:rPr>
                <w:color w:val="000000"/>
                <w:sz w:val="18"/>
                <w:lang w:val="sr-Latn-ME"/>
              </w:rPr>
            </w:pPr>
            <w:r w:rsidRPr="00B35A22">
              <w:rPr>
                <w:color w:val="000000"/>
                <w:sz w:val="18"/>
                <w:lang w:val="sr-Latn-ME"/>
              </w:rPr>
              <w:t>1.</w:t>
            </w:r>
            <w:r w:rsidRPr="00B35A22">
              <w:rPr>
                <w:color w:val="000000"/>
                <w:sz w:val="18"/>
                <w:lang w:val="sr-Latn-ME"/>
              </w:rPr>
              <w:tab/>
              <w:t>Na osnovu dvostranog stratifikovanog log</w:t>
            </w:r>
            <w:r w:rsidRPr="00B35A22">
              <w:rPr>
                <w:color w:val="000000"/>
                <w:sz w:val="18"/>
                <w:lang w:val="sr-Latn-ME"/>
              </w:rPr>
              <w:noBreakHyphen/>
              <w:t>rang testa</w:t>
            </w:r>
          </w:p>
          <w:p w14:paraId="44B468E2" w14:textId="77777777" w:rsidR="00857F7D" w:rsidRPr="00B35A22" w:rsidRDefault="00857F7D" w:rsidP="00B35A22">
            <w:pPr>
              <w:widowControl w:val="0"/>
              <w:ind w:left="181" w:hanging="181"/>
              <w:jc w:val="both"/>
              <w:rPr>
                <w:color w:val="000000"/>
                <w:sz w:val="18"/>
                <w:lang w:val="sr-Latn-ME"/>
              </w:rPr>
            </w:pPr>
            <w:r w:rsidRPr="00B35A22">
              <w:rPr>
                <w:color w:val="000000"/>
                <w:sz w:val="18"/>
                <w:lang w:val="sr-Latn-ME"/>
              </w:rPr>
              <w:t>2.</w:t>
            </w:r>
            <w:r w:rsidRPr="00B35A22">
              <w:rPr>
                <w:color w:val="000000"/>
                <w:sz w:val="18"/>
                <w:lang w:val="sr-Latn-ME"/>
              </w:rPr>
              <w:tab/>
              <w:t>Nominalne p</w:t>
            </w:r>
            <w:r w:rsidRPr="00B35A22">
              <w:rPr>
                <w:color w:val="000000"/>
                <w:sz w:val="18"/>
                <w:lang w:val="sr-Latn-ME"/>
              </w:rPr>
              <w:noBreakHyphen/>
              <w:t>vrijednosti na osnovu dvostranog Cochran-Mantel-Haenszelov-og testa</w:t>
            </w:r>
          </w:p>
          <w:p w14:paraId="58287D2B" w14:textId="77777777" w:rsidR="00857F7D" w:rsidRPr="00B35A22" w:rsidRDefault="00857F7D" w:rsidP="00B35A22">
            <w:pPr>
              <w:widowControl w:val="0"/>
              <w:ind w:left="181" w:hanging="181"/>
              <w:jc w:val="both"/>
              <w:rPr>
                <w:color w:val="000000"/>
                <w:sz w:val="18"/>
                <w:lang w:val="sr-Latn-ME"/>
              </w:rPr>
            </w:pPr>
            <w:r w:rsidRPr="00B35A22">
              <w:rPr>
                <w:color w:val="000000"/>
                <w:sz w:val="18"/>
                <w:lang w:val="sr-Latn-ME"/>
              </w:rPr>
              <w:t>+ označava cenzurisanu vrijednost</w:t>
            </w:r>
          </w:p>
          <w:p w14:paraId="2456B702" w14:textId="77777777" w:rsidR="00857F7D" w:rsidRPr="00B35A22" w:rsidRDefault="00857F7D" w:rsidP="00B35A22">
            <w:pPr>
              <w:widowControl w:val="0"/>
              <w:jc w:val="both"/>
              <w:rPr>
                <w:color w:val="000000"/>
                <w:sz w:val="18"/>
                <w:lang w:val="sr-Latn-ME"/>
              </w:rPr>
            </w:pPr>
            <w:r w:rsidRPr="00B35A22">
              <w:rPr>
                <w:color w:val="000000"/>
                <w:sz w:val="18"/>
                <w:lang w:val="sr-Latn-ME"/>
              </w:rPr>
              <w:t>PFS = preživljavanje bez progresije bolesti; RECIST= Kriterijumi za ocjenu odgovora kod solidnih tumora verzija 1.1; mRECIST za HCC = modifikovani RECIST kriterijumi za hepatocelularni karcinom; CI = interval pouzdanosti; ORR = stopa objektivnog odgovora; OS = ukupno preživljavanje; NP = ne može se procijeniti</w:t>
            </w:r>
          </w:p>
        </w:tc>
      </w:tr>
    </w:tbl>
    <w:p w14:paraId="4AA7F7D4" w14:textId="77777777" w:rsidR="00770680" w:rsidRDefault="00770680" w:rsidP="00B35A22">
      <w:pPr>
        <w:widowControl w:val="0"/>
        <w:jc w:val="both"/>
        <w:rPr>
          <w:b/>
          <w:color w:val="000000"/>
          <w:sz w:val="22"/>
          <w:lang w:val="sr-Latn-ME"/>
        </w:rPr>
      </w:pPr>
    </w:p>
    <w:p w14:paraId="0C930F94" w14:textId="6E68EF0F" w:rsidR="001E5432" w:rsidRPr="00B35A22" w:rsidRDefault="001E5432" w:rsidP="00B35A22">
      <w:pPr>
        <w:widowControl w:val="0"/>
        <w:jc w:val="both"/>
        <w:rPr>
          <w:b/>
          <w:color w:val="000000"/>
          <w:sz w:val="22"/>
          <w:lang w:val="sr-Latn-ME"/>
        </w:rPr>
      </w:pPr>
      <w:r w:rsidRPr="00B35A22">
        <w:rPr>
          <w:b/>
          <w:color w:val="000000"/>
          <w:sz w:val="22"/>
          <w:lang w:val="sr-Latn-ME"/>
        </w:rPr>
        <w:t>Slika </w:t>
      </w:r>
      <w:r w:rsidR="00D46A5F" w:rsidRPr="00B35A22">
        <w:rPr>
          <w:b/>
          <w:color w:val="000000"/>
          <w:sz w:val="22"/>
          <w:szCs w:val="22"/>
          <w:lang w:val="sr-Latn-ME"/>
        </w:rPr>
        <w:t>21</w:t>
      </w:r>
      <w:r w:rsidRPr="00B35A22">
        <w:rPr>
          <w:b/>
          <w:i/>
          <w:color w:val="000000"/>
          <w:sz w:val="22"/>
          <w:lang w:val="sr-Latn-ME"/>
        </w:rPr>
        <w:t>: Kaplan-Meier</w:t>
      </w:r>
      <w:r w:rsidRPr="00B35A22">
        <w:rPr>
          <w:b/>
          <w:color w:val="000000"/>
          <w:sz w:val="22"/>
          <w:lang w:val="sr-Latn-ME"/>
        </w:rPr>
        <w:t>-ova kriva ukupnog preživljavanja u ITT populaciji (</w:t>
      </w:r>
      <w:r w:rsidR="00EE12B7" w:rsidRPr="00B35A22">
        <w:rPr>
          <w:b/>
          <w:color w:val="000000"/>
          <w:sz w:val="22"/>
          <w:lang w:val="sr-Latn-ME"/>
        </w:rPr>
        <w:t xml:space="preserve">analiza ažuriranih podataka iz ispitivanja </w:t>
      </w:r>
      <w:r w:rsidRPr="00B35A22">
        <w:rPr>
          <w:b/>
          <w:color w:val="000000"/>
          <w:sz w:val="22"/>
          <w:lang w:val="sr-Latn-ME"/>
        </w:rPr>
        <w:t>IMbrave150)</w:t>
      </w:r>
    </w:p>
    <w:p w14:paraId="534E0C2F" w14:textId="28265A6C" w:rsidR="00EE12B7" w:rsidRPr="00B35A22" w:rsidRDefault="00EE12B7" w:rsidP="00B35A22">
      <w:pPr>
        <w:widowControl w:val="0"/>
        <w:tabs>
          <w:tab w:val="left" w:pos="284"/>
        </w:tabs>
        <w:jc w:val="both"/>
        <w:rPr>
          <w:sz w:val="22"/>
          <w:u w:val="single"/>
          <w:lang w:val="sr-Latn-ME"/>
        </w:rPr>
      </w:pPr>
    </w:p>
    <w:p w14:paraId="442E9ED5" w14:textId="265FCD1A" w:rsidR="009D4546" w:rsidRPr="00B35A22" w:rsidRDefault="009D4546" w:rsidP="00B35A22">
      <w:pPr>
        <w:widowControl w:val="0"/>
        <w:tabs>
          <w:tab w:val="left" w:pos="284"/>
        </w:tabs>
        <w:jc w:val="both"/>
        <w:rPr>
          <w:sz w:val="22"/>
          <w:u w:val="single"/>
          <w:lang w:val="sr-Latn-ME"/>
        </w:rPr>
      </w:pPr>
    </w:p>
    <w:p w14:paraId="61DA4C31" w14:textId="77777777" w:rsidR="00D52D7D" w:rsidRPr="00B35A22" w:rsidRDefault="00080370" w:rsidP="00B35A22">
      <w:pPr>
        <w:widowControl w:val="0"/>
        <w:jc w:val="both"/>
        <w:rPr>
          <w:b/>
          <w:color w:val="000000"/>
          <w:sz w:val="22"/>
          <w:lang w:val="sr-Latn-ME"/>
        </w:rPr>
      </w:pPr>
      <w:r w:rsidRPr="00B35A22">
        <w:rPr>
          <w:lang w:val="sr-Latn-ME" w:eastAsia="sr-Latn-ME"/>
        </w:rPr>
        <w:lastRenderedPageBreak/>
        <w:drawing>
          <wp:inline distT="0" distB="0" distL="0" distR="0" wp14:anchorId="2DD7310C" wp14:editId="105DF0B0">
            <wp:extent cx="5768975" cy="3175635"/>
            <wp:effectExtent l="0" t="0" r="317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8975" cy="3175635"/>
                    </a:xfrm>
                    <a:prstGeom prst="rect">
                      <a:avLst/>
                    </a:prstGeom>
                  </pic:spPr>
                </pic:pic>
              </a:graphicData>
            </a:graphic>
          </wp:inline>
        </w:drawing>
      </w:r>
    </w:p>
    <w:p w14:paraId="6A7A6061" w14:textId="77777777" w:rsidR="00557471" w:rsidRPr="00B35A22" w:rsidRDefault="00557471" w:rsidP="00B35A22">
      <w:pPr>
        <w:widowControl w:val="0"/>
        <w:jc w:val="both"/>
        <w:rPr>
          <w:b/>
          <w:color w:val="000000"/>
          <w:sz w:val="22"/>
          <w:szCs w:val="22"/>
          <w:lang w:val="sr-Latn-ME"/>
        </w:rPr>
      </w:pPr>
    </w:p>
    <w:p w14:paraId="3C25C857" w14:textId="34FF75AB" w:rsidR="001E5432" w:rsidRPr="00B35A22" w:rsidRDefault="001E5432" w:rsidP="00B35A22">
      <w:pPr>
        <w:widowControl w:val="0"/>
        <w:jc w:val="both"/>
        <w:rPr>
          <w:b/>
          <w:color w:val="000000"/>
          <w:sz w:val="22"/>
          <w:lang w:val="sr-Latn-ME"/>
        </w:rPr>
      </w:pPr>
      <w:r w:rsidRPr="00B35A22">
        <w:rPr>
          <w:b/>
          <w:color w:val="000000"/>
          <w:sz w:val="22"/>
          <w:lang w:val="sr-Latn-ME"/>
        </w:rPr>
        <w:t>Slika </w:t>
      </w:r>
      <w:r w:rsidR="00D46A5F" w:rsidRPr="00B35A22">
        <w:rPr>
          <w:b/>
          <w:color w:val="000000"/>
          <w:sz w:val="22"/>
          <w:szCs w:val="22"/>
          <w:lang w:val="sr-Latn-ME"/>
        </w:rPr>
        <w:t>22</w:t>
      </w:r>
      <w:r w:rsidRPr="00B35A22">
        <w:rPr>
          <w:b/>
          <w:color w:val="000000"/>
          <w:sz w:val="22"/>
          <w:lang w:val="sr-Latn-ME"/>
        </w:rPr>
        <w:t xml:space="preserve">: </w:t>
      </w:r>
      <w:r w:rsidRPr="00B35A22">
        <w:rPr>
          <w:b/>
          <w:i/>
          <w:color w:val="000000"/>
          <w:sz w:val="22"/>
          <w:lang w:val="sr-Latn-ME"/>
        </w:rPr>
        <w:t>Kaplan Meier</w:t>
      </w:r>
      <w:r w:rsidRPr="00B35A22">
        <w:rPr>
          <w:b/>
          <w:color w:val="000000"/>
          <w:sz w:val="22"/>
          <w:lang w:val="sr-Latn-ME"/>
        </w:rPr>
        <w:t>-ova kriva preživljavanja bez progresije bolesti prema ocjeni nezavisnog tijela na osnovu verzije 1.1 RECIST kriterijuma u ITT populaciji (</w:t>
      </w:r>
      <w:r w:rsidR="00FE7A5B" w:rsidRPr="00B35A22">
        <w:rPr>
          <w:b/>
          <w:color w:val="000000"/>
          <w:sz w:val="22"/>
          <w:lang w:val="sr-Latn-ME"/>
        </w:rPr>
        <w:t xml:space="preserve">primarna analiza iz ispitivanja </w:t>
      </w:r>
      <w:r w:rsidRPr="00B35A22">
        <w:rPr>
          <w:b/>
          <w:color w:val="000000"/>
          <w:sz w:val="22"/>
          <w:lang w:val="sr-Latn-ME"/>
        </w:rPr>
        <w:t>IMbrave150)</w:t>
      </w:r>
    </w:p>
    <w:p w14:paraId="2DBED7E9" w14:textId="7B26D3B7" w:rsidR="00620DBC" w:rsidRPr="00B35A22" w:rsidRDefault="00620DBC" w:rsidP="00B35A22">
      <w:pPr>
        <w:widowControl w:val="0"/>
        <w:tabs>
          <w:tab w:val="left" w:pos="284"/>
        </w:tabs>
        <w:jc w:val="both"/>
        <w:rPr>
          <w:sz w:val="22"/>
          <w:u w:val="single"/>
          <w:lang w:val="sr-Latn-ME"/>
        </w:rPr>
      </w:pPr>
    </w:p>
    <w:p w14:paraId="7050B678" w14:textId="64435565" w:rsidR="00557471" w:rsidRPr="00B35A22" w:rsidRDefault="00080370" w:rsidP="00B35A22">
      <w:pPr>
        <w:widowControl w:val="0"/>
        <w:tabs>
          <w:tab w:val="left" w:pos="284"/>
        </w:tabs>
        <w:jc w:val="both"/>
        <w:rPr>
          <w:sz w:val="22"/>
          <w:u w:val="single"/>
          <w:lang w:val="sr-Latn-ME"/>
        </w:rPr>
      </w:pPr>
      <w:r w:rsidRPr="00B35A22">
        <w:rPr>
          <w:lang w:val="sr-Latn-ME" w:eastAsia="sr-Latn-ME"/>
        </w:rPr>
        <w:drawing>
          <wp:inline distT="0" distB="0" distL="0" distR="0" wp14:anchorId="41937587" wp14:editId="5110A29E">
            <wp:extent cx="5768975" cy="3237865"/>
            <wp:effectExtent l="0" t="0" r="317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226"/>
                    <a:stretch/>
                  </pic:blipFill>
                  <pic:spPr bwMode="auto">
                    <a:xfrm>
                      <a:off x="0" y="0"/>
                      <a:ext cx="5768975" cy="3237865"/>
                    </a:xfrm>
                    <a:prstGeom prst="rect">
                      <a:avLst/>
                    </a:prstGeom>
                    <a:ln>
                      <a:noFill/>
                    </a:ln>
                    <a:extLst>
                      <a:ext uri="{53640926-AAD7-44D8-BBD7-CCE9431645EC}">
                        <a14:shadowObscured xmlns:a14="http://schemas.microsoft.com/office/drawing/2010/main"/>
                      </a:ext>
                    </a:extLst>
                  </pic:spPr>
                </pic:pic>
              </a:graphicData>
            </a:graphic>
          </wp:inline>
        </w:drawing>
      </w:r>
    </w:p>
    <w:p w14:paraId="05914E27" w14:textId="77777777" w:rsidR="00557471" w:rsidRPr="00B35A22" w:rsidRDefault="00557471" w:rsidP="00B35A22">
      <w:pPr>
        <w:widowControl w:val="0"/>
        <w:tabs>
          <w:tab w:val="left" w:pos="284"/>
        </w:tabs>
        <w:jc w:val="both"/>
        <w:rPr>
          <w:sz w:val="22"/>
          <w:u w:val="single"/>
          <w:lang w:val="sr-Latn-ME"/>
        </w:rPr>
      </w:pPr>
    </w:p>
    <w:p w14:paraId="308D6DB4" w14:textId="4AFDCC3E" w:rsidR="00A031E4" w:rsidRPr="00B35A22" w:rsidRDefault="00A031E4" w:rsidP="00B35A22">
      <w:pPr>
        <w:widowControl w:val="0"/>
        <w:tabs>
          <w:tab w:val="left" w:pos="284"/>
        </w:tabs>
        <w:jc w:val="both"/>
        <w:rPr>
          <w:sz w:val="22"/>
          <w:u w:val="single"/>
          <w:lang w:val="sr-Latn-ME"/>
        </w:rPr>
      </w:pPr>
      <w:r w:rsidRPr="00B35A22">
        <w:rPr>
          <w:sz w:val="22"/>
          <w:u w:val="single"/>
          <w:lang w:val="sr-Latn-ME"/>
        </w:rPr>
        <w:t>Efikasnost kod starijih pacijenata</w:t>
      </w:r>
    </w:p>
    <w:p w14:paraId="3CB66AA8" w14:textId="77777777" w:rsidR="00A031E4" w:rsidRPr="00B35A22" w:rsidRDefault="00A031E4" w:rsidP="00B35A22">
      <w:pPr>
        <w:widowControl w:val="0"/>
        <w:tabs>
          <w:tab w:val="left" w:pos="284"/>
        </w:tabs>
        <w:jc w:val="both"/>
        <w:rPr>
          <w:sz w:val="22"/>
          <w:u w:val="single"/>
          <w:lang w:val="sr-Latn-ME"/>
        </w:rPr>
      </w:pPr>
    </w:p>
    <w:p w14:paraId="1250D3A4" w14:textId="771E2A8A" w:rsidR="00DD22DB" w:rsidRPr="00B35A22" w:rsidRDefault="00A031E4" w:rsidP="00B35A22">
      <w:pPr>
        <w:widowControl w:val="0"/>
        <w:tabs>
          <w:tab w:val="left" w:pos="284"/>
        </w:tabs>
        <w:autoSpaceDE w:val="0"/>
        <w:autoSpaceDN w:val="0"/>
        <w:adjustRightInd w:val="0"/>
        <w:jc w:val="both"/>
        <w:rPr>
          <w:sz w:val="22"/>
          <w:lang w:val="sr-Latn-ME"/>
        </w:rPr>
      </w:pPr>
      <w:r w:rsidRPr="00B35A22">
        <w:rPr>
          <w:sz w:val="22"/>
          <w:lang w:val="sr-Latn-ME"/>
        </w:rPr>
        <w:t>Sveukupno nijesu prim</w:t>
      </w:r>
      <w:r w:rsidR="00DA3897" w:rsidRPr="00B35A22">
        <w:rPr>
          <w:sz w:val="22"/>
          <w:lang w:val="sr-Latn-ME"/>
        </w:rPr>
        <w:t>i</w:t>
      </w:r>
      <w:r w:rsidRPr="00B35A22">
        <w:rPr>
          <w:sz w:val="22"/>
          <w:lang w:val="sr-Latn-ME"/>
        </w:rPr>
        <w:t xml:space="preserve">jećene razlike u efikasnosti lijeka između pacijenata starosti ≥ 65 godina i mlađih pacijenata koji su primali atezolizumab kao monoterapiju. U ispitivanju IMpower150, starost od ≥ 65 godina bila je povezana sa smanjenim djelovanjem atezolizumaba kod pacijenata koji su primali atezolizumab u kombinaciji sa karboplatinom i paklitakselom. </w:t>
      </w:r>
    </w:p>
    <w:p w14:paraId="3D56D6F3" w14:textId="77777777" w:rsidR="00DD22DB" w:rsidRPr="00B35A22" w:rsidRDefault="00DD22DB" w:rsidP="00B35A22">
      <w:pPr>
        <w:widowControl w:val="0"/>
        <w:tabs>
          <w:tab w:val="left" w:pos="284"/>
        </w:tabs>
        <w:autoSpaceDE w:val="0"/>
        <w:autoSpaceDN w:val="0"/>
        <w:adjustRightInd w:val="0"/>
        <w:jc w:val="both"/>
        <w:rPr>
          <w:sz w:val="22"/>
          <w:lang w:val="sr-Latn-ME"/>
        </w:rPr>
      </w:pPr>
    </w:p>
    <w:p w14:paraId="3D2687D2" w14:textId="5A0052DD" w:rsidR="00A031E4" w:rsidRPr="00B35A22" w:rsidRDefault="00A031E4" w:rsidP="00B35A22">
      <w:pPr>
        <w:widowControl w:val="0"/>
        <w:tabs>
          <w:tab w:val="left" w:pos="284"/>
        </w:tabs>
        <w:autoSpaceDE w:val="0"/>
        <w:autoSpaceDN w:val="0"/>
        <w:adjustRightInd w:val="0"/>
        <w:jc w:val="both"/>
        <w:rPr>
          <w:sz w:val="22"/>
          <w:lang w:val="sr-Latn-ME"/>
        </w:rPr>
      </w:pPr>
      <w:r w:rsidRPr="00B35A22">
        <w:rPr>
          <w:sz w:val="22"/>
          <w:lang w:val="sr-Latn-ME"/>
        </w:rPr>
        <w:t xml:space="preserve">Podaci o pacijentima starosti ≥ 75 godina </w:t>
      </w:r>
      <w:r w:rsidR="00DD22DB" w:rsidRPr="00B35A22">
        <w:rPr>
          <w:sz w:val="22"/>
          <w:lang w:val="sr-Latn-ME"/>
        </w:rPr>
        <w:t>iz ispitivanja IMPower150</w:t>
      </w:r>
      <w:r w:rsidR="006C2E23" w:rsidRPr="00B35A22">
        <w:rPr>
          <w:sz w:val="22"/>
          <w:lang w:val="sr-Latn-ME"/>
        </w:rPr>
        <w:t>,</w:t>
      </w:r>
      <w:r w:rsidR="00DD22DB" w:rsidRPr="00B35A22">
        <w:rPr>
          <w:sz w:val="22"/>
          <w:lang w:val="sr-Latn-ME"/>
        </w:rPr>
        <w:t xml:space="preserve"> IMpower133 </w:t>
      </w:r>
      <w:r w:rsidR="006C2E23" w:rsidRPr="00B35A22">
        <w:rPr>
          <w:sz w:val="22"/>
          <w:lang w:val="sr-Latn-ME"/>
        </w:rPr>
        <w:t xml:space="preserve">i IMpower110 </w:t>
      </w:r>
      <w:r w:rsidRPr="00B35A22">
        <w:rPr>
          <w:sz w:val="22"/>
          <w:lang w:val="sr-Latn-ME"/>
        </w:rPr>
        <w:t>previše su ograničeni da bi se mogli don</w:t>
      </w:r>
      <w:r w:rsidR="00042108" w:rsidRPr="00B35A22">
        <w:rPr>
          <w:sz w:val="22"/>
          <w:lang w:val="sr-Latn-ME"/>
        </w:rPr>
        <w:t>ij</w:t>
      </w:r>
      <w:r w:rsidRPr="00B35A22">
        <w:rPr>
          <w:sz w:val="22"/>
          <w:lang w:val="sr-Latn-ME"/>
        </w:rPr>
        <w:t>eti zaključci o toj populaciji.</w:t>
      </w:r>
    </w:p>
    <w:p w14:paraId="32FA54C0" w14:textId="77777777" w:rsidR="00A031E4" w:rsidRPr="00B35A22" w:rsidRDefault="00A031E4" w:rsidP="00B35A22">
      <w:pPr>
        <w:widowControl w:val="0"/>
        <w:tabs>
          <w:tab w:val="left" w:pos="540"/>
          <w:tab w:val="left" w:pos="569"/>
        </w:tabs>
        <w:jc w:val="both"/>
        <w:rPr>
          <w:b/>
          <w:sz w:val="22"/>
          <w:lang w:val="sr-Latn-ME"/>
        </w:rPr>
      </w:pPr>
    </w:p>
    <w:p w14:paraId="001F16CF" w14:textId="77777777" w:rsidR="002B101E" w:rsidRPr="00B35A22" w:rsidRDefault="002B101E" w:rsidP="00B35A22">
      <w:pPr>
        <w:widowControl w:val="0"/>
        <w:tabs>
          <w:tab w:val="left" w:pos="284"/>
          <w:tab w:val="center" w:pos="4320"/>
          <w:tab w:val="right" w:pos="8640"/>
        </w:tabs>
        <w:jc w:val="both"/>
        <w:rPr>
          <w:sz w:val="22"/>
          <w:u w:val="single"/>
          <w:lang w:val="sr-Latn-ME"/>
        </w:rPr>
      </w:pPr>
      <w:r w:rsidRPr="00B35A22">
        <w:rPr>
          <w:sz w:val="22"/>
          <w:u w:val="single"/>
          <w:lang w:val="sr-Latn-ME"/>
        </w:rPr>
        <w:t>Pedijatrijska populacija</w:t>
      </w:r>
    </w:p>
    <w:p w14:paraId="6EA56982" w14:textId="61E42956" w:rsidR="002B101E" w:rsidRPr="00B35A22" w:rsidRDefault="00E42227" w:rsidP="00B35A22">
      <w:pPr>
        <w:widowControl w:val="0"/>
        <w:tabs>
          <w:tab w:val="left" w:pos="284"/>
          <w:tab w:val="center" w:pos="4320"/>
          <w:tab w:val="right" w:pos="8640"/>
        </w:tabs>
        <w:jc w:val="both"/>
        <w:rPr>
          <w:b/>
          <w:sz w:val="22"/>
          <w:lang w:val="sr-Latn-ME"/>
        </w:rPr>
      </w:pPr>
      <w:r w:rsidRPr="00B35A22">
        <w:rPr>
          <w:sz w:val="22"/>
          <w:lang w:val="sr-Latn-ME"/>
        </w:rPr>
        <w:t>Sprovedeno je multicentrično, otvoreno ispitivanje rane faze kod pedijatrijskih (&lt; 18 godina, n=69) i mladih odraslih pacijenata (18 </w:t>
      </w:r>
      <w:r w:rsidRPr="00B35A22">
        <w:rPr>
          <w:sz w:val="22"/>
          <w:lang w:val="sr-Latn-ME"/>
        </w:rPr>
        <w:noBreakHyphen/>
        <w:t xml:space="preserve"> 30 godina, n=18) sa solidnim tumorima koji su doživjeli relaps ili </w:t>
      </w:r>
      <w:r w:rsidRPr="00B35A22">
        <w:rPr>
          <w:sz w:val="22"/>
          <w:lang w:val="sr-Latn-ME"/>
        </w:rPr>
        <w:lastRenderedPageBreak/>
        <w:t>progresiju bolesti, kao i kod onih sa Hodgkinovim i ne</w:t>
      </w:r>
      <w:r w:rsidRPr="00B35A22">
        <w:rPr>
          <w:sz w:val="22"/>
          <w:lang w:val="sr-Latn-ME"/>
        </w:rPr>
        <w:noBreakHyphen/>
        <w:t>Hodgkinovim limfomom radi ocjene bezbjednosti i farmakokinetike atezolizumaba. Pacijenti su primali atezolizumab u intravenskoj dozi od 15 mg/kg</w:t>
      </w:r>
      <w:r w:rsidR="00640028" w:rsidRPr="00B35A22">
        <w:rPr>
          <w:sz w:val="22"/>
          <w:lang w:val="sr-Latn-ME"/>
        </w:rPr>
        <w:t xml:space="preserve"> </w:t>
      </w:r>
      <w:r w:rsidR="001C2391" w:rsidRPr="00B35A22">
        <w:rPr>
          <w:sz w:val="22"/>
          <w:lang w:val="sr-Latn-ME"/>
        </w:rPr>
        <w:t>t</w:t>
      </w:r>
      <w:r w:rsidR="00DA3897" w:rsidRPr="00B35A22">
        <w:rPr>
          <w:sz w:val="22"/>
          <w:lang w:val="sr-Latn-ME"/>
        </w:rPr>
        <w:t>j</w:t>
      </w:r>
      <w:r w:rsidR="001C2391" w:rsidRPr="00B35A22">
        <w:rPr>
          <w:sz w:val="22"/>
          <w:lang w:val="sr-Latn-ME"/>
        </w:rPr>
        <w:t xml:space="preserve">elesne mase </w:t>
      </w:r>
      <w:r w:rsidRPr="00B35A22">
        <w:rPr>
          <w:sz w:val="22"/>
          <w:lang w:val="sr-Latn-ME"/>
        </w:rPr>
        <w:t>svake 3 nedjelje (vidjeti dio 5.2).</w:t>
      </w:r>
    </w:p>
    <w:p w14:paraId="7AF43250" w14:textId="77777777" w:rsidR="00D60B4D" w:rsidRPr="00B35A22" w:rsidRDefault="00D60B4D" w:rsidP="00B35A22">
      <w:pPr>
        <w:widowControl w:val="0"/>
        <w:tabs>
          <w:tab w:val="left" w:pos="284"/>
          <w:tab w:val="center" w:pos="4320"/>
          <w:tab w:val="right" w:pos="8640"/>
        </w:tabs>
        <w:jc w:val="both"/>
        <w:rPr>
          <w:b/>
          <w:sz w:val="22"/>
          <w:lang w:val="sr-Latn-ME"/>
        </w:rPr>
      </w:pPr>
    </w:p>
    <w:p w14:paraId="5ACD9005" w14:textId="488394E7" w:rsidR="002B101E" w:rsidRPr="00B35A22" w:rsidRDefault="002B101E" w:rsidP="00B35A22">
      <w:pPr>
        <w:widowControl w:val="0"/>
        <w:tabs>
          <w:tab w:val="left" w:pos="284"/>
          <w:tab w:val="center" w:pos="4320"/>
          <w:tab w:val="right" w:pos="8640"/>
        </w:tabs>
        <w:jc w:val="both"/>
        <w:rPr>
          <w:b/>
          <w:sz w:val="22"/>
          <w:lang w:val="sr-Latn-ME"/>
        </w:rPr>
      </w:pPr>
      <w:r w:rsidRPr="00B35A22">
        <w:rPr>
          <w:b/>
          <w:sz w:val="22"/>
          <w:lang w:val="sr-Latn-ME"/>
        </w:rPr>
        <w:t>5.2. Farmakokinetički podaci</w:t>
      </w:r>
    </w:p>
    <w:p w14:paraId="1B1AE9F5" w14:textId="1D92C727" w:rsidR="002B101E" w:rsidRPr="00B35A22" w:rsidRDefault="002B101E" w:rsidP="00B35A22">
      <w:pPr>
        <w:widowControl w:val="0"/>
        <w:tabs>
          <w:tab w:val="left" w:pos="284"/>
          <w:tab w:val="center" w:pos="4320"/>
          <w:tab w:val="right" w:pos="8640"/>
        </w:tabs>
        <w:jc w:val="both"/>
        <w:rPr>
          <w:sz w:val="22"/>
          <w:lang w:val="sr-Latn-ME"/>
        </w:rPr>
      </w:pPr>
      <w:r w:rsidRPr="00B35A22">
        <w:rPr>
          <w:sz w:val="22"/>
          <w:lang w:val="sr-Latn-ME"/>
        </w:rPr>
        <w:t xml:space="preserve">Izloženost atezolizumabu povećavala se proporcionalno dozi u rasponu doza od 1 mg/kg </w:t>
      </w:r>
      <w:r w:rsidR="001C2391" w:rsidRPr="00B35A22">
        <w:rPr>
          <w:sz w:val="22"/>
          <w:lang w:val="sr-Latn-ME"/>
        </w:rPr>
        <w:t>t</w:t>
      </w:r>
      <w:r w:rsidR="00151CFE" w:rsidRPr="00B35A22">
        <w:rPr>
          <w:sz w:val="22"/>
          <w:lang w:val="sr-Latn-ME"/>
        </w:rPr>
        <w:t>j</w:t>
      </w:r>
      <w:r w:rsidR="001C2391" w:rsidRPr="00B35A22">
        <w:rPr>
          <w:sz w:val="22"/>
          <w:lang w:val="sr-Latn-ME"/>
        </w:rPr>
        <w:t>elesne mase</w:t>
      </w:r>
      <w:r w:rsidR="00640028" w:rsidRPr="00B35A22">
        <w:rPr>
          <w:sz w:val="22"/>
          <w:lang w:val="sr-Latn-ME"/>
        </w:rPr>
        <w:t xml:space="preserve"> </w:t>
      </w:r>
      <w:r w:rsidRPr="00B35A22">
        <w:rPr>
          <w:sz w:val="22"/>
          <w:lang w:val="sr-Latn-ME"/>
        </w:rPr>
        <w:t>do 20 mg/kg</w:t>
      </w:r>
      <w:r w:rsidR="00640028" w:rsidRPr="00B35A22">
        <w:rPr>
          <w:sz w:val="22"/>
          <w:lang w:val="sr-Latn-ME"/>
        </w:rPr>
        <w:t xml:space="preserve"> </w:t>
      </w:r>
      <w:r w:rsidR="001C2391" w:rsidRPr="00B35A22">
        <w:rPr>
          <w:sz w:val="22"/>
          <w:lang w:val="sr-Latn-ME"/>
        </w:rPr>
        <w:t>t</w:t>
      </w:r>
      <w:r w:rsidR="00151CFE" w:rsidRPr="00B35A22">
        <w:rPr>
          <w:sz w:val="22"/>
          <w:lang w:val="sr-Latn-ME"/>
        </w:rPr>
        <w:t>j</w:t>
      </w:r>
      <w:r w:rsidR="001C2391" w:rsidRPr="00B35A22">
        <w:rPr>
          <w:sz w:val="22"/>
          <w:lang w:val="sr-Latn-ME"/>
        </w:rPr>
        <w:t>elesne mase</w:t>
      </w:r>
      <w:r w:rsidRPr="00B35A22">
        <w:rPr>
          <w:sz w:val="22"/>
          <w:lang w:val="sr-Latn-ME"/>
        </w:rPr>
        <w:t xml:space="preserve">, uključujući fiksnu dozu od 1200 mg svake 3 nedjelje. Populaciona analiza koja je obuhvatila 472 pacijenta opisala je farmakokinetiku atezolizumaba u rasponu doza od 1 do 20 mg/kg </w:t>
      </w:r>
      <w:r w:rsidR="001C2391" w:rsidRPr="00B35A22">
        <w:rPr>
          <w:sz w:val="22"/>
          <w:lang w:val="sr-Latn-ME"/>
        </w:rPr>
        <w:t>t</w:t>
      </w:r>
      <w:r w:rsidR="00151CFE" w:rsidRPr="00B35A22">
        <w:rPr>
          <w:sz w:val="22"/>
          <w:lang w:val="sr-Latn-ME"/>
        </w:rPr>
        <w:t>j</w:t>
      </w:r>
      <w:r w:rsidR="001C2391" w:rsidRPr="00B35A22">
        <w:rPr>
          <w:sz w:val="22"/>
          <w:lang w:val="sr-Latn-ME"/>
        </w:rPr>
        <w:t>elesne mase</w:t>
      </w:r>
      <w:r w:rsidR="00640028" w:rsidRPr="00B35A22">
        <w:rPr>
          <w:sz w:val="22"/>
          <w:lang w:val="sr-Latn-ME"/>
        </w:rPr>
        <w:t xml:space="preserve"> </w:t>
      </w:r>
      <w:r w:rsidRPr="00B35A22">
        <w:rPr>
          <w:sz w:val="22"/>
          <w:lang w:val="sr-Latn-ME"/>
        </w:rPr>
        <w:t xml:space="preserve">linearnim modelom raspoloživosti sa dva </w:t>
      </w:r>
      <w:r w:rsidR="001840B9" w:rsidRPr="00B35A22">
        <w:rPr>
          <w:sz w:val="22"/>
          <w:lang w:val="sr-Latn-ME"/>
        </w:rPr>
        <w:t>dijela</w:t>
      </w:r>
      <w:r w:rsidRPr="00B35A22">
        <w:rPr>
          <w:sz w:val="22"/>
          <w:lang w:val="sr-Latn-ME"/>
        </w:rPr>
        <w:t xml:space="preserve"> i eliminacijom prvog reda. </w:t>
      </w:r>
      <w:r w:rsidR="00640028" w:rsidRPr="00B35A22">
        <w:rPr>
          <w:sz w:val="22"/>
          <w:lang w:val="sr-Latn-ME"/>
        </w:rPr>
        <w:t>Farmakokinetička svojstva atezolizumaba u intravenskoj dozi od 840 mg prim</w:t>
      </w:r>
      <w:r w:rsidR="00151CFE" w:rsidRPr="00B35A22">
        <w:rPr>
          <w:sz w:val="22"/>
          <w:lang w:val="sr-Latn-ME"/>
        </w:rPr>
        <w:t>i</w:t>
      </w:r>
      <w:r w:rsidR="00640028" w:rsidRPr="00B35A22">
        <w:rPr>
          <w:sz w:val="22"/>
          <w:lang w:val="sr-Latn-ME"/>
        </w:rPr>
        <w:t>jenjenoj svake 2 nedjelje, 1200 mg prim</w:t>
      </w:r>
      <w:r w:rsidR="00151CFE" w:rsidRPr="00B35A22">
        <w:rPr>
          <w:sz w:val="22"/>
          <w:lang w:val="sr-Latn-ME"/>
        </w:rPr>
        <w:t>i</w:t>
      </w:r>
      <w:r w:rsidR="00640028" w:rsidRPr="00B35A22">
        <w:rPr>
          <w:sz w:val="22"/>
          <w:lang w:val="sr-Latn-ME"/>
        </w:rPr>
        <w:t>jenjenoj svake 3 nedjelje i 1680 mg prim</w:t>
      </w:r>
      <w:r w:rsidR="00151CFE" w:rsidRPr="00B35A22">
        <w:rPr>
          <w:sz w:val="22"/>
          <w:lang w:val="sr-Latn-ME"/>
        </w:rPr>
        <w:t>i</w:t>
      </w:r>
      <w:r w:rsidR="00640028" w:rsidRPr="00B35A22">
        <w:rPr>
          <w:sz w:val="22"/>
          <w:lang w:val="sr-Latn-ME"/>
        </w:rPr>
        <w:t xml:space="preserve">jenjenoj svake 4 nedjelje jednaka su; očekuje se da će se uz ta tri režima doziranja postići uporedivi nivoi ukupne izloženosti. </w:t>
      </w:r>
      <w:r w:rsidRPr="00B35A22">
        <w:rPr>
          <w:sz w:val="22"/>
          <w:lang w:val="sr-Latn-ME"/>
        </w:rPr>
        <w:t xml:space="preserve">Populaciona farmakokinetička analiza ukazuje na to da se stanje dinamičke ravnoteže postiže nakon 6 – 9 nedjelja </w:t>
      </w:r>
      <w:r w:rsidR="00640028" w:rsidRPr="00B35A22">
        <w:rPr>
          <w:sz w:val="22"/>
          <w:lang w:val="sr-Latn-ME"/>
        </w:rPr>
        <w:t xml:space="preserve">višestrukog </w:t>
      </w:r>
      <w:r w:rsidRPr="00B35A22">
        <w:rPr>
          <w:sz w:val="22"/>
          <w:lang w:val="sr-Latn-ME"/>
        </w:rPr>
        <w:t>doziranja. Sistemska akumulacija u površini ispod krive, maksimalna koncentracija i najniža koncentracija povećale su se 1,91, 1,46 odnosno 2,75 puta.</w:t>
      </w:r>
    </w:p>
    <w:p w14:paraId="22EEDF0A" w14:textId="77777777" w:rsidR="006A4D73" w:rsidRPr="00B35A22" w:rsidRDefault="006A4D73" w:rsidP="00B35A22">
      <w:pPr>
        <w:widowControl w:val="0"/>
        <w:tabs>
          <w:tab w:val="left" w:pos="284"/>
          <w:tab w:val="center" w:pos="4320"/>
          <w:tab w:val="right" w:pos="8640"/>
        </w:tabs>
        <w:jc w:val="both"/>
        <w:rPr>
          <w:sz w:val="22"/>
          <w:lang w:val="sr-Latn-ME"/>
        </w:rPr>
      </w:pPr>
    </w:p>
    <w:p w14:paraId="728E232F" w14:textId="77777777" w:rsidR="002B101E" w:rsidRPr="00B35A22" w:rsidRDefault="002B101E" w:rsidP="00B35A22">
      <w:pPr>
        <w:widowControl w:val="0"/>
        <w:jc w:val="both"/>
        <w:rPr>
          <w:sz w:val="22"/>
          <w:u w:val="single"/>
          <w:lang w:val="sr-Latn-ME"/>
        </w:rPr>
      </w:pPr>
      <w:r w:rsidRPr="00B35A22">
        <w:rPr>
          <w:sz w:val="22"/>
          <w:u w:val="single"/>
          <w:lang w:val="sr-Latn-ME"/>
        </w:rPr>
        <w:t>Resorpcija</w:t>
      </w:r>
    </w:p>
    <w:p w14:paraId="51E8B158" w14:textId="77777777" w:rsidR="002B101E" w:rsidRPr="00B35A22" w:rsidRDefault="002B101E" w:rsidP="00B35A22">
      <w:pPr>
        <w:widowControl w:val="0"/>
        <w:jc w:val="both"/>
        <w:rPr>
          <w:sz w:val="22"/>
          <w:lang w:val="sr-Latn-ME"/>
        </w:rPr>
      </w:pPr>
    </w:p>
    <w:p w14:paraId="66E84CC4" w14:textId="4751FF3B" w:rsidR="002B101E" w:rsidRPr="00B35A22" w:rsidRDefault="002B101E" w:rsidP="00B35A22">
      <w:pPr>
        <w:widowControl w:val="0"/>
        <w:jc w:val="both"/>
        <w:rPr>
          <w:sz w:val="22"/>
          <w:lang w:val="sr-Latn-ME"/>
        </w:rPr>
      </w:pPr>
      <w:r w:rsidRPr="00B35A22">
        <w:rPr>
          <w:sz w:val="22"/>
          <w:lang w:val="sr-Latn-ME"/>
        </w:rPr>
        <w:t xml:space="preserve">Atezolizumab se primjenjuje u obliku intravenske infuzije. </w:t>
      </w:r>
    </w:p>
    <w:p w14:paraId="78D5E633" w14:textId="77777777" w:rsidR="002B101E" w:rsidRPr="00B35A22" w:rsidRDefault="002B101E" w:rsidP="00B35A22">
      <w:pPr>
        <w:widowControl w:val="0"/>
        <w:jc w:val="both"/>
        <w:outlineLvl w:val="0"/>
        <w:rPr>
          <w:sz w:val="20"/>
          <w:lang w:val="sr-Latn-ME"/>
        </w:rPr>
      </w:pPr>
    </w:p>
    <w:p w14:paraId="40ED1B0D" w14:textId="77777777" w:rsidR="002B101E" w:rsidRPr="00B35A22" w:rsidRDefault="002B101E" w:rsidP="00B35A22">
      <w:pPr>
        <w:widowControl w:val="0"/>
        <w:jc w:val="both"/>
        <w:rPr>
          <w:sz w:val="22"/>
          <w:u w:val="single"/>
          <w:lang w:val="sr-Latn-ME"/>
        </w:rPr>
      </w:pPr>
      <w:r w:rsidRPr="00B35A22">
        <w:rPr>
          <w:sz w:val="22"/>
          <w:u w:val="single"/>
          <w:lang w:val="sr-Latn-ME"/>
        </w:rPr>
        <w:t>Distribucija</w:t>
      </w:r>
    </w:p>
    <w:p w14:paraId="6333AA8C" w14:textId="77777777" w:rsidR="002B101E" w:rsidRPr="00B35A22" w:rsidRDefault="002B101E" w:rsidP="00B35A22">
      <w:pPr>
        <w:widowControl w:val="0"/>
        <w:jc w:val="both"/>
        <w:rPr>
          <w:sz w:val="22"/>
          <w:u w:val="single"/>
          <w:lang w:val="sr-Latn-ME"/>
        </w:rPr>
      </w:pPr>
    </w:p>
    <w:p w14:paraId="50229B1E" w14:textId="0092CB5C" w:rsidR="002B101E" w:rsidRPr="00B35A22" w:rsidRDefault="002B101E" w:rsidP="00B35A22">
      <w:pPr>
        <w:widowControl w:val="0"/>
        <w:jc w:val="both"/>
        <w:rPr>
          <w:sz w:val="22"/>
          <w:lang w:val="sr-Latn-ME"/>
        </w:rPr>
      </w:pPr>
      <w:r w:rsidRPr="00B35A22">
        <w:rPr>
          <w:sz w:val="22"/>
          <w:lang w:val="sr-Latn-ME"/>
        </w:rPr>
        <w:t>Populaciona farmakokinetička analiza ukazuje na to da kod tipičnog pacijenta volumen distribucije u središnj</w:t>
      </w:r>
      <w:r w:rsidR="001840B9" w:rsidRPr="00B35A22">
        <w:rPr>
          <w:sz w:val="22"/>
          <w:lang w:val="sr-Latn-ME"/>
        </w:rPr>
        <w:t>em</w:t>
      </w:r>
      <w:r w:rsidRPr="00B35A22">
        <w:rPr>
          <w:sz w:val="22"/>
          <w:lang w:val="sr-Latn-ME"/>
        </w:rPr>
        <w:t xml:space="preserve"> di</w:t>
      </w:r>
      <w:r w:rsidR="001840B9" w:rsidRPr="00B35A22">
        <w:rPr>
          <w:sz w:val="22"/>
          <w:lang w:val="sr-Latn-ME"/>
        </w:rPr>
        <w:t>jelu</w:t>
      </w:r>
      <w:r w:rsidRPr="00B35A22">
        <w:rPr>
          <w:sz w:val="22"/>
          <w:lang w:val="sr-Latn-ME"/>
        </w:rPr>
        <w:t xml:space="preserve"> iznosi 3,28 l, a volumen u stanju dinamičke ravnoteže 6,9 l.</w:t>
      </w:r>
    </w:p>
    <w:p w14:paraId="5AA5BB11" w14:textId="77777777" w:rsidR="002B101E" w:rsidRPr="00B35A22" w:rsidRDefault="002B101E" w:rsidP="00B35A22">
      <w:pPr>
        <w:widowControl w:val="0"/>
        <w:jc w:val="both"/>
        <w:rPr>
          <w:sz w:val="22"/>
          <w:lang w:val="sr-Latn-ME"/>
        </w:rPr>
      </w:pPr>
    </w:p>
    <w:p w14:paraId="23066DF8" w14:textId="77777777" w:rsidR="002B101E" w:rsidRPr="00B35A22" w:rsidRDefault="002B101E" w:rsidP="00B35A22">
      <w:pPr>
        <w:widowControl w:val="0"/>
        <w:jc w:val="both"/>
        <w:rPr>
          <w:sz w:val="22"/>
          <w:u w:val="single"/>
          <w:lang w:val="sr-Latn-ME"/>
        </w:rPr>
      </w:pPr>
      <w:r w:rsidRPr="00B35A22">
        <w:rPr>
          <w:sz w:val="22"/>
          <w:u w:val="single"/>
          <w:lang w:val="sr-Latn-ME"/>
        </w:rPr>
        <w:t>Biotransformacija</w:t>
      </w:r>
    </w:p>
    <w:p w14:paraId="48B5810F" w14:textId="77777777" w:rsidR="002B101E" w:rsidRPr="00B35A22" w:rsidRDefault="002B101E" w:rsidP="00B35A22">
      <w:pPr>
        <w:widowControl w:val="0"/>
        <w:jc w:val="both"/>
        <w:rPr>
          <w:sz w:val="22"/>
          <w:lang w:val="sr-Latn-ME"/>
        </w:rPr>
      </w:pPr>
      <w:r w:rsidRPr="00B35A22">
        <w:rPr>
          <w:sz w:val="22"/>
          <w:lang w:val="sr-Latn-ME"/>
        </w:rPr>
        <w:t xml:space="preserve"> </w:t>
      </w:r>
    </w:p>
    <w:p w14:paraId="7624FE9A" w14:textId="77777777" w:rsidR="002B101E" w:rsidRPr="00B35A22" w:rsidRDefault="002B101E" w:rsidP="00B35A22">
      <w:pPr>
        <w:widowControl w:val="0"/>
        <w:jc w:val="both"/>
        <w:rPr>
          <w:sz w:val="22"/>
          <w:lang w:val="sr-Latn-ME"/>
        </w:rPr>
      </w:pPr>
      <w:r w:rsidRPr="00B35A22">
        <w:rPr>
          <w:sz w:val="22"/>
          <w:lang w:val="sr-Latn-ME"/>
        </w:rPr>
        <w:t>Nijesu sprovedena direktna ispitivanja metabolizma atezolizumaba. Antitijela se iz tijela uklanjaju prvenstveno katabolizmom.</w:t>
      </w:r>
      <w:r w:rsidRPr="00B35A22">
        <w:rPr>
          <w:sz w:val="22"/>
          <w:lang w:val="sr-Latn-ME"/>
        </w:rPr>
        <w:tab/>
      </w:r>
    </w:p>
    <w:p w14:paraId="04485834" w14:textId="77777777" w:rsidR="002B101E" w:rsidRPr="00B35A22" w:rsidRDefault="002B101E" w:rsidP="00B35A22">
      <w:pPr>
        <w:widowControl w:val="0"/>
        <w:jc w:val="both"/>
        <w:rPr>
          <w:sz w:val="22"/>
          <w:lang w:val="sr-Latn-ME"/>
        </w:rPr>
      </w:pPr>
    </w:p>
    <w:p w14:paraId="666C78E9" w14:textId="77777777" w:rsidR="002B101E" w:rsidRPr="00B35A22" w:rsidRDefault="002B101E" w:rsidP="00B35A22">
      <w:pPr>
        <w:widowControl w:val="0"/>
        <w:jc w:val="both"/>
        <w:rPr>
          <w:sz w:val="22"/>
          <w:u w:val="single"/>
          <w:lang w:val="sr-Latn-ME"/>
        </w:rPr>
      </w:pPr>
      <w:r w:rsidRPr="00B35A22">
        <w:rPr>
          <w:sz w:val="22"/>
          <w:u w:val="single"/>
          <w:lang w:val="sr-Latn-ME"/>
        </w:rPr>
        <w:t>Eliminacija</w:t>
      </w:r>
    </w:p>
    <w:p w14:paraId="6A67816C" w14:textId="77777777" w:rsidR="002B101E" w:rsidRPr="00B35A22" w:rsidRDefault="002B101E" w:rsidP="00B35A22">
      <w:pPr>
        <w:widowControl w:val="0"/>
        <w:jc w:val="both"/>
        <w:rPr>
          <w:sz w:val="22"/>
          <w:lang w:val="sr-Latn-ME"/>
        </w:rPr>
      </w:pPr>
      <w:r w:rsidRPr="00B35A22">
        <w:rPr>
          <w:sz w:val="22"/>
          <w:lang w:val="sr-Latn-ME"/>
        </w:rPr>
        <w:tab/>
      </w:r>
    </w:p>
    <w:p w14:paraId="1FDCF2F7" w14:textId="77777777" w:rsidR="002B101E" w:rsidRPr="00B35A22" w:rsidRDefault="002B101E" w:rsidP="00B35A22">
      <w:pPr>
        <w:widowControl w:val="0"/>
        <w:jc w:val="both"/>
        <w:rPr>
          <w:sz w:val="22"/>
          <w:lang w:val="sr-Latn-ME"/>
        </w:rPr>
      </w:pPr>
      <w:r w:rsidRPr="00B35A22">
        <w:rPr>
          <w:sz w:val="22"/>
          <w:lang w:val="sr-Latn-ME"/>
        </w:rPr>
        <w:t>Populaciona farmakokinetička analiza ukazuje na to da klirens atezolizumaba iznosi 0,200 l/dan, a tipično terminalno poluvrijeme eliminacije je 27 dana.</w:t>
      </w:r>
    </w:p>
    <w:p w14:paraId="7A61A254" w14:textId="77777777" w:rsidR="002B101E" w:rsidRPr="00B35A22" w:rsidRDefault="002B101E" w:rsidP="00B35A22">
      <w:pPr>
        <w:widowControl w:val="0"/>
        <w:jc w:val="both"/>
        <w:rPr>
          <w:sz w:val="22"/>
          <w:lang w:val="sr-Latn-ME"/>
        </w:rPr>
      </w:pPr>
    </w:p>
    <w:p w14:paraId="0E9D5DFD" w14:textId="77777777" w:rsidR="002B101E" w:rsidRPr="00B35A22" w:rsidRDefault="002B101E" w:rsidP="00B35A22">
      <w:pPr>
        <w:widowControl w:val="0"/>
        <w:jc w:val="both"/>
        <w:rPr>
          <w:sz w:val="22"/>
          <w:u w:val="single"/>
          <w:lang w:val="sr-Latn-ME"/>
        </w:rPr>
      </w:pPr>
      <w:r w:rsidRPr="00B35A22">
        <w:rPr>
          <w:sz w:val="22"/>
          <w:u w:val="single"/>
          <w:lang w:val="sr-Latn-ME"/>
        </w:rPr>
        <w:t>Posebne grupe pacijenata</w:t>
      </w:r>
    </w:p>
    <w:p w14:paraId="462B74EC" w14:textId="77777777" w:rsidR="002B101E" w:rsidRPr="00B35A22" w:rsidRDefault="002B101E" w:rsidP="00B35A22">
      <w:pPr>
        <w:widowControl w:val="0"/>
        <w:jc w:val="both"/>
        <w:rPr>
          <w:sz w:val="22"/>
          <w:lang w:val="sr-Latn-ME"/>
        </w:rPr>
      </w:pPr>
    </w:p>
    <w:p w14:paraId="0C315C8D" w14:textId="77777777" w:rsidR="002B101E" w:rsidRPr="00B35A22" w:rsidRDefault="002B101E" w:rsidP="00B35A22">
      <w:pPr>
        <w:widowControl w:val="0"/>
        <w:jc w:val="both"/>
        <w:rPr>
          <w:sz w:val="22"/>
          <w:lang w:val="sr-Latn-ME"/>
        </w:rPr>
      </w:pPr>
      <w:r w:rsidRPr="00B35A22">
        <w:rPr>
          <w:sz w:val="22"/>
          <w:lang w:val="sr-Latn-ME"/>
        </w:rPr>
        <w:t>Prema populacionoj farmakokinetičkoj analizi i analizi podataka o odgovoru na izloženost, uzrast (21- 89 godina), regija, etnička pripadnost, oštećenje bubrežne funkcije, blago oštećenje funkcije jetre, nivo ekspresije PD-L1 i funkcionalni ECOG status ne utiče na farmakokinetiku atezolizumaba. Tjelesna masa, pol, pozitivan nalaz na antitijela na lijek, vrijednosti albumina i tumorsko opterećenje imaju statistički značajan, ali ne i klinički važan efekat na farmakokinetiku atezolizumaba. Ne preporučuje se prilagođavanje doze.</w:t>
      </w:r>
    </w:p>
    <w:p w14:paraId="5CB84664" w14:textId="77777777" w:rsidR="002B101E" w:rsidRPr="00B35A22" w:rsidRDefault="002B101E" w:rsidP="00B35A22">
      <w:pPr>
        <w:widowControl w:val="0"/>
        <w:jc w:val="both"/>
        <w:rPr>
          <w:sz w:val="22"/>
          <w:lang w:val="sr-Latn-ME"/>
        </w:rPr>
      </w:pPr>
    </w:p>
    <w:p w14:paraId="24715ADF" w14:textId="05AF5589" w:rsidR="002B101E" w:rsidRPr="00B35A22" w:rsidRDefault="002B101E" w:rsidP="00B35A22">
      <w:pPr>
        <w:widowControl w:val="0"/>
        <w:jc w:val="both"/>
        <w:rPr>
          <w:i/>
          <w:sz w:val="22"/>
          <w:u w:val="single"/>
          <w:lang w:val="sr-Latn-ME"/>
        </w:rPr>
      </w:pPr>
      <w:r w:rsidRPr="00B35A22">
        <w:rPr>
          <w:i/>
          <w:sz w:val="22"/>
          <w:u w:val="single"/>
          <w:lang w:val="sr-Latn-ME"/>
        </w:rPr>
        <w:t>Gerijatrijska populacija</w:t>
      </w:r>
    </w:p>
    <w:p w14:paraId="3271102F" w14:textId="77777777" w:rsidR="006A4D73" w:rsidRPr="00B35A22" w:rsidRDefault="006A4D73" w:rsidP="00B35A22">
      <w:pPr>
        <w:widowControl w:val="0"/>
        <w:jc w:val="both"/>
        <w:rPr>
          <w:i/>
          <w:sz w:val="22"/>
          <w:u w:val="single"/>
          <w:lang w:val="sr-Latn-ME"/>
        </w:rPr>
      </w:pPr>
    </w:p>
    <w:p w14:paraId="2BB7F01C" w14:textId="1A9033F5" w:rsidR="002B101E" w:rsidRPr="00B35A22" w:rsidRDefault="002B101E" w:rsidP="00B35A22">
      <w:pPr>
        <w:widowControl w:val="0"/>
        <w:jc w:val="both"/>
        <w:rPr>
          <w:sz w:val="22"/>
          <w:lang w:val="sr-Latn-ME"/>
        </w:rPr>
      </w:pPr>
      <w:r w:rsidRPr="00B35A22">
        <w:rPr>
          <w:sz w:val="22"/>
          <w:lang w:val="sr-Latn-ME"/>
        </w:rPr>
        <w:t>Nijesu sprovedena specifična ispitivanja atezolizumaba kod starijih pacijenata. Efekat uzrasta na farmakokinetiku atezolizumaba ocjenjivao se u populacionoj farmakokinetičkoj analizi. Prema podacima za pacijente uzrasta od 21 do 89 godina (n=472), čija je medijana uzrasta iznosila 62 godine, uzrast nije utvrđen kao značajna kovarijanta koja utiče na farmakokinetiku atezolizumaba. Nije primijećena klinički značajna razlika u farmakokinetici atezolizumaba među pacijentima uzrasta od ˂ 65 godina (n=274), pacijentima uzrasta od 65 - 75 godina (n=152) ni pacijentima uzrasta od ˃ 75 godina (n=46) (vidjeti dio 4.2).</w:t>
      </w:r>
    </w:p>
    <w:p w14:paraId="4A832682" w14:textId="77777777" w:rsidR="002B101E" w:rsidRPr="00B35A22" w:rsidRDefault="002B101E" w:rsidP="00B35A22">
      <w:pPr>
        <w:widowControl w:val="0"/>
        <w:jc w:val="both"/>
        <w:rPr>
          <w:sz w:val="22"/>
          <w:lang w:val="sr-Latn-ME"/>
        </w:rPr>
      </w:pPr>
    </w:p>
    <w:p w14:paraId="246915E1" w14:textId="77777777" w:rsidR="002B101E" w:rsidRPr="00B35A22" w:rsidRDefault="002B101E" w:rsidP="00B35A22">
      <w:pPr>
        <w:widowControl w:val="0"/>
        <w:jc w:val="both"/>
        <w:rPr>
          <w:i/>
          <w:sz w:val="22"/>
          <w:u w:val="single"/>
          <w:lang w:val="sr-Latn-ME"/>
        </w:rPr>
      </w:pPr>
      <w:r w:rsidRPr="00B35A22">
        <w:rPr>
          <w:i/>
          <w:sz w:val="22"/>
          <w:u w:val="single"/>
          <w:lang w:val="sr-Latn-ME"/>
        </w:rPr>
        <w:t>Pedijatrijska populacija</w:t>
      </w:r>
    </w:p>
    <w:p w14:paraId="6E792B9B" w14:textId="77777777" w:rsidR="002B101E" w:rsidRPr="00B35A22" w:rsidRDefault="002B101E" w:rsidP="00B35A22">
      <w:pPr>
        <w:widowControl w:val="0"/>
        <w:jc w:val="both"/>
        <w:rPr>
          <w:sz w:val="22"/>
          <w:lang w:val="sr-Latn-ME"/>
        </w:rPr>
      </w:pPr>
    </w:p>
    <w:p w14:paraId="1E2C0F53" w14:textId="345AC2F9" w:rsidR="002B101E" w:rsidRPr="00B35A22" w:rsidRDefault="00E42227" w:rsidP="00B35A22">
      <w:pPr>
        <w:widowControl w:val="0"/>
        <w:jc w:val="both"/>
        <w:rPr>
          <w:sz w:val="22"/>
          <w:lang w:val="sr-Latn-ME"/>
        </w:rPr>
      </w:pPr>
      <w:r w:rsidRPr="00B35A22">
        <w:rPr>
          <w:sz w:val="22"/>
          <w:lang w:val="sr-Latn-ME"/>
        </w:rPr>
        <w:t>Farmakokinetički rezultati jednog multicentričnog, otvorenog ispitivanja rane faze koje je sprovedeno kod pedijatrijskih (&lt; 18 godina, n=69) i mladih odraslih pacijenata (18 </w:t>
      </w:r>
      <w:r w:rsidRPr="00B35A22">
        <w:rPr>
          <w:sz w:val="22"/>
          <w:lang w:val="sr-Latn-ME"/>
        </w:rPr>
        <w:noBreakHyphen/>
        <w:t xml:space="preserve"> 30 godina, n=18) pokazuju da su klirens i volumen distribucije atezolizumaba nakon normalizacije prema tjelesnoj masi bili uporedivi </w:t>
      </w:r>
      <w:r w:rsidRPr="00B35A22">
        <w:rPr>
          <w:sz w:val="22"/>
          <w:lang w:val="sr-Latn-ME"/>
        </w:rPr>
        <w:lastRenderedPageBreak/>
        <w:t xml:space="preserve">kod pedijatrijskih pacijenata koji su primali dozu od 15 mg/kg </w:t>
      </w:r>
      <w:r w:rsidR="001C2391" w:rsidRPr="00B35A22">
        <w:rPr>
          <w:sz w:val="22"/>
          <w:lang w:val="sr-Latn-ME"/>
        </w:rPr>
        <w:t>t</w:t>
      </w:r>
      <w:r w:rsidR="001C00D9" w:rsidRPr="00B35A22">
        <w:rPr>
          <w:sz w:val="22"/>
          <w:lang w:val="sr-Latn-ME"/>
        </w:rPr>
        <w:t>j</w:t>
      </w:r>
      <w:r w:rsidR="001C2391" w:rsidRPr="00B35A22">
        <w:rPr>
          <w:sz w:val="22"/>
          <w:lang w:val="sr-Latn-ME"/>
        </w:rPr>
        <w:t>elesne mase</w:t>
      </w:r>
      <w:r w:rsidR="00640028" w:rsidRPr="00B35A22">
        <w:rPr>
          <w:sz w:val="22"/>
          <w:lang w:val="sr-Latn-ME"/>
        </w:rPr>
        <w:t xml:space="preserve"> </w:t>
      </w:r>
      <w:r w:rsidRPr="00B35A22">
        <w:rPr>
          <w:sz w:val="22"/>
          <w:lang w:val="sr-Latn-ME"/>
        </w:rPr>
        <w:t>i mladih odraslih pacijenata koji su primali dozu od 1200 mg atezolizumaba svake 3 nedjelje, uz trend pada izloženosti lijeku sa smanjenjem tjelesne mase kod pedijatrijskih pacijenata. Te razlike ni</w:t>
      </w:r>
      <w:r w:rsidR="001C00D9" w:rsidRPr="00B35A22">
        <w:rPr>
          <w:sz w:val="22"/>
          <w:lang w:val="sr-Latn-ME"/>
        </w:rPr>
        <w:t>je</w:t>
      </w:r>
      <w:r w:rsidRPr="00B35A22">
        <w:rPr>
          <w:sz w:val="22"/>
          <w:lang w:val="sr-Latn-ME"/>
        </w:rPr>
        <w:t>su bile povezane sa padom koncentracija atezolizumaba ispod ciljne terapijske izloženosti. Podaci za djecu mlađu od 2 godine su ograničeni, pa se ne mogu donijeti definitivni zaključci.</w:t>
      </w:r>
    </w:p>
    <w:p w14:paraId="71C8C598" w14:textId="77777777" w:rsidR="00D6787D" w:rsidRPr="00B35A22" w:rsidRDefault="00D6787D" w:rsidP="00B35A22">
      <w:pPr>
        <w:widowControl w:val="0"/>
        <w:jc w:val="both"/>
        <w:rPr>
          <w:i/>
          <w:sz w:val="22"/>
          <w:u w:val="single"/>
          <w:lang w:val="sr-Latn-ME"/>
        </w:rPr>
      </w:pPr>
    </w:p>
    <w:p w14:paraId="1B549582" w14:textId="46CAEBE7" w:rsidR="002B101E" w:rsidRPr="00B35A22" w:rsidRDefault="002B101E" w:rsidP="00B35A22">
      <w:pPr>
        <w:widowControl w:val="0"/>
        <w:jc w:val="both"/>
        <w:rPr>
          <w:i/>
          <w:sz w:val="22"/>
          <w:u w:val="single"/>
          <w:lang w:val="sr-Latn-ME"/>
        </w:rPr>
      </w:pPr>
      <w:r w:rsidRPr="00B35A22">
        <w:rPr>
          <w:i/>
          <w:sz w:val="22"/>
          <w:u w:val="single"/>
          <w:lang w:val="sr-Latn-ME"/>
        </w:rPr>
        <w:t>Oštećenje funkcije bubrega</w:t>
      </w:r>
    </w:p>
    <w:p w14:paraId="16F8521A" w14:textId="77777777" w:rsidR="002B101E" w:rsidRPr="00B35A22" w:rsidRDefault="002B101E" w:rsidP="00B35A22">
      <w:pPr>
        <w:widowControl w:val="0"/>
        <w:jc w:val="both"/>
        <w:rPr>
          <w:sz w:val="22"/>
          <w:lang w:val="sr-Latn-ME"/>
        </w:rPr>
      </w:pPr>
    </w:p>
    <w:p w14:paraId="4F7279EC" w14:textId="77777777" w:rsidR="002B101E" w:rsidRPr="00B35A22" w:rsidRDefault="002B101E" w:rsidP="00B35A22">
      <w:pPr>
        <w:widowControl w:val="0"/>
        <w:jc w:val="both"/>
        <w:rPr>
          <w:sz w:val="22"/>
          <w:lang w:val="sr-Latn-ME"/>
        </w:rPr>
      </w:pPr>
      <w:r w:rsidRPr="00B35A22">
        <w:rPr>
          <w:sz w:val="22"/>
          <w:lang w:val="sr-Latn-ME"/>
        </w:rPr>
        <w:t xml:space="preserve">Nijesu sprovedena specifična ispitivanja atezolizumaba kod pacijenata sa oštećenjem bubrežne funkcije. U populacionoj farmakokinetičkoj analizi nijesu pronađene klinički važne razlike u klirensu atezolizumaba kod pacijenata sa blagim (eGFR 60 - 89 ml/min/1,73 m2; n=208) ili umjerenim (eGFR 30 - 59 ml/min/1,73 m2; n=116) oštećenjem bubrežne funkcije u odnosu na pacijente sa normalnom bubrežnom funkcijom (eGFR ≥ 90 ml/min/1,73 m2; n=140). Svega je nekoliko pacijenata imalo teško oštećenje bubrežne funkcije (eGFR 15 - 29 ml/min/1,73 m2; n=8) (vidjeti dio 4.2). Efekat teškog oštećenja bubrežne funkcije na farmakokinetiku atezolizumaba nije poznat.  </w:t>
      </w:r>
    </w:p>
    <w:p w14:paraId="75BC41B3" w14:textId="77777777" w:rsidR="002B101E" w:rsidRPr="00B35A22" w:rsidRDefault="002B101E" w:rsidP="00B35A22">
      <w:pPr>
        <w:widowControl w:val="0"/>
        <w:jc w:val="both"/>
        <w:rPr>
          <w:sz w:val="22"/>
          <w:lang w:val="sr-Latn-ME"/>
        </w:rPr>
      </w:pPr>
      <w:r w:rsidRPr="00B35A22">
        <w:rPr>
          <w:sz w:val="22"/>
          <w:lang w:val="sr-Latn-ME"/>
        </w:rPr>
        <w:t xml:space="preserve">  </w:t>
      </w:r>
    </w:p>
    <w:p w14:paraId="5231709A" w14:textId="77777777" w:rsidR="002B101E" w:rsidRPr="00B35A22" w:rsidRDefault="002B101E" w:rsidP="00B35A22">
      <w:pPr>
        <w:widowControl w:val="0"/>
        <w:jc w:val="both"/>
        <w:rPr>
          <w:i/>
          <w:sz w:val="22"/>
          <w:u w:val="single"/>
          <w:lang w:val="sr-Latn-ME"/>
        </w:rPr>
      </w:pPr>
      <w:r w:rsidRPr="00B35A22">
        <w:rPr>
          <w:i/>
          <w:sz w:val="22"/>
          <w:u w:val="single"/>
          <w:lang w:val="sr-Latn-ME"/>
        </w:rPr>
        <w:t xml:space="preserve">Oštećenje funkcije jetre </w:t>
      </w:r>
    </w:p>
    <w:p w14:paraId="4DB9B875" w14:textId="77777777" w:rsidR="002B101E" w:rsidRPr="00B35A22" w:rsidRDefault="002B101E" w:rsidP="00B35A22">
      <w:pPr>
        <w:widowControl w:val="0"/>
        <w:jc w:val="both"/>
        <w:rPr>
          <w:sz w:val="22"/>
          <w:lang w:val="sr-Latn-ME"/>
        </w:rPr>
      </w:pPr>
    </w:p>
    <w:p w14:paraId="68E64BA6" w14:textId="32BE958D" w:rsidR="002B101E" w:rsidRPr="00B35A22" w:rsidRDefault="002B101E" w:rsidP="00B35A22">
      <w:pPr>
        <w:widowControl w:val="0"/>
        <w:jc w:val="both"/>
        <w:rPr>
          <w:i/>
          <w:sz w:val="22"/>
          <w:lang w:val="sr-Latn-ME"/>
        </w:rPr>
      </w:pPr>
      <w:r w:rsidRPr="00B35A22">
        <w:rPr>
          <w:sz w:val="22"/>
          <w:lang w:val="sr-Latn-ME"/>
        </w:rPr>
        <w:t xml:space="preserve">Nijesu sprovedena specifična ispitivanja atezolizumaba kod pacijenata sa oštećenjem funkcije jetre. U populacionoj farmakokinetičkoj analizi nijesu pronađene klinički važne razlike u klirensu atezolizumaba </w:t>
      </w:r>
      <w:r w:rsidR="000578A6" w:rsidRPr="00B35A22">
        <w:rPr>
          <w:sz w:val="22"/>
          <w:lang w:val="sr-Latn-ME"/>
        </w:rPr>
        <w:t>kod</w:t>
      </w:r>
      <w:r w:rsidRPr="00B35A22">
        <w:rPr>
          <w:sz w:val="22"/>
          <w:lang w:val="sr-Latn-ME"/>
        </w:rPr>
        <w:t xml:space="preserve"> pacijenata sa blagim oštećenjem funkcije jetre (bilirubin ≤ GGN i AST ˃ GGN ili bilirubin x &gt; 1,0 – 1,5 x GGN i bilo koja vrijednost AST-a) i</w:t>
      </w:r>
      <w:r w:rsidR="000578A6" w:rsidRPr="00B35A22">
        <w:rPr>
          <w:sz w:val="22"/>
          <w:lang w:val="sr-Latn-ME"/>
        </w:rPr>
        <w:t>li</w:t>
      </w:r>
      <w:r w:rsidRPr="00B35A22">
        <w:rPr>
          <w:sz w:val="22"/>
          <w:lang w:val="sr-Latn-ME"/>
        </w:rPr>
        <w:t xml:space="preserve"> </w:t>
      </w:r>
      <w:r w:rsidR="000578A6" w:rsidRPr="00B35A22">
        <w:rPr>
          <w:sz w:val="22"/>
          <w:lang w:val="sr-Latn-ME"/>
        </w:rPr>
        <w:t>kod pacijenata sa umjerenim oštećenjem funkcije jetre (vrijednost bilirubina &gt; 1,5 do 3</w:t>
      </w:r>
      <w:r w:rsidR="00E03ED9" w:rsidRPr="00B35A22">
        <w:rPr>
          <w:sz w:val="22"/>
          <w:lang w:val="sr-Latn-ME"/>
        </w:rPr>
        <w:t xml:space="preserve"> x </w:t>
      </w:r>
      <w:r w:rsidR="000578A6" w:rsidRPr="00B35A22">
        <w:rPr>
          <w:sz w:val="22"/>
          <w:lang w:val="sr-Latn-ME"/>
        </w:rPr>
        <w:t>GGN i bilo koja vrij</w:t>
      </w:r>
      <w:r w:rsidR="00E03ED9" w:rsidRPr="00B35A22">
        <w:rPr>
          <w:sz w:val="22"/>
          <w:lang w:val="sr-Latn-ME"/>
        </w:rPr>
        <w:t>ednost AST-</w:t>
      </w:r>
      <w:r w:rsidR="000578A6" w:rsidRPr="00B35A22">
        <w:rPr>
          <w:sz w:val="22"/>
          <w:lang w:val="sr-Latn-ME"/>
        </w:rPr>
        <w:t>a) u odnosu na pacijente sa normalnom funkcijom jetre (vrijednost bilirubina ≤ GGN i vrijednost AST ≤ GGN)</w:t>
      </w:r>
      <w:r w:rsidRPr="00B35A22">
        <w:rPr>
          <w:sz w:val="22"/>
          <w:lang w:val="sr-Latn-ME"/>
        </w:rPr>
        <w:t>. Nema dostupnih podataka o pacijentima sa teškim oštećenjem funkcije jetre</w:t>
      </w:r>
      <w:r w:rsidR="000578A6" w:rsidRPr="00B35A22">
        <w:rPr>
          <w:sz w:val="22"/>
          <w:lang w:val="sr-Latn-ME"/>
        </w:rPr>
        <w:t xml:space="preserve"> (vrijednost bilirubina &gt; 3 </w:t>
      </w:r>
      <w:r w:rsidR="00E03ED9" w:rsidRPr="00B35A22">
        <w:rPr>
          <w:sz w:val="22"/>
          <w:lang w:val="sr-Latn-ME"/>
        </w:rPr>
        <w:t>x</w:t>
      </w:r>
      <w:r w:rsidR="000578A6" w:rsidRPr="00B35A22">
        <w:rPr>
          <w:sz w:val="22"/>
          <w:lang w:val="sr-Latn-ME"/>
        </w:rPr>
        <w:t> GGN i bilo koja vrijednost AST</w:t>
      </w:r>
      <w:r w:rsidR="000578A6" w:rsidRPr="00B35A22">
        <w:rPr>
          <w:sz w:val="22"/>
          <w:lang w:val="sr-Latn-ME"/>
        </w:rPr>
        <w:noBreakHyphen/>
        <w:t>a)</w:t>
      </w:r>
      <w:r w:rsidRPr="00B35A22">
        <w:rPr>
          <w:sz w:val="22"/>
          <w:lang w:val="sr-Latn-ME"/>
        </w:rPr>
        <w:t xml:space="preserve">. Oštećenje funkcije jetre definisalo se prema kriterijumima za ocjenu disfunkcije jetre </w:t>
      </w:r>
      <w:r w:rsidR="000578A6" w:rsidRPr="00B35A22">
        <w:rPr>
          <w:sz w:val="22"/>
          <w:lang w:val="sr-Latn-ME"/>
        </w:rPr>
        <w:t xml:space="preserve">radne grupe za poremećaje funkcije organa </w:t>
      </w:r>
      <w:r w:rsidRPr="00B35A22">
        <w:rPr>
          <w:sz w:val="22"/>
          <w:lang w:val="sr-Latn-ME"/>
        </w:rPr>
        <w:t xml:space="preserve">Nacionalnog </w:t>
      </w:r>
      <w:r w:rsidR="001C00D9" w:rsidRPr="00B35A22">
        <w:rPr>
          <w:sz w:val="22"/>
          <w:lang w:val="sr-Latn-ME"/>
        </w:rPr>
        <w:t>I</w:t>
      </w:r>
      <w:r w:rsidRPr="00B35A22">
        <w:rPr>
          <w:sz w:val="22"/>
          <w:lang w:val="sr-Latn-ME"/>
        </w:rPr>
        <w:t xml:space="preserve">nstituta za kancer (engl. </w:t>
      </w:r>
      <w:r w:rsidRPr="00B35A22">
        <w:rPr>
          <w:i/>
          <w:sz w:val="22"/>
          <w:lang w:val="sr-Latn-ME"/>
        </w:rPr>
        <w:t>National Cancer Institute</w:t>
      </w:r>
      <w:r w:rsidR="000578A6" w:rsidRPr="00B35A22">
        <w:rPr>
          <w:i/>
          <w:sz w:val="22"/>
          <w:lang w:val="sr-Latn-ME"/>
        </w:rPr>
        <w:t>-Organ Dysfunction Working Group</w:t>
      </w:r>
      <w:r w:rsidRPr="00B35A22">
        <w:rPr>
          <w:i/>
          <w:sz w:val="22"/>
          <w:lang w:val="sr-Latn-ME"/>
        </w:rPr>
        <w:t>,</w:t>
      </w:r>
      <w:r w:rsidRPr="00B35A22">
        <w:rPr>
          <w:sz w:val="22"/>
          <w:lang w:val="sr-Latn-ME"/>
        </w:rPr>
        <w:t xml:space="preserve"> NCI</w:t>
      </w:r>
      <w:r w:rsidR="000578A6" w:rsidRPr="00B35A22">
        <w:rPr>
          <w:sz w:val="22"/>
          <w:lang w:val="sr-Latn-ME"/>
        </w:rPr>
        <w:t>-ODWG</w:t>
      </w:r>
      <w:r w:rsidRPr="00B35A22">
        <w:rPr>
          <w:sz w:val="22"/>
          <w:lang w:val="sr-Latn-ME"/>
        </w:rPr>
        <w:t xml:space="preserve">) (vidjeti dio 4.2). Efekat teškog oštećenja funkcije jetre (bilirubin &gt; 3 x GGN i bilo koja vrijednost AST-a) na farmakokinetiku atezolizumaba nije poznat. </w:t>
      </w:r>
    </w:p>
    <w:p w14:paraId="6CDCE0B5" w14:textId="77777777" w:rsidR="0072020E" w:rsidRPr="00B35A22" w:rsidRDefault="0072020E" w:rsidP="00B35A22">
      <w:pPr>
        <w:widowControl w:val="0"/>
        <w:tabs>
          <w:tab w:val="left" w:pos="540"/>
          <w:tab w:val="left" w:pos="569"/>
        </w:tabs>
        <w:jc w:val="both"/>
        <w:rPr>
          <w:bCs/>
          <w:sz w:val="22"/>
          <w:szCs w:val="22"/>
          <w:lang w:val="sr-Latn-ME"/>
        </w:rPr>
      </w:pPr>
    </w:p>
    <w:p w14:paraId="70A57E28" w14:textId="01424AF6"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5.3. </w:t>
      </w:r>
      <w:r w:rsidR="00480FB1" w:rsidRPr="00B35A22">
        <w:rPr>
          <w:b/>
          <w:sz w:val="22"/>
          <w:lang w:val="sr-Latn-ME"/>
        </w:rPr>
        <w:tab/>
      </w:r>
      <w:r w:rsidRPr="00B35A22">
        <w:rPr>
          <w:b/>
          <w:sz w:val="22"/>
          <w:lang w:val="sr-Latn-ME"/>
        </w:rPr>
        <w:t xml:space="preserve">Pretklinički podaci o bezbjednosti </w:t>
      </w:r>
    </w:p>
    <w:p w14:paraId="67426069" w14:textId="77777777" w:rsidR="00151292" w:rsidRPr="00B35A22" w:rsidRDefault="00151292" w:rsidP="00B35A22">
      <w:pPr>
        <w:widowControl w:val="0"/>
        <w:tabs>
          <w:tab w:val="left" w:pos="540"/>
          <w:tab w:val="left" w:pos="569"/>
        </w:tabs>
        <w:jc w:val="both"/>
        <w:rPr>
          <w:b/>
          <w:sz w:val="22"/>
          <w:lang w:val="sr-Latn-ME"/>
        </w:rPr>
      </w:pPr>
    </w:p>
    <w:p w14:paraId="17E5AEDB" w14:textId="77777777" w:rsidR="00A93591" w:rsidRPr="00B35A22" w:rsidRDefault="00A93591" w:rsidP="00B35A22">
      <w:pPr>
        <w:widowControl w:val="0"/>
        <w:jc w:val="both"/>
        <w:rPr>
          <w:sz w:val="22"/>
          <w:u w:val="single"/>
          <w:lang w:val="sr-Latn-ME"/>
        </w:rPr>
      </w:pPr>
      <w:r w:rsidRPr="00B35A22">
        <w:rPr>
          <w:sz w:val="22"/>
          <w:u w:val="single"/>
          <w:lang w:val="sr-Latn-ME"/>
        </w:rPr>
        <w:t>Kancerogenost</w:t>
      </w:r>
    </w:p>
    <w:p w14:paraId="6171D7CE" w14:textId="77777777" w:rsidR="00A93591" w:rsidRPr="00B35A22" w:rsidRDefault="00A93591" w:rsidP="00B35A22">
      <w:pPr>
        <w:widowControl w:val="0"/>
        <w:jc w:val="both"/>
        <w:rPr>
          <w:sz w:val="22"/>
          <w:lang w:val="sr-Latn-ME"/>
        </w:rPr>
      </w:pPr>
      <w:r w:rsidRPr="00B35A22">
        <w:rPr>
          <w:sz w:val="22"/>
          <w:lang w:val="sr-Latn-ME"/>
        </w:rPr>
        <w:t>Nijesu sprovedena ispitivanja kojim bi se utvrdio kancerogeni potencijal atezolizumaba.</w:t>
      </w:r>
    </w:p>
    <w:p w14:paraId="6770E847" w14:textId="77777777" w:rsidR="00A93591" w:rsidRPr="00B35A22" w:rsidRDefault="00A93591" w:rsidP="00B35A22">
      <w:pPr>
        <w:widowControl w:val="0"/>
        <w:jc w:val="both"/>
        <w:rPr>
          <w:sz w:val="22"/>
          <w:lang w:val="sr-Latn-ME"/>
        </w:rPr>
      </w:pPr>
    </w:p>
    <w:p w14:paraId="718BE1F4" w14:textId="77777777" w:rsidR="00A93591" w:rsidRPr="00B35A22" w:rsidRDefault="00A93591" w:rsidP="00B35A22">
      <w:pPr>
        <w:widowControl w:val="0"/>
        <w:jc w:val="both"/>
        <w:rPr>
          <w:sz w:val="22"/>
          <w:u w:val="single"/>
          <w:lang w:val="sr-Latn-ME"/>
        </w:rPr>
      </w:pPr>
      <w:r w:rsidRPr="00B35A22">
        <w:rPr>
          <w:sz w:val="22"/>
          <w:u w:val="single"/>
          <w:lang w:val="sr-Latn-ME"/>
        </w:rPr>
        <w:t>Mutagenost</w:t>
      </w:r>
    </w:p>
    <w:p w14:paraId="1E6838A4" w14:textId="77777777" w:rsidR="00A93591" w:rsidRPr="00B35A22" w:rsidRDefault="00A93591" w:rsidP="00B35A22">
      <w:pPr>
        <w:widowControl w:val="0"/>
        <w:jc w:val="both"/>
        <w:rPr>
          <w:sz w:val="22"/>
          <w:lang w:val="sr-Latn-ME"/>
        </w:rPr>
      </w:pPr>
      <w:r w:rsidRPr="00B35A22">
        <w:rPr>
          <w:sz w:val="22"/>
          <w:lang w:val="sr-Latn-ME"/>
        </w:rPr>
        <w:t xml:space="preserve">Nijesu sprovedena ispitivanja kojim bi se utvrdio mutageni potencijal atezolizumaba. Međutim, ne očekuje se da će monoklonska antitijela izmijeniti DNK ili hromozome. </w:t>
      </w:r>
    </w:p>
    <w:p w14:paraId="1F51ADBE" w14:textId="77777777" w:rsidR="00A93591" w:rsidRPr="00B35A22" w:rsidRDefault="00A93591" w:rsidP="00B35A22">
      <w:pPr>
        <w:widowControl w:val="0"/>
        <w:jc w:val="both"/>
        <w:rPr>
          <w:sz w:val="22"/>
          <w:lang w:val="sr-Latn-ME"/>
        </w:rPr>
      </w:pPr>
    </w:p>
    <w:p w14:paraId="1B83146A" w14:textId="77777777" w:rsidR="00A93591" w:rsidRPr="00B35A22" w:rsidRDefault="00A93591" w:rsidP="00B35A22">
      <w:pPr>
        <w:widowControl w:val="0"/>
        <w:jc w:val="both"/>
        <w:rPr>
          <w:sz w:val="22"/>
          <w:u w:val="single"/>
          <w:lang w:val="sr-Latn-ME"/>
        </w:rPr>
      </w:pPr>
      <w:r w:rsidRPr="00B35A22">
        <w:rPr>
          <w:sz w:val="22"/>
          <w:u w:val="single"/>
          <w:lang w:val="sr-Latn-ME"/>
        </w:rPr>
        <w:t>Plodnost</w:t>
      </w:r>
    </w:p>
    <w:p w14:paraId="0EB2D770" w14:textId="5ECA30E4" w:rsidR="00A93591" w:rsidRPr="00B35A22" w:rsidRDefault="00A93591" w:rsidP="00B35A22">
      <w:pPr>
        <w:widowControl w:val="0"/>
        <w:jc w:val="both"/>
        <w:rPr>
          <w:sz w:val="22"/>
          <w:lang w:val="sr-Latn-ME"/>
        </w:rPr>
      </w:pPr>
      <w:r w:rsidRPr="00B35A22">
        <w:rPr>
          <w:sz w:val="22"/>
          <w:lang w:val="sr-Latn-ME"/>
        </w:rPr>
        <w:t xml:space="preserve">Nijesu </w:t>
      </w:r>
      <w:r w:rsidR="001C00D9" w:rsidRPr="00B35A22">
        <w:rPr>
          <w:sz w:val="22"/>
          <w:lang w:val="sr-Latn-ME"/>
        </w:rPr>
        <w:t>s</w:t>
      </w:r>
      <w:r w:rsidRPr="00B35A22">
        <w:rPr>
          <w:sz w:val="22"/>
          <w:lang w:val="sr-Latn-ME"/>
        </w:rPr>
        <w:t xml:space="preserve">provedena ispitivanja dejstva atezolizumaba na plodnost; međutim, ispitivanje hronične toksičnosti uključivalo je ocjenu reproduktivnih organa mužjaka i ženki makaki majmuna. Primjena najviše ispitivane doze atezolizumaba jednom nedjeljno ženkama majmuna, kojom je postignut procijenjeni PIK približno 6 puta veći od onoga koji se postiže kod pacijenata liječenih preporučenom dozom, prouzrokovala je neredovne menstruacijske cikluse i izostanak nastanka novih žutih tijela u jajnicima, ali ti su efekti bili reverzibilni. Nije bilo dejstava na reproduktivne organe mužjaka. </w:t>
      </w:r>
    </w:p>
    <w:p w14:paraId="7DFFAE9D" w14:textId="77777777" w:rsidR="00A93591" w:rsidRPr="00B35A22" w:rsidRDefault="00A93591" w:rsidP="00B35A22">
      <w:pPr>
        <w:widowControl w:val="0"/>
        <w:jc w:val="both"/>
        <w:rPr>
          <w:sz w:val="22"/>
          <w:lang w:val="sr-Latn-ME"/>
        </w:rPr>
      </w:pPr>
    </w:p>
    <w:p w14:paraId="54DAAF73" w14:textId="77777777" w:rsidR="00A93591" w:rsidRPr="00B35A22" w:rsidRDefault="00A93591" w:rsidP="00B35A22">
      <w:pPr>
        <w:widowControl w:val="0"/>
        <w:jc w:val="both"/>
        <w:rPr>
          <w:sz w:val="22"/>
          <w:u w:val="single"/>
          <w:lang w:val="sr-Latn-ME"/>
        </w:rPr>
      </w:pPr>
      <w:r w:rsidRPr="00B35A22">
        <w:rPr>
          <w:sz w:val="22"/>
          <w:u w:val="single"/>
          <w:lang w:val="sr-Latn-ME"/>
        </w:rPr>
        <w:t xml:space="preserve">Teratogenost </w:t>
      </w:r>
    </w:p>
    <w:p w14:paraId="6489B6B3" w14:textId="5FC6CE28" w:rsidR="00A93591" w:rsidRPr="00B35A22" w:rsidRDefault="00A93591" w:rsidP="00B35A22">
      <w:pPr>
        <w:widowControl w:val="0"/>
        <w:jc w:val="both"/>
        <w:rPr>
          <w:sz w:val="22"/>
          <w:lang w:val="sr-Latn-ME"/>
        </w:rPr>
      </w:pPr>
      <w:r w:rsidRPr="00B35A22">
        <w:rPr>
          <w:sz w:val="22"/>
          <w:lang w:val="sr-Latn-ME"/>
        </w:rPr>
        <w:t xml:space="preserve">Nijesu </w:t>
      </w:r>
      <w:r w:rsidR="001C00D9" w:rsidRPr="00B35A22">
        <w:rPr>
          <w:sz w:val="22"/>
          <w:lang w:val="sr-Latn-ME"/>
        </w:rPr>
        <w:t>s</w:t>
      </w:r>
      <w:r w:rsidRPr="00B35A22">
        <w:rPr>
          <w:sz w:val="22"/>
          <w:lang w:val="sr-Latn-ME"/>
        </w:rPr>
        <w:t>provedena ispitivanja reproduktivnih ili teratogenih efekata atezolizumaba na životinje. Ispitivanja na životinjama su pokazala da inhibicija puta PD-L1/PD-1 može da dovede do imunološki prouzrokovanog odbacivanja ploda u razvoju i tako dovede do smrti ploda. Primjena atezolizumaba mogla bi da naškodi plodu, prouzrokujući smrt zametka/ploda.</w:t>
      </w:r>
    </w:p>
    <w:p w14:paraId="1232EEC3" w14:textId="77777777" w:rsidR="00836B35" w:rsidRPr="00B35A22" w:rsidRDefault="00836B35" w:rsidP="00B35A22">
      <w:pPr>
        <w:widowControl w:val="0"/>
        <w:tabs>
          <w:tab w:val="left" w:pos="540"/>
          <w:tab w:val="left" w:pos="569"/>
        </w:tabs>
        <w:jc w:val="both"/>
        <w:rPr>
          <w:sz w:val="22"/>
          <w:lang w:val="sr-Latn-ME"/>
        </w:rPr>
      </w:pPr>
    </w:p>
    <w:p w14:paraId="46FE5A60" w14:textId="77777777" w:rsidR="00396DFD" w:rsidRPr="00B35A22" w:rsidRDefault="00396DFD" w:rsidP="00B35A22">
      <w:pPr>
        <w:widowControl w:val="0"/>
        <w:tabs>
          <w:tab w:val="left" w:pos="540"/>
          <w:tab w:val="left" w:pos="569"/>
        </w:tabs>
        <w:jc w:val="both"/>
        <w:rPr>
          <w:b/>
          <w:sz w:val="22"/>
          <w:lang w:val="sr-Latn-ME"/>
        </w:rPr>
      </w:pPr>
    </w:p>
    <w:p w14:paraId="26DDDCCF"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 </w:t>
      </w:r>
      <w:r w:rsidR="00480FB1" w:rsidRPr="00B35A22">
        <w:rPr>
          <w:b/>
          <w:sz w:val="22"/>
          <w:lang w:val="sr-Latn-ME"/>
        </w:rPr>
        <w:tab/>
      </w:r>
      <w:r w:rsidRPr="00B35A22">
        <w:rPr>
          <w:b/>
          <w:sz w:val="22"/>
          <w:lang w:val="sr-Latn-ME"/>
        </w:rPr>
        <w:t>FARMACEUTSKI PODACI</w:t>
      </w:r>
    </w:p>
    <w:p w14:paraId="286CB310" w14:textId="77777777" w:rsidR="00836B35" w:rsidRPr="00B35A22" w:rsidRDefault="00836B35" w:rsidP="00B35A22">
      <w:pPr>
        <w:widowControl w:val="0"/>
        <w:tabs>
          <w:tab w:val="left" w:pos="540"/>
          <w:tab w:val="left" w:pos="569"/>
        </w:tabs>
        <w:jc w:val="both"/>
        <w:rPr>
          <w:sz w:val="22"/>
          <w:lang w:val="sr-Latn-ME"/>
        </w:rPr>
      </w:pPr>
    </w:p>
    <w:p w14:paraId="6D1E39B0"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6.1. </w:t>
      </w:r>
      <w:r w:rsidR="00480FB1" w:rsidRPr="00B35A22">
        <w:rPr>
          <w:b/>
          <w:sz w:val="22"/>
          <w:lang w:val="sr-Latn-ME"/>
        </w:rPr>
        <w:tab/>
      </w:r>
      <w:r w:rsidRPr="00B35A22">
        <w:rPr>
          <w:b/>
          <w:sz w:val="22"/>
          <w:lang w:val="sr-Latn-ME"/>
        </w:rPr>
        <w:t>Lista pomoćnih supstanci</w:t>
      </w:r>
      <w:r w:rsidR="002E0135" w:rsidRPr="00B35A22">
        <w:rPr>
          <w:b/>
          <w:sz w:val="22"/>
          <w:lang w:val="sr-Latn-ME"/>
        </w:rPr>
        <w:t xml:space="preserve"> (ekscipijenasa)</w:t>
      </w:r>
    </w:p>
    <w:p w14:paraId="3B97FCB7" w14:textId="77777777" w:rsidR="00A93591" w:rsidRPr="00B35A22" w:rsidRDefault="00A93591" w:rsidP="00B35A22">
      <w:pPr>
        <w:widowControl w:val="0"/>
        <w:tabs>
          <w:tab w:val="left" w:pos="540"/>
          <w:tab w:val="left" w:pos="569"/>
        </w:tabs>
        <w:jc w:val="both"/>
        <w:rPr>
          <w:b/>
          <w:sz w:val="22"/>
          <w:lang w:val="sr-Latn-ME"/>
        </w:rPr>
      </w:pPr>
    </w:p>
    <w:p w14:paraId="50C6C1FC" w14:textId="51CB5F5B" w:rsidR="00A93591" w:rsidRPr="00B35A22" w:rsidRDefault="0065270B" w:rsidP="00B35A22">
      <w:pPr>
        <w:widowControl w:val="0"/>
        <w:jc w:val="both"/>
        <w:rPr>
          <w:sz w:val="22"/>
          <w:lang w:val="sr-Latn-ME"/>
        </w:rPr>
      </w:pPr>
      <w:r w:rsidRPr="00B35A22">
        <w:rPr>
          <w:sz w:val="22"/>
          <w:lang w:val="sr-Latn-ME"/>
        </w:rPr>
        <w:lastRenderedPageBreak/>
        <w:t xml:space="preserve">- </w:t>
      </w:r>
      <w:r w:rsidR="00A93591" w:rsidRPr="00B35A22">
        <w:rPr>
          <w:sz w:val="22"/>
          <w:lang w:val="sr-Latn-ME"/>
        </w:rPr>
        <w:t>L-histidin</w:t>
      </w:r>
    </w:p>
    <w:p w14:paraId="740CC1A7" w14:textId="0A4D4E30" w:rsidR="00A93591" w:rsidRPr="00B35A22" w:rsidRDefault="0065270B" w:rsidP="00B35A22">
      <w:pPr>
        <w:widowControl w:val="0"/>
        <w:jc w:val="both"/>
        <w:rPr>
          <w:sz w:val="22"/>
          <w:lang w:val="sr-Latn-ME"/>
        </w:rPr>
      </w:pPr>
      <w:r w:rsidRPr="00B35A22">
        <w:rPr>
          <w:sz w:val="22"/>
          <w:lang w:val="sr-Latn-ME"/>
        </w:rPr>
        <w:t xml:space="preserve">- </w:t>
      </w:r>
      <w:r w:rsidR="00A93591" w:rsidRPr="00B35A22">
        <w:rPr>
          <w:sz w:val="22"/>
          <w:lang w:val="sr-Latn-ME"/>
        </w:rPr>
        <w:t>sirćetna kiselina, glacijalna</w:t>
      </w:r>
    </w:p>
    <w:p w14:paraId="286E0D18" w14:textId="08AA8C24" w:rsidR="00A93591" w:rsidRPr="00B35A22" w:rsidRDefault="0065270B" w:rsidP="00B35A22">
      <w:pPr>
        <w:widowControl w:val="0"/>
        <w:jc w:val="both"/>
        <w:rPr>
          <w:sz w:val="22"/>
          <w:lang w:val="sr-Latn-ME"/>
        </w:rPr>
      </w:pPr>
      <w:r w:rsidRPr="00B35A22">
        <w:rPr>
          <w:sz w:val="22"/>
          <w:lang w:val="sr-Latn-ME"/>
        </w:rPr>
        <w:t xml:space="preserve">- </w:t>
      </w:r>
      <w:r w:rsidR="00A93591" w:rsidRPr="00B35A22">
        <w:rPr>
          <w:sz w:val="22"/>
          <w:lang w:val="sr-Latn-ME"/>
        </w:rPr>
        <w:t>s</w:t>
      </w:r>
      <w:r w:rsidR="00F43280" w:rsidRPr="00B35A22">
        <w:rPr>
          <w:sz w:val="22"/>
          <w:lang w:val="sr-Latn-ME"/>
        </w:rPr>
        <w:t>aharoza</w:t>
      </w:r>
    </w:p>
    <w:p w14:paraId="20F91B13" w14:textId="54F1AC73" w:rsidR="00A93591" w:rsidRPr="00B35A22" w:rsidRDefault="0065270B" w:rsidP="00B35A22">
      <w:pPr>
        <w:widowControl w:val="0"/>
        <w:jc w:val="both"/>
        <w:rPr>
          <w:sz w:val="22"/>
          <w:lang w:val="sr-Latn-ME"/>
        </w:rPr>
      </w:pPr>
      <w:r w:rsidRPr="00B35A22">
        <w:rPr>
          <w:sz w:val="22"/>
          <w:lang w:val="sr-Latn-ME"/>
        </w:rPr>
        <w:t xml:space="preserve">- </w:t>
      </w:r>
      <w:r w:rsidR="00A93591" w:rsidRPr="00B35A22">
        <w:rPr>
          <w:sz w:val="22"/>
          <w:lang w:val="sr-Latn-ME"/>
        </w:rPr>
        <w:t>polisorbat 20</w:t>
      </w:r>
    </w:p>
    <w:p w14:paraId="0F907B13" w14:textId="2FECBDF3" w:rsidR="00A93591" w:rsidRPr="00B35A22" w:rsidRDefault="0065270B" w:rsidP="00B35A22">
      <w:pPr>
        <w:widowControl w:val="0"/>
        <w:jc w:val="both"/>
        <w:rPr>
          <w:sz w:val="22"/>
          <w:lang w:val="sr-Latn-ME"/>
        </w:rPr>
      </w:pPr>
      <w:r w:rsidRPr="00B35A22">
        <w:rPr>
          <w:sz w:val="22"/>
          <w:lang w:val="sr-Latn-ME"/>
        </w:rPr>
        <w:t xml:space="preserve">- </w:t>
      </w:r>
      <w:r w:rsidR="00A93591" w:rsidRPr="00B35A22">
        <w:rPr>
          <w:sz w:val="22"/>
          <w:lang w:val="sr-Latn-ME"/>
        </w:rPr>
        <w:t>voda za injekcije</w:t>
      </w:r>
    </w:p>
    <w:p w14:paraId="34CE5335" w14:textId="77777777" w:rsidR="0072020E" w:rsidRPr="00B35A22" w:rsidRDefault="0072020E" w:rsidP="00B35A22">
      <w:pPr>
        <w:widowControl w:val="0"/>
        <w:tabs>
          <w:tab w:val="left" w:pos="540"/>
          <w:tab w:val="left" w:pos="569"/>
        </w:tabs>
        <w:jc w:val="both"/>
        <w:rPr>
          <w:sz w:val="22"/>
          <w:lang w:val="sr-Latn-ME"/>
        </w:rPr>
      </w:pPr>
    </w:p>
    <w:p w14:paraId="6A5AE0C8"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6.2. </w:t>
      </w:r>
      <w:r w:rsidR="00480FB1" w:rsidRPr="00B35A22">
        <w:rPr>
          <w:b/>
          <w:sz w:val="22"/>
          <w:lang w:val="sr-Latn-ME"/>
        </w:rPr>
        <w:tab/>
      </w:r>
      <w:r w:rsidRPr="00B35A22">
        <w:rPr>
          <w:b/>
          <w:sz w:val="22"/>
          <w:lang w:val="sr-Latn-ME"/>
        </w:rPr>
        <w:t>Inkompatibilnost</w:t>
      </w:r>
      <w:r w:rsidR="002846DB" w:rsidRPr="00B35A22">
        <w:rPr>
          <w:b/>
          <w:sz w:val="22"/>
          <w:lang w:val="sr-Latn-ME"/>
        </w:rPr>
        <w:t>i</w:t>
      </w:r>
    </w:p>
    <w:p w14:paraId="3B6E5244" w14:textId="77777777" w:rsidR="0072020E" w:rsidRPr="00B35A22" w:rsidRDefault="0072020E" w:rsidP="00B35A22">
      <w:pPr>
        <w:widowControl w:val="0"/>
        <w:tabs>
          <w:tab w:val="left" w:pos="540"/>
          <w:tab w:val="left" w:pos="569"/>
        </w:tabs>
        <w:jc w:val="both"/>
        <w:rPr>
          <w:sz w:val="22"/>
          <w:lang w:val="sr-Latn-ME"/>
        </w:rPr>
      </w:pPr>
    </w:p>
    <w:p w14:paraId="1256CCFA" w14:textId="3D41D49F" w:rsidR="00A93591" w:rsidRPr="00B35A22" w:rsidRDefault="00A031E4" w:rsidP="00B35A22">
      <w:pPr>
        <w:widowControl w:val="0"/>
        <w:tabs>
          <w:tab w:val="left" w:pos="540"/>
          <w:tab w:val="left" w:pos="569"/>
        </w:tabs>
        <w:jc w:val="both"/>
        <w:rPr>
          <w:sz w:val="22"/>
          <w:lang w:val="sr-Latn-ME"/>
        </w:rPr>
      </w:pPr>
      <w:r w:rsidRPr="00B35A22">
        <w:rPr>
          <w:sz w:val="22"/>
          <w:lang w:val="sr-Latn-ME"/>
        </w:rPr>
        <w:t>Zbog nedostatka ispitivanja kompatibilnosti ovaj l</w:t>
      </w:r>
      <w:r w:rsidR="00A93591" w:rsidRPr="00B35A22">
        <w:rPr>
          <w:sz w:val="22"/>
          <w:lang w:val="sr-Latn-ME"/>
        </w:rPr>
        <w:t xml:space="preserve">ijek se ne smije miješati sa drugim ljekovima, osim onih koji su navedeni u </w:t>
      </w:r>
      <w:r w:rsidR="004535FD" w:rsidRPr="00B35A22">
        <w:rPr>
          <w:sz w:val="22"/>
          <w:lang w:val="sr-Latn-ME"/>
        </w:rPr>
        <w:t xml:space="preserve">dijelu </w:t>
      </w:r>
      <w:r w:rsidR="00A93591" w:rsidRPr="00B35A22">
        <w:rPr>
          <w:sz w:val="22"/>
          <w:lang w:val="sr-Latn-ME"/>
        </w:rPr>
        <w:t>6.6.</w:t>
      </w:r>
    </w:p>
    <w:p w14:paraId="2702573B" w14:textId="77777777" w:rsidR="00A93591" w:rsidRPr="00B35A22" w:rsidRDefault="00A93591" w:rsidP="00B35A22">
      <w:pPr>
        <w:widowControl w:val="0"/>
        <w:tabs>
          <w:tab w:val="left" w:pos="540"/>
          <w:tab w:val="left" w:pos="569"/>
        </w:tabs>
        <w:jc w:val="both"/>
        <w:rPr>
          <w:sz w:val="22"/>
          <w:lang w:val="sr-Latn-ME"/>
        </w:rPr>
      </w:pPr>
    </w:p>
    <w:p w14:paraId="1FD9460E"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6.3.</w:t>
      </w:r>
      <w:r w:rsidR="00C05DF8" w:rsidRPr="00B35A22">
        <w:rPr>
          <w:b/>
          <w:sz w:val="22"/>
          <w:lang w:val="sr-Latn-ME"/>
        </w:rPr>
        <w:t xml:space="preserve"> </w:t>
      </w:r>
      <w:r w:rsidR="00480FB1" w:rsidRPr="00B35A22">
        <w:rPr>
          <w:b/>
          <w:sz w:val="22"/>
          <w:lang w:val="sr-Latn-ME"/>
        </w:rPr>
        <w:tab/>
      </w:r>
      <w:r w:rsidRPr="00B35A22">
        <w:rPr>
          <w:b/>
          <w:sz w:val="22"/>
          <w:lang w:val="sr-Latn-ME"/>
        </w:rPr>
        <w:t>Rok upotrebe</w:t>
      </w:r>
    </w:p>
    <w:p w14:paraId="6D6155D5" w14:textId="77777777" w:rsidR="00A93591" w:rsidRPr="00B35A22" w:rsidRDefault="00A93591" w:rsidP="00B35A22">
      <w:pPr>
        <w:widowControl w:val="0"/>
        <w:tabs>
          <w:tab w:val="left" w:pos="540"/>
          <w:tab w:val="left" w:pos="569"/>
        </w:tabs>
        <w:jc w:val="both"/>
        <w:rPr>
          <w:b/>
          <w:sz w:val="22"/>
          <w:lang w:val="sr-Latn-ME"/>
        </w:rPr>
      </w:pPr>
    </w:p>
    <w:p w14:paraId="4A26C8E9" w14:textId="77777777" w:rsidR="00A93591" w:rsidRPr="00B35A22" w:rsidRDefault="00A93591" w:rsidP="00B35A22">
      <w:pPr>
        <w:widowControl w:val="0"/>
        <w:jc w:val="both"/>
        <w:rPr>
          <w:sz w:val="22"/>
          <w:u w:val="single"/>
          <w:lang w:val="sr-Latn-ME"/>
        </w:rPr>
      </w:pPr>
      <w:r w:rsidRPr="00B35A22">
        <w:rPr>
          <w:sz w:val="22"/>
          <w:u w:val="single"/>
          <w:lang w:val="sr-Latn-ME"/>
        </w:rPr>
        <w:t>Neotvorena bočica</w:t>
      </w:r>
    </w:p>
    <w:p w14:paraId="4CF66849" w14:textId="77777777" w:rsidR="00A93591" w:rsidRPr="00B35A22" w:rsidRDefault="00A93591" w:rsidP="00B35A22">
      <w:pPr>
        <w:widowControl w:val="0"/>
        <w:jc w:val="both"/>
        <w:rPr>
          <w:sz w:val="22"/>
          <w:lang w:val="sr-Latn-ME"/>
        </w:rPr>
      </w:pPr>
      <w:r w:rsidRPr="00B35A22">
        <w:rPr>
          <w:sz w:val="22"/>
          <w:lang w:val="sr-Latn-ME"/>
        </w:rPr>
        <w:t>3 godine.</w:t>
      </w:r>
    </w:p>
    <w:p w14:paraId="240BA9F7" w14:textId="77777777" w:rsidR="00A93591" w:rsidRPr="00B35A22" w:rsidRDefault="00A93591" w:rsidP="00B35A22">
      <w:pPr>
        <w:widowControl w:val="0"/>
        <w:jc w:val="both"/>
        <w:rPr>
          <w:sz w:val="22"/>
          <w:lang w:val="sr-Latn-ME"/>
        </w:rPr>
      </w:pPr>
    </w:p>
    <w:p w14:paraId="6E841C5B" w14:textId="77777777" w:rsidR="00A93591" w:rsidRPr="00B35A22" w:rsidRDefault="00A93591" w:rsidP="00B35A22">
      <w:pPr>
        <w:widowControl w:val="0"/>
        <w:jc w:val="both"/>
        <w:rPr>
          <w:sz w:val="22"/>
          <w:u w:val="single"/>
          <w:lang w:val="sr-Latn-ME"/>
        </w:rPr>
      </w:pPr>
      <w:r w:rsidRPr="00B35A22">
        <w:rPr>
          <w:sz w:val="22"/>
          <w:u w:val="single"/>
          <w:lang w:val="sr-Latn-ME"/>
        </w:rPr>
        <w:t>Razblažen rastvor</w:t>
      </w:r>
    </w:p>
    <w:p w14:paraId="5D40AEAA" w14:textId="02A0201B" w:rsidR="00A93591" w:rsidRPr="00B35A22" w:rsidRDefault="00A93591" w:rsidP="00B35A22">
      <w:pPr>
        <w:widowControl w:val="0"/>
        <w:jc w:val="both"/>
        <w:rPr>
          <w:sz w:val="22"/>
          <w:lang w:val="sr-Latn-ME"/>
        </w:rPr>
      </w:pPr>
      <w:r w:rsidRPr="00B35A22">
        <w:rPr>
          <w:sz w:val="22"/>
          <w:lang w:val="sr-Latn-ME"/>
        </w:rPr>
        <w:t>Dokazana je hemijska i fizička stabilnost tokom najviše 24 sata na temperaturi</w:t>
      </w:r>
      <w:r w:rsidR="00D8750F" w:rsidRPr="00B35A22">
        <w:rPr>
          <w:sz w:val="22"/>
          <w:lang w:val="sr-Latn-ME"/>
        </w:rPr>
        <w:t xml:space="preserve"> </w:t>
      </w:r>
      <w:r w:rsidRPr="00B35A22">
        <w:rPr>
          <w:sz w:val="22"/>
          <w:lang w:val="sr-Latn-ME"/>
        </w:rPr>
        <w:t xml:space="preserve"> </w:t>
      </w:r>
      <w:r w:rsidR="004D4785" w:rsidRPr="00B35A22">
        <w:rPr>
          <w:sz w:val="22"/>
          <w:lang w:val="sr-Latn-ME"/>
        </w:rPr>
        <w:t xml:space="preserve">≤ 30°C </w:t>
      </w:r>
      <w:r w:rsidRPr="00B35A22">
        <w:rPr>
          <w:sz w:val="22"/>
          <w:lang w:val="sr-Latn-ME"/>
        </w:rPr>
        <w:t xml:space="preserve">ili tokom </w:t>
      </w:r>
      <w:r w:rsidR="004D4785" w:rsidRPr="00B35A22">
        <w:rPr>
          <w:sz w:val="22"/>
          <w:lang w:val="sr-Latn-ME"/>
        </w:rPr>
        <w:t>najviše 30 dana</w:t>
      </w:r>
      <w:r w:rsidRPr="00B35A22">
        <w:rPr>
          <w:sz w:val="22"/>
          <w:lang w:val="sr-Latn-ME"/>
        </w:rPr>
        <w:t xml:space="preserve"> na temperaturi </w:t>
      </w:r>
      <w:r w:rsidR="004D4785" w:rsidRPr="00B35A22">
        <w:rPr>
          <w:sz w:val="22"/>
          <w:lang w:val="sr-Latn-ME"/>
        </w:rPr>
        <w:t xml:space="preserve">od 2°C do 8°C </w:t>
      </w:r>
      <w:r w:rsidRPr="00B35A22">
        <w:rPr>
          <w:sz w:val="22"/>
          <w:lang w:val="sr-Latn-ME"/>
        </w:rPr>
        <w:t xml:space="preserve">od trenutka pripreme. </w:t>
      </w:r>
    </w:p>
    <w:p w14:paraId="1579A745" w14:textId="77777777" w:rsidR="00A93591" w:rsidRPr="00B35A22" w:rsidRDefault="00A93591" w:rsidP="00B35A22">
      <w:pPr>
        <w:widowControl w:val="0"/>
        <w:jc w:val="both"/>
        <w:rPr>
          <w:sz w:val="22"/>
          <w:lang w:val="sr-Latn-ME"/>
        </w:rPr>
      </w:pPr>
    </w:p>
    <w:p w14:paraId="7712D10A" w14:textId="2FB959AB" w:rsidR="00A93591" w:rsidRPr="00B35A22" w:rsidRDefault="00A93591" w:rsidP="00B35A22">
      <w:pPr>
        <w:widowControl w:val="0"/>
        <w:jc w:val="both"/>
        <w:rPr>
          <w:sz w:val="22"/>
          <w:lang w:val="sr-Latn-ME"/>
        </w:rPr>
      </w:pPr>
      <w:r w:rsidRPr="00B35A22">
        <w:rPr>
          <w:sz w:val="22"/>
          <w:lang w:val="sr-Latn-ME"/>
        </w:rPr>
        <w:t xml:space="preserve">Sa mikrobiološkog stanovišta, pripremljeni rastvor za infuziju treba odmah primijeniti. Ako se ne primijeni odmah, trajanje i uslovi čuvanja do primjene lijeka odgovornost su korisnika, i ne bi </w:t>
      </w:r>
      <w:r w:rsidR="00003DB3" w:rsidRPr="00B35A22">
        <w:rPr>
          <w:sz w:val="22"/>
          <w:szCs w:val="22"/>
          <w:lang w:val="sr-Latn-ME"/>
        </w:rPr>
        <w:t>smijeli</w:t>
      </w:r>
      <w:r w:rsidR="00003DB3" w:rsidRPr="00B35A22">
        <w:rPr>
          <w:sz w:val="22"/>
          <w:lang w:val="sr-Latn-ME"/>
        </w:rPr>
        <w:t xml:space="preserve"> </w:t>
      </w:r>
      <w:r w:rsidRPr="00B35A22">
        <w:rPr>
          <w:sz w:val="22"/>
          <w:lang w:val="sr-Latn-ME"/>
        </w:rPr>
        <w:t>da budu duži od 24 sata na temperaturi od 2°C do 8°C ili od 8 sati na sobnoj temperaturi (≤ 25°C)</w:t>
      </w:r>
      <w:r w:rsidR="004D4785" w:rsidRPr="00B35A22">
        <w:rPr>
          <w:sz w:val="22"/>
          <w:lang w:val="sr-Latn-ME"/>
        </w:rPr>
        <w:t>, osim ako je razblaživanje sprovedeno u kontrolisanim i validiranim aseptičnim uslovima</w:t>
      </w:r>
      <w:r w:rsidRPr="00B35A22">
        <w:rPr>
          <w:sz w:val="22"/>
          <w:lang w:val="sr-Latn-ME"/>
        </w:rPr>
        <w:t>.</w:t>
      </w:r>
    </w:p>
    <w:p w14:paraId="27EA57B5" w14:textId="77777777" w:rsidR="0072020E" w:rsidRPr="00B35A22" w:rsidRDefault="0072020E" w:rsidP="00B35A22">
      <w:pPr>
        <w:widowControl w:val="0"/>
        <w:tabs>
          <w:tab w:val="left" w:pos="540"/>
          <w:tab w:val="left" w:pos="569"/>
        </w:tabs>
        <w:jc w:val="both"/>
        <w:rPr>
          <w:sz w:val="22"/>
          <w:lang w:val="sr-Latn-ME"/>
        </w:rPr>
      </w:pPr>
    </w:p>
    <w:p w14:paraId="643383F5"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6.4. </w:t>
      </w:r>
      <w:r w:rsidR="00480FB1" w:rsidRPr="00B35A22">
        <w:rPr>
          <w:b/>
          <w:sz w:val="22"/>
          <w:lang w:val="sr-Latn-ME"/>
        </w:rPr>
        <w:tab/>
      </w:r>
      <w:r w:rsidRPr="00B35A22">
        <w:rPr>
          <w:b/>
          <w:sz w:val="22"/>
          <w:lang w:val="sr-Latn-ME"/>
        </w:rPr>
        <w:t>Posebne mjere upozorenja pri čuvanju</w:t>
      </w:r>
      <w:r w:rsidR="00F8570A" w:rsidRPr="00B35A22">
        <w:rPr>
          <w:b/>
          <w:sz w:val="22"/>
          <w:lang w:val="sr-Latn-ME"/>
        </w:rPr>
        <w:t xml:space="preserve"> lijeka</w:t>
      </w:r>
    </w:p>
    <w:p w14:paraId="275A399A" w14:textId="77777777" w:rsidR="00A93591" w:rsidRPr="00B35A22" w:rsidRDefault="00A93591" w:rsidP="00B35A22">
      <w:pPr>
        <w:widowControl w:val="0"/>
        <w:jc w:val="both"/>
        <w:rPr>
          <w:sz w:val="22"/>
          <w:lang w:val="sr-Latn-ME"/>
        </w:rPr>
      </w:pPr>
    </w:p>
    <w:p w14:paraId="4B609C7D" w14:textId="061F8072" w:rsidR="00A93591"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Čuvati u frižideru (2°C</w:t>
      </w:r>
      <w:r w:rsidR="008B7DB8" w:rsidRPr="00B35A22">
        <w:rPr>
          <w:sz w:val="22"/>
          <w:lang w:val="sr-Latn-ME"/>
        </w:rPr>
        <w:t xml:space="preserve"> - </w:t>
      </w:r>
      <w:r w:rsidRPr="00B35A22">
        <w:rPr>
          <w:sz w:val="22"/>
          <w:lang w:val="sr-Latn-ME"/>
        </w:rPr>
        <w:t>8°C).</w:t>
      </w:r>
    </w:p>
    <w:p w14:paraId="18554EC1" w14:textId="77777777" w:rsidR="004F7F07" w:rsidRPr="00B35A22" w:rsidRDefault="004F7F07" w:rsidP="00B35A22">
      <w:pPr>
        <w:widowControl w:val="0"/>
        <w:tabs>
          <w:tab w:val="left" w:pos="284"/>
          <w:tab w:val="center" w:pos="4320"/>
          <w:tab w:val="right" w:pos="8640"/>
        </w:tabs>
        <w:jc w:val="both"/>
        <w:rPr>
          <w:sz w:val="22"/>
          <w:lang w:val="sr-Latn-ME"/>
        </w:rPr>
      </w:pPr>
    </w:p>
    <w:p w14:paraId="5460558E" w14:textId="4022F672" w:rsidR="00A93591"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Ne zamrzavati.</w:t>
      </w:r>
    </w:p>
    <w:p w14:paraId="6C3501A0" w14:textId="77777777" w:rsidR="004F7F07" w:rsidRPr="00B35A22" w:rsidRDefault="004F7F07" w:rsidP="00B35A22">
      <w:pPr>
        <w:widowControl w:val="0"/>
        <w:tabs>
          <w:tab w:val="left" w:pos="284"/>
          <w:tab w:val="center" w:pos="4320"/>
          <w:tab w:val="right" w:pos="8640"/>
        </w:tabs>
        <w:jc w:val="both"/>
        <w:rPr>
          <w:sz w:val="22"/>
          <w:lang w:val="sr-Latn-ME"/>
        </w:rPr>
      </w:pPr>
    </w:p>
    <w:p w14:paraId="0EBF02E1" w14:textId="769EF3AE" w:rsidR="00A93591"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Bočicu čuvati u spoljašnjem pakovanju radi zaštite od svjetlosti.</w:t>
      </w:r>
    </w:p>
    <w:p w14:paraId="50DE207E" w14:textId="77777777" w:rsidR="00A93591" w:rsidRPr="00B35A22" w:rsidRDefault="00A93591" w:rsidP="00B35A22">
      <w:pPr>
        <w:widowControl w:val="0"/>
        <w:tabs>
          <w:tab w:val="left" w:pos="284"/>
          <w:tab w:val="center" w:pos="4320"/>
          <w:tab w:val="right" w:pos="8640"/>
        </w:tabs>
        <w:jc w:val="both"/>
        <w:rPr>
          <w:sz w:val="22"/>
          <w:lang w:val="sr-Latn-ME"/>
        </w:rPr>
      </w:pPr>
    </w:p>
    <w:p w14:paraId="749168CC" w14:textId="4649FEC6" w:rsidR="00EC2532"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 xml:space="preserve">Uslove čuvanja nakon razblaživanja lijeka vidjeti u </w:t>
      </w:r>
      <w:r w:rsidR="004535FD" w:rsidRPr="00B35A22">
        <w:rPr>
          <w:sz w:val="22"/>
          <w:lang w:val="sr-Latn-ME"/>
        </w:rPr>
        <w:t xml:space="preserve">dijelu </w:t>
      </w:r>
      <w:r w:rsidRPr="00B35A22">
        <w:rPr>
          <w:sz w:val="22"/>
          <w:lang w:val="sr-Latn-ME"/>
        </w:rPr>
        <w:t>6.3.</w:t>
      </w:r>
    </w:p>
    <w:p w14:paraId="096E50F3" w14:textId="77777777" w:rsidR="00A93591" w:rsidRPr="00B35A22" w:rsidRDefault="00A93591" w:rsidP="00B35A22">
      <w:pPr>
        <w:widowControl w:val="0"/>
        <w:tabs>
          <w:tab w:val="left" w:pos="540"/>
          <w:tab w:val="left" w:pos="569"/>
        </w:tabs>
        <w:jc w:val="both"/>
        <w:rPr>
          <w:sz w:val="22"/>
          <w:lang w:val="sr-Latn-ME"/>
        </w:rPr>
      </w:pPr>
    </w:p>
    <w:p w14:paraId="6824310C"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6.5. </w:t>
      </w:r>
      <w:r w:rsidR="00480FB1" w:rsidRPr="00B35A22">
        <w:rPr>
          <w:b/>
          <w:sz w:val="22"/>
          <w:lang w:val="sr-Latn-ME"/>
        </w:rPr>
        <w:tab/>
      </w:r>
      <w:r w:rsidR="002846DB" w:rsidRPr="00B35A22">
        <w:rPr>
          <w:b/>
          <w:sz w:val="22"/>
          <w:lang w:val="sr-Latn-ME"/>
        </w:rPr>
        <w:t xml:space="preserve">Vrsta i sadržaj </w:t>
      </w:r>
      <w:r w:rsidR="00F8570A" w:rsidRPr="00B35A22">
        <w:rPr>
          <w:b/>
          <w:sz w:val="22"/>
          <w:lang w:val="sr-Latn-ME"/>
        </w:rPr>
        <w:t>pakovanja</w:t>
      </w:r>
      <w:r w:rsidR="00C06864" w:rsidRPr="00B35A22">
        <w:rPr>
          <w:b/>
          <w:sz w:val="22"/>
          <w:lang w:val="sr-Latn-ME"/>
        </w:rPr>
        <w:t xml:space="preserve"> </w:t>
      </w:r>
    </w:p>
    <w:p w14:paraId="4F7A9118" w14:textId="77777777" w:rsidR="00A93591" w:rsidRPr="00B35A22" w:rsidRDefault="00A93591" w:rsidP="00B35A22">
      <w:pPr>
        <w:widowControl w:val="0"/>
        <w:tabs>
          <w:tab w:val="left" w:pos="540"/>
          <w:tab w:val="left" w:pos="569"/>
        </w:tabs>
        <w:jc w:val="both"/>
        <w:rPr>
          <w:b/>
          <w:sz w:val="22"/>
          <w:lang w:val="sr-Latn-ME"/>
        </w:rPr>
      </w:pPr>
    </w:p>
    <w:p w14:paraId="2BA9C4AD" w14:textId="48EA020F" w:rsidR="00640028" w:rsidRPr="00B35A22" w:rsidRDefault="00640028" w:rsidP="00B35A22">
      <w:pPr>
        <w:widowControl w:val="0"/>
        <w:jc w:val="both"/>
        <w:outlineLvl w:val="0"/>
        <w:rPr>
          <w:sz w:val="22"/>
          <w:lang w:val="sr-Latn-ME"/>
        </w:rPr>
      </w:pPr>
      <w:r w:rsidRPr="00B35A22">
        <w:rPr>
          <w:sz w:val="22"/>
          <w:lang w:val="sr-Latn-ME"/>
        </w:rPr>
        <w:t xml:space="preserve">Unutrašnje pakovanje je bočica od bezbojnog stakla tipa I sa zatvaračem od butil gume i aluminijumskim prstenom sa sivom ili plavom plastičnom kapicom (flip-off), koja sadrži 14 ml ili 20 ml koncentrata za rastvor za infuziju. </w:t>
      </w:r>
    </w:p>
    <w:p w14:paraId="75D1B14A" w14:textId="77777777" w:rsidR="00A93591" w:rsidRPr="00B35A22" w:rsidRDefault="00A93591" w:rsidP="00B35A22">
      <w:pPr>
        <w:pStyle w:val="Header"/>
        <w:widowControl w:val="0"/>
        <w:tabs>
          <w:tab w:val="left" w:pos="284"/>
        </w:tabs>
        <w:jc w:val="both"/>
        <w:rPr>
          <w:sz w:val="22"/>
          <w:lang w:val="sr-Latn-ME"/>
        </w:rPr>
      </w:pPr>
    </w:p>
    <w:p w14:paraId="088B5481" w14:textId="77777777" w:rsidR="0072020E" w:rsidRPr="00B35A22" w:rsidRDefault="00A93591" w:rsidP="00B35A22">
      <w:pPr>
        <w:widowControl w:val="0"/>
        <w:tabs>
          <w:tab w:val="left" w:pos="540"/>
          <w:tab w:val="left" w:pos="569"/>
        </w:tabs>
        <w:jc w:val="both"/>
        <w:rPr>
          <w:sz w:val="22"/>
          <w:lang w:val="sr-Latn-ME"/>
        </w:rPr>
      </w:pPr>
      <w:r w:rsidRPr="00B35A22">
        <w:rPr>
          <w:sz w:val="22"/>
          <w:lang w:val="sr-Latn-ME"/>
        </w:rPr>
        <w:t>Pakovanje od jedne bočice.</w:t>
      </w:r>
    </w:p>
    <w:p w14:paraId="64358CA3" w14:textId="77777777" w:rsidR="00A93591" w:rsidRPr="00B35A22" w:rsidRDefault="00A93591" w:rsidP="00B35A22">
      <w:pPr>
        <w:widowControl w:val="0"/>
        <w:tabs>
          <w:tab w:val="left" w:pos="540"/>
          <w:tab w:val="left" w:pos="569"/>
        </w:tabs>
        <w:jc w:val="both"/>
        <w:rPr>
          <w:sz w:val="22"/>
          <w:lang w:val="sr-Latn-ME"/>
        </w:rPr>
      </w:pPr>
    </w:p>
    <w:p w14:paraId="756136C2" w14:textId="265FE3BD" w:rsidR="002846DB" w:rsidRPr="00B35A22" w:rsidRDefault="0072020E" w:rsidP="00B35A22">
      <w:pPr>
        <w:widowControl w:val="0"/>
        <w:tabs>
          <w:tab w:val="left" w:pos="540"/>
          <w:tab w:val="left" w:pos="569"/>
        </w:tabs>
        <w:jc w:val="both"/>
        <w:rPr>
          <w:b/>
          <w:sz w:val="22"/>
          <w:lang w:val="sr-Latn-ME"/>
        </w:rPr>
      </w:pPr>
      <w:r w:rsidRPr="00B35A22">
        <w:rPr>
          <w:b/>
          <w:sz w:val="22"/>
          <w:lang w:val="sr-Latn-ME"/>
        </w:rPr>
        <w:t xml:space="preserve">6.6. </w:t>
      </w:r>
      <w:r w:rsidR="00480FB1" w:rsidRPr="00B35A22">
        <w:rPr>
          <w:b/>
          <w:sz w:val="22"/>
          <w:lang w:val="sr-Latn-ME"/>
        </w:rPr>
        <w:tab/>
      </w:r>
      <w:r w:rsidRPr="00B35A22">
        <w:rPr>
          <w:b/>
          <w:color w:val="000000"/>
          <w:sz w:val="22"/>
          <w:lang w:val="sr-Latn-ME"/>
        </w:rPr>
        <w:t>Posebne mjere opreza pri odlaganju materijala koji treba odbaciti nakon primjene lijeka</w:t>
      </w:r>
      <w:r w:rsidRPr="00B35A22">
        <w:rPr>
          <w:b/>
          <w:sz w:val="22"/>
          <w:lang w:val="sr-Latn-ME"/>
        </w:rPr>
        <w:t xml:space="preserve"> </w:t>
      </w:r>
      <w:r w:rsidR="00310F03" w:rsidRPr="00B35A22">
        <w:rPr>
          <w:b/>
          <w:sz w:val="22"/>
          <w:lang w:val="sr-Latn-ME"/>
        </w:rPr>
        <w:t>(i druga uputs</w:t>
      </w:r>
      <w:r w:rsidR="00373EE3" w:rsidRPr="00B35A22">
        <w:rPr>
          <w:b/>
          <w:sz w:val="22"/>
          <w:lang w:val="sr-Latn-ME"/>
        </w:rPr>
        <w:t>t</w:t>
      </w:r>
      <w:r w:rsidR="00310F03" w:rsidRPr="00B35A22">
        <w:rPr>
          <w:b/>
          <w:sz w:val="22"/>
          <w:lang w:val="sr-Latn-ME"/>
        </w:rPr>
        <w:t xml:space="preserve">va za rukovanje lijekom) </w:t>
      </w:r>
    </w:p>
    <w:p w14:paraId="2D7E9FBF" w14:textId="77777777" w:rsidR="00A93591" w:rsidRPr="00B35A22" w:rsidRDefault="00A93591" w:rsidP="00B35A22">
      <w:pPr>
        <w:widowControl w:val="0"/>
        <w:tabs>
          <w:tab w:val="left" w:pos="540"/>
          <w:tab w:val="left" w:pos="569"/>
        </w:tabs>
        <w:jc w:val="both"/>
        <w:rPr>
          <w:b/>
          <w:sz w:val="22"/>
          <w:lang w:val="sr-Latn-ME"/>
        </w:rPr>
      </w:pPr>
    </w:p>
    <w:p w14:paraId="6DC3322F" w14:textId="30850CFC" w:rsidR="00A93591" w:rsidRPr="00B35A22" w:rsidRDefault="00A93591" w:rsidP="00B35A22">
      <w:pPr>
        <w:widowControl w:val="0"/>
        <w:jc w:val="both"/>
        <w:rPr>
          <w:sz w:val="22"/>
          <w:lang w:val="sr-Latn-ME"/>
        </w:rPr>
      </w:pPr>
      <w:r w:rsidRPr="00B35A22">
        <w:rPr>
          <w:sz w:val="22"/>
          <w:lang w:val="sr-Latn-ME"/>
        </w:rPr>
        <w:t>Tecentriq ne sadrži antimikrobne konzervanse</w:t>
      </w:r>
      <w:r w:rsidR="004D4785" w:rsidRPr="00B35A22">
        <w:rPr>
          <w:sz w:val="22"/>
          <w:lang w:val="sr-Latn-ME"/>
        </w:rPr>
        <w:t xml:space="preserve"> ni bakteriostatska sredstva</w:t>
      </w:r>
      <w:r w:rsidRPr="00B35A22">
        <w:rPr>
          <w:sz w:val="22"/>
          <w:lang w:val="sr-Latn-ME"/>
        </w:rPr>
        <w:t xml:space="preserve"> i treba ga pripremiti zdravstveni radnik primjenom aseptične tehnike</w:t>
      </w:r>
      <w:r w:rsidR="004D4785" w:rsidRPr="00B35A22">
        <w:rPr>
          <w:sz w:val="22"/>
          <w:lang w:val="sr-Latn-ME"/>
        </w:rPr>
        <w:t xml:space="preserve"> kako bi se osigurala sterilnost pripremlje</w:t>
      </w:r>
      <w:r w:rsidR="00B05731" w:rsidRPr="00B35A22">
        <w:rPr>
          <w:sz w:val="22"/>
          <w:lang w:val="sr-Latn-ME"/>
        </w:rPr>
        <w:t>n</w:t>
      </w:r>
      <w:r w:rsidR="004D4785" w:rsidRPr="00B35A22">
        <w:rPr>
          <w:sz w:val="22"/>
          <w:lang w:val="sr-Latn-ME"/>
        </w:rPr>
        <w:t>ih rastvora</w:t>
      </w:r>
      <w:r w:rsidRPr="00B35A22">
        <w:rPr>
          <w:sz w:val="22"/>
          <w:lang w:val="sr-Latn-ME"/>
        </w:rPr>
        <w:t>.</w:t>
      </w:r>
      <w:r w:rsidR="00346D2E" w:rsidRPr="00B35A22">
        <w:rPr>
          <w:sz w:val="22"/>
          <w:lang w:val="sr-Latn-ME"/>
        </w:rPr>
        <w:t xml:space="preserve"> Za pripremu lijeka Tecentriq koristite sterilnu iglu i špric.</w:t>
      </w:r>
    </w:p>
    <w:p w14:paraId="74692012" w14:textId="196D7459" w:rsidR="00A93591" w:rsidRPr="00B35A22" w:rsidRDefault="00A93591" w:rsidP="00B35A22">
      <w:pPr>
        <w:widowControl w:val="0"/>
        <w:jc w:val="both"/>
        <w:rPr>
          <w:sz w:val="22"/>
          <w:lang w:val="sr-Latn-ME"/>
        </w:rPr>
      </w:pPr>
    </w:p>
    <w:p w14:paraId="556DE8E4" w14:textId="77777777" w:rsidR="004535FD" w:rsidRPr="00B35A22" w:rsidRDefault="004D4785" w:rsidP="00B35A22">
      <w:pPr>
        <w:widowControl w:val="0"/>
        <w:jc w:val="both"/>
        <w:rPr>
          <w:sz w:val="22"/>
          <w:u w:val="single"/>
          <w:lang w:val="sr-Latn-ME"/>
        </w:rPr>
      </w:pPr>
      <w:r w:rsidRPr="00B35A22">
        <w:rPr>
          <w:sz w:val="22"/>
          <w:u w:val="single"/>
          <w:lang w:val="sr-Latn-ME"/>
        </w:rPr>
        <w:t>Aseptična priprema, rukovanje i čuvanje:</w:t>
      </w:r>
    </w:p>
    <w:p w14:paraId="37A7C884" w14:textId="1E5F9F45" w:rsidR="004D4785" w:rsidRPr="00B35A22" w:rsidRDefault="004D4785" w:rsidP="00B35A22">
      <w:pPr>
        <w:widowControl w:val="0"/>
        <w:jc w:val="both"/>
        <w:rPr>
          <w:sz w:val="22"/>
          <w:u w:val="single"/>
          <w:lang w:val="sr-Latn-ME"/>
        </w:rPr>
      </w:pPr>
      <w:r w:rsidRPr="00B35A22">
        <w:rPr>
          <w:sz w:val="22"/>
          <w:u w:val="single"/>
          <w:lang w:val="sr-Latn-ME"/>
        </w:rPr>
        <w:t xml:space="preserve"> </w:t>
      </w:r>
    </w:p>
    <w:p w14:paraId="3AC44F0A" w14:textId="3A185F42" w:rsidR="004D4785" w:rsidRPr="00B35A22" w:rsidRDefault="004D4785" w:rsidP="00B35A22">
      <w:pPr>
        <w:widowControl w:val="0"/>
        <w:jc w:val="both"/>
        <w:rPr>
          <w:sz w:val="22"/>
          <w:lang w:val="sr-Latn-ME"/>
        </w:rPr>
      </w:pPr>
      <w:r w:rsidRPr="00B35A22">
        <w:rPr>
          <w:sz w:val="22"/>
          <w:lang w:val="sr-Latn-ME"/>
        </w:rPr>
        <w:t>Kod pripreme infuzije mora se osigurati aseptično rukovanje lijekom.</w:t>
      </w:r>
    </w:p>
    <w:p w14:paraId="540B288A" w14:textId="77777777" w:rsidR="004535FD" w:rsidRPr="00B35A22" w:rsidRDefault="004535FD" w:rsidP="00B35A22">
      <w:pPr>
        <w:widowControl w:val="0"/>
        <w:jc w:val="both"/>
        <w:rPr>
          <w:sz w:val="22"/>
          <w:lang w:val="sr-Latn-ME"/>
        </w:rPr>
      </w:pPr>
    </w:p>
    <w:p w14:paraId="1818F95E" w14:textId="2BCAA160" w:rsidR="004D4785" w:rsidRPr="00B35A22" w:rsidRDefault="004D4785" w:rsidP="00B35A22">
      <w:pPr>
        <w:widowControl w:val="0"/>
        <w:ind w:left="1080" w:hanging="513"/>
        <w:jc w:val="both"/>
        <w:rPr>
          <w:sz w:val="22"/>
          <w:lang w:val="sr-Latn-ME"/>
        </w:rPr>
      </w:pPr>
      <w:r w:rsidRPr="00B35A22">
        <w:rPr>
          <w:sz w:val="22"/>
          <w:lang w:val="sr-Latn-ME"/>
        </w:rPr>
        <w:sym w:font="Symbol" w:char="F0B7"/>
      </w:r>
      <w:r w:rsidRPr="00B35A22">
        <w:rPr>
          <w:sz w:val="22"/>
          <w:lang w:val="sr-Latn-ME"/>
        </w:rPr>
        <w:tab/>
        <w:t xml:space="preserve">Pripremu treba da sprovodi obučeno osoblje u aseptičnim uslovima i u skladu sa pravilima dobre prakse, posebno onima koja se odnose na aseptičnu pripremu ljekova za parenteralnu primjenu. </w:t>
      </w:r>
    </w:p>
    <w:p w14:paraId="1123509C" w14:textId="484164D7" w:rsidR="004D4785" w:rsidRPr="00B35A22" w:rsidRDefault="004D4785" w:rsidP="00B35A22">
      <w:pPr>
        <w:widowControl w:val="0"/>
        <w:ind w:left="1080" w:hanging="513"/>
        <w:jc w:val="both"/>
        <w:rPr>
          <w:sz w:val="22"/>
          <w:lang w:val="sr-Latn-ME"/>
        </w:rPr>
      </w:pPr>
      <w:r w:rsidRPr="00B35A22">
        <w:rPr>
          <w:sz w:val="22"/>
          <w:lang w:val="sr-Latn-ME"/>
        </w:rPr>
        <w:sym w:font="Symbol" w:char="F0B7"/>
      </w:r>
      <w:r w:rsidRPr="00B35A22">
        <w:rPr>
          <w:sz w:val="22"/>
          <w:lang w:val="sr-Latn-ME"/>
        </w:rPr>
        <w:tab/>
        <w:t xml:space="preserve">Pripremu treba sprovoditi u komori sa laminarnim protokom vazduha ili u biološki bezbjednosnom kabinetu primjenjujući standardne mjere opreza za bezbjedno rukovanje </w:t>
      </w:r>
      <w:r w:rsidRPr="00B35A22">
        <w:rPr>
          <w:sz w:val="22"/>
          <w:lang w:val="sr-Latn-ME"/>
        </w:rPr>
        <w:lastRenderedPageBreak/>
        <w:t xml:space="preserve">ljekovima za intravensku primjenu. </w:t>
      </w:r>
    </w:p>
    <w:p w14:paraId="12D832C3" w14:textId="77777777" w:rsidR="004D4785" w:rsidRPr="00B35A22" w:rsidRDefault="004D4785" w:rsidP="00B35A22">
      <w:pPr>
        <w:widowControl w:val="0"/>
        <w:ind w:left="1080" w:hanging="513"/>
        <w:jc w:val="both"/>
        <w:rPr>
          <w:sz w:val="22"/>
          <w:lang w:val="sr-Latn-ME"/>
        </w:rPr>
      </w:pPr>
      <w:r w:rsidRPr="00B35A22">
        <w:rPr>
          <w:sz w:val="22"/>
          <w:lang w:val="sr-Latn-ME"/>
        </w:rPr>
        <w:sym w:font="Symbol" w:char="F0B7"/>
      </w:r>
      <w:r w:rsidRPr="00B35A22">
        <w:rPr>
          <w:sz w:val="22"/>
          <w:lang w:val="sr-Latn-ME"/>
        </w:rPr>
        <w:tab/>
        <w:t>Pripremljeni rastvor za intravensku infuziju treba čuvati na odgovarajući način kako bi se održali aseptični uslovi.</w:t>
      </w:r>
    </w:p>
    <w:p w14:paraId="352EE6A2" w14:textId="06FEF561" w:rsidR="004D4785" w:rsidRPr="00B35A22" w:rsidRDefault="004D4785" w:rsidP="00B35A22">
      <w:pPr>
        <w:widowControl w:val="0"/>
        <w:jc w:val="both"/>
        <w:rPr>
          <w:sz w:val="22"/>
          <w:lang w:val="sr-Latn-ME"/>
        </w:rPr>
      </w:pPr>
    </w:p>
    <w:p w14:paraId="00003B11" w14:textId="77777777" w:rsidR="00A93591" w:rsidRPr="00B35A22" w:rsidRDefault="00A93591" w:rsidP="00B35A22">
      <w:pPr>
        <w:widowControl w:val="0"/>
        <w:jc w:val="both"/>
        <w:rPr>
          <w:sz w:val="22"/>
          <w:lang w:val="sr-Latn-ME"/>
        </w:rPr>
      </w:pPr>
      <w:r w:rsidRPr="00B35A22">
        <w:rPr>
          <w:sz w:val="22"/>
          <w:lang w:val="sr-Latn-ME"/>
        </w:rPr>
        <w:t>Ne tresti.</w:t>
      </w:r>
    </w:p>
    <w:p w14:paraId="23E6BDA4" w14:textId="77777777" w:rsidR="00A93591" w:rsidRPr="00B35A22" w:rsidRDefault="00A93591" w:rsidP="00B35A22">
      <w:pPr>
        <w:widowControl w:val="0"/>
        <w:jc w:val="both"/>
        <w:rPr>
          <w:sz w:val="22"/>
          <w:lang w:val="sr-Latn-ME"/>
        </w:rPr>
      </w:pPr>
    </w:p>
    <w:p w14:paraId="6605F479" w14:textId="77777777" w:rsidR="00A93591" w:rsidRPr="00B35A22" w:rsidRDefault="00A93591" w:rsidP="00B35A22">
      <w:pPr>
        <w:widowControl w:val="0"/>
        <w:jc w:val="both"/>
        <w:rPr>
          <w:sz w:val="22"/>
          <w:u w:val="single"/>
          <w:lang w:val="sr-Latn-ME"/>
        </w:rPr>
      </w:pPr>
      <w:r w:rsidRPr="00B35A22">
        <w:rPr>
          <w:sz w:val="22"/>
          <w:u w:val="single"/>
          <w:lang w:val="sr-Latn-ME"/>
        </w:rPr>
        <w:t>Uputstvo za razblaživanje</w:t>
      </w:r>
    </w:p>
    <w:p w14:paraId="0D80C0EB" w14:textId="77777777" w:rsidR="00A93591" w:rsidRPr="00B35A22" w:rsidRDefault="00A93591" w:rsidP="00B35A22">
      <w:pPr>
        <w:widowControl w:val="0"/>
        <w:jc w:val="both"/>
        <w:rPr>
          <w:sz w:val="22"/>
          <w:lang w:val="sr-Latn-ME"/>
        </w:rPr>
      </w:pPr>
    </w:p>
    <w:p w14:paraId="35A4E996" w14:textId="7B4FFB1B" w:rsidR="00640028" w:rsidRPr="00B35A22" w:rsidRDefault="00640028" w:rsidP="00B35A22">
      <w:pPr>
        <w:widowControl w:val="0"/>
        <w:tabs>
          <w:tab w:val="left" w:pos="7371"/>
        </w:tabs>
        <w:jc w:val="both"/>
        <w:rPr>
          <w:sz w:val="22"/>
          <w:lang w:val="sr-Latn-ME"/>
        </w:rPr>
      </w:pPr>
      <w:r w:rsidRPr="00B35A22">
        <w:rPr>
          <w:sz w:val="22"/>
          <w:lang w:val="sr-Latn-ME"/>
        </w:rPr>
        <w:t xml:space="preserve">Za preporučenu dozu od 840 mg: Potrebno je izvući 14 ml koncentrata lijeka Tecentriq iz bočice i razblažiti ga ubrizgavanjem u polivinilhloridnu (PVC), poliolefinsku (PO), polietilensku (PE) ili polipropilensku (PP) infuzijsku kesicu koja sadrži rastvor za injekcije natrijum hlorida od 9 mg/ml (0,9%). </w:t>
      </w:r>
    </w:p>
    <w:p w14:paraId="5C981E03" w14:textId="77777777" w:rsidR="00640028" w:rsidRPr="00B35A22" w:rsidRDefault="00640028" w:rsidP="00B35A22">
      <w:pPr>
        <w:widowControl w:val="0"/>
        <w:jc w:val="both"/>
        <w:rPr>
          <w:sz w:val="22"/>
          <w:lang w:val="sr-Latn-ME"/>
        </w:rPr>
      </w:pPr>
    </w:p>
    <w:p w14:paraId="1F75AD9F" w14:textId="466139AA" w:rsidR="00A93591" w:rsidRPr="00B35A22" w:rsidRDefault="00640028" w:rsidP="00B35A22">
      <w:pPr>
        <w:widowControl w:val="0"/>
        <w:jc w:val="both"/>
        <w:rPr>
          <w:sz w:val="22"/>
          <w:lang w:val="sr-Latn-ME"/>
        </w:rPr>
      </w:pPr>
      <w:r w:rsidRPr="00B35A22">
        <w:rPr>
          <w:sz w:val="22"/>
          <w:lang w:val="sr-Latn-ME"/>
        </w:rPr>
        <w:t xml:space="preserve">Za preporučenu dozu od 1200 mg: </w:t>
      </w:r>
      <w:r w:rsidR="00A93591" w:rsidRPr="00B35A22">
        <w:rPr>
          <w:sz w:val="22"/>
          <w:lang w:val="sr-Latn-ME"/>
        </w:rPr>
        <w:t xml:space="preserve">Potrebno je izvući 20 ml koncentrata lijeka Tecentriq iz bočice i razblažiti ga ubrizgavanjem u </w:t>
      </w:r>
      <w:r w:rsidR="00B05731" w:rsidRPr="00B35A22">
        <w:rPr>
          <w:sz w:val="22"/>
          <w:lang w:val="sr-Latn-ME"/>
        </w:rPr>
        <w:t>polivinilhloridnu (</w:t>
      </w:r>
      <w:r w:rsidR="00A93591" w:rsidRPr="00B35A22">
        <w:rPr>
          <w:sz w:val="22"/>
          <w:lang w:val="sr-Latn-ME"/>
        </w:rPr>
        <w:t>PVC</w:t>
      </w:r>
      <w:r w:rsidR="00B05731" w:rsidRPr="00B35A22">
        <w:rPr>
          <w:sz w:val="22"/>
          <w:lang w:val="sr-Latn-ME"/>
        </w:rPr>
        <w:t>)</w:t>
      </w:r>
      <w:r w:rsidR="00A93591" w:rsidRPr="00B35A22">
        <w:rPr>
          <w:sz w:val="22"/>
          <w:lang w:val="sr-Latn-ME"/>
        </w:rPr>
        <w:t xml:space="preserve">, </w:t>
      </w:r>
      <w:r w:rsidR="00B05731" w:rsidRPr="00B35A22">
        <w:rPr>
          <w:sz w:val="22"/>
          <w:lang w:val="sr-Latn-ME"/>
        </w:rPr>
        <w:t xml:space="preserve">poliolefinsku (PO), </w:t>
      </w:r>
      <w:r w:rsidR="00A93591" w:rsidRPr="00B35A22">
        <w:rPr>
          <w:sz w:val="22"/>
          <w:lang w:val="sr-Latn-ME"/>
        </w:rPr>
        <w:t xml:space="preserve">polietilensku (PE) ili </w:t>
      </w:r>
      <w:r w:rsidR="00B05731" w:rsidRPr="00B35A22">
        <w:rPr>
          <w:sz w:val="22"/>
          <w:lang w:val="sr-Latn-ME"/>
        </w:rPr>
        <w:t xml:space="preserve">polipropilensku (PP) </w:t>
      </w:r>
      <w:r w:rsidR="00A93591" w:rsidRPr="00B35A22">
        <w:rPr>
          <w:sz w:val="22"/>
          <w:lang w:val="sr-Latn-ME"/>
        </w:rPr>
        <w:t xml:space="preserve">infuzijsku kesicu koja sadrži rastvor natrijum hlorida za injekcije od 9 mg/ml (0,9%). Nakon razblaživanja, </w:t>
      </w:r>
      <w:r w:rsidR="006729D2" w:rsidRPr="00B35A22">
        <w:rPr>
          <w:sz w:val="22"/>
          <w:lang w:val="sr-Latn-ME"/>
        </w:rPr>
        <w:t xml:space="preserve">konačna koncentracija razblaženog rastvora treba da bude između 3,2 </w:t>
      </w:r>
      <w:r w:rsidR="00D332BF" w:rsidRPr="00B35A22">
        <w:rPr>
          <w:sz w:val="22"/>
          <w:lang w:val="sr-Latn-ME"/>
        </w:rPr>
        <w:t xml:space="preserve">mg/ml </w:t>
      </w:r>
      <w:r w:rsidR="006729D2" w:rsidRPr="00B35A22">
        <w:rPr>
          <w:sz w:val="22"/>
          <w:lang w:val="sr-Latn-ME"/>
        </w:rPr>
        <w:t xml:space="preserve">i 16,8 mg/ml. </w:t>
      </w:r>
      <w:r w:rsidR="00A93591" w:rsidRPr="00B35A22">
        <w:rPr>
          <w:sz w:val="22"/>
          <w:lang w:val="sr-Latn-ME"/>
        </w:rPr>
        <w:t>Kesicu treba nježno okrenuti kako bi se rastvor pomiješao, a izbjeglo stvaranje pjene. Infuziju treba primijeniti odmah nakon pripreme (vidjeti dio 6.3).</w:t>
      </w:r>
    </w:p>
    <w:p w14:paraId="009273B9" w14:textId="1A8835A3" w:rsidR="00A93591" w:rsidRPr="00B35A22" w:rsidRDefault="00A93591" w:rsidP="00B35A22">
      <w:pPr>
        <w:widowControl w:val="0"/>
        <w:jc w:val="both"/>
        <w:rPr>
          <w:sz w:val="22"/>
          <w:lang w:val="sr-Latn-ME"/>
        </w:rPr>
      </w:pPr>
    </w:p>
    <w:p w14:paraId="6AF8A6AC" w14:textId="36098712" w:rsidR="00640028" w:rsidRPr="00B35A22" w:rsidRDefault="00640028" w:rsidP="00B35A22">
      <w:pPr>
        <w:widowControl w:val="0"/>
        <w:tabs>
          <w:tab w:val="left" w:pos="7371"/>
        </w:tabs>
        <w:jc w:val="both"/>
        <w:rPr>
          <w:sz w:val="22"/>
          <w:lang w:val="sr-Latn-ME"/>
        </w:rPr>
      </w:pPr>
      <w:r w:rsidRPr="00B35A22">
        <w:rPr>
          <w:sz w:val="22"/>
          <w:lang w:val="sr-Latn-ME"/>
        </w:rPr>
        <w:t xml:space="preserve">Za preporučenu dozu od 1680 mg: Potrebno je izvući 28 ml koncentrata lijeka Tecentriq iz dvije bočice lijeka Tecentriq od 840 mg i razblažiti ga ubrizgavanjem u polivinilhloridnu (PVC), poliolefinsku (PO), polietilensku (PE) ili polipropilensku (PP) infuzijsku kesicu koja sadrži rastvor za injekcije natrijum hlorida od 9 mg/ml (0,9%). </w:t>
      </w:r>
    </w:p>
    <w:p w14:paraId="4CC0CAB9" w14:textId="5D4BD706" w:rsidR="00F43280" w:rsidRPr="00B35A22" w:rsidRDefault="00F43280" w:rsidP="00B35A22">
      <w:pPr>
        <w:widowControl w:val="0"/>
        <w:tabs>
          <w:tab w:val="left" w:pos="7371"/>
        </w:tabs>
        <w:jc w:val="both"/>
        <w:rPr>
          <w:sz w:val="22"/>
          <w:lang w:val="sr-Latn-ME"/>
        </w:rPr>
      </w:pPr>
    </w:p>
    <w:p w14:paraId="6613B234" w14:textId="77777777" w:rsidR="00F43280" w:rsidRPr="00B35A22" w:rsidRDefault="00F43280" w:rsidP="00B35A22">
      <w:pPr>
        <w:widowControl w:val="0"/>
        <w:jc w:val="both"/>
        <w:rPr>
          <w:sz w:val="22"/>
          <w:lang w:val="sr-Latn-ME"/>
        </w:rPr>
      </w:pPr>
      <w:r w:rsidRPr="00B35A22">
        <w:rPr>
          <w:sz w:val="22"/>
          <w:lang w:val="sr-Latn-ME"/>
        </w:rPr>
        <w:t>Nakon razblaživanja (vidjeti dio 6.6), konačna koncentracija razblaženog rastvora treba da bude između 3,2 mg/ml i 16,8 mg/ml.</w:t>
      </w:r>
    </w:p>
    <w:p w14:paraId="4184F59E" w14:textId="75E08D4F" w:rsidR="00F43280" w:rsidRPr="00B35A22" w:rsidRDefault="00F43280" w:rsidP="00B35A22">
      <w:pPr>
        <w:widowControl w:val="0"/>
        <w:tabs>
          <w:tab w:val="left" w:pos="7371"/>
        </w:tabs>
        <w:jc w:val="both"/>
        <w:rPr>
          <w:sz w:val="22"/>
          <w:lang w:val="sr-Latn-ME"/>
        </w:rPr>
      </w:pPr>
    </w:p>
    <w:p w14:paraId="4299FCCC" w14:textId="3416FBAE" w:rsidR="00F43280" w:rsidRPr="00B35A22" w:rsidRDefault="00F43280" w:rsidP="00B35A22">
      <w:pPr>
        <w:widowControl w:val="0"/>
        <w:tabs>
          <w:tab w:val="left" w:pos="7371"/>
        </w:tabs>
        <w:jc w:val="both"/>
        <w:rPr>
          <w:sz w:val="22"/>
          <w:lang w:val="sr-Latn-ME"/>
        </w:rPr>
      </w:pPr>
      <w:r w:rsidRPr="00B35A22">
        <w:rPr>
          <w:sz w:val="22"/>
          <w:lang w:val="sr-Latn-ME"/>
        </w:rPr>
        <w:t>Infuzijsku kesicu sa treba blago okretati pri miješanju rastvora, kako bi se izbjegao nastanak pjene. Pripremljeni rastvor za infuziju treba odmah primijeniti</w:t>
      </w:r>
      <w:r w:rsidR="004B3BCA" w:rsidRPr="00B35A22">
        <w:rPr>
          <w:sz w:val="22"/>
          <w:lang w:val="sr-Latn-ME"/>
        </w:rPr>
        <w:t xml:space="preserve"> (vidjeti dio 6.3)</w:t>
      </w:r>
      <w:r w:rsidRPr="00B35A22">
        <w:rPr>
          <w:sz w:val="22"/>
          <w:lang w:val="sr-Latn-ME"/>
        </w:rPr>
        <w:t>.</w:t>
      </w:r>
    </w:p>
    <w:p w14:paraId="767E66A2" w14:textId="77777777" w:rsidR="00640028" w:rsidRPr="00B35A22" w:rsidRDefault="00640028" w:rsidP="00B35A22">
      <w:pPr>
        <w:widowControl w:val="0"/>
        <w:jc w:val="both"/>
        <w:rPr>
          <w:sz w:val="22"/>
          <w:lang w:val="sr-Latn-ME"/>
        </w:rPr>
      </w:pPr>
    </w:p>
    <w:p w14:paraId="0D6E3436" w14:textId="77777777" w:rsidR="00A93591" w:rsidRPr="00B35A22" w:rsidRDefault="00A93591" w:rsidP="00B35A22">
      <w:pPr>
        <w:widowControl w:val="0"/>
        <w:jc w:val="both"/>
        <w:rPr>
          <w:sz w:val="22"/>
          <w:lang w:val="sr-Latn-ME"/>
        </w:rPr>
      </w:pPr>
      <w:r w:rsidRPr="00B35A22">
        <w:rPr>
          <w:sz w:val="22"/>
          <w:lang w:val="sr-Latn-ME"/>
        </w:rPr>
        <w:t xml:space="preserve">Ljekove za parenteralnu primjenu treba prije primjene vizuelno pregledati kako bi se utvrdilo da li sadrže čestice i da li su promijenili boju. Rastvor se ne smije upotrijebiti ako su prisutne vidljive čestice ili promjena boje. </w:t>
      </w:r>
    </w:p>
    <w:p w14:paraId="57D5B157" w14:textId="77777777" w:rsidR="00A93591" w:rsidRPr="00B35A22" w:rsidRDefault="00A93591" w:rsidP="00B35A22">
      <w:pPr>
        <w:widowControl w:val="0"/>
        <w:jc w:val="both"/>
        <w:rPr>
          <w:sz w:val="22"/>
          <w:lang w:val="sr-Latn-ME"/>
        </w:rPr>
      </w:pPr>
    </w:p>
    <w:p w14:paraId="3C014503" w14:textId="268F80E7" w:rsidR="00A93591" w:rsidRPr="00B35A22" w:rsidRDefault="00A93591" w:rsidP="00B35A22">
      <w:pPr>
        <w:widowControl w:val="0"/>
        <w:jc w:val="both"/>
        <w:rPr>
          <w:sz w:val="22"/>
          <w:lang w:val="sr-Latn-ME"/>
        </w:rPr>
      </w:pPr>
      <w:r w:rsidRPr="00B35A22">
        <w:rPr>
          <w:sz w:val="22"/>
          <w:lang w:val="sr-Latn-ME"/>
        </w:rPr>
        <w:t>Nisu primijećene inkompatibilnosti između lijeka Tecentriq i intravenskih kesica čije su površine koje dolaze u kontakt sa lijekom izrađene od PVC</w:t>
      </w:r>
      <w:r w:rsidR="00F24D8B" w:rsidRPr="00B35A22">
        <w:rPr>
          <w:sz w:val="22"/>
          <w:lang w:val="sr-Latn-ME"/>
        </w:rPr>
        <w:t>-a</w:t>
      </w:r>
      <w:r w:rsidRPr="00B35A22">
        <w:rPr>
          <w:sz w:val="22"/>
          <w:lang w:val="sr-Latn-ME"/>
        </w:rPr>
        <w:t xml:space="preserve">, </w:t>
      </w:r>
      <w:r w:rsidR="00B05731" w:rsidRPr="00B35A22">
        <w:rPr>
          <w:sz w:val="22"/>
          <w:lang w:val="sr-Latn-ME"/>
        </w:rPr>
        <w:t>PO</w:t>
      </w:r>
      <w:r w:rsidR="00F24D8B" w:rsidRPr="00B35A22">
        <w:rPr>
          <w:sz w:val="22"/>
          <w:lang w:val="sr-Latn-ME"/>
        </w:rPr>
        <w:t>-a</w:t>
      </w:r>
      <w:r w:rsidR="00B05731" w:rsidRPr="00B35A22">
        <w:rPr>
          <w:sz w:val="22"/>
          <w:lang w:val="sr-Latn-ME"/>
        </w:rPr>
        <w:t xml:space="preserve">, </w:t>
      </w:r>
      <w:r w:rsidRPr="00B35A22">
        <w:rPr>
          <w:sz w:val="22"/>
          <w:lang w:val="sr-Latn-ME"/>
        </w:rPr>
        <w:t>PE</w:t>
      </w:r>
      <w:r w:rsidR="00F24D8B" w:rsidRPr="00B35A22">
        <w:rPr>
          <w:sz w:val="22"/>
          <w:lang w:val="sr-Latn-ME"/>
        </w:rPr>
        <w:t>-a</w:t>
      </w:r>
      <w:r w:rsidRPr="00B35A22">
        <w:rPr>
          <w:sz w:val="22"/>
          <w:lang w:val="sr-Latn-ME"/>
        </w:rPr>
        <w:t xml:space="preserve"> ili </w:t>
      </w:r>
      <w:r w:rsidR="00B05731" w:rsidRPr="00B35A22">
        <w:rPr>
          <w:sz w:val="22"/>
          <w:lang w:val="sr-Latn-ME"/>
        </w:rPr>
        <w:t>PP</w:t>
      </w:r>
      <w:r w:rsidR="00F24D8B" w:rsidRPr="00B35A22">
        <w:rPr>
          <w:sz w:val="22"/>
          <w:lang w:val="sr-Latn-ME"/>
        </w:rPr>
        <w:t>-a</w:t>
      </w:r>
      <w:r w:rsidRPr="00B35A22">
        <w:rPr>
          <w:sz w:val="22"/>
          <w:lang w:val="sr-Latn-ME"/>
        </w:rPr>
        <w:t>. Osim toga, nisu primijećene inkompatibilnosti sa ugrađenim (</w:t>
      </w:r>
      <w:r w:rsidRPr="00B35A22">
        <w:rPr>
          <w:i/>
          <w:sz w:val="22"/>
          <w:lang w:val="sr-Latn-ME"/>
        </w:rPr>
        <w:t>in-line</w:t>
      </w:r>
      <w:r w:rsidRPr="00B35A22">
        <w:rPr>
          <w:sz w:val="22"/>
          <w:lang w:val="sr-Latn-ME"/>
        </w:rPr>
        <w:t>) filterskim membranama napravljenim od polietersulfona ili polisulfona ni infuzijskim setovima i drugim infuzijskim pomagalima napravljenim od PVC, PE, polibutadiena ili polieteruretana. Upotreba ugrađenih filterskih membrana nije obavezna.</w:t>
      </w:r>
    </w:p>
    <w:p w14:paraId="18FD0312" w14:textId="279A194F" w:rsidR="00A031E4" w:rsidRPr="00B35A22" w:rsidRDefault="00A031E4" w:rsidP="00B35A22">
      <w:pPr>
        <w:widowControl w:val="0"/>
        <w:jc w:val="both"/>
        <w:rPr>
          <w:sz w:val="22"/>
          <w:lang w:val="sr-Latn-ME"/>
        </w:rPr>
      </w:pPr>
    </w:p>
    <w:p w14:paraId="52C92BAD" w14:textId="0F30B3DA" w:rsidR="00A031E4" w:rsidRPr="00B35A22" w:rsidRDefault="00A031E4" w:rsidP="00B35A22">
      <w:pPr>
        <w:widowControl w:val="0"/>
        <w:tabs>
          <w:tab w:val="left" w:pos="284"/>
        </w:tabs>
        <w:jc w:val="both"/>
        <w:rPr>
          <w:sz w:val="22"/>
          <w:lang w:val="sr-Latn-ME"/>
        </w:rPr>
      </w:pPr>
      <w:r w:rsidRPr="00B35A22">
        <w:rPr>
          <w:sz w:val="22"/>
          <w:lang w:val="sr-Latn-ME"/>
        </w:rPr>
        <w:t>U istoj infuzijskoj liniji ne smiju se istovremeno prim</w:t>
      </w:r>
      <w:r w:rsidR="00042108" w:rsidRPr="00B35A22">
        <w:rPr>
          <w:sz w:val="22"/>
          <w:lang w:val="sr-Latn-ME"/>
        </w:rPr>
        <w:t>j</w:t>
      </w:r>
      <w:r w:rsidRPr="00B35A22">
        <w:rPr>
          <w:sz w:val="22"/>
          <w:lang w:val="sr-Latn-ME"/>
        </w:rPr>
        <w:t xml:space="preserve">enjivati drugi ljekovi. </w:t>
      </w:r>
    </w:p>
    <w:p w14:paraId="17C1638D" w14:textId="77777777" w:rsidR="00A93591" w:rsidRPr="00B35A22" w:rsidRDefault="00A93591" w:rsidP="00B35A22">
      <w:pPr>
        <w:widowControl w:val="0"/>
        <w:jc w:val="both"/>
        <w:rPr>
          <w:sz w:val="22"/>
          <w:lang w:val="sr-Latn-ME"/>
        </w:rPr>
      </w:pPr>
    </w:p>
    <w:p w14:paraId="7114DB6E" w14:textId="77777777" w:rsidR="00A93591" w:rsidRPr="00B35A22" w:rsidRDefault="00A93591" w:rsidP="00B35A22">
      <w:pPr>
        <w:widowControl w:val="0"/>
        <w:jc w:val="both"/>
        <w:rPr>
          <w:sz w:val="22"/>
          <w:u w:val="single"/>
          <w:lang w:val="sr-Latn-ME"/>
        </w:rPr>
      </w:pPr>
      <w:r w:rsidRPr="00B35A22">
        <w:rPr>
          <w:sz w:val="22"/>
          <w:u w:val="single"/>
          <w:lang w:val="sr-Latn-ME"/>
        </w:rPr>
        <w:t>Odlaganje</w:t>
      </w:r>
    </w:p>
    <w:p w14:paraId="4833088A" w14:textId="77777777" w:rsidR="00A93591" w:rsidRPr="00B35A22" w:rsidRDefault="00A93591" w:rsidP="00B35A22">
      <w:pPr>
        <w:widowControl w:val="0"/>
        <w:jc w:val="both"/>
        <w:rPr>
          <w:sz w:val="22"/>
          <w:lang w:val="sr-Latn-ME"/>
        </w:rPr>
      </w:pPr>
    </w:p>
    <w:p w14:paraId="68DB8074" w14:textId="6A50DCB5" w:rsidR="00B66A70" w:rsidRPr="00B35A22" w:rsidRDefault="00A93591" w:rsidP="00B35A22">
      <w:pPr>
        <w:widowControl w:val="0"/>
        <w:jc w:val="both"/>
        <w:rPr>
          <w:sz w:val="22"/>
          <w:lang w:val="sr-Latn-ME"/>
        </w:rPr>
      </w:pPr>
      <w:r w:rsidRPr="00B35A22">
        <w:rPr>
          <w:sz w:val="22"/>
          <w:lang w:val="sr-Latn-ME"/>
        </w:rPr>
        <w:t xml:space="preserve">Odlaganje lijeka Tecentriq u spoljašnju sredinu treba svesti na najmanju moguću mjeru. Svu neiskorišćenu količinu lijeka ili otpadni materijal treba ukloniti u skladu sa </w:t>
      </w:r>
      <w:r w:rsidR="004535FD" w:rsidRPr="00B35A22">
        <w:rPr>
          <w:sz w:val="22"/>
          <w:lang w:val="sr-Latn-ME"/>
        </w:rPr>
        <w:t>važećim</w:t>
      </w:r>
      <w:r w:rsidRPr="00B35A22">
        <w:rPr>
          <w:sz w:val="22"/>
          <w:lang w:val="sr-Latn-ME"/>
        </w:rPr>
        <w:t xml:space="preserve"> propisima. </w:t>
      </w:r>
    </w:p>
    <w:p w14:paraId="47DBD8AD" w14:textId="4C635086" w:rsidR="0072020E" w:rsidRPr="00B35A22" w:rsidRDefault="0072020E" w:rsidP="00B35A22">
      <w:pPr>
        <w:widowControl w:val="0"/>
        <w:tabs>
          <w:tab w:val="left" w:pos="540"/>
          <w:tab w:val="left" w:pos="569"/>
        </w:tabs>
        <w:jc w:val="both"/>
        <w:rPr>
          <w:sz w:val="22"/>
          <w:lang w:val="sr-Latn-ME"/>
        </w:rPr>
      </w:pPr>
    </w:p>
    <w:p w14:paraId="1914F561" w14:textId="77777777" w:rsidR="00817E9E" w:rsidRPr="00B35A22" w:rsidRDefault="00817E9E" w:rsidP="00B35A22">
      <w:pPr>
        <w:widowControl w:val="0"/>
        <w:tabs>
          <w:tab w:val="left" w:pos="540"/>
          <w:tab w:val="left" w:pos="569"/>
        </w:tabs>
        <w:jc w:val="both"/>
        <w:rPr>
          <w:sz w:val="22"/>
          <w:lang w:val="sr-Latn-ME"/>
        </w:rPr>
      </w:pPr>
    </w:p>
    <w:p w14:paraId="58144C53" w14:textId="77777777" w:rsidR="00F8570A" w:rsidRPr="00B35A22" w:rsidRDefault="0072020E" w:rsidP="00B35A22">
      <w:pPr>
        <w:widowControl w:val="0"/>
        <w:tabs>
          <w:tab w:val="left" w:pos="540"/>
          <w:tab w:val="left" w:pos="569"/>
        </w:tabs>
        <w:jc w:val="both"/>
        <w:rPr>
          <w:b/>
          <w:sz w:val="22"/>
          <w:lang w:val="sr-Latn-ME"/>
        </w:rPr>
      </w:pPr>
      <w:r w:rsidRPr="00B35A22">
        <w:rPr>
          <w:b/>
          <w:sz w:val="22"/>
          <w:lang w:val="sr-Latn-ME"/>
        </w:rPr>
        <w:t xml:space="preserve">7. </w:t>
      </w:r>
      <w:r w:rsidR="00480FB1" w:rsidRPr="00B35A22">
        <w:rPr>
          <w:b/>
          <w:sz w:val="22"/>
          <w:lang w:val="sr-Latn-ME"/>
        </w:rPr>
        <w:tab/>
      </w:r>
      <w:r w:rsidRPr="00B35A22">
        <w:rPr>
          <w:b/>
          <w:sz w:val="22"/>
          <w:lang w:val="sr-Latn-ME"/>
        </w:rPr>
        <w:t>NOSILAC DOZVOLE</w:t>
      </w:r>
      <w:r w:rsidR="00483928" w:rsidRPr="00B35A22">
        <w:rPr>
          <w:b/>
          <w:sz w:val="22"/>
          <w:lang w:val="sr-Latn-ME"/>
        </w:rPr>
        <w:t xml:space="preserve"> </w:t>
      </w:r>
    </w:p>
    <w:p w14:paraId="1DC0E013" w14:textId="77777777" w:rsidR="00C61BE0" w:rsidRPr="00B35A22" w:rsidRDefault="00C61BE0" w:rsidP="00B35A22">
      <w:pPr>
        <w:widowControl w:val="0"/>
        <w:tabs>
          <w:tab w:val="left" w:pos="540"/>
          <w:tab w:val="left" w:pos="569"/>
        </w:tabs>
        <w:jc w:val="both"/>
        <w:rPr>
          <w:sz w:val="22"/>
          <w:lang w:val="sr-Latn-ME"/>
        </w:rPr>
      </w:pPr>
    </w:p>
    <w:p w14:paraId="0B60FD2A" w14:textId="77777777" w:rsidR="00A93591"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„Hoffmann-La Roche Ltd“ dio stranog društva Podgorica</w:t>
      </w:r>
    </w:p>
    <w:p w14:paraId="126D698C" w14:textId="1C77908D" w:rsidR="00A93591" w:rsidRPr="00B35A22" w:rsidRDefault="00A93591" w:rsidP="00B35A22">
      <w:pPr>
        <w:widowControl w:val="0"/>
        <w:tabs>
          <w:tab w:val="left" w:pos="284"/>
          <w:tab w:val="center" w:pos="4320"/>
          <w:tab w:val="right" w:pos="8640"/>
        </w:tabs>
        <w:jc w:val="both"/>
        <w:rPr>
          <w:sz w:val="22"/>
          <w:lang w:val="sr-Latn-ME"/>
        </w:rPr>
      </w:pPr>
      <w:r w:rsidRPr="00B35A22">
        <w:rPr>
          <w:sz w:val="22"/>
          <w:lang w:val="sr-Latn-ME"/>
        </w:rPr>
        <w:t>Cetinjska br. 11</w:t>
      </w:r>
      <w:r w:rsidR="004535FD" w:rsidRPr="00B35A22">
        <w:rPr>
          <w:sz w:val="22"/>
          <w:lang w:val="sr-Latn-ME"/>
        </w:rPr>
        <w:t xml:space="preserve">, </w:t>
      </w:r>
      <w:r w:rsidRPr="00B35A22">
        <w:rPr>
          <w:sz w:val="22"/>
          <w:lang w:val="sr-Latn-ME"/>
        </w:rPr>
        <w:t>81000 Podgorica, Crna Gora</w:t>
      </w:r>
    </w:p>
    <w:p w14:paraId="0A76CEEB" w14:textId="4D63250B" w:rsidR="00C37FD7" w:rsidRPr="00B35A22" w:rsidRDefault="00C37FD7" w:rsidP="00B35A22">
      <w:pPr>
        <w:widowControl w:val="0"/>
        <w:tabs>
          <w:tab w:val="left" w:pos="540"/>
          <w:tab w:val="left" w:pos="569"/>
        </w:tabs>
        <w:jc w:val="both"/>
        <w:rPr>
          <w:sz w:val="22"/>
          <w:lang w:val="sr-Latn-ME"/>
        </w:rPr>
      </w:pPr>
    </w:p>
    <w:p w14:paraId="6F90E272" w14:textId="77777777" w:rsidR="004535FD" w:rsidRPr="00B35A22" w:rsidRDefault="004535FD" w:rsidP="00B35A22">
      <w:pPr>
        <w:widowControl w:val="0"/>
        <w:tabs>
          <w:tab w:val="left" w:pos="540"/>
          <w:tab w:val="left" w:pos="569"/>
        </w:tabs>
        <w:jc w:val="both"/>
        <w:rPr>
          <w:sz w:val="22"/>
          <w:lang w:val="sr-Latn-ME"/>
        </w:rPr>
      </w:pPr>
    </w:p>
    <w:p w14:paraId="0AECC38C"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8. </w:t>
      </w:r>
      <w:r w:rsidR="00480FB1" w:rsidRPr="00B35A22">
        <w:rPr>
          <w:b/>
          <w:sz w:val="22"/>
          <w:lang w:val="sr-Latn-ME"/>
        </w:rPr>
        <w:tab/>
      </w:r>
      <w:r w:rsidRPr="00B35A22">
        <w:rPr>
          <w:b/>
          <w:sz w:val="22"/>
          <w:lang w:val="sr-Latn-ME"/>
        </w:rPr>
        <w:t>BROJ DOZVOLE</w:t>
      </w:r>
      <w:r w:rsidR="008A6D43" w:rsidRPr="00B35A22">
        <w:rPr>
          <w:b/>
          <w:sz w:val="22"/>
          <w:lang w:val="sr-Latn-ME"/>
        </w:rPr>
        <w:t xml:space="preserve"> ZA STAVLJANJE LIJEKA U PROMET</w:t>
      </w:r>
    </w:p>
    <w:p w14:paraId="381691D9" w14:textId="77777777" w:rsidR="0072020E" w:rsidRPr="00B35A22" w:rsidRDefault="0072020E" w:rsidP="00B35A22">
      <w:pPr>
        <w:widowControl w:val="0"/>
        <w:tabs>
          <w:tab w:val="left" w:pos="540"/>
          <w:tab w:val="left" w:pos="569"/>
        </w:tabs>
        <w:jc w:val="both"/>
        <w:rPr>
          <w:sz w:val="22"/>
          <w:lang w:val="sr-Latn-ME"/>
        </w:rPr>
      </w:pPr>
    </w:p>
    <w:p w14:paraId="604786C2" w14:textId="3B2FEDD6" w:rsidR="00640028" w:rsidRPr="00B35A22" w:rsidRDefault="00640028" w:rsidP="00B35A22">
      <w:pPr>
        <w:widowControl w:val="0"/>
        <w:tabs>
          <w:tab w:val="left" w:pos="540"/>
          <w:tab w:val="left" w:pos="569"/>
        </w:tabs>
        <w:jc w:val="both"/>
        <w:rPr>
          <w:sz w:val="22"/>
          <w:lang w:val="sr-Latn-ME"/>
        </w:rPr>
      </w:pPr>
      <w:r w:rsidRPr="00B35A22">
        <w:rPr>
          <w:sz w:val="22"/>
          <w:lang w:val="sr-Latn-ME"/>
        </w:rPr>
        <w:t>Tecentriq, koncentrat za rastvor za infuziju, 840 mg/14 ml, bočica, staklena, 1 x 14 ml:</w:t>
      </w:r>
    </w:p>
    <w:p w14:paraId="33099F43" w14:textId="1F20C767" w:rsidR="00640028" w:rsidRPr="00B35A22" w:rsidRDefault="00640028" w:rsidP="00B35A22">
      <w:pPr>
        <w:widowControl w:val="0"/>
        <w:tabs>
          <w:tab w:val="left" w:pos="540"/>
          <w:tab w:val="left" w:pos="569"/>
        </w:tabs>
        <w:jc w:val="both"/>
        <w:rPr>
          <w:sz w:val="22"/>
          <w:lang w:val="sr-Latn-ME"/>
        </w:rPr>
      </w:pPr>
      <w:r w:rsidRPr="00B35A22">
        <w:rPr>
          <w:sz w:val="22"/>
          <w:lang w:val="sr-Latn-ME"/>
        </w:rPr>
        <w:t xml:space="preserve">2030/20/940 </w:t>
      </w:r>
      <w:r w:rsidR="0065270B" w:rsidRPr="00B35A22">
        <w:rPr>
          <w:sz w:val="22"/>
          <w:lang w:val="sr-Latn-ME"/>
        </w:rPr>
        <w:t>–</w:t>
      </w:r>
      <w:r w:rsidRPr="00B35A22">
        <w:rPr>
          <w:sz w:val="22"/>
          <w:lang w:val="sr-Latn-ME"/>
        </w:rPr>
        <w:t xml:space="preserve"> 1683</w:t>
      </w:r>
    </w:p>
    <w:p w14:paraId="7C79BB7F" w14:textId="77777777" w:rsidR="0065270B" w:rsidRPr="00B35A22" w:rsidRDefault="0065270B" w:rsidP="00B35A22">
      <w:pPr>
        <w:widowControl w:val="0"/>
        <w:tabs>
          <w:tab w:val="left" w:pos="540"/>
          <w:tab w:val="left" w:pos="569"/>
        </w:tabs>
        <w:jc w:val="both"/>
        <w:rPr>
          <w:sz w:val="22"/>
          <w:lang w:val="sr-Latn-ME"/>
        </w:rPr>
      </w:pPr>
    </w:p>
    <w:p w14:paraId="1E92763F" w14:textId="56F49D0F" w:rsidR="00640028" w:rsidRPr="00B35A22" w:rsidRDefault="00A93591" w:rsidP="00B35A22">
      <w:pPr>
        <w:widowControl w:val="0"/>
        <w:tabs>
          <w:tab w:val="left" w:pos="540"/>
          <w:tab w:val="left" w:pos="569"/>
        </w:tabs>
        <w:jc w:val="both"/>
        <w:rPr>
          <w:sz w:val="22"/>
          <w:lang w:val="sr-Latn-ME"/>
        </w:rPr>
      </w:pPr>
      <w:r w:rsidRPr="00B35A22">
        <w:rPr>
          <w:sz w:val="22"/>
          <w:lang w:val="sr-Latn-ME"/>
        </w:rPr>
        <w:t xml:space="preserve">Tecentriq, koncentrat za rastvor za infuziju, </w:t>
      </w:r>
      <w:r w:rsidRPr="00B35A22">
        <w:rPr>
          <w:sz w:val="22"/>
          <w:szCs w:val="22"/>
          <w:lang w:val="sr-Latn-ME"/>
        </w:rPr>
        <w:t>1200</w:t>
      </w:r>
      <w:r w:rsidR="00F917B3" w:rsidRPr="00B35A22">
        <w:rPr>
          <w:sz w:val="22"/>
          <w:szCs w:val="22"/>
          <w:lang w:val="sr-Latn-ME"/>
        </w:rPr>
        <w:t xml:space="preserve"> </w:t>
      </w:r>
      <w:r w:rsidRPr="00B35A22">
        <w:rPr>
          <w:sz w:val="22"/>
          <w:szCs w:val="22"/>
          <w:lang w:val="sr-Latn-ME"/>
        </w:rPr>
        <w:t>mg</w:t>
      </w:r>
      <w:r w:rsidRPr="00B35A22">
        <w:rPr>
          <w:sz w:val="22"/>
          <w:lang w:val="sr-Latn-ME"/>
        </w:rPr>
        <w:t xml:space="preserve">/20 ml, bočica, staklena, 1 x 20 ml: </w:t>
      </w:r>
    </w:p>
    <w:p w14:paraId="54E61051" w14:textId="1FF895AB" w:rsidR="00F45F77" w:rsidRPr="00B35A22" w:rsidRDefault="00A93591" w:rsidP="00B35A22">
      <w:pPr>
        <w:widowControl w:val="0"/>
        <w:tabs>
          <w:tab w:val="left" w:pos="540"/>
          <w:tab w:val="left" w:pos="569"/>
        </w:tabs>
        <w:jc w:val="both"/>
        <w:rPr>
          <w:sz w:val="22"/>
          <w:lang w:val="sr-Latn-ME"/>
        </w:rPr>
      </w:pPr>
      <w:r w:rsidRPr="00B35A22">
        <w:rPr>
          <w:sz w:val="22"/>
          <w:lang w:val="sr-Latn-ME"/>
        </w:rPr>
        <w:t>2030/18/375 – 4532</w:t>
      </w:r>
    </w:p>
    <w:p w14:paraId="190CCF24" w14:textId="3E19CF65" w:rsidR="00A93591" w:rsidRPr="00B35A22" w:rsidRDefault="00A93591" w:rsidP="00B35A22">
      <w:pPr>
        <w:widowControl w:val="0"/>
        <w:tabs>
          <w:tab w:val="left" w:pos="540"/>
          <w:tab w:val="left" w:pos="569"/>
        </w:tabs>
        <w:jc w:val="both"/>
        <w:rPr>
          <w:sz w:val="22"/>
          <w:lang w:val="sr-Latn-ME"/>
        </w:rPr>
      </w:pPr>
    </w:p>
    <w:p w14:paraId="7F36342C" w14:textId="77777777" w:rsidR="004535FD" w:rsidRPr="00B35A22" w:rsidRDefault="004535FD" w:rsidP="00B35A22">
      <w:pPr>
        <w:widowControl w:val="0"/>
        <w:tabs>
          <w:tab w:val="left" w:pos="540"/>
          <w:tab w:val="left" w:pos="569"/>
        </w:tabs>
        <w:jc w:val="both"/>
        <w:rPr>
          <w:sz w:val="22"/>
          <w:lang w:val="sr-Latn-ME"/>
        </w:rPr>
      </w:pPr>
    </w:p>
    <w:p w14:paraId="1B735825" w14:textId="77777777" w:rsidR="0072020E" w:rsidRPr="00B35A22" w:rsidRDefault="0072020E" w:rsidP="00B35A22">
      <w:pPr>
        <w:widowControl w:val="0"/>
        <w:tabs>
          <w:tab w:val="left" w:pos="540"/>
          <w:tab w:val="left" w:pos="569"/>
        </w:tabs>
        <w:jc w:val="both"/>
        <w:rPr>
          <w:b/>
          <w:sz w:val="22"/>
          <w:lang w:val="sr-Latn-ME"/>
        </w:rPr>
      </w:pPr>
      <w:r w:rsidRPr="00B35A22">
        <w:rPr>
          <w:b/>
          <w:sz w:val="22"/>
          <w:lang w:val="sr-Latn-ME"/>
        </w:rPr>
        <w:t xml:space="preserve">9. </w:t>
      </w:r>
      <w:r w:rsidR="00480FB1" w:rsidRPr="00B35A22">
        <w:rPr>
          <w:b/>
          <w:sz w:val="22"/>
          <w:lang w:val="sr-Latn-ME"/>
        </w:rPr>
        <w:tab/>
      </w:r>
      <w:r w:rsidRPr="00B35A22">
        <w:rPr>
          <w:b/>
          <w:sz w:val="22"/>
          <w:lang w:val="sr-Latn-ME"/>
        </w:rPr>
        <w:t xml:space="preserve">DATUM </w:t>
      </w:r>
      <w:r w:rsidR="00C05DF8" w:rsidRPr="00B35A22">
        <w:rPr>
          <w:b/>
          <w:sz w:val="22"/>
          <w:lang w:val="sr-Latn-ME"/>
        </w:rPr>
        <w:t xml:space="preserve">PRVE </w:t>
      </w:r>
      <w:r w:rsidR="008A6D43" w:rsidRPr="00B35A22">
        <w:rPr>
          <w:b/>
          <w:sz w:val="22"/>
          <w:lang w:val="sr-Latn-ME"/>
        </w:rPr>
        <w:t>DOZVOLE</w:t>
      </w:r>
      <w:r w:rsidR="00C05DF8" w:rsidRPr="00B35A22">
        <w:rPr>
          <w:b/>
          <w:sz w:val="22"/>
          <w:lang w:val="sr-Latn-ME"/>
        </w:rPr>
        <w:t>/OBNOVE DOZVOLE</w:t>
      </w:r>
      <w:r w:rsidR="008A6D43" w:rsidRPr="00B35A22">
        <w:rPr>
          <w:b/>
          <w:sz w:val="22"/>
          <w:lang w:val="sr-Latn-ME"/>
        </w:rPr>
        <w:t xml:space="preserve"> ZA STAVLJANJE LIJEKA U PROMET</w:t>
      </w:r>
    </w:p>
    <w:p w14:paraId="33094288" w14:textId="77777777" w:rsidR="0072020E" w:rsidRPr="00B35A22" w:rsidRDefault="0072020E" w:rsidP="00B35A22">
      <w:pPr>
        <w:widowControl w:val="0"/>
        <w:tabs>
          <w:tab w:val="left" w:pos="540"/>
          <w:tab w:val="left" w:pos="569"/>
        </w:tabs>
        <w:jc w:val="both"/>
        <w:rPr>
          <w:sz w:val="22"/>
          <w:lang w:val="sr-Latn-ME"/>
        </w:rPr>
      </w:pPr>
    </w:p>
    <w:p w14:paraId="7741FA68" w14:textId="519A8931" w:rsidR="00640028" w:rsidRPr="00B35A22" w:rsidRDefault="00640028" w:rsidP="00B35A22">
      <w:pPr>
        <w:widowControl w:val="0"/>
        <w:tabs>
          <w:tab w:val="left" w:pos="540"/>
          <w:tab w:val="left" w:pos="569"/>
        </w:tabs>
        <w:jc w:val="both"/>
        <w:rPr>
          <w:sz w:val="22"/>
          <w:lang w:val="sr-Latn-ME"/>
        </w:rPr>
      </w:pPr>
      <w:r w:rsidRPr="00B35A22">
        <w:rPr>
          <w:sz w:val="22"/>
          <w:lang w:val="sr-Latn-ME"/>
        </w:rPr>
        <w:t>Tecentriq, koncentrat za rastvor za infuziju, 840 mg/14 ml, bočica, staklena, 1 x 14 ml:</w:t>
      </w:r>
    </w:p>
    <w:p w14:paraId="39306164" w14:textId="5DFCBD5E" w:rsidR="00640028" w:rsidRPr="00B35A22" w:rsidRDefault="00640028" w:rsidP="00B35A22">
      <w:pPr>
        <w:widowControl w:val="0"/>
        <w:tabs>
          <w:tab w:val="left" w:pos="540"/>
          <w:tab w:val="left" w:pos="569"/>
        </w:tabs>
        <w:jc w:val="both"/>
        <w:rPr>
          <w:sz w:val="22"/>
          <w:lang w:val="sr-Latn-ME"/>
        </w:rPr>
      </w:pPr>
      <w:r w:rsidRPr="00B35A22">
        <w:rPr>
          <w:sz w:val="22"/>
          <w:lang w:val="sr-Latn-ME"/>
        </w:rPr>
        <w:t>28.09.2020. godine</w:t>
      </w:r>
    </w:p>
    <w:p w14:paraId="43F99671" w14:textId="77777777" w:rsidR="0065270B" w:rsidRPr="00B35A22" w:rsidRDefault="0065270B" w:rsidP="00B35A22">
      <w:pPr>
        <w:widowControl w:val="0"/>
        <w:tabs>
          <w:tab w:val="left" w:pos="540"/>
          <w:tab w:val="left" w:pos="569"/>
        </w:tabs>
        <w:jc w:val="both"/>
        <w:rPr>
          <w:sz w:val="22"/>
          <w:lang w:val="sr-Latn-ME"/>
        </w:rPr>
      </w:pPr>
    </w:p>
    <w:p w14:paraId="70EEEA40" w14:textId="1146B957" w:rsidR="00640028" w:rsidRPr="00B35A22" w:rsidRDefault="00A93591" w:rsidP="00B35A22">
      <w:pPr>
        <w:widowControl w:val="0"/>
        <w:tabs>
          <w:tab w:val="left" w:pos="540"/>
          <w:tab w:val="left" w:pos="569"/>
        </w:tabs>
        <w:jc w:val="both"/>
        <w:rPr>
          <w:sz w:val="22"/>
          <w:lang w:val="sr-Latn-ME"/>
        </w:rPr>
      </w:pPr>
      <w:r w:rsidRPr="00B35A22">
        <w:rPr>
          <w:sz w:val="22"/>
          <w:lang w:val="sr-Latn-ME"/>
        </w:rPr>
        <w:t xml:space="preserve">Tecentriq, koncentrat za rastvor za infuziju, </w:t>
      </w:r>
      <w:r w:rsidRPr="00B35A22">
        <w:rPr>
          <w:sz w:val="22"/>
          <w:szCs w:val="22"/>
          <w:lang w:val="sr-Latn-ME"/>
        </w:rPr>
        <w:t>1200</w:t>
      </w:r>
      <w:r w:rsidR="00F917B3" w:rsidRPr="00B35A22">
        <w:rPr>
          <w:sz w:val="22"/>
          <w:szCs w:val="22"/>
          <w:lang w:val="sr-Latn-ME"/>
        </w:rPr>
        <w:t xml:space="preserve"> </w:t>
      </w:r>
      <w:r w:rsidRPr="00B35A22">
        <w:rPr>
          <w:sz w:val="22"/>
          <w:szCs w:val="22"/>
          <w:lang w:val="sr-Latn-ME"/>
        </w:rPr>
        <w:t>mg</w:t>
      </w:r>
      <w:r w:rsidRPr="00B35A22">
        <w:rPr>
          <w:sz w:val="22"/>
          <w:lang w:val="sr-Latn-ME"/>
        </w:rPr>
        <w:t xml:space="preserve">/20 ml, bočica, staklena, 1 x 20 ml: </w:t>
      </w:r>
    </w:p>
    <w:p w14:paraId="054A3300" w14:textId="6E1684BB" w:rsidR="00836B35" w:rsidRPr="00B35A22" w:rsidRDefault="00A93591" w:rsidP="00B35A22">
      <w:pPr>
        <w:widowControl w:val="0"/>
        <w:tabs>
          <w:tab w:val="left" w:pos="540"/>
          <w:tab w:val="left" w:pos="569"/>
        </w:tabs>
        <w:jc w:val="both"/>
        <w:rPr>
          <w:sz w:val="22"/>
          <w:lang w:val="sr-Latn-ME"/>
        </w:rPr>
      </w:pPr>
      <w:r w:rsidRPr="00B35A22">
        <w:rPr>
          <w:sz w:val="22"/>
          <w:lang w:val="sr-Latn-ME"/>
        </w:rPr>
        <w:t>10.09.2018. godine</w:t>
      </w:r>
    </w:p>
    <w:p w14:paraId="0A934771" w14:textId="43FE597A" w:rsidR="00A93591" w:rsidRPr="00B35A22" w:rsidRDefault="00A93591" w:rsidP="00B35A22">
      <w:pPr>
        <w:widowControl w:val="0"/>
        <w:tabs>
          <w:tab w:val="left" w:pos="540"/>
          <w:tab w:val="left" w:pos="569"/>
        </w:tabs>
        <w:jc w:val="both"/>
        <w:rPr>
          <w:sz w:val="22"/>
          <w:lang w:val="sr-Latn-ME"/>
        </w:rPr>
      </w:pPr>
    </w:p>
    <w:p w14:paraId="0FBB69AD" w14:textId="77777777" w:rsidR="004535FD" w:rsidRPr="00B35A22" w:rsidRDefault="004535FD" w:rsidP="00B35A22">
      <w:pPr>
        <w:widowControl w:val="0"/>
        <w:tabs>
          <w:tab w:val="left" w:pos="540"/>
          <w:tab w:val="left" w:pos="569"/>
        </w:tabs>
        <w:jc w:val="both"/>
        <w:rPr>
          <w:sz w:val="22"/>
          <w:lang w:val="sr-Latn-ME"/>
        </w:rPr>
      </w:pPr>
    </w:p>
    <w:p w14:paraId="4F28759E" w14:textId="77777777" w:rsidR="003F6A59" w:rsidRPr="00B35A22" w:rsidRDefault="0072020E" w:rsidP="00B35A22">
      <w:pPr>
        <w:widowControl w:val="0"/>
        <w:tabs>
          <w:tab w:val="left" w:pos="540"/>
          <w:tab w:val="left" w:pos="569"/>
        </w:tabs>
        <w:ind w:left="540" w:hanging="540"/>
        <w:jc w:val="both"/>
        <w:rPr>
          <w:sz w:val="22"/>
          <w:lang w:val="sr-Latn-ME"/>
        </w:rPr>
      </w:pPr>
      <w:r w:rsidRPr="00B35A22">
        <w:rPr>
          <w:b/>
          <w:sz w:val="22"/>
          <w:lang w:val="sr-Latn-ME"/>
        </w:rPr>
        <w:t xml:space="preserve">10. </w:t>
      </w:r>
      <w:r w:rsidR="00480FB1" w:rsidRPr="00B35A22">
        <w:rPr>
          <w:b/>
          <w:sz w:val="22"/>
          <w:lang w:val="sr-Latn-ME"/>
        </w:rPr>
        <w:tab/>
      </w:r>
      <w:r w:rsidR="002846DB" w:rsidRPr="00B35A22">
        <w:rPr>
          <w:b/>
          <w:sz w:val="22"/>
          <w:lang w:val="sr-Latn-ME"/>
        </w:rPr>
        <w:t>D</w:t>
      </w:r>
      <w:r w:rsidR="00EC2532" w:rsidRPr="00B35A22">
        <w:rPr>
          <w:b/>
          <w:sz w:val="22"/>
          <w:lang w:val="sr-Latn-ME"/>
        </w:rPr>
        <w:t xml:space="preserve">ATUM REVIZIJE TEKSTA </w:t>
      </w:r>
    </w:p>
    <w:p w14:paraId="4520E574" w14:textId="77777777" w:rsidR="00053CC0" w:rsidRPr="00B35A22" w:rsidRDefault="00053CC0" w:rsidP="00B35A22">
      <w:pPr>
        <w:widowControl w:val="0"/>
        <w:tabs>
          <w:tab w:val="left" w:pos="284"/>
          <w:tab w:val="center" w:pos="4320"/>
          <w:tab w:val="right" w:pos="8640"/>
        </w:tabs>
        <w:jc w:val="both"/>
        <w:rPr>
          <w:sz w:val="22"/>
          <w:lang w:val="sr-Latn-ME"/>
        </w:rPr>
      </w:pPr>
    </w:p>
    <w:p w14:paraId="75FFAD22" w14:textId="7DFFFD39" w:rsidR="00702E22" w:rsidRPr="00B35A22" w:rsidRDefault="00770680" w:rsidP="00B35A22">
      <w:pPr>
        <w:widowControl w:val="0"/>
        <w:tabs>
          <w:tab w:val="left" w:pos="540"/>
          <w:tab w:val="left" w:pos="569"/>
        </w:tabs>
        <w:jc w:val="both"/>
        <w:rPr>
          <w:i/>
          <w:iCs/>
          <w:color w:val="808080"/>
          <w:sz w:val="22"/>
          <w:szCs w:val="22"/>
          <w:lang w:val="sr-Latn-ME"/>
        </w:rPr>
      </w:pPr>
      <w:r>
        <w:rPr>
          <w:sz w:val="22"/>
          <w:lang w:val="sr-Latn-ME"/>
        </w:rPr>
        <w:t>Jun</w:t>
      </w:r>
      <w:bookmarkStart w:id="3" w:name="_GoBack"/>
      <w:bookmarkEnd w:id="3"/>
      <w:r w:rsidR="000F60C0" w:rsidRPr="00B35A22">
        <w:rPr>
          <w:sz w:val="22"/>
          <w:lang w:val="sr-Latn-ME"/>
        </w:rPr>
        <w:t>, 202</w:t>
      </w:r>
      <w:r w:rsidR="007A26BC" w:rsidRPr="00B35A22">
        <w:rPr>
          <w:sz w:val="22"/>
          <w:lang w:val="sr-Latn-ME"/>
        </w:rPr>
        <w:t>5</w:t>
      </w:r>
      <w:r w:rsidR="000F60C0" w:rsidRPr="00B35A22">
        <w:rPr>
          <w:sz w:val="22"/>
          <w:lang w:val="sr-Latn-ME"/>
        </w:rPr>
        <w:t>. godine</w:t>
      </w:r>
    </w:p>
    <w:p w14:paraId="6CA1E6C3" w14:textId="16F1B7A3" w:rsidR="003F6A59" w:rsidRPr="00B35A22" w:rsidRDefault="003F6A59" w:rsidP="00B35A22">
      <w:pPr>
        <w:widowControl w:val="0"/>
        <w:jc w:val="both"/>
        <w:rPr>
          <w:sz w:val="22"/>
          <w:lang w:val="sr-Latn-ME"/>
        </w:rPr>
      </w:pPr>
    </w:p>
    <w:sectPr w:rsidR="003F6A59" w:rsidRPr="00B35A22" w:rsidSect="00B35A22">
      <w:footerReference w:type="default" r:id="rId36"/>
      <w:pgSz w:w="11909" w:h="16834" w:code="9"/>
      <w:pgMar w:top="851" w:right="1418" w:bottom="851"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F4926" w14:textId="77777777" w:rsidR="001206CB" w:rsidRDefault="001206CB">
      <w:r>
        <w:separator/>
      </w:r>
    </w:p>
  </w:endnote>
  <w:endnote w:type="continuationSeparator" w:id="0">
    <w:p w14:paraId="27D45A78" w14:textId="77777777" w:rsidR="001206CB" w:rsidRDefault="001206CB">
      <w:r>
        <w:continuationSeparator/>
      </w:r>
    </w:p>
  </w:endnote>
  <w:endnote w:type="continuationNotice" w:id="1">
    <w:p w14:paraId="367B3447" w14:textId="77777777" w:rsidR="001206CB" w:rsidRDefault="00120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EE"/>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ZWAdobeF">
    <w:altName w:val="Times New Roman"/>
    <w:charset w:val="00"/>
    <w:family w:val="auto"/>
    <w:pitch w:val="variable"/>
    <w:sig w:usb0="20002A85"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MT">
    <w:altName w:val="Times New Roman"/>
    <w:panose1 w:val="00000000000000000000"/>
    <w:charset w:val="A1"/>
    <w:family w:val="auto"/>
    <w:notTrueType/>
    <w:pitch w:val="default"/>
    <w:sig w:usb0="00000083" w:usb1="00000000" w:usb2="00000000" w:usb3="00000000" w:csb0="00000009"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F4246" w14:textId="54D2DD84" w:rsidR="00B35A22" w:rsidRPr="00B23F69" w:rsidRDefault="00B35A22" w:rsidP="00B35A22">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770680">
      <w:rPr>
        <w:noProof/>
        <w:sz w:val="22"/>
        <w:szCs w:val="22"/>
      </w:rPr>
      <w:t>58</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770680">
      <w:rPr>
        <w:noProof/>
        <w:sz w:val="22"/>
        <w:szCs w:val="22"/>
      </w:rPr>
      <w:t>61</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E37BB" w14:textId="77777777" w:rsidR="001206CB" w:rsidRDefault="001206CB">
      <w:r>
        <w:separator/>
      </w:r>
    </w:p>
  </w:footnote>
  <w:footnote w:type="continuationSeparator" w:id="0">
    <w:p w14:paraId="5DC55251" w14:textId="77777777" w:rsidR="001206CB" w:rsidRDefault="001206CB">
      <w:r>
        <w:continuationSeparator/>
      </w:r>
    </w:p>
  </w:footnote>
  <w:footnote w:type="continuationNotice" w:id="1">
    <w:p w14:paraId="25979D36" w14:textId="77777777" w:rsidR="001206CB" w:rsidRDefault="001206C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75pt;height:13.5pt;visibility:visible;mso-wrap-style:square" o:bullet="t">
        <v:imagedata r:id="rId1" o:title=""/>
      </v:shape>
    </w:pict>
  </w:numPicBullet>
  <w:abstractNum w:abstractNumId="0" w15:restartNumberingAfterBreak="0">
    <w:nsid w:val="FFFFFF7C"/>
    <w:multiLevelType w:val="singleLevel"/>
    <w:tmpl w:val="CBE00D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36CCD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AEE94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C6094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7EF0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D9C7AE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EC9EA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C8E6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429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2421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1" w15:restartNumberingAfterBreak="0">
    <w:nsid w:val="080A265A"/>
    <w:multiLevelType w:val="hybridMultilevel"/>
    <w:tmpl w:val="298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E3047"/>
    <w:multiLevelType w:val="hybridMultilevel"/>
    <w:tmpl w:val="8CB2325A"/>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961D00"/>
    <w:multiLevelType w:val="hybridMultilevel"/>
    <w:tmpl w:val="A678F9FE"/>
    <w:lvl w:ilvl="0" w:tplc="04090001">
      <w:numFmt w:val="bullet"/>
      <w:lvlText w:val=""/>
      <w:lvlJc w:val="left"/>
      <w:pPr>
        <w:ind w:left="720" w:hanging="360"/>
      </w:pPr>
      <w:rPr>
        <w:rFonts w:ascii="Symbol" w:eastAsia="Times New Roman" w:hAnsi="Symbol"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2886636"/>
    <w:multiLevelType w:val="hybridMultilevel"/>
    <w:tmpl w:val="F4EC99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B325764"/>
    <w:multiLevelType w:val="hybridMultilevel"/>
    <w:tmpl w:val="51F241D0"/>
    <w:lvl w:ilvl="0" w:tplc="199CB724">
      <w:start w:val="1"/>
      <w:numFmt w:val="decimal"/>
      <w:lvlText w:val="%1."/>
      <w:lvlJc w:val="left"/>
      <w:pPr>
        <w:ind w:left="360" w:hanging="360"/>
      </w:pPr>
      <w:rPr>
        <w:vertAlign w:val="superscript"/>
      </w:rPr>
    </w:lvl>
    <w:lvl w:ilvl="1" w:tplc="4F04BCF0" w:tentative="1">
      <w:start w:val="1"/>
      <w:numFmt w:val="lowerLetter"/>
      <w:lvlText w:val="%2."/>
      <w:lvlJc w:val="left"/>
      <w:pPr>
        <w:ind w:left="1080" w:hanging="360"/>
      </w:pPr>
    </w:lvl>
    <w:lvl w:ilvl="2" w:tplc="CA7EC0B0" w:tentative="1">
      <w:start w:val="1"/>
      <w:numFmt w:val="lowerRoman"/>
      <w:lvlText w:val="%3."/>
      <w:lvlJc w:val="right"/>
      <w:pPr>
        <w:ind w:left="1800" w:hanging="180"/>
      </w:pPr>
    </w:lvl>
    <w:lvl w:ilvl="3" w:tplc="AE384044" w:tentative="1">
      <w:start w:val="1"/>
      <w:numFmt w:val="decimal"/>
      <w:lvlText w:val="%4."/>
      <w:lvlJc w:val="left"/>
      <w:pPr>
        <w:ind w:left="2520" w:hanging="360"/>
      </w:pPr>
    </w:lvl>
    <w:lvl w:ilvl="4" w:tplc="D9AE81D6" w:tentative="1">
      <w:start w:val="1"/>
      <w:numFmt w:val="lowerLetter"/>
      <w:lvlText w:val="%5."/>
      <w:lvlJc w:val="left"/>
      <w:pPr>
        <w:ind w:left="3240" w:hanging="360"/>
      </w:pPr>
    </w:lvl>
    <w:lvl w:ilvl="5" w:tplc="89EA3CD6" w:tentative="1">
      <w:start w:val="1"/>
      <w:numFmt w:val="lowerRoman"/>
      <w:lvlText w:val="%6."/>
      <w:lvlJc w:val="right"/>
      <w:pPr>
        <w:ind w:left="3960" w:hanging="180"/>
      </w:pPr>
    </w:lvl>
    <w:lvl w:ilvl="6" w:tplc="3F365580" w:tentative="1">
      <w:start w:val="1"/>
      <w:numFmt w:val="decimal"/>
      <w:lvlText w:val="%7."/>
      <w:lvlJc w:val="left"/>
      <w:pPr>
        <w:ind w:left="4680" w:hanging="360"/>
      </w:pPr>
    </w:lvl>
    <w:lvl w:ilvl="7" w:tplc="81DA0312" w:tentative="1">
      <w:start w:val="1"/>
      <w:numFmt w:val="lowerLetter"/>
      <w:lvlText w:val="%8."/>
      <w:lvlJc w:val="left"/>
      <w:pPr>
        <w:ind w:left="5400" w:hanging="360"/>
      </w:pPr>
    </w:lvl>
    <w:lvl w:ilvl="8" w:tplc="47BE9B0A" w:tentative="1">
      <w:start w:val="1"/>
      <w:numFmt w:val="lowerRoman"/>
      <w:lvlText w:val="%9."/>
      <w:lvlJc w:val="right"/>
      <w:pPr>
        <w:ind w:left="6120" w:hanging="180"/>
      </w:pPr>
    </w:lvl>
  </w:abstractNum>
  <w:abstractNum w:abstractNumId="26"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30" w15:restartNumberingAfterBreak="0">
    <w:nsid w:val="7E2C240A"/>
    <w:multiLevelType w:val="hybridMultilevel"/>
    <w:tmpl w:val="94A2AB62"/>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3"/>
  </w:num>
  <w:num w:numId="4">
    <w:abstractNumId w:val="24"/>
  </w:num>
  <w:num w:numId="5">
    <w:abstractNumId w:val="19"/>
  </w:num>
  <w:num w:numId="6">
    <w:abstractNumId w:val="14"/>
  </w:num>
  <w:num w:numId="7">
    <w:abstractNumId w:val="22"/>
  </w:num>
  <w:num w:numId="8">
    <w:abstractNumId w:val="18"/>
  </w:num>
  <w:num w:numId="9">
    <w:abstractNumId w:val="21"/>
  </w:num>
  <w:num w:numId="10">
    <w:abstractNumId w:val="27"/>
  </w:num>
  <w:num w:numId="11">
    <w:abstractNumId w:val="20"/>
  </w:num>
  <w:num w:numId="12">
    <w:abstractNumId w:val="11"/>
  </w:num>
  <w:num w:numId="13">
    <w:abstractNumId w:val="16"/>
  </w:num>
  <w:num w:numId="14">
    <w:abstractNumId w:val="10"/>
    <w:lvlOverride w:ilvl="0">
      <w:startOverride w:val="7"/>
    </w:lvlOverride>
  </w:num>
  <w:num w:numId="15">
    <w:abstractNumId w:val="28"/>
  </w:num>
  <w:num w:numId="16">
    <w:abstractNumId w:val="12"/>
  </w:num>
  <w:num w:numId="17">
    <w:abstractNumId w:val="15"/>
  </w:num>
  <w:num w:numId="18">
    <w:abstractNumId w:val="30"/>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2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011FA"/>
    <w:rsid w:val="0000376A"/>
    <w:rsid w:val="00003DB3"/>
    <w:rsid w:val="00004CB4"/>
    <w:rsid w:val="00005F20"/>
    <w:rsid w:val="00011068"/>
    <w:rsid w:val="000176CA"/>
    <w:rsid w:val="0002418E"/>
    <w:rsid w:val="00024781"/>
    <w:rsid w:val="00025674"/>
    <w:rsid w:val="00027E4F"/>
    <w:rsid w:val="00032461"/>
    <w:rsid w:val="00036FA0"/>
    <w:rsid w:val="00037558"/>
    <w:rsid w:val="0003793F"/>
    <w:rsid w:val="00042108"/>
    <w:rsid w:val="000428E0"/>
    <w:rsid w:val="00052498"/>
    <w:rsid w:val="00053CC0"/>
    <w:rsid w:val="000578A6"/>
    <w:rsid w:val="00057D11"/>
    <w:rsid w:val="00057E35"/>
    <w:rsid w:val="00060797"/>
    <w:rsid w:val="00063039"/>
    <w:rsid w:val="000641E2"/>
    <w:rsid w:val="000711D0"/>
    <w:rsid w:val="000734A1"/>
    <w:rsid w:val="000754A3"/>
    <w:rsid w:val="00076726"/>
    <w:rsid w:val="00080303"/>
    <w:rsid w:val="00080370"/>
    <w:rsid w:val="00080978"/>
    <w:rsid w:val="0008520C"/>
    <w:rsid w:val="000877FD"/>
    <w:rsid w:val="00095D4E"/>
    <w:rsid w:val="000A26D9"/>
    <w:rsid w:val="000A3F58"/>
    <w:rsid w:val="000A5896"/>
    <w:rsid w:val="000A76B0"/>
    <w:rsid w:val="000A76D0"/>
    <w:rsid w:val="000B6C13"/>
    <w:rsid w:val="000C30E4"/>
    <w:rsid w:val="000C629D"/>
    <w:rsid w:val="000D2343"/>
    <w:rsid w:val="000D3449"/>
    <w:rsid w:val="000D425A"/>
    <w:rsid w:val="000D60CC"/>
    <w:rsid w:val="000D7FBD"/>
    <w:rsid w:val="000E1E10"/>
    <w:rsid w:val="000E2084"/>
    <w:rsid w:val="000E47FA"/>
    <w:rsid w:val="000E6F55"/>
    <w:rsid w:val="000F12C0"/>
    <w:rsid w:val="000F28E1"/>
    <w:rsid w:val="000F52AA"/>
    <w:rsid w:val="000F60C0"/>
    <w:rsid w:val="000F62CF"/>
    <w:rsid w:val="000F77FA"/>
    <w:rsid w:val="001056AE"/>
    <w:rsid w:val="00107BF7"/>
    <w:rsid w:val="0011019B"/>
    <w:rsid w:val="00113090"/>
    <w:rsid w:val="00116206"/>
    <w:rsid w:val="001206CB"/>
    <w:rsid w:val="00122489"/>
    <w:rsid w:val="00126F53"/>
    <w:rsid w:val="00127349"/>
    <w:rsid w:val="00127DF4"/>
    <w:rsid w:val="00140AA2"/>
    <w:rsid w:val="00145D17"/>
    <w:rsid w:val="0014766D"/>
    <w:rsid w:val="00151292"/>
    <w:rsid w:val="00151CFE"/>
    <w:rsid w:val="001523D4"/>
    <w:rsid w:val="001536CC"/>
    <w:rsid w:val="001540EC"/>
    <w:rsid w:val="00164423"/>
    <w:rsid w:val="00165BC0"/>
    <w:rsid w:val="001665B4"/>
    <w:rsid w:val="00167763"/>
    <w:rsid w:val="00170429"/>
    <w:rsid w:val="001755D3"/>
    <w:rsid w:val="00182C07"/>
    <w:rsid w:val="001840B9"/>
    <w:rsid w:val="0018420A"/>
    <w:rsid w:val="0018697C"/>
    <w:rsid w:val="001936E3"/>
    <w:rsid w:val="00196349"/>
    <w:rsid w:val="001A3FBA"/>
    <w:rsid w:val="001A5518"/>
    <w:rsid w:val="001A749C"/>
    <w:rsid w:val="001B1C6A"/>
    <w:rsid w:val="001B20A8"/>
    <w:rsid w:val="001B2AAB"/>
    <w:rsid w:val="001B37C7"/>
    <w:rsid w:val="001B4EAF"/>
    <w:rsid w:val="001B6DA8"/>
    <w:rsid w:val="001C00D9"/>
    <w:rsid w:val="001C1263"/>
    <w:rsid w:val="001C1417"/>
    <w:rsid w:val="001C2391"/>
    <w:rsid w:val="001C2CB5"/>
    <w:rsid w:val="001C41A6"/>
    <w:rsid w:val="001C45F6"/>
    <w:rsid w:val="001C6997"/>
    <w:rsid w:val="001C6F46"/>
    <w:rsid w:val="001D25F4"/>
    <w:rsid w:val="001D473F"/>
    <w:rsid w:val="001D4777"/>
    <w:rsid w:val="001E30FA"/>
    <w:rsid w:val="001E390B"/>
    <w:rsid w:val="001E5432"/>
    <w:rsid w:val="001E62B0"/>
    <w:rsid w:val="001F17E0"/>
    <w:rsid w:val="001F42FB"/>
    <w:rsid w:val="001F719A"/>
    <w:rsid w:val="002031B3"/>
    <w:rsid w:val="00215931"/>
    <w:rsid w:val="00223F8D"/>
    <w:rsid w:val="0022422E"/>
    <w:rsid w:val="002262B5"/>
    <w:rsid w:val="00227BDB"/>
    <w:rsid w:val="002341E9"/>
    <w:rsid w:val="00234CB1"/>
    <w:rsid w:val="002352F8"/>
    <w:rsid w:val="002360FE"/>
    <w:rsid w:val="002369D6"/>
    <w:rsid w:val="00241056"/>
    <w:rsid w:val="00241BDE"/>
    <w:rsid w:val="00243F20"/>
    <w:rsid w:val="00250FAB"/>
    <w:rsid w:val="002510A5"/>
    <w:rsid w:val="0025184E"/>
    <w:rsid w:val="00254A0A"/>
    <w:rsid w:val="00257C2F"/>
    <w:rsid w:val="00263156"/>
    <w:rsid w:val="00266046"/>
    <w:rsid w:val="00274EB1"/>
    <w:rsid w:val="002830E4"/>
    <w:rsid w:val="002846DB"/>
    <w:rsid w:val="00284CCD"/>
    <w:rsid w:val="00286EAB"/>
    <w:rsid w:val="00286F43"/>
    <w:rsid w:val="002901BE"/>
    <w:rsid w:val="00293199"/>
    <w:rsid w:val="00294736"/>
    <w:rsid w:val="002B101E"/>
    <w:rsid w:val="002B1E4D"/>
    <w:rsid w:val="002C0332"/>
    <w:rsid w:val="002C1858"/>
    <w:rsid w:val="002C372B"/>
    <w:rsid w:val="002C48A6"/>
    <w:rsid w:val="002C6637"/>
    <w:rsid w:val="002C6D0F"/>
    <w:rsid w:val="002D1039"/>
    <w:rsid w:val="002D2E8F"/>
    <w:rsid w:val="002D3A92"/>
    <w:rsid w:val="002D3D9A"/>
    <w:rsid w:val="002D74E2"/>
    <w:rsid w:val="002E0135"/>
    <w:rsid w:val="002E21F0"/>
    <w:rsid w:val="002E37A5"/>
    <w:rsid w:val="002E4AAA"/>
    <w:rsid w:val="002E5BAC"/>
    <w:rsid w:val="002F2D0C"/>
    <w:rsid w:val="002F49C5"/>
    <w:rsid w:val="003044EC"/>
    <w:rsid w:val="00304814"/>
    <w:rsid w:val="0030541E"/>
    <w:rsid w:val="00310F03"/>
    <w:rsid w:val="0031276A"/>
    <w:rsid w:val="00312B1B"/>
    <w:rsid w:val="00314085"/>
    <w:rsid w:val="003247D2"/>
    <w:rsid w:val="00327AB9"/>
    <w:rsid w:val="00333127"/>
    <w:rsid w:val="003359CC"/>
    <w:rsid w:val="00336E2F"/>
    <w:rsid w:val="003445C1"/>
    <w:rsid w:val="003464E0"/>
    <w:rsid w:val="00346D2E"/>
    <w:rsid w:val="003545D9"/>
    <w:rsid w:val="00355B61"/>
    <w:rsid w:val="00360657"/>
    <w:rsid w:val="00362686"/>
    <w:rsid w:val="00370486"/>
    <w:rsid w:val="003709BC"/>
    <w:rsid w:val="00371510"/>
    <w:rsid w:val="00372285"/>
    <w:rsid w:val="00373EE3"/>
    <w:rsid w:val="003744CB"/>
    <w:rsid w:val="00387C28"/>
    <w:rsid w:val="00387EB0"/>
    <w:rsid w:val="00387F7D"/>
    <w:rsid w:val="00392524"/>
    <w:rsid w:val="0039539D"/>
    <w:rsid w:val="00396DFD"/>
    <w:rsid w:val="003A5E30"/>
    <w:rsid w:val="003A7059"/>
    <w:rsid w:val="003A7BAA"/>
    <w:rsid w:val="003B7A36"/>
    <w:rsid w:val="003C17AB"/>
    <w:rsid w:val="003C6AC0"/>
    <w:rsid w:val="003C7823"/>
    <w:rsid w:val="003D374D"/>
    <w:rsid w:val="003E1DCC"/>
    <w:rsid w:val="003E225B"/>
    <w:rsid w:val="003E771E"/>
    <w:rsid w:val="003F6A59"/>
    <w:rsid w:val="00403F68"/>
    <w:rsid w:val="00404B4D"/>
    <w:rsid w:val="004065C8"/>
    <w:rsid w:val="00411B4B"/>
    <w:rsid w:val="00415BEE"/>
    <w:rsid w:val="004251D1"/>
    <w:rsid w:val="00427632"/>
    <w:rsid w:val="00427F85"/>
    <w:rsid w:val="0043492D"/>
    <w:rsid w:val="00436D35"/>
    <w:rsid w:val="00436F42"/>
    <w:rsid w:val="00437332"/>
    <w:rsid w:val="004378B4"/>
    <w:rsid w:val="00441159"/>
    <w:rsid w:val="00443AD4"/>
    <w:rsid w:val="00451314"/>
    <w:rsid w:val="00452E9D"/>
    <w:rsid w:val="004534C7"/>
    <w:rsid w:val="004535FD"/>
    <w:rsid w:val="0046053E"/>
    <w:rsid w:val="00464DC8"/>
    <w:rsid w:val="004653E2"/>
    <w:rsid w:val="004671AA"/>
    <w:rsid w:val="00467357"/>
    <w:rsid w:val="004719AD"/>
    <w:rsid w:val="004741B9"/>
    <w:rsid w:val="00474BEB"/>
    <w:rsid w:val="00476035"/>
    <w:rsid w:val="00480903"/>
    <w:rsid w:val="00480FB1"/>
    <w:rsid w:val="00483928"/>
    <w:rsid w:val="00484131"/>
    <w:rsid w:val="00492AE0"/>
    <w:rsid w:val="004930F4"/>
    <w:rsid w:val="0049381F"/>
    <w:rsid w:val="00494058"/>
    <w:rsid w:val="004941C5"/>
    <w:rsid w:val="004B3BCA"/>
    <w:rsid w:val="004C258E"/>
    <w:rsid w:val="004C3CF2"/>
    <w:rsid w:val="004C5B12"/>
    <w:rsid w:val="004C5DC7"/>
    <w:rsid w:val="004D4785"/>
    <w:rsid w:val="004D506C"/>
    <w:rsid w:val="004D6103"/>
    <w:rsid w:val="004E231C"/>
    <w:rsid w:val="004E3BCE"/>
    <w:rsid w:val="004E5800"/>
    <w:rsid w:val="004E5A84"/>
    <w:rsid w:val="004F0665"/>
    <w:rsid w:val="004F0E97"/>
    <w:rsid w:val="004F6E8D"/>
    <w:rsid w:val="004F7F07"/>
    <w:rsid w:val="00504DC7"/>
    <w:rsid w:val="00510B47"/>
    <w:rsid w:val="0051171F"/>
    <w:rsid w:val="005124BA"/>
    <w:rsid w:val="00515C21"/>
    <w:rsid w:val="00516E10"/>
    <w:rsid w:val="005214B6"/>
    <w:rsid w:val="00522F9E"/>
    <w:rsid w:val="00525B32"/>
    <w:rsid w:val="00526A27"/>
    <w:rsid w:val="00527887"/>
    <w:rsid w:val="00530BD7"/>
    <w:rsid w:val="00531381"/>
    <w:rsid w:val="0053402D"/>
    <w:rsid w:val="00534502"/>
    <w:rsid w:val="00544AD0"/>
    <w:rsid w:val="00544C6C"/>
    <w:rsid w:val="00544D35"/>
    <w:rsid w:val="00545CD2"/>
    <w:rsid w:val="0054637E"/>
    <w:rsid w:val="005476F3"/>
    <w:rsid w:val="0055127C"/>
    <w:rsid w:val="00551CF9"/>
    <w:rsid w:val="00552312"/>
    <w:rsid w:val="00557471"/>
    <w:rsid w:val="0056694C"/>
    <w:rsid w:val="00567A90"/>
    <w:rsid w:val="00572527"/>
    <w:rsid w:val="00573408"/>
    <w:rsid w:val="00573E40"/>
    <w:rsid w:val="00574B7C"/>
    <w:rsid w:val="00576348"/>
    <w:rsid w:val="005853A2"/>
    <w:rsid w:val="00585437"/>
    <w:rsid w:val="005961F2"/>
    <w:rsid w:val="005A0B2E"/>
    <w:rsid w:val="005A23D2"/>
    <w:rsid w:val="005A36CB"/>
    <w:rsid w:val="005B49B8"/>
    <w:rsid w:val="005B4BEF"/>
    <w:rsid w:val="005B67EE"/>
    <w:rsid w:val="005B791D"/>
    <w:rsid w:val="005C0741"/>
    <w:rsid w:val="005C5EF4"/>
    <w:rsid w:val="005C612C"/>
    <w:rsid w:val="005D1D15"/>
    <w:rsid w:val="005D5020"/>
    <w:rsid w:val="005E2E0B"/>
    <w:rsid w:val="005E7A7D"/>
    <w:rsid w:val="005F0253"/>
    <w:rsid w:val="005F4662"/>
    <w:rsid w:val="00611D5C"/>
    <w:rsid w:val="00620DBC"/>
    <w:rsid w:val="00621247"/>
    <w:rsid w:val="0062185D"/>
    <w:rsid w:val="00627942"/>
    <w:rsid w:val="00627CA4"/>
    <w:rsid w:val="00632B32"/>
    <w:rsid w:val="00640028"/>
    <w:rsid w:val="006445EC"/>
    <w:rsid w:val="00644AB5"/>
    <w:rsid w:val="0064566A"/>
    <w:rsid w:val="00646BD1"/>
    <w:rsid w:val="00647DC6"/>
    <w:rsid w:val="0065270B"/>
    <w:rsid w:val="006561C2"/>
    <w:rsid w:val="006606FA"/>
    <w:rsid w:val="00665C0D"/>
    <w:rsid w:val="00665FED"/>
    <w:rsid w:val="0066782D"/>
    <w:rsid w:val="006705A2"/>
    <w:rsid w:val="00671CB3"/>
    <w:rsid w:val="006729D2"/>
    <w:rsid w:val="0067431A"/>
    <w:rsid w:val="00674BAF"/>
    <w:rsid w:val="00674F13"/>
    <w:rsid w:val="00676021"/>
    <w:rsid w:val="0067623C"/>
    <w:rsid w:val="0067691B"/>
    <w:rsid w:val="00676943"/>
    <w:rsid w:val="006769AD"/>
    <w:rsid w:val="00681304"/>
    <w:rsid w:val="00682200"/>
    <w:rsid w:val="0068224B"/>
    <w:rsid w:val="00684BB7"/>
    <w:rsid w:val="00692EFD"/>
    <w:rsid w:val="00693B62"/>
    <w:rsid w:val="0069738A"/>
    <w:rsid w:val="006978FD"/>
    <w:rsid w:val="006A035B"/>
    <w:rsid w:val="006A125B"/>
    <w:rsid w:val="006A1497"/>
    <w:rsid w:val="006A4D73"/>
    <w:rsid w:val="006B0BD1"/>
    <w:rsid w:val="006B10C4"/>
    <w:rsid w:val="006C1D0E"/>
    <w:rsid w:val="006C2E23"/>
    <w:rsid w:val="006C4BD6"/>
    <w:rsid w:val="006C5F62"/>
    <w:rsid w:val="006D07DA"/>
    <w:rsid w:val="006D20A5"/>
    <w:rsid w:val="006D2E43"/>
    <w:rsid w:val="006D37BF"/>
    <w:rsid w:val="006D433D"/>
    <w:rsid w:val="006F1A17"/>
    <w:rsid w:val="006F628F"/>
    <w:rsid w:val="00702E22"/>
    <w:rsid w:val="00704EEB"/>
    <w:rsid w:val="0070592F"/>
    <w:rsid w:val="00706865"/>
    <w:rsid w:val="007102CC"/>
    <w:rsid w:val="0072020E"/>
    <w:rsid w:val="0072244C"/>
    <w:rsid w:val="0072401A"/>
    <w:rsid w:val="0073196E"/>
    <w:rsid w:val="00731E17"/>
    <w:rsid w:val="00734CDD"/>
    <w:rsid w:val="007351C5"/>
    <w:rsid w:val="00740FDB"/>
    <w:rsid w:val="00741002"/>
    <w:rsid w:val="00744761"/>
    <w:rsid w:val="0074557B"/>
    <w:rsid w:val="007504BF"/>
    <w:rsid w:val="00751EC2"/>
    <w:rsid w:val="00756FA3"/>
    <w:rsid w:val="00757AD1"/>
    <w:rsid w:val="00761114"/>
    <w:rsid w:val="00770680"/>
    <w:rsid w:val="007755FC"/>
    <w:rsid w:val="007849EA"/>
    <w:rsid w:val="00786071"/>
    <w:rsid w:val="007A26BC"/>
    <w:rsid w:val="007A3ECB"/>
    <w:rsid w:val="007A4C3C"/>
    <w:rsid w:val="007B0DA4"/>
    <w:rsid w:val="007B4681"/>
    <w:rsid w:val="007B5A7F"/>
    <w:rsid w:val="007C67A0"/>
    <w:rsid w:val="007C6D29"/>
    <w:rsid w:val="007D1F43"/>
    <w:rsid w:val="007D2948"/>
    <w:rsid w:val="007E677E"/>
    <w:rsid w:val="007F2D26"/>
    <w:rsid w:val="007F2EBA"/>
    <w:rsid w:val="007F3D78"/>
    <w:rsid w:val="007F5599"/>
    <w:rsid w:val="007F57E1"/>
    <w:rsid w:val="0080055F"/>
    <w:rsid w:val="0080430F"/>
    <w:rsid w:val="008046FB"/>
    <w:rsid w:val="00806CBB"/>
    <w:rsid w:val="008164A9"/>
    <w:rsid w:val="00817C06"/>
    <w:rsid w:val="00817E9E"/>
    <w:rsid w:val="00824AB9"/>
    <w:rsid w:val="00825619"/>
    <w:rsid w:val="00825F67"/>
    <w:rsid w:val="00830CC2"/>
    <w:rsid w:val="00836214"/>
    <w:rsid w:val="00836B35"/>
    <w:rsid w:val="00837C1B"/>
    <w:rsid w:val="00840901"/>
    <w:rsid w:val="0084229A"/>
    <w:rsid w:val="00843BDE"/>
    <w:rsid w:val="00843C3A"/>
    <w:rsid w:val="00843F2C"/>
    <w:rsid w:val="00857F7D"/>
    <w:rsid w:val="0086148E"/>
    <w:rsid w:val="00864332"/>
    <w:rsid w:val="00872BAA"/>
    <w:rsid w:val="00877094"/>
    <w:rsid w:val="00877B02"/>
    <w:rsid w:val="00886ACF"/>
    <w:rsid w:val="00892545"/>
    <w:rsid w:val="008942CD"/>
    <w:rsid w:val="00895828"/>
    <w:rsid w:val="008960A5"/>
    <w:rsid w:val="0089705C"/>
    <w:rsid w:val="008A1BB0"/>
    <w:rsid w:val="008A4099"/>
    <w:rsid w:val="008A4F2A"/>
    <w:rsid w:val="008A6D43"/>
    <w:rsid w:val="008B1AB7"/>
    <w:rsid w:val="008B491E"/>
    <w:rsid w:val="008B719C"/>
    <w:rsid w:val="008B7DB8"/>
    <w:rsid w:val="008C1A28"/>
    <w:rsid w:val="008C2B17"/>
    <w:rsid w:val="008C2E98"/>
    <w:rsid w:val="008C4A4D"/>
    <w:rsid w:val="008C5C59"/>
    <w:rsid w:val="008C64B3"/>
    <w:rsid w:val="008D7D40"/>
    <w:rsid w:val="008E49BD"/>
    <w:rsid w:val="008E4FAD"/>
    <w:rsid w:val="008E53E9"/>
    <w:rsid w:val="008E5771"/>
    <w:rsid w:val="008E5C1E"/>
    <w:rsid w:val="008E7338"/>
    <w:rsid w:val="008F10E3"/>
    <w:rsid w:val="008F27C3"/>
    <w:rsid w:val="008F74C6"/>
    <w:rsid w:val="00900AE1"/>
    <w:rsid w:val="009012F0"/>
    <w:rsid w:val="00901D2D"/>
    <w:rsid w:val="00903E0C"/>
    <w:rsid w:val="00912953"/>
    <w:rsid w:val="00915AAB"/>
    <w:rsid w:val="00925FB6"/>
    <w:rsid w:val="00940B9B"/>
    <w:rsid w:val="00950391"/>
    <w:rsid w:val="0095676E"/>
    <w:rsid w:val="00956983"/>
    <w:rsid w:val="00963CF0"/>
    <w:rsid w:val="00964BB1"/>
    <w:rsid w:val="009742BE"/>
    <w:rsid w:val="009775D9"/>
    <w:rsid w:val="00980D36"/>
    <w:rsid w:val="00981DD5"/>
    <w:rsid w:val="00986165"/>
    <w:rsid w:val="00990B6C"/>
    <w:rsid w:val="0099447D"/>
    <w:rsid w:val="00997175"/>
    <w:rsid w:val="00997A87"/>
    <w:rsid w:val="009A1847"/>
    <w:rsid w:val="009A2FEB"/>
    <w:rsid w:val="009A4D46"/>
    <w:rsid w:val="009B062A"/>
    <w:rsid w:val="009B25EF"/>
    <w:rsid w:val="009B366E"/>
    <w:rsid w:val="009B475A"/>
    <w:rsid w:val="009B6F46"/>
    <w:rsid w:val="009B7AB9"/>
    <w:rsid w:val="009B7D3B"/>
    <w:rsid w:val="009C4506"/>
    <w:rsid w:val="009C53D8"/>
    <w:rsid w:val="009C637B"/>
    <w:rsid w:val="009D4546"/>
    <w:rsid w:val="009E0542"/>
    <w:rsid w:val="009E477F"/>
    <w:rsid w:val="009E7C6F"/>
    <w:rsid w:val="009F1793"/>
    <w:rsid w:val="009F2D23"/>
    <w:rsid w:val="009F3636"/>
    <w:rsid w:val="009F426C"/>
    <w:rsid w:val="009F727D"/>
    <w:rsid w:val="00A00909"/>
    <w:rsid w:val="00A01D19"/>
    <w:rsid w:val="00A01D69"/>
    <w:rsid w:val="00A02335"/>
    <w:rsid w:val="00A031E4"/>
    <w:rsid w:val="00A1293A"/>
    <w:rsid w:val="00A130B2"/>
    <w:rsid w:val="00A153EA"/>
    <w:rsid w:val="00A40ABB"/>
    <w:rsid w:val="00A41AFC"/>
    <w:rsid w:val="00A42EAF"/>
    <w:rsid w:val="00A4384A"/>
    <w:rsid w:val="00A442CF"/>
    <w:rsid w:val="00A46209"/>
    <w:rsid w:val="00A46C9A"/>
    <w:rsid w:val="00A53D39"/>
    <w:rsid w:val="00A544A5"/>
    <w:rsid w:val="00A56863"/>
    <w:rsid w:val="00A57F3E"/>
    <w:rsid w:val="00A60D66"/>
    <w:rsid w:val="00A619F3"/>
    <w:rsid w:val="00A61B8B"/>
    <w:rsid w:val="00A62A73"/>
    <w:rsid w:val="00A636B1"/>
    <w:rsid w:val="00A6650A"/>
    <w:rsid w:val="00A67E3B"/>
    <w:rsid w:val="00A709C3"/>
    <w:rsid w:val="00A731F5"/>
    <w:rsid w:val="00A77CC4"/>
    <w:rsid w:val="00A81A33"/>
    <w:rsid w:val="00A821FA"/>
    <w:rsid w:val="00A834D2"/>
    <w:rsid w:val="00A84530"/>
    <w:rsid w:val="00A87FF6"/>
    <w:rsid w:val="00A93061"/>
    <w:rsid w:val="00A93591"/>
    <w:rsid w:val="00A95C63"/>
    <w:rsid w:val="00A96AD8"/>
    <w:rsid w:val="00AA0A3B"/>
    <w:rsid w:val="00AA4BF6"/>
    <w:rsid w:val="00AB0CF7"/>
    <w:rsid w:val="00AB50CA"/>
    <w:rsid w:val="00AC2B69"/>
    <w:rsid w:val="00AC2C78"/>
    <w:rsid w:val="00AC53CE"/>
    <w:rsid w:val="00AD2193"/>
    <w:rsid w:val="00AD31B2"/>
    <w:rsid w:val="00AE0B2F"/>
    <w:rsid w:val="00AF2AC7"/>
    <w:rsid w:val="00AF4205"/>
    <w:rsid w:val="00AF74CE"/>
    <w:rsid w:val="00AF7584"/>
    <w:rsid w:val="00AF7895"/>
    <w:rsid w:val="00AF7BC3"/>
    <w:rsid w:val="00B04DB5"/>
    <w:rsid w:val="00B05731"/>
    <w:rsid w:val="00B1251B"/>
    <w:rsid w:val="00B13DC5"/>
    <w:rsid w:val="00B20537"/>
    <w:rsid w:val="00B208DB"/>
    <w:rsid w:val="00B236BB"/>
    <w:rsid w:val="00B239FA"/>
    <w:rsid w:val="00B23A31"/>
    <w:rsid w:val="00B23F69"/>
    <w:rsid w:val="00B26BC6"/>
    <w:rsid w:val="00B306B0"/>
    <w:rsid w:val="00B33333"/>
    <w:rsid w:val="00B35A22"/>
    <w:rsid w:val="00B40CCA"/>
    <w:rsid w:val="00B438BF"/>
    <w:rsid w:val="00B51D1D"/>
    <w:rsid w:val="00B51DBB"/>
    <w:rsid w:val="00B60619"/>
    <w:rsid w:val="00B62DB4"/>
    <w:rsid w:val="00B63CFB"/>
    <w:rsid w:val="00B66A70"/>
    <w:rsid w:val="00B67366"/>
    <w:rsid w:val="00B70546"/>
    <w:rsid w:val="00B74E67"/>
    <w:rsid w:val="00B7501F"/>
    <w:rsid w:val="00B80EE1"/>
    <w:rsid w:val="00B80FAA"/>
    <w:rsid w:val="00B81C06"/>
    <w:rsid w:val="00B84135"/>
    <w:rsid w:val="00B876E6"/>
    <w:rsid w:val="00B90C58"/>
    <w:rsid w:val="00B93CA9"/>
    <w:rsid w:val="00BA0CC0"/>
    <w:rsid w:val="00BA42C2"/>
    <w:rsid w:val="00BA6A5E"/>
    <w:rsid w:val="00BB0D26"/>
    <w:rsid w:val="00BB1B2E"/>
    <w:rsid w:val="00BB1E13"/>
    <w:rsid w:val="00BB2FA0"/>
    <w:rsid w:val="00BC1D8D"/>
    <w:rsid w:val="00BD37CC"/>
    <w:rsid w:val="00BD6DDC"/>
    <w:rsid w:val="00BE0183"/>
    <w:rsid w:val="00BE3612"/>
    <w:rsid w:val="00BE7176"/>
    <w:rsid w:val="00BF4973"/>
    <w:rsid w:val="00BF4E78"/>
    <w:rsid w:val="00BF7C4B"/>
    <w:rsid w:val="00C0227C"/>
    <w:rsid w:val="00C04A89"/>
    <w:rsid w:val="00C04D34"/>
    <w:rsid w:val="00C051B4"/>
    <w:rsid w:val="00C05DF8"/>
    <w:rsid w:val="00C06864"/>
    <w:rsid w:val="00C079EB"/>
    <w:rsid w:val="00C10F54"/>
    <w:rsid w:val="00C11039"/>
    <w:rsid w:val="00C11063"/>
    <w:rsid w:val="00C11664"/>
    <w:rsid w:val="00C13705"/>
    <w:rsid w:val="00C137CC"/>
    <w:rsid w:val="00C14F00"/>
    <w:rsid w:val="00C156C9"/>
    <w:rsid w:val="00C1581D"/>
    <w:rsid w:val="00C20B73"/>
    <w:rsid w:val="00C23D8D"/>
    <w:rsid w:val="00C2460C"/>
    <w:rsid w:val="00C37AA3"/>
    <w:rsid w:val="00C37FD7"/>
    <w:rsid w:val="00C43419"/>
    <w:rsid w:val="00C44CF3"/>
    <w:rsid w:val="00C465A3"/>
    <w:rsid w:val="00C47E21"/>
    <w:rsid w:val="00C530A8"/>
    <w:rsid w:val="00C5313C"/>
    <w:rsid w:val="00C602BD"/>
    <w:rsid w:val="00C60795"/>
    <w:rsid w:val="00C61BE0"/>
    <w:rsid w:val="00C63CEC"/>
    <w:rsid w:val="00C70B0E"/>
    <w:rsid w:val="00C7382D"/>
    <w:rsid w:val="00C773CA"/>
    <w:rsid w:val="00C77CC8"/>
    <w:rsid w:val="00C83785"/>
    <w:rsid w:val="00C84284"/>
    <w:rsid w:val="00C87701"/>
    <w:rsid w:val="00C903DF"/>
    <w:rsid w:val="00C906BD"/>
    <w:rsid w:val="00C94C0D"/>
    <w:rsid w:val="00C95C8B"/>
    <w:rsid w:val="00C96604"/>
    <w:rsid w:val="00C96C24"/>
    <w:rsid w:val="00CA1FEB"/>
    <w:rsid w:val="00CB483C"/>
    <w:rsid w:val="00CB768B"/>
    <w:rsid w:val="00CC0044"/>
    <w:rsid w:val="00CC0E4C"/>
    <w:rsid w:val="00CC156F"/>
    <w:rsid w:val="00CC15D2"/>
    <w:rsid w:val="00CD0CEE"/>
    <w:rsid w:val="00CD4F85"/>
    <w:rsid w:val="00CD6F02"/>
    <w:rsid w:val="00CE246D"/>
    <w:rsid w:val="00CE3729"/>
    <w:rsid w:val="00CF07A0"/>
    <w:rsid w:val="00CF340F"/>
    <w:rsid w:val="00CF3E03"/>
    <w:rsid w:val="00CF4694"/>
    <w:rsid w:val="00CF6784"/>
    <w:rsid w:val="00CF6895"/>
    <w:rsid w:val="00D0082A"/>
    <w:rsid w:val="00D01258"/>
    <w:rsid w:val="00D0242E"/>
    <w:rsid w:val="00D102A7"/>
    <w:rsid w:val="00D12473"/>
    <w:rsid w:val="00D20136"/>
    <w:rsid w:val="00D21455"/>
    <w:rsid w:val="00D21572"/>
    <w:rsid w:val="00D24471"/>
    <w:rsid w:val="00D261B6"/>
    <w:rsid w:val="00D318E9"/>
    <w:rsid w:val="00D332BF"/>
    <w:rsid w:val="00D33DD3"/>
    <w:rsid w:val="00D423B5"/>
    <w:rsid w:val="00D4416B"/>
    <w:rsid w:val="00D4486E"/>
    <w:rsid w:val="00D46A5F"/>
    <w:rsid w:val="00D47634"/>
    <w:rsid w:val="00D47D53"/>
    <w:rsid w:val="00D5115F"/>
    <w:rsid w:val="00D512DC"/>
    <w:rsid w:val="00D52D7D"/>
    <w:rsid w:val="00D5693E"/>
    <w:rsid w:val="00D56F21"/>
    <w:rsid w:val="00D57F29"/>
    <w:rsid w:val="00D60B4D"/>
    <w:rsid w:val="00D620FB"/>
    <w:rsid w:val="00D6787D"/>
    <w:rsid w:val="00D67FAA"/>
    <w:rsid w:val="00D70371"/>
    <w:rsid w:val="00D709B3"/>
    <w:rsid w:val="00D72E78"/>
    <w:rsid w:val="00D75BF7"/>
    <w:rsid w:val="00D817F5"/>
    <w:rsid w:val="00D81A12"/>
    <w:rsid w:val="00D84E40"/>
    <w:rsid w:val="00D86E6C"/>
    <w:rsid w:val="00D8750F"/>
    <w:rsid w:val="00D90421"/>
    <w:rsid w:val="00D909F4"/>
    <w:rsid w:val="00D96016"/>
    <w:rsid w:val="00DA1A94"/>
    <w:rsid w:val="00DA2ED6"/>
    <w:rsid w:val="00DA3897"/>
    <w:rsid w:val="00DB0C10"/>
    <w:rsid w:val="00DB2346"/>
    <w:rsid w:val="00DB39D3"/>
    <w:rsid w:val="00DB61A1"/>
    <w:rsid w:val="00DB709C"/>
    <w:rsid w:val="00DB76B8"/>
    <w:rsid w:val="00DC261A"/>
    <w:rsid w:val="00DC2EA1"/>
    <w:rsid w:val="00DD1645"/>
    <w:rsid w:val="00DD22DB"/>
    <w:rsid w:val="00DD33FD"/>
    <w:rsid w:val="00DD5C7F"/>
    <w:rsid w:val="00DD6AAF"/>
    <w:rsid w:val="00DE3F5C"/>
    <w:rsid w:val="00DE6DD2"/>
    <w:rsid w:val="00DF1D20"/>
    <w:rsid w:val="00DF61F6"/>
    <w:rsid w:val="00E014D8"/>
    <w:rsid w:val="00E02D65"/>
    <w:rsid w:val="00E03ED9"/>
    <w:rsid w:val="00E06E32"/>
    <w:rsid w:val="00E14959"/>
    <w:rsid w:val="00E21324"/>
    <w:rsid w:val="00E2329A"/>
    <w:rsid w:val="00E246B9"/>
    <w:rsid w:val="00E2676D"/>
    <w:rsid w:val="00E30B86"/>
    <w:rsid w:val="00E31FEA"/>
    <w:rsid w:val="00E35563"/>
    <w:rsid w:val="00E408B4"/>
    <w:rsid w:val="00E42227"/>
    <w:rsid w:val="00E42399"/>
    <w:rsid w:val="00E45169"/>
    <w:rsid w:val="00E45B7A"/>
    <w:rsid w:val="00E46E38"/>
    <w:rsid w:val="00E47787"/>
    <w:rsid w:val="00E51C30"/>
    <w:rsid w:val="00E61018"/>
    <w:rsid w:val="00E612EC"/>
    <w:rsid w:val="00E64180"/>
    <w:rsid w:val="00E64DEA"/>
    <w:rsid w:val="00E66793"/>
    <w:rsid w:val="00E7010D"/>
    <w:rsid w:val="00E70EE6"/>
    <w:rsid w:val="00E7116F"/>
    <w:rsid w:val="00E73539"/>
    <w:rsid w:val="00E739E4"/>
    <w:rsid w:val="00E74AEE"/>
    <w:rsid w:val="00E7594C"/>
    <w:rsid w:val="00E868E5"/>
    <w:rsid w:val="00E9237A"/>
    <w:rsid w:val="00E939FA"/>
    <w:rsid w:val="00E955CA"/>
    <w:rsid w:val="00EA088B"/>
    <w:rsid w:val="00EA4613"/>
    <w:rsid w:val="00EA5765"/>
    <w:rsid w:val="00EB14C6"/>
    <w:rsid w:val="00EB378D"/>
    <w:rsid w:val="00EB6F1A"/>
    <w:rsid w:val="00EC2532"/>
    <w:rsid w:val="00EC6683"/>
    <w:rsid w:val="00EC72EF"/>
    <w:rsid w:val="00ED0A36"/>
    <w:rsid w:val="00ED2C8B"/>
    <w:rsid w:val="00ED48B4"/>
    <w:rsid w:val="00ED7812"/>
    <w:rsid w:val="00ED7AFB"/>
    <w:rsid w:val="00EE12B7"/>
    <w:rsid w:val="00EE4239"/>
    <w:rsid w:val="00EF3B86"/>
    <w:rsid w:val="00EF58D5"/>
    <w:rsid w:val="00F05491"/>
    <w:rsid w:val="00F10BA7"/>
    <w:rsid w:val="00F15199"/>
    <w:rsid w:val="00F15D47"/>
    <w:rsid w:val="00F200F7"/>
    <w:rsid w:val="00F20E0A"/>
    <w:rsid w:val="00F2420A"/>
    <w:rsid w:val="00F24D8B"/>
    <w:rsid w:val="00F317E9"/>
    <w:rsid w:val="00F34554"/>
    <w:rsid w:val="00F34B90"/>
    <w:rsid w:val="00F41A77"/>
    <w:rsid w:val="00F42F4D"/>
    <w:rsid w:val="00F43280"/>
    <w:rsid w:val="00F45F77"/>
    <w:rsid w:val="00F51656"/>
    <w:rsid w:val="00F5167F"/>
    <w:rsid w:val="00F52258"/>
    <w:rsid w:val="00F52769"/>
    <w:rsid w:val="00F64BF0"/>
    <w:rsid w:val="00F6643A"/>
    <w:rsid w:val="00F707A2"/>
    <w:rsid w:val="00F73DCA"/>
    <w:rsid w:val="00F756CF"/>
    <w:rsid w:val="00F835F2"/>
    <w:rsid w:val="00F8570A"/>
    <w:rsid w:val="00F86B62"/>
    <w:rsid w:val="00F86EB0"/>
    <w:rsid w:val="00F917B3"/>
    <w:rsid w:val="00F91887"/>
    <w:rsid w:val="00F91C7B"/>
    <w:rsid w:val="00F95436"/>
    <w:rsid w:val="00F976EB"/>
    <w:rsid w:val="00FA3665"/>
    <w:rsid w:val="00FB224D"/>
    <w:rsid w:val="00FC057C"/>
    <w:rsid w:val="00FC0870"/>
    <w:rsid w:val="00FC0CC6"/>
    <w:rsid w:val="00FC4F56"/>
    <w:rsid w:val="00FD06BA"/>
    <w:rsid w:val="00FD11DE"/>
    <w:rsid w:val="00FD1DA9"/>
    <w:rsid w:val="00FE2F0B"/>
    <w:rsid w:val="00FE7A5B"/>
    <w:rsid w:val="00FF0E44"/>
    <w:rsid w:val="00FF4C06"/>
    <w:rsid w:val="00FF5870"/>
    <w:rsid w:val="00FF5F82"/>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A718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C04A89"/>
    <w:pPr>
      <w:keepNext/>
      <w:tabs>
        <w:tab w:val="left" w:pos="284"/>
      </w:tabs>
      <w:jc w:val="center"/>
      <w:outlineLvl w:val="0"/>
    </w:pPr>
    <w:rPr>
      <w:rFonts w:ascii="Arial (W1)" w:hAnsi="Arial (W1)" w:cs="Arial"/>
      <w:b/>
      <w:bCs/>
      <w:i/>
      <w:iCs/>
      <w:noProof/>
      <w:sz w:val="32"/>
      <w:u w:val="single"/>
      <w:lang w:val="sr-Latn-CS"/>
    </w:rPr>
  </w:style>
  <w:style w:type="paragraph" w:styleId="Heading2">
    <w:name w:val="heading 2"/>
    <w:basedOn w:val="Normal"/>
    <w:next w:val="Normal"/>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C04A89"/>
    <w:pPr>
      <w:keepNext/>
      <w:ind w:left="72" w:hanging="72"/>
      <w:outlineLvl w:val="2"/>
    </w:pPr>
    <w:rPr>
      <w:rFonts w:ascii="Arial" w:hAnsi="Arial" w:cs="Arial"/>
      <w:i/>
      <w:iCs/>
      <w:noProof/>
      <w:color w:val="999999"/>
      <w:sz w:val="18"/>
      <w:lang w:val="sr-Latn-RS"/>
    </w:rPr>
  </w:style>
  <w:style w:type="paragraph" w:styleId="Heading4">
    <w:name w:val="heading 4"/>
    <w:basedOn w:val="Normal"/>
    <w:next w:val="Normal"/>
    <w:link w:val="Heading4Char"/>
    <w:qFormat/>
    <w:rsid w:val="00C04A89"/>
    <w:pPr>
      <w:keepNext/>
      <w:tabs>
        <w:tab w:val="left" w:pos="284"/>
      </w:tabs>
      <w:ind w:right="265"/>
      <w:jc w:val="right"/>
      <w:outlineLvl w:val="3"/>
    </w:pPr>
    <w:rPr>
      <w:rFonts w:ascii="Arial" w:hAnsi="Arial" w:cs="Arial"/>
      <w:i/>
      <w:iCs/>
      <w:noProof/>
      <w:color w:val="999999"/>
      <w:sz w:val="16"/>
      <w:lang w:val="sr-Latn-RS"/>
    </w:rPr>
  </w:style>
  <w:style w:type="paragraph" w:styleId="Heading5">
    <w:name w:val="heading 5"/>
    <w:basedOn w:val="Normal"/>
    <w:next w:val="Normal"/>
    <w:link w:val="Heading5Char"/>
    <w:semiHidden/>
    <w:unhideWhenUsed/>
    <w:qFormat/>
    <w:rsid w:val="00C04A89"/>
    <w:pPr>
      <w:keepNext/>
      <w:keepLines/>
      <w:spacing w:before="40"/>
      <w:outlineLvl w:val="4"/>
    </w:pPr>
    <w:rPr>
      <w:rFonts w:ascii="Cambria" w:eastAsia="SimSun" w:hAnsi="Cambria"/>
      <w:color w:val="243F60"/>
      <w:sz w:val="22"/>
      <w:lang w:val="sr-Latn-ME" w:eastAsia="sr-Latn-ME"/>
    </w:rPr>
  </w:style>
  <w:style w:type="paragraph" w:styleId="Heading6">
    <w:name w:val="heading 6"/>
    <w:basedOn w:val="Normal"/>
    <w:next w:val="Normal"/>
    <w:link w:val="Heading6Char"/>
    <w:semiHidden/>
    <w:unhideWhenUsed/>
    <w:qFormat/>
    <w:rsid w:val="00C04A89"/>
    <w:pPr>
      <w:keepNext/>
      <w:keepLines/>
      <w:spacing w:before="40"/>
      <w:outlineLvl w:val="5"/>
    </w:pPr>
    <w:rPr>
      <w:rFonts w:ascii="Cambria" w:eastAsia="SimSun" w:hAnsi="Cambria"/>
      <w:i/>
      <w:iCs/>
      <w:color w:val="243F60"/>
      <w:sz w:val="22"/>
      <w:lang w:val="sr-Latn-ME" w:eastAsia="sr-Latn-ME"/>
    </w:rPr>
  </w:style>
  <w:style w:type="paragraph" w:styleId="Heading7">
    <w:name w:val="heading 7"/>
    <w:basedOn w:val="Normal"/>
    <w:next w:val="Normal"/>
    <w:link w:val="Heading7Char"/>
    <w:semiHidden/>
    <w:unhideWhenUsed/>
    <w:qFormat/>
    <w:rsid w:val="00C04A89"/>
    <w:pPr>
      <w:keepNext/>
      <w:keepLines/>
      <w:spacing w:before="40"/>
      <w:outlineLvl w:val="6"/>
    </w:pPr>
    <w:rPr>
      <w:rFonts w:ascii="Cambria" w:eastAsia="SimSun" w:hAnsi="Cambria"/>
      <w:i/>
      <w:iCs/>
      <w:color w:val="404040"/>
      <w:sz w:val="22"/>
      <w:lang w:val="sr-Latn-ME" w:eastAsia="sr-Latn-ME"/>
    </w:rPr>
  </w:style>
  <w:style w:type="paragraph" w:styleId="Heading8">
    <w:name w:val="heading 8"/>
    <w:basedOn w:val="Normal"/>
    <w:next w:val="Normal"/>
    <w:link w:val="Heading8Char"/>
    <w:semiHidden/>
    <w:unhideWhenUsed/>
    <w:qFormat/>
    <w:rsid w:val="00C04A89"/>
    <w:pPr>
      <w:keepNext/>
      <w:keepLines/>
      <w:spacing w:before="40"/>
      <w:outlineLvl w:val="7"/>
    </w:pPr>
    <w:rPr>
      <w:rFonts w:ascii="Cambria" w:eastAsia="SimSun" w:hAnsi="Cambria"/>
      <w:color w:val="404040"/>
      <w:sz w:val="20"/>
      <w:szCs w:val="20"/>
      <w:lang w:val="sr-Latn-ME" w:eastAsia="sr-Latn-ME"/>
    </w:rPr>
  </w:style>
  <w:style w:type="paragraph" w:styleId="Heading9">
    <w:name w:val="heading 9"/>
    <w:basedOn w:val="Normal"/>
    <w:next w:val="Normal"/>
    <w:link w:val="Heading9Char"/>
    <w:semiHidden/>
    <w:unhideWhenUsed/>
    <w:qFormat/>
    <w:rsid w:val="00C04A89"/>
    <w:pPr>
      <w:keepNext/>
      <w:keepLines/>
      <w:spacing w:before="40"/>
      <w:outlineLvl w:val="8"/>
    </w:pPr>
    <w:rPr>
      <w:rFonts w:ascii="Cambria" w:eastAsia="SimSun" w:hAnsi="Cambria"/>
      <w:i/>
      <w:iCs/>
      <w:color w:val="404040"/>
      <w:sz w:val="20"/>
      <w:szCs w:val="20"/>
      <w:lang w:val="sr-Latn-ME" w:eastAsia="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246B9"/>
    <w:pPr>
      <w:tabs>
        <w:tab w:val="center" w:pos="4320"/>
        <w:tab w:val="right" w:pos="8640"/>
      </w:tabs>
    </w:pPr>
  </w:style>
  <w:style w:type="paragraph" w:styleId="Footer">
    <w:name w:val="footer"/>
    <w:basedOn w:val="Normal"/>
    <w:link w:val="FooterChar"/>
    <w:uiPriority w:val="99"/>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semiHidden/>
    <w:rsid w:val="005A0B2E"/>
    <w:rPr>
      <w:sz w:val="20"/>
      <w:szCs w:val="20"/>
    </w:rPr>
  </w:style>
  <w:style w:type="paragraph" w:styleId="CommentSubject">
    <w:name w:val="annotation subject"/>
    <w:basedOn w:val="CommentText"/>
    <w:next w:val="CommentText"/>
    <w:semiHidden/>
    <w:rsid w:val="005A0B2E"/>
    <w:rPr>
      <w:b/>
      <w:bCs/>
    </w:rPr>
  </w:style>
  <w:style w:type="paragraph" w:styleId="BalloonText">
    <w:name w:val="Balloon Text"/>
    <w:basedOn w:val="Normal"/>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semiHidden/>
    <w:rsid w:val="008A6D43"/>
    <w:rPr>
      <w:lang w:val="en-US" w:eastAsia="en-US"/>
    </w:rPr>
  </w:style>
  <w:style w:type="character" w:customStyle="1" w:styleId="HeaderChar">
    <w:name w:val="Header Char"/>
    <w:link w:val="Header"/>
    <w:rsid w:val="000A26D9"/>
    <w:rPr>
      <w:sz w:val="24"/>
      <w:szCs w:val="24"/>
      <w:lang w:val="en-US" w:eastAsia="en-US"/>
    </w:rPr>
  </w:style>
  <w:style w:type="character" w:customStyle="1" w:styleId="Heading1Char">
    <w:name w:val="Heading 1 Char"/>
    <w:basedOn w:val="DefaultParagraphFont"/>
    <w:link w:val="Heading1"/>
    <w:rsid w:val="00C04A89"/>
    <w:rPr>
      <w:rFonts w:ascii="Arial (W1)" w:hAnsi="Arial (W1)" w:cs="Arial"/>
      <w:b/>
      <w:bCs/>
      <w:i/>
      <w:iCs/>
      <w:noProof/>
      <w:sz w:val="32"/>
      <w:szCs w:val="24"/>
      <w:u w:val="single"/>
      <w:lang w:val="sr-Latn-CS" w:eastAsia="en-US"/>
    </w:rPr>
  </w:style>
  <w:style w:type="character" w:customStyle="1" w:styleId="Heading3Char">
    <w:name w:val="Heading 3 Char"/>
    <w:basedOn w:val="DefaultParagraphFont"/>
    <w:link w:val="Heading3"/>
    <w:rsid w:val="00C04A89"/>
    <w:rPr>
      <w:rFonts w:ascii="Arial" w:hAnsi="Arial" w:cs="Arial"/>
      <w:i/>
      <w:iCs/>
      <w:noProof/>
      <w:color w:val="999999"/>
      <w:sz w:val="18"/>
      <w:szCs w:val="24"/>
      <w:lang w:val="sr-Latn-RS" w:eastAsia="en-US"/>
    </w:rPr>
  </w:style>
  <w:style w:type="character" w:customStyle="1" w:styleId="Heading4Char">
    <w:name w:val="Heading 4 Char"/>
    <w:basedOn w:val="DefaultParagraphFont"/>
    <w:link w:val="Heading4"/>
    <w:rsid w:val="00C04A89"/>
    <w:rPr>
      <w:rFonts w:ascii="Arial" w:hAnsi="Arial" w:cs="Arial"/>
      <w:i/>
      <w:iCs/>
      <w:noProof/>
      <w:color w:val="999999"/>
      <w:sz w:val="16"/>
      <w:szCs w:val="24"/>
      <w:lang w:val="sr-Latn-RS" w:eastAsia="en-US"/>
    </w:rPr>
  </w:style>
  <w:style w:type="paragraph" w:customStyle="1" w:styleId="Heading51">
    <w:name w:val="Heading 51"/>
    <w:basedOn w:val="Normal"/>
    <w:next w:val="Normal"/>
    <w:semiHidden/>
    <w:unhideWhenUsed/>
    <w:qFormat/>
    <w:rsid w:val="00C04A89"/>
    <w:pPr>
      <w:keepNext/>
      <w:keepLines/>
      <w:tabs>
        <w:tab w:val="left" w:pos="284"/>
      </w:tabs>
      <w:spacing w:before="200"/>
      <w:jc w:val="both"/>
      <w:outlineLvl w:val="4"/>
    </w:pPr>
    <w:rPr>
      <w:rFonts w:ascii="Cambria" w:eastAsia="SimSun" w:hAnsi="Cambria"/>
      <w:noProof/>
      <w:color w:val="243F60"/>
      <w:sz w:val="22"/>
      <w:lang w:val="sr-Latn-RS"/>
    </w:rPr>
  </w:style>
  <w:style w:type="paragraph" w:customStyle="1" w:styleId="Heading61">
    <w:name w:val="Heading 61"/>
    <w:basedOn w:val="Normal"/>
    <w:next w:val="Normal"/>
    <w:semiHidden/>
    <w:unhideWhenUsed/>
    <w:qFormat/>
    <w:rsid w:val="00C04A89"/>
    <w:pPr>
      <w:keepNext/>
      <w:keepLines/>
      <w:tabs>
        <w:tab w:val="left" w:pos="284"/>
      </w:tabs>
      <w:spacing w:before="200"/>
      <w:jc w:val="both"/>
      <w:outlineLvl w:val="5"/>
    </w:pPr>
    <w:rPr>
      <w:rFonts w:ascii="Cambria" w:eastAsia="SimSun" w:hAnsi="Cambria"/>
      <w:i/>
      <w:iCs/>
      <w:noProof/>
      <w:color w:val="243F60"/>
      <w:sz w:val="22"/>
      <w:lang w:val="sr-Latn-RS"/>
    </w:rPr>
  </w:style>
  <w:style w:type="paragraph" w:customStyle="1" w:styleId="Heading71">
    <w:name w:val="Heading 71"/>
    <w:basedOn w:val="Normal"/>
    <w:next w:val="Normal"/>
    <w:semiHidden/>
    <w:unhideWhenUsed/>
    <w:qFormat/>
    <w:rsid w:val="00C04A89"/>
    <w:pPr>
      <w:keepNext/>
      <w:keepLines/>
      <w:tabs>
        <w:tab w:val="left" w:pos="284"/>
      </w:tabs>
      <w:spacing w:before="200"/>
      <w:jc w:val="both"/>
      <w:outlineLvl w:val="6"/>
    </w:pPr>
    <w:rPr>
      <w:rFonts w:ascii="Cambria" w:eastAsia="SimSun" w:hAnsi="Cambria"/>
      <w:i/>
      <w:iCs/>
      <w:noProof/>
      <w:color w:val="404040"/>
      <w:sz w:val="22"/>
      <w:lang w:val="sr-Latn-RS"/>
    </w:rPr>
  </w:style>
  <w:style w:type="paragraph" w:customStyle="1" w:styleId="Heading81">
    <w:name w:val="Heading 81"/>
    <w:basedOn w:val="Normal"/>
    <w:next w:val="Normal"/>
    <w:semiHidden/>
    <w:unhideWhenUsed/>
    <w:qFormat/>
    <w:rsid w:val="00C04A89"/>
    <w:pPr>
      <w:keepNext/>
      <w:keepLines/>
      <w:tabs>
        <w:tab w:val="left" w:pos="284"/>
      </w:tabs>
      <w:spacing w:before="200"/>
      <w:jc w:val="both"/>
      <w:outlineLvl w:val="7"/>
    </w:pPr>
    <w:rPr>
      <w:rFonts w:ascii="Cambria" w:eastAsia="SimSun" w:hAnsi="Cambria"/>
      <w:noProof/>
      <w:color w:val="404040"/>
      <w:sz w:val="20"/>
      <w:szCs w:val="20"/>
      <w:lang w:val="sr-Latn-RS"/>
    </w:rPr>
  </w:style>
  <w:style w:type="paragraph" w:customStyle="1" w:styleId="Heading91">
    <w:name w:val="Heading 91"/>
    <w:basedOn w:val="Normal"/>
    <w:next w:val="Normal"/>
    <w:semiHidden/>
    <w:unhideWhenUsed/>
    <w:qFormat/>
    <w:rsid w:val="00C04A89"/>
    <w:pPr>
      <w:keepNext/>
      <w:keepLines/>
      <w:tabs>
        <w:tab w:val="left" w:pos="284"/>
      </w:tabs>
      <w:spacing w:before="200"/>
      <w:jc w:val="both"/>
      <w:outlineLvl w:val="8"/>
    </w:pPr>
    <w:rPr>
      <w:rFonts w:ascii="Cambria" w:eastAsia="SimSun" w:hAnsi="Cambria"/>
      <w:i/>
      <w:iCs/>
      <w:noProof/>
      <w:color w:val="404040"/>
      <w:sz w:val="20"/>
      <w:szCs w:val="20"/>
      <w:lang w:val="sr-Latn-RS"/>
    </w:rPr>
  </w:style>
  <w:style w:type="numbering" w:customStyle="1" w:styleId="NoList1">
    <w:name w:val="No List1"/>
    <w:next w:val="NoList"/>
    <w:uiPriority w:val="99"/>
    <w:semiHidden/>
    <w:unhideWhenUsed/>
    <w:rsid w:val="00C04A89"/>
  </w:style>
  <w:style w:type="character" w:customStyle="1" w:styleId="FooterChar">
    <w:name w:val="Footer Char"/>
    <w:basedOn w:val="DefaultParagraphFont"/>
    <w:link w:val="Footer"/>
    <w:uiPriority w:val="99"/>
    <w:rsid w:val="00C04A89"/>
    <w:rPr>
      <w:sz w:val="24"/>
      <w:szCs w:val="24"/>
      <w:lang w:val="en-US" w:eastAsia="en-US"/>
    </w:rPr>
  </w:style>
  <w:style w:type="paragraph" w:customStyle="1" w:styleId="NASLOV123">
    <w:name w:val="NASLOV 123"/>
    <w:basedOn w:val="Normal"/>
    <w:qFormat/>
    <w:rsid w:val="00C04A89"/>
    <w:pPr>
      <w:tabs>
        <w:tab w:val="left" w:pos="284"/>
      </w:tabs>
      <w:spacing w:before="200" w:after="200"/>
    </w:pPr>
    <w:rPr>
      <w:b/>
      <w:noProof/>
      <w:sz w:val="22"/>
      <w:szCs w:val="22"/>
      <w:lang w:val="sr-Latn-RS"/>
    </w:rPr>
  </w:style>
  <w:style w:type="character" w:customStyle="1" w:styleId="st">
    <w:name w:val="st"/>
    <w:basedOn w:val="DefaultParagraphFont"/>
    <w:rsid w:val="00C04A89"/>
  </w:style>
  <w:style w:type="character" w:styleId="Emphasis">
    <w:name w:val="Emphasis"/>
    <w:uiPriority w:val="20"/>
    <w:qFormat/>
    <w:rsid w:val="00C04A89"/>
    <w:rPr>
      <w:i/>
      <w:iCs/>
    </w:rPr>
  </w:style>
  <w:style w:type="character" w:styleId="Strong">
    <w:name w:val="Strong"/>
    <w:qFormat/>
    <w:rsid w:val="00C04A89"/>
    <w:rPr>
      <w:b/>
      <w:noProof/>
    </w:rPr>
  </w:style>
  <w:style w:type="paragraph" w:styleId="ListParagraph">
    <w:name w:val="List Paragraph"/>
    <w:aliases w:val="Bullet Level 3"/>
    <w:basedOn w:val="Normal"/>
    <w:link w:val="ListParagraphChar"/>
    <w:uiPriority w:val="34"/>
    <w:qFormat/>
    <w:rsid w:val="00C04A89"/>
    <w:pPr>
      <w:tabs>
        <w:tab w:val="left" w:pos="284"/>
      </w:tabs>
      <w:ind w:left="720"/>
      <w:contextualSpacing/>
      <w:jc w:val="both"/>
    </w:pPr>
    <w:rPr>
      <w:noProof/>
      <w:sz w:val="22"/>
      <w:lang w:val="sr-Latn-RS"/>
    </w:rPr>
  </w:style>
  <w:style w:type="paragraph" w:styleId="Bibliography">
    <w:name w:val="Bibliography"/>
    <w:basedOn w:val="Normal"/>
    <w:next w:val="Normal"/>
    <w:uiPriority w:val="37"/>
    <w:semiHidden/>
    <w:unhideWhenUsed/>
    <w:rsid w:val="00C04A89"/>
    <w:pPr>
      <w:tabs>
        <w:tab w:val="left" w:pos="284"/>
      </w:tabs>
      <w:jc w:val="both"/>
    </w:pPr>
    <w:rPr>
      <w:noProof/>
      <w:sz w:val="22"/>
      <w:lang w:val="sr-Latn-RS"/>
    </w:rPr>
  </w:style>
  <w:style w:type="paragraph" w:customStyle="1" w:styleId="BlockText1">
    <w:name w:val="Block Text1"/>
    <w:basedOn w:val="Normal"/>
    <w:next w:val="BlockText"/>
    <w:rsid w:val="00C04A89"/>
    <w:pPr>
      <w:pBdr>
        <w:top w:val="single" w:sz="2" w:space="10" w:color="4F81BD" w:shadow="1" w:frame="1"/>
        <w:left w:val="single" w:sz="2" w:space="10" w:color="4F81BD" w:shadow="1" w:frame="1"/>
        <w:bottom w:val="single" w:sz="2" w:space="10" w:color="4F81BD" w:shadow="1" w:frame="1"/>
        <w:right w:val="single" w:sz="2" w:space="10" w:color="4F81BD" w:shadow="1" w:frame="1"/>
      </w:pBdr>
      <w:tabs>
        <w:tab w:val="left" w:pos="284"/>
      </w:tabs>
      <w:ind w:left="1152" w:right="1152"/>
      <w:jc w:val="both"/>
    </w:pPr>
    <w:rPr>
      <w:rFonts w:ascii="Calibri" w:eastAsia="SimSun" w:hAnsi="Calibri"/>
      <w:i/>
      <w:iCs/>
      <w:noProof/>
      <w:color w:val="4F81BD"/>
      <w:sz w:val="22"/>
      <w:lang w:val="sr-Latn-RS"/>
    </w:rPr>
  </w:style>
  <w:style w:type="paragraph" w:styleId="BodyText">
    <w:name w:val="Body Text"/>
    <w:basedOn w:val="Normal"/>
    <w:link w:val="BodyTextChar"/>
    <w:rsid w:val="00C04A89"/>
    <w:pPr>
      <w:tabs>
        <w:tab w:val="left" w:pos="284"/>
      </w:tabs>
      <w:spacing w:after="120"/>
      <w:jc w:val="both"/>
    </w:pPr>
    <w:rPr>
      <w:noProof/>
      <w:sz w:val="22"/>
      <w:lang w:val="sr-Latn-RS"/>
    </w:rPr>
  </w:style>
  <w:style w:type="character" w:customStyle="1" w:styleId="BodyTextChar">
    <w:name w:val="Body Text Char"/>
    <w:basedOn w:val="DefaultParagraphFont"/>
    <w:link w:val="BodyText"/>
    <w:rsid w:val="00C04A89"/>
    <w:rPr>
      <w:noProof/>
      <w:sz w:val="22"/>
      <w:szCs w:val="24"/>
      <w:lang w:val="sr-Latn-RS" w:eastAsia="en-US"/>
    </w:rPr>
  </w:style>
  <w:style w:type="paragraph" w:styleId="BodyText2">
    <w:name w:val="Body Text 2"/>
    <w:basedOn w:val="Normal"/>
    <w:link w:val="BodyText2Char"/>
    <w:rsid w:val="00C04A89"/>
    <w:pPr>
      <w:tabs>
        <w:tab w:val="left" w:pos="284"/>
      </w:tabs>
      <w:spacing w:after="120" w:line="480" w:lineRule="auto"/>
      <w:jc w:val="both"/>
    </w:pPr>
    <w:rPr>
      <w:noProof/>
      <w:sz w:val="22"/>
      <w:lang w:val="sr-Latn-RS"/>
    </w:rPr>
  </w:style>
  <w:style w:type="character" w:customStyle="1" w:styleId="BodyText2Char">
    <w:name w:val="Body Text 2 Char"/>
    <w:basedOn w:val="DefaultParagraphFont"/>
    <w:link w:val="BodyText2"/>
    <w:rsid w:val="00C04A89"/>
    <w:rPr>
      <w:noProof/>
      <w:sz w:val="22"/>
      <w:szCs w:val="24"/>
      <w:lang w:val="sr-Latn-RS" w:eastAsia="en-US"/>
    </w:rPr>
  </w:style>
  <w:style w:type="paragraph" w:styleId="BodyText3">
    <w:name w:val="Body Text 3"/>
    <w:basedOn w:val="Normal"/>
    <w:link w:val="BodyText3Char"/>
    <w:rsid w:val="00C04A89"/>
    <w:pPr>
      <w:tabs>
        <w:tab w:val="left" w:pos="284"/>
      </w:tabs>
      <w:spacing w:after="120"/>
      <w:jc w:val="both"/>
    </w:pPr>
    <w:rPr>
      <w:noProof/>
      <w:sz w:val="16"/>
      <w:szCs w:val="16"/>
      <w:lang w:val="sr-Latn-RS"/>
    </w:rPr>
  </w:style>
  <w:style w:type="character" w:customStyle="1" w:styleId="BodyText3Char">
    <w:name w:val="Body Text 3 Char"/>
    <w:basedOn w:val="DefaultParagraphFont"/>
    <w:link w:val="BodyText3"/>
    <w:rsid w:val="00C04A89"/>
    <w:rPr>
      <w:noProof/>
      <w:sz w:val="16"/>
      <w:szCs w:val="16"/>
      <w:lang w:val="sr-Latn-RS" w:eastAsia="en-US"/>
    </w:rPr>
  </w:style>
  <w:style w:type="paragraph" w:styleId="BodyTextFirstIndent">
    <w:name w:val="Body Text First Indent"/>
    <w:basedOn w:val="BodyText"/>
    <w:link w:val="BodyTextFirstIndentChar"/>
    <w:rsid w:val="00C04A89"/>
    <w:pPr>
      <w:spacing w:after="0"/>
      <w:ind w:firstLine="360"/>
    </w:pPr>
  </w:style>
  <w:style w:type="character" w:customStyle="1" w:styleId="BodyTextFirstIndentChar">
    <w:name w:val="Body Text First Indent Char"/>
    <w:basedOn w:val="BodyTextChar"/>
    <w:link w:val="BodyTextFirstIndent"/>
    <w:rsid w:val="00C04A89"/>
    <w:rPr>
      <w:noProof/>
      <w:sz w:val="22"/>
      <w:szCs w:val="24"/>
      <w:lang w:val="sr-Latn-RS" w:eastAsia="en-US"/>
    </w:rPr>
  </w:style>
  <w:style w:type="paragraph" w:styleId="BodyTextIndent">
    <w:name w:val="Body Text Indent"/>
    <w:basedOn w:val="Normal"/>
    <w:link w:val="BodyTextIndentChar"/>
    <w:rsid w:val="00C04A89"/>
    <w:pPr>
      <w:tabs>
        <w:tab w:val="left" w:pos="284"/>
      </w:tabs>
      <w:spacing w:after="120"/>
      <w:ind w:left="360"/>
      <w:jc w:val="both"/>
    </w:pPr>
    <w:rPr>
      <w:noProof/>
      <w:sz w:val="22"/>
      <w:lang w:val="sr-Latn-RS"/>
    </w:rPr>
  </w:style>
  <w:style w:type="character" w:customStyle="1" w:styleId="BodyTextIndentChar">
    <w:name w:val="Body Text Indent Char"/>
    <w:basedOn w:val="DefaultParagraphFont"/>
    <w:link w:val="BodyTextIndent"/>
    <w:rsid w:val="00C04A89"/>
    <w:rPr>
      <w:noProof/>
      <w:sz w:val="22"/>
      <w:szCs w:val="24"/>
      <w:lang w:val="sr-Latn-RS" w:eastAsia="en-US"/>
    </w:rPr>
  </w:style>
  <w:style w:type="paragraph" w:styleId="BodyTextFirstIndent2">
    <w:name w:val="Body Text First Indent 2"/>
    <w:basedOn w:val="BodyTextIndent"/>
    <w:link w:val="BodyTextFirstIndent2Char"/>
    <w:rsid w:val="00C04A89"/>
    <w:pPr>
      <w:spacing w:after="0"/>
      <w:ind w:firstLine="360"/>
    </w:pPr>
  </w:style>
  <w:style w:type="character" w:customStyle="1" w:styleId="BodyTextFirstIndent2Char">
    <w:name w:val="Body Text First Indent 2 Char"/>
    <w:basedOn w:val="BodyTextIndentChar"/>
    <w:link w:val="BodyTextFirstIndent2"/>
    <w:rsid w:val="00C04A89"/>
    <w:rPr>
      <w:noProof/>
      <w:sz w:val="22"/>
      <w:szCs w:val="24"/>
      <w:lang w:val="sr-Latn-RS" w:eastAsia="en-US"/>
    </w:rPr>
  </w:style>
  <w:style w:type="paragraph" w:styleId="BodyTextIndent2">
    <w:name w:val="Body Text Indent 2"/>
    <w:basedOn w:val="Normal"/>
    <w:link w:val="BodyTextIndent2Char"/>
    <w:rsid w:val="00C04A89"/>
    <w:pPr>
      <w:tabs>
        <w:tab w:val="left" w:pos="284"/>
      </w:tabs>
      <w:spacing w:after="120" w:line="480" w:lineRule="auto"/>
      <w:ind w:left="360"/>
      <w:jc w:val="both"/>
    </w:pPr>
    <w:rPr>
      <w:noProof/>
      <w:sz w:val="22"/>
      <w:lang w:val="sr-Latn-RS"/>
    </w:rPr>
  </w:style>
  <w:style w:type="character" w:customStyle="1" w:styleId="BodyTextIndent2Char">
    <w:name w:val="Body Text Indent 2 Char"/>
    <w:basedOn w:val="DefaultParagraphFont"/>
    <w:link w:val="BodyTextIndent2"/>
    <w:rsid w:val="00C04A89"/>
    <w:rPr>
      <w:noProof/>
      <w:sz w:val="22"/>
      <w:szCs w:val="24"/>
      <w:lang w:val="sr-Latn-RS" w:eastAsia="en-US"/>
    </w:rPr>
  </w:style>
  <w:style w:type="paragraph" w:styleId="BodyTextIndent3">
    <w:name w:val="Body Text Indent 3"/>
    <w:basedOn w:val="Normal"/>
    <w:link w:val="BodyTextIndent3Char"/>
    <w:rsid w:val="00C04A89"/>
    <w:pPr>
      <w:tabs>
        <w:tab w:val="left" w:pos="284"/>
      </w:tabs>
      <w:spacing w:after="120"/>
      <w:ind w:left="360"/>
      <w:jc w:val="both"/>
    </w:pPr>
    <w:rPr>
      <w:noProof/>
      <w:sz w:val="16"/>
      <w:szCs w:val="16"/>
      <w:lang w:val="sr-Latn-RS"/>
    </w:rPr>
  </w:style>
  <w:style w:type="character" w:customStyle="1" w:styleId="BodyTextIndent3Char">
    <w:name w:val="Body Text Indent 3 Char"/>
    <w:basedOn w:val="DefaultParagraphFont"/>
    <w:link w:val="BodyTextIndent3"/>
    <w:rsid w:val="00C04A89"/>
    <w:rPr>
      <w:noProof/>
      <w:sz w:val="16"/>
      <w:szCs w:val="16"/>
      <w:lang w:val="sr-Latn-RS" w:eastAsia="en-US"/>
    </w:rPr>
  </w:style>
  <w:style w:type="paragraph" w:customStyle="1" w:styleId="Caption1">
    <w:name w:val="Caption1"/>
    <w:basedOn w:val="Normal"/>
    <w:next w:val="Normal"/>
    <w:semiHidden/>
    <w:unhideWhenUsed/>
    <w:qFormat/>
    <w:rsid w:val="00C04A89"/>
    <w:pPr>
      <w:tabs>
        <w:tab w:val="left" w:pos="284"/>
      </w:tabs>
      <w:spacing w:after="200"/>
      <w:jc w:val="both"/>
    </w:pPr>
    <w:rPr>
      <w:b/>
      <w:bCs/>
      <w:noProof/>
      <w:color w:val="4F81BD"/>
      <w:sz w:val="18"/>
      <w:szCs w:val="18"/>
      <w:lang w:val="sr-Latn-RS"/>
    </w:rPr>
  </w:style>
  <w:style w:type="paragraph" w:styleId="Closing">
    <w:name w:val="Closing"/>
    <w:basedOn w:val="Normal"/>
    <w:link w:val="ClosingChar"/>
    <w:rsid w:val="00C04A89"/>
    <w:pPr>
      <w:tabs>
        <w:tab w:val="left" w:pos="284"/>
      </w:tabs>
      <w:ind w:left="4320"/>
      <w:jc w:val="both"/>
    </w:pPr>
    <w:rPr>
      <w:noProof/>
      <w:sz w:val="22"/>
      <w:lang w:val="sr-Latn-RS"/>
    </w:rPr>
  </w:style>
  <w:style w:type="character" w:customStyle="1" w:styleId="ClosingChar">
    <w:name w:val="Closing Char"/>
    <w:basedOn w:val="DefaultParagraphFont"/>
    <w:link w:val="Closing"/>
    <w:rsid w:val="00C04A89"/>
    <w:rPr>
      <w:noProof/>
      <w:sz w:val="22"/>
      <w:szCs w:val="24"/>
      <w:lang w:val="sr-Latn-RS" w:eastAsia="en-US"/>
    </w:rPr>
  </w:style>
  <w:style w:type="paragraph" w:styleId="Date">
    <w:name w:val="Date"/>
    <w:basedOn w:val="Normal"/>
    <w:next w:val="Normal"/>
    <w:link w:val="DateChar"/>
    <w:rsid w:val="00C04A89"/>
    <w:pPr>
      <w:tabs>
        <w:tab w:val="left" w:pos="284"/>
      </w:tabs>
      <w:jc w:val="both"/>
    </w:pPr>
    <w:rPr>
      <w:noProof/>
      <w:sz w:val="22"/>
      <w:lang w:val="sr-Latn-RS"/>
    </w:rPr>
  </w:style>
  <w:style w:type="character" w:customStyle="1" w:styleId="DateChar">
    <w:name w:val="Date Char"/>
    <w:basedOn w:val="DefaultParagraphFont"/>
    <w:link w:val="Date"/>
    <w:rsid w:val="00C04A89"/>
    <w:rPr>
      <w:noProof/>
      <w:sz w:val="22"/>
      <w:szCs w:val="24"/>
      <w:lang w:val="sr-Latn-RS" w:eastAsia="en-US"/>
    </w:rPr>
  </w:style>
  <w:style w:type="paragraph" w:styleId="DocumentMap">
    <w:name w:val="Document Map"/>
    <w:basedOn w:val="Normal"/>
    <w:link w:val="DocumentMapChar"/>
    <w:rsid w:val="00C04A89"/>
    <w:pPr>
      <w:tabs>
        <w:tab w:val="left" w:pos="284"/>
      </w:tabs>
      <w:jc w:val="both"/>
    </w:pPr>
    <w:rPr>
      <w:rFonts w:ascii="Tahoma" w:hAnsi="Tahoma" w:cs="Tahoma"/>
      <w:noProof/>
      <w:sz w:val="16"/>
      <w:szCs w:val="16"/>
      <w:lang w:val="sr-Latn-RS"/>
    </w:rPr>
  </w:style>
  <w:style w:type="character" w:customStyle="1" w:styleId="DocumentMapChar">
    <w:name w:val="Document Map Char"/>
    <w:basedOn w:val="DefaultParagraphFont"/>
    <w:link w:val="DocumentMap"/>
    <w:rsid w:val="00C04A89"/>
    <w:rPr>
      <w:rFonts w:ascii="Tahoma" w:hAnsi="Tahoma" w:cs="Tahoma"/>
      <w:noProof/>
      <w:sz w:val="16"/>
      <w:szCs w:val="16"/>
      <w:lang w:val="sr-Latn-RS" w:eastAsia="en-US"/>
    </w:rPr>
  </w:style>
  <w:style w:type="paragraph" w:styleId="E-mailSignature">
    <w:name w:val="E-mail Signature"/>
    <w:basedOn w:val="Normal"/>
    <w:link w:val="E-mailSignatureChar"/>
    <w:rsid w:val="00C04A89"/>
    <w:pPr>
      <w:tabs>
        <w:tab w:val="left" w:pos="284"/>
      </w:tabs>
      <w:jc w:val="both"/>
    </w:pPr>
    <w:rPr>
      <w:noProof/>
      <w:sz w:val="22"/>
      <w:lang w:val="sr-Latn-RS"/>
    </w:rPr>
  </w:style>
  <w:style w:type="character" w:customStyle="1" w:styleId="E-mailSignatureChar">
    <w:name w:val="E-mail Signature Char"/>
    <w:basedOn w:val="DefaultParagraphFont"/>
    <w:link w:val="E-mailSignature"/>
    <w:rsid w:val="00C04A89"/>
    <w:rPr>
      <w:noProof/>
      <w:sz w:val="22"/>
      <w:szCs w:val="24"/>
      <w:lang w:val="sr-Latn-RS" w:eastAsia="en-US"/>
    </w:rPr>
  </w:style>
  <w:style w:type="paragraph" w:styleId="EndnoteText">
    <w:name w:val="endnote text"/>
    <w:basedOn w:val="Normal"/>
    <w:link w:val="EndnoteTextChar"/>
    <w:rsid w:val="00C04A89"/>
    <w:pPr>
      <w:tabs>
        <w:tab w:val="left" w:pos="284"/>
      </w:tabs>
      <w:jc w:val="both"/>
    </w:pPr>
    <w:rPr>
      <w:noProof/>
      <w:sz w:val="20"/>
      <w:szCs w:val="20"/>
      <w:lang w:val="sr-Latn-RS"/>
    </w:rPr>
  </w:style>
  <w:style w:type="character" w:customStyle="1" w:styleId="EndnoteTextChar">
    <w:name w:val="Endnote Text Char"/>
    <w:basedOn w:val="DefaultParagraphFont"/>
    <w:link w:val="EndnoteText"/>
    <w:rsid w:val="00C04A89"/>
    <w:rPr>
      <w:noProof/>
      <w:lang w:val="sr-Latn-RS" w:eastAsia="en-US"/>
    </w:rPr>
  </w:style>
  <w:style w:type="paragraph" w:customStyle="1" w:styleId="EnvelopeAddress1">
    <w:name w:val="Envelope Address1"/>
    <w:basedOn w:val="Normal"/>
    <w:next w:val="EnvelopeAddress"/>
    <w:rsid w:val="00C04A89"/>
    <w:pPr>
      <w:framePr w:w="7920" w:h="1980" w:hRule="exact" w:hSpace="180" w:wrap="auto" w:hAnchor="page" w:xAlign="center" w:yAlign="bottom"/>
      <w:tabs>
        <w:tab w:val="left" w:pos="284"/>
      </w:tabs>
      <w:ind w:left="2880"/>
      <w:jc w:val="both"/>
    </w:pPr>
    <w:rPr>
      <w:rFonts w:ascii="Cambria" w:eastAsia="SimSun" w:hAnsi="Cambria"/>
      <w:noProof/>
      <w:lang w:val="sr-Latn-RS"/>
    </w:rPr>
  </w:style>
  <w:style w:type="paragraph" w:customStyle="1" w:styleId="EnvelopeReturn1">
    <w:name w:val="Envelope Return1"/>
    <w:basedOn w:val="Normal"/>
    <w:next w:val="EnvelopeReturn"/>
    <w:rsid w:val="00C04A89"/>
    <w:pPr>
      <w:tabs>
        <w:tab w:val="left" w:pos="284"/>
      </w:tabs>
      <w:jc w:val="both"/>
    </w:pPr>
    <w:rPr>
      <w:rFonts w:ascii="Cambria" w:eastAsia="SimSun" w:hAnsi="Cambria"/>
      <w:noProof/>
      <w:sz w:val="20"/>
      <w:szCs w:val="20"/>
      <w:lang w:val="sr-Latn-RS"/>
    </w:rPr>
  </w:style>
  <w:style w:type="paragraph" w:styleId="FootnoteText">
    <w:name w:val="footnote text"/>
    <w:basedOn w:val="Normal"/>
    <w:link w:val="FootnoteTextChar"/>
    <w:rsid w:val="00C04A89"/>
    <w:pPr>
      <w:tabs>
        <w:tab w:val="left" w:pos="284"/>
      </w:tabs>
      <w:jc w:val="both"/>
    </w:pPr>
    <w:rPr>
      <w:noProof/>
      <w:sz w:val="20"/>
      <w:szCs w:val="20"/>
      <w:lang w:val="sr-Latn-RS"/>
    </w:rPr>
  </w:style>
  <w:style w:type="character" w:customStyle="1" w:styleId="FootnoteTextChar">
    <w:name w:val="Footnote Text Char"/>
    <w:basedOn w:val="DefaultParagraphFont"/>
    <w:link w:val="FootnoteText"/>
    <w:rsid w:val="00C04A89"/>
    <w:rPr>
      <w:noProof/>
      <w:lang w:val="sr-Latn-RS" w:eastAsia="en-US"/>
    </w:rPr>
  </w:style>
  <w:style w:type="character" w:customStyle="1" w:styleId="Heading5Char">
    <w:name w:val="Heading 5 Char"/>
    <w:basedOn w:val="DefaultParagraphFont"/>
    <w:link w:val="Heading5"/>
    <w:semiHidden/>
    <w:rsid w:val="00C04A89"/>
    <w:rPr>
      <w:rFonts w:ascii="Cambria" w:eastAsia="SimSun" w:hAnsi="Cambria" w:cs="Times New Roman"/>
      <w:color w:val="243F60"/>
      <w:sz w:val="22"/>
      <w:szCs w:val="24"/>
    </w:rPr>
  </w:style>
  <w:style w:type="character" w:customStyle="1" w:styleId="Heading6Char">
    <w:name w:val="Heading 6 Char"/>
    <w:basedOn w:val="DefaultParagraphFont"/>
    <w:link w:val="Heading6"/>
    <w:semiHidden/>
    <w:rsid w:val="00C04A89"/>
    <w:rPr>
      <w:rFonts w:ascii="Cambria" w:eastAsia="SimSun" w:hAnsi="Cambria" w:cs="Times New Roman"/>
      <w:i/>
      <w:iCs/>
      <w:color w:val="243F60"/>
      <w:sz w:val="22"/>
      <w:szCs w:val="24"/>
    </w:rPr>
  </w:style>
  <w:style w:type="character" w:customStyle="1" w:styleId="Heading7Char">
    <w:name w:val="Heading 7 Char"/>
    <w:basedOn w:val="DefaultParagraphFont"/>
    <w:link w:val="Heading7"/>
    <w:semiHidden/>
    <w:rsid w:val="00C04A89"/>
    <w:rPr>
      <w:rFonts w:ascii="Cambria" w:eastAsia="SimSun" w:hAnsi="Cambria" w:cs="Times New Roman"/>
      <w:i/>
      <w:iCs/>
      <w:color w:val="404040"/>
      <w:sz w:val="22"/>
      <w:szCs w:val="24"/>
    </w:rPr>
  </w:style>
  <w:style w:type="character" w:customStyle="1" w:styleId="Heading8Char">
    <w:name w:val="Heading 8 Char"/>
    <w:basedOn w:val="DefaultParagraphFont"/>
    <w:link w:val="Heading8"/>
    <w:semiHidden/>
    <w:rsid w:val="00C04A89"/>
    <w:rPr>
      <w:rFonts w:ascii="Cambria" w:eastAsia="SimSun" w:hAnsi="Cambria" w:cs="Times New Roman"/>
      <w:color w:val="404040"/>
    </w:rPr>
  </w:style>
  <w:style w:type="character" w:customStyle="1" w:styleId="Heading9Char">
    <w:name w:val="Heading 9 Char"/>
    <w:basedOn w:val="DefaultParagraphFont"/>
    <w:link w:val="Heading9"/>
    <w:semiHidden/>
    <w:rsid w:val="00C04A89"/>
    <w:rPr>
      <w:rFonts w:ascii="Cambria" w:eastAsia="SimSun" w:hAnsi="Cambria" w:cs="Times New Roman"/>
      <w:i/>
      <w:iCs/>
      <w:color w:val="404040"/>
    </w:rPr>
  </w:style>
  <w:style w:type="paragraph" w:styleId="HTMLAddress">
    <w:name w:val="HTML Address"/>
    <w:basedOn w:val="Normal"/>
    <w:link w:val="HTMLAddressChar"/>
    <w:rsid w:val="00C04A89"/>
    <w:pPr>
      <w:tabs>
        <w:tab w:val="left" w:pos="284"/>
      </w:tabs>
      <w:jc w:val="both"/>
    </w:pPr>
    <w:rPr>
      <w:i/>
      <w:iCs/>
      <w:noProof/>
      <w:sz w:val="22"/>
      <w:lang w:val="sr-Latn-RS"/>
    </w:rPr>
  </w:style>
  <w:style w:type="character" w:customStyle="1" w:styleId="HTMLAddressChar">
    <w:name w:val="HTML Address Char"/>
    <w:basedOn w:val="DefaultParagraphFont"/>
    <w:link w:val="HTMLAddress"/>
    <w:rsid w:val="00C04A89"/>
    <w:rPr>
      <w:i/>
      <w:iCs/>
      <w:noProof/>
      <w:sz w:val="22"/>
      <w:szCs w:val="24"/>
      <w:lang w:val="sr-Latn-RS" w:eastAsia="en-US"/>
    </w:rPr>
  </w:style>
  <w:style w:type="paragraph" w:styleId="HTMLPreformatted">
    <w:name w:val="HTML Preformatted"/>
    <w:basedOn w:val="Normal"/>
    <w:link w:val="HTMLPreformattedChar"/>
    <w:rsid w:val="00C04A89"/>
    <w:pPr>
      <w:tabs>
        <w:tab w:val="left" w:pos="284"/>
      </w:tabs>
      <w:jc w:val="both"/>
    </w:pPr>
    <w:rPr>
      <w:rFonts w:ascii="Consolas" w:hAnsi="Consolas"/>
      <w:noProof/>
      <w:sz w:val="20"/>
      <w:szCs w:val="20"/>
      <w:lang w:val="sr-Latn-RS"/>
    </w:rPr>
  </w:style>
  <w:style w:type="character" w:customStyle="1" w:styleId="HTMLPreformattedChar">
    <w:name w:val="HTML Preformatted Char"/>
    <w:basedOn w:val="DefaultParagraphFont"/>
    <w:link w:val="HTMLPreformatted"/>
    <w:rsid w:val="00C04A89"/>
    <w:rPr>
      <w:rFonts w:ascii="Consolas" w:hAnsi="Consolas"/>
      <w:noProof/>
      <w:lang w:val="sr-Latn-RS" w:eastAsia="en-US"/>
    </w:rPr>
  </w:style>
  <w:style w:type="paragraph" w:styleId="Index1">
    <w:name w:val="index 1"/>
    <w:basedOn w:val="Normal"/>
    <w:next w:val="Normal"/>
    <w:autoRedefine/>
    <w:rsid w:val="00C04A89"/>
    <w:pPr>
      <w:ind w:left="220" w:hanging="220"/>
      <w:jc w:val="both"/>
    </w:pPr>
    <w:rPr>
      <w:noProof/>
      <w:sz w:val="22"/>
      <w:lang w:val="sr-Latn-RS"/>
    </w:rPr>
  </w:style>
  <w:style w:type="paragraph" w:styleId="Index2">
    <w:name w:val="index 2"/>
    <w:basedOn w:val="Normal"/>
    <w:next w:val="Normal"/>
    <w:autoRedefine/>
    <w:rsid w:val="00C04A89"/>
    <w:pPr>
      <w:ind w:left="440" w:hanging="220"/>
      <w:jc w:val="both"/>
    </w:pPr>
    <w:rPr>
      <w:noProof/>
      <w:sz w:val="22"/>
      <w:lang w:val="sr-Latn-RS"/>
    </w:rPr>
  </w:style>
  <w:style w:type="paragraph" w:styleId="Index3">
    <w:name w:val="index 3"/>
    <w:basedOn w:val="Normal"/>
    <w:next w:val="Normal"/>
    <w:autoRedefine/>
    <w:rsid w:val="00C04A89"/>
    <w:pPr>
      <w:ind w:left="660" w:hanging="220"/>
      <w:jc w:val="both"/>
    </w:pPr>
    <w:rPr>
      <w:noProof/>
      <w:sz w:val="22"/>
      <w:lang w:val="sr-Latn-RS"/>
    </w:rPr>
  </w:style>
  <w:style w:type="paragraph" w:styleId="Index4">
    <w:name w:val="index 4"/>
    <w:basedOn w:val="Normal"/>
    <w:next w:val="Normal"/>
    <w:autoRedefine/>
    <w:rsid w:val="00C04A89"/>
    <w:pPr>
      <w:ind w:left="880" w:hanging="220"/>
      <w:jc w:val="both"/>
    </w:pPr>
    <w:rPr>
      <w:noProof/>
      <w:sz w:val="22"/>
      <w:lang w:val="sr-Latn-RS"/>
    </w:rPr>
  </w:style>
  <w:style w:type="paragraph" w:styleId="Index5">
    <w:name w:val="index 5"/>
    <w:basedOn w:val="Normal"/>
    <w:next w:val="Normal"/>
    <w:autoRedefine/>
    <w:rsid w:val="00C04A89"/>
    <w:pPr>
      <w:ind w:left="1100" w:hanging="220"/>
      <w:jc w:val="both"/>
    </w:pPr>
    <w:rPr>
      <w:noProof/>
      <w:sz w:val="22"/>
      <w:lang w:val="sr-Latn-RS"/>
    </w:rPr>
  </w:style>
  <w:style w:type="paragraph" w:styleId="Index6">
    <w:name w:val="index 6"/>
    <w:basedOn w:val="Normal"/>
    <w:next w:val="Normal"/>
    <w:autoRedefine/>
    <w:rsid w:val="00C04A89"/>
    <w:pPr>
      <w:ind w:left="1320" w:hanging="220"/>
      <w:jc w:val="both"/>
    </w:pPr>
    <w:rPr>
      <w:noProof/>
      <w:sz w:val="22"/>
      <w:lang w:val="sr-Latn-RS"/>
    </w:rPr>
  </w:style>
  <w:style w:type="paragraph" w:styleId="Index7">
    <w:name w:val="index 7"/>
    <w:basedOn w:val="Normal"/>
    <w:next w:val="Normal"/>
    <w:autoRedefine/>
    <w:rsid w:val="00C04A89"/>
    <w:pPr>
      <w:ind w:left="1540" w:hanging="220"/>
      <w:jc w:val="both"/>
    </w:pPr>
    <w:rPr>
      <w:noProof/>
      <w:sz w:val="22"/>
      <w:lang w:val="sr-Latn-RS"/>
    </w:rPr>
  </w:style>
  <w:style w:type="paragraph" w:styleId="Index8">
    <w:name w:val="index 8"/>
    <w:basedOn w:val="Normal"/>
    <w:next w:val="Normal"/>
    <w:autoRedefine/>
    <w:rsid w:val="00C04A89"/>
    <w:pPr>
      <w:ind w:left="1760" w:hanging="220"/>
      <w:jc w:val="both"/>
    </w:pPr>
    <w:rPr>
      <w:noProof/>
      <w:sz w:val="22"/>
      <w:lang w:val="sr-Latn-RS"/>
    </w:rPr>
  </w:style>
  <w:style w:type="paragraph" w:styleId="Index9">
    <w:name w:val="index 9"/>
    <w:basedOn w:val="Normal"/>
    <w:next w:val="Normal"/>
    <w:autoRedefine/>
    <w:rsid w:val="00C04A89"/>
    <w:pPr>
      <w:ind w:left="1980" w:hanging="220"/>
      <w:jc w:val="both"/>
    </w:pPr>
    <w:rPr>
      <w:noProof/>
      <w:sz w:val="22"/>
      <w:lang w:val="sr-Latn-RS"/>
    </w:rPr>
  </w:style>
  <w:style w:type="paragraph" w:customStyle="1" w:styleId="IndexHeading1">
    <w:name w:val="Index Heading1"/>
    <w:basedOn w:val="Normal"/>
    <w:next w:val="Index1"/>
    <w:rsid w:val="00C04A89"/>
    <w:pPr>
      <w:tabs>
        <w:tab w:val="left" w:pos="284"/>
      </w:tabs>
      <w:jc w:val="both"/>
    </w:pPr>
    <w:rPr>
      <w:rFonts w:ascii="Cambria" w:eastAsia="SimSun" w:hAnsi="Cambria"/>
      <w:b/>
      <w:bCs/>
      <w:noProof/>
      <w:sz w:val="22"/>
      <w:lang w:val="sr-Latn-RS"/>
    </w:rPr>
  </w:style>
  <w:style w:type="paragraph" w:customStyle="1" w:styleId="IntenseQuote1">
    <w:name w:val="Intense Quote1"/>
    <w:basedOn w:val="Normal"/>
    <w:next w:val="Normal"/>
    <w:uiPriority w:val="30"/>
    <w:qFormat/>
    <w:rsid w:val="00C04A89"/>
    <w:pPr>
      <w:pBdr>
        <w:bottom w:val="single" w:sz="4" w:space="4" w:color="4F81BD"/>
      </w:pBdr>
      <w:tabs>
        <w:tab w:val="left" w:pos="284"/>
      </w:tabs>
      <w:spacing w:before="200" w:after="280"/>
      <w:ind w:left="936" w:right="936"/>
      <w:jc w:val="both"/>
    </w:pPr>
    <w:rPr>
      <w:b/>
      <w:bCs/>
      <w:i/>
      <w:iCs/>
      <w:noProof/>
      <w:color w:val="4F81BD"/>
      <w:sz w:val="22"/>
      <w:lang w:val="sr-Latn-RS"/>
    </w:rPr>
  </w:style>
  <w:style w:type="character" w:customStyle="1" w:styleId="IntenseQuoteChar">
    <w:name w:val="Intense Quote Char"/>
    <w:basedOn w:val="DefaultParagraphFont"/>
    <w:link w:val="IntenseQuote"/>
    <w:uiPriority w:val="30"/>
    <w:rsid w:val="00C04A89"/>
    <w:rPr>
      <w:b/>
      <w:bCs/>
      <w:i/>
      <w:iCs/>
      <w:color w:val="4F81BD"/>
      <w:sz w:val="22"/>
      <w:szCs w:val="24"/>
    </w:rPr>
  </w:style>
  <w:style w:type="paragraph" w:styleId="List">
    <w:name w:val="List"/>
    <w:basedOn w:val="Normal"/>
    <w:rsid w:val="00C04A89"/>
    <w:pPr>
      <w:tabs>
        <w:tab w:val="left" w:pos="284"/>
      </w:tabs>
      <w:ind w:left="360" w:hanging="360"/>
      <w:contextualSpacing/>
      <w:jc w:val="both"/>
    </w:pPr>
    <w:rPr>
      <w:noProof/>
      <w:sz w:val="22"/>
      <w:lang w:val="sr-Latn-RS"/>
    </w:rPr>
  </w:style>
  <w:style w:type="paragraph" w:styleId="List2">
    <w:name w:val="List 2"/>
    <w:basedOn w:val="Normal"/>
    <w:rsid w:val="00C04A89"/>
    <w:pPr>
      <w:tabs>
        <w:tab w:val="left" w:pos="284"/>
      </w:tabs>
      <w:ind w:left="720" w:hanging="360"/>
      <w:contextualSpacing/>
      <w:jc w:val="both"/>
    </w:pPr>
    <w:rPr>
      <w:noProof/>
      <w:sz w:val="22"/>
      <w:lang w:val="sr-Latn-RS"/>
    </w:rPr>
  </w:style>
  <w:style w:type="paragraph" w:styleId="List3">
    <w:name w:val="List 3"/>
    <w:basedOn w:val="Normal"/>
    <w:rsid w:val="00C04A89"/>
    <w:pPr>
      <w:tabs>
        <w:tab w:val="left" w:pos="284"/>
      </w:tabs>
      <w:ind w:left="1080" w:hanging="360"/>
      <w:contextualSpacing/>
      <w:jc w:val="both"/>
    </w:pPr>
    <w:rPr>
      <w:noProof/>
      <w:sz w:val="22"/>
      <w:lang w:val="sr-Latn-RS"/>
    </w:rPr>
  </w:style>
  <w:style w:type="paragraph" w:styleId="List4">
    <w:name w:val="List 4"/>
    <w:basedOn w:val="Normal"/>
    <w:rsid w:val="00C04A89"/>
    <w:pPr>
      <w:tabs>
        <w:tab w:val="left" w:pos="284"/>
      </w:tabs>
      <w:ind w:left="1440" w:hanging="360"/>
      <w:contextualSpacing/>
      <w:jc w:val="both"/>
    </w:pPr>
    <w:rPr>
      <w:noProof/>
      <w:sz w:val="22"/>
      <w:lang w:val="sr-Latn-RS"/>
    </w:rPr>
  </w:style>
  <w:style w:type="paragraph" w:styleId="List5">
    <w:name w:val="List 5"/>
    <w:basedOn w:val="Normal"/>
    <w:rsid w:val="00C04A89"/>
    <w:pPr>
      <w:tabs>
        <w:tab w:val="left" w:pos="284"/>
      </w:tabs>
      <w:ind w:left="1800" w:hanging="360"/>
      <w:contextualSpacing/>
      <w:jc w:val="both"/>
    </w:pPr>
    <w:rPr>
      <w:noProof/>
      <w:sz w:val="22"/>
      <w:lang w:val="sr-Latn-RS"/>
    </w:rPr>
  </w:style>
  <w:style w:type="paragraph" w:styleId="ListBullet">
    <w:name w:val="List Bullet"/>
    <w:basedOn w:val="Normal"/>
    <w:rsid w:val="00C04A89"/>
    <w:pPr>
      <w:numPr>
        <w:numId w:val="19"/>
      </w:numPr>
      <w:tabs>
        <w:tab w:val="left" w:pos="284"/>
      </w:tabs>
      <w:contextualSpacing/>
      <w:jc w:val="both"/>
    </w:pPr>
    <w:rPr>
      <w:noProof/>
      <w:sz w:val="22"/>
      <w:lang w:val="sr-Latn-RS"/>
    </w:rPr>
  </w:style>
  <w:style w:type="paragraph" w:styleId="ListBullet2">
    <w:name w:val="List Bullet 2"/>
    <w:basedOn w:val="Normal"/>
    <w:rsid w:val="00C04A89"/>
    <w:pPr>
      <w:numPr>
        <w:numId w:val="20"/>
      </w:numPr>
      <w:tabs>
        <w:tab w:val="left" w:pos="284"/>
      </w:tabs>
      <w:contextualSpacing/>
      <w:jc w:val="both"/>
    </w:pPr>
    <w:rPr>
      <w:noProof/>
      <w:sz w:val="22"/>
      <w:lang w:val="sr-Latn-RS"/>
    </w:rPr>
  </w:style>
  <w:style w:type="paragraph" w:styleId="ListBullet3">
    <w:name w:val="List Bullet 3"/>
    <w:basedOn w:val="Normal"/>
    <w:rsid w:val="00C04A89"/>
    <w:pPr>
      <w:numPr>
        <w:numId w:val="21"/>
      </w:numPr>
      <w:tabs>
        <w:tab w:val="left" w:pos="284"/>
      </w:tabs>
      <w:contextualSpacing/>
      <w:jc w:val="both"/>
    </w:pPr>
    <w:rPr>
      <w:noProof/>
      <w:sz w:val="22"/>
      <w:lang w:val="sr-Latn-RS"/>
    </w:rPr>
  </w:style>
  <w:style w:type="paragraph" w:styleId="ListBullet4">
    <w:name w:val="List Bullet 4"/>
    <w:basedOn w:val="Normal"/>
    <w:rsid w:val="00C04A89"/>
    <w:pPr>
      <w:numPr>
        <w:numId w:val="22"/>
      </w:numPr>
      <w:tabs>
        <w:tab w:val="left" w:pos="284"/>
      </w:tabs>
      <w:contextualSpacing/>
      <w:jc w:val="both"/>
    </w:pPr>
    <w:rPr>
      <w:noProof/>
      <w:sz w:val="22"/>
      <w:lang w:val="sr-Latn-RS"/>
    </w:rPr>
  </w:style>
  <w:style w:type="paragraph" w:styleId="ListBullet5">
    <w:name w:val="List Bullet 5"/>
    <w:basedOn w:val="Normal"/>
    <w:rsid w:val="00C04A89"/>
    <w:pPr>
      <w:numPr>
        <w:numId w:val="23"/>
      </w:numPr>
      <w:tabs>
        <w:tab w:val="left" w:pos="284"/>
      </w:tabs>
      <w:contextualSpacing/>
      <w:jc w:val="both"/>
    </w:pPr>
    <w:rPr>
      <w:noProof/>
      <w:sz w:val="22"/>
      <w:lang w:val="sr-Latn-RS"/>
    </w:rPr>
  </w:style>
  <w:style w:type="paragraph" w:styleId="ListContinue">
    <w:name w:val="List Continue"/>
    <w:basedOn w:val="Normal"/>
    <w:rsid w:val="00C04A89"/>
    <w:pPr>
      <w:tabs>
        <w:tab w:val="left" w:pos="284"/>
      </w:tabs>
      <w:spacing w:after="120"/>
      <w:ind w:left="360"/>
      <w:contextualSpacing/>
      <w:jc w:val="both"/>
    </w:pPr>
    <w:rPr>
      <w:noProof/>
      <w:sz w:val="22"/>
      <w:lang w:val="sr-Latn-RS"/>
    </w:rPr>
  </w:style>
  <w:style w:type="paragraph" w:styleId="ListContinue2">
    <w:name w:val="List Continue 2"/>
    <w:basedOn w:val="Normal"/>
    <w:rsid w:val="00C04A89"/>
    <w:pPr>
      <w:tabs>
        <w:tab w:val="left" w:pos="284"/>
      </w:tabs>
      <w:spacing w:after="120"/>
      <w:ind w:left="720"/>
      <w:contextualSpacing/>
      <w:jc w:val="both"/>
    </w:pPr>
    <w:rPr>
      <w:noProof/>
      <w:sz w:val="22"/>
      <w:lang w:val="sr-Latn-RS"/>
    </w:rPr>
  </w:style>
  <w:style w:type="paragraph" w:styleId="ListContinue3">
    <w:name w:val="List Continue 3"/>
    <w:basedOn w:val="Normal"/>
    <w:rsid w:val="00C04A89"/>
    <w:pPr>
      <w:tabs>
        <w:tab w:val="left" w:pos="284"/>
      </w:tabs>
      <w:spacing w:after="120"/>
      <w:ind w:left="1080"/>
      <w:contextualSpacing/>
      <w:jc w:val="both"/>
    </w:pPr>
    <w:rPr>
      <w:noProof/>
      <w:sz w:val="22"/>
      <w:lang w:val="sr-Latn-RS"/>
    </w:rPr>
  </w:style>
  <w:style w:type="paragraph" w:styleId="ListContinue4">
    <w:name w:val="List Continue 4"/>
    <w:basedOn w:val="Normal"/>
    <w:rsid w:val="00C04A89"/>
    <w:pPr>
      <w:tabs>
        <w:tab w:val="left" w:pos="284"/>
      </w:tabs>
      <w:spacing w:after="120"/>
      <w:ind w:left="1440"/>
      <w:contextualSpacing/>
      <w:jc w:val="both"/>
    </w:pPr>
    <w:rPr>
      <w:noProof/>
      <w:sz w:val="22"/>
      <w:lang w:val="sr-Latn-RS"/>
    </w:rPr>
  </w:style>
  <w:style w:type="paragraph" w:styleId="ListContinue5">
    <w:name w:val="List Continue 5"/>
    <w:basedOn w:val="Normal"/>
    <w:rsid w:val="00C04A89"/>
    <w:pPr>
      <w:tabs>
        <w:tab w:val="left" w:pos="284"/>
      </w:tabs>
      <w:spacing w:after="120"/>
      <w:ind w:left="1800"/>
      <w:contextualSpacing/>
      <w:jc w:val="both"/>
    </w:pPr>
    <w:rPr>
      <w:noProof/>
      <w:sz w:val="22"/>
      <w:lang w:val="sr-Latn-RS"/>
    </w:rPr>
  </w:style>
  <w:style w:type="paragraph" w:styleId="ListNumber">
    <w:name w:val="List Number"/>
    <w:basedOn w:val="Normal"/>
    <w:rsid w:val="00C04A89"/>
    <w:pPr>
      <w:numPr>
        <w:numId w:val="24"/>
      </w:numPr>
      <w:tabs>
        <w:tab w:val="left" w:pos="284"/>
      </w:tabs>
      <w:contextualSpacing/>
      <w:jc w:val="both"/>
    </w:pPr>
    <w:rPr>
      <w:noProof/>
      <w:sz w:val="22"/>
      <w:lang w:val="sr-Latn-RS"/>
    </w:rPr>
  </w:style>
  <w:style w:type="paragraph" w:styleId="ListNumber2">
    <w:name w:val="List Number 2"/>
    <w:basedOn w:val="Normal"/>
    <w:rsid w:val="00C04A89"/>
    <w:pPr>
      <w:numPr>
        <w:numId w:val="25"/>
      </w:numPr>
      <w:tabs>
        <w:tab w:val="left" w:pos="284"/>
      </w:tabs>
      <w:contextualSpacing/>
      <w:jc w:val="both"/>
    </w:pPr>
    <w:rPr>
      <w:noProof/>
      <w:sz w:val="22"/>
      <w:lang w:val="sr-Latn-RS"/>
    </w:rPr>
  </w:style>
  <w:style w:type="paragraph" w:styleId="ListNumber3">
    <w:name w:val="List Number 3"/>
    <w:basedOn w:val="Normal"/>
    <w:rsid w:val="00C04A89"/>
    <w:pPr>
      <w:numPr>
        <w:numId w:val="26"/>
      </w:numPr>
      <w:tabs>
        <w:tab w:val="left" w:pos="284"/>
      </w:tabs>
      <w:contextualSpacing/>
      <w:jc w:val="both"/>
    </w:pPr>
    <w:rPr>
      <w:noProof/>
      <w:sz w:val="22"/>
      <w:lang w:val="sr-Latn-RS"/>
    </w:rPr>
  </w:style>
  <w:style w:type="paragraph" w:styleId="ListNumber4">
    <w:name w:val="List Number 4"/>
    <w:basedOn w:val="Normal"/>
    <w:rsid w:val="00C04A89"/>
    <w:pPr>
      <w:numPr>
        <w:numId w:val="27"/>
      </w:numPr>
      <w:tabs>
        <w:tab w:val="left" w:pos="284"/>
      </w:tabs>
      <w:contextualSpacing/>
      <w:jc w:val="both"/>
    </w:pPr>
    <w:rPr>
      <w:noProof/>
      <w:sz w:val="22"/>
      <w:lang w:val="sr-Latn-RS"/>
    </w:rPr>
  </w:style>
  <w:style w:type="paragraph" w:styleId="ListNumber5">
    <w:name w:val="List Number 5"/>
    <w:basedOn w:val="Normal"/>
    <w:rsid w:val="00C04A89"/>
    <w:pPr>
      <w:numPr>
        <w:numId w:val="28"/>
      </w:numPr>
      <w:tabs>
        <w:tab w:val="left" w:pos="284"/>
      </w:tabs>
      <w:contextualSpacing/>
      <w:jc w:val="both"/>
    </w:pPr>
    <w:rPr>
      <w:noProof/>
      <w:sz w:val="22"/>
      <w:lang w:val="sr-Latn-RS"/>
    </w:rPr>
  </w:style>
  <w:style w:type="paragraph" w:styleId="MacroText">
    <w:name w:val="macro"/>
    <w:link w:val="MacroTextChar"/>
    <w:rsid w:val="00C04A89"/>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val="en-US" w:eastAsia="en-US"/>
    </w:rPr>
  </w:style>
  <w:style w:type="character" w:customStyle="1" w:styleId="MacroTextChar">
    <w:name w:val="Macro Text Char"/>
    <w:basedOn w:val="DefaultParagraphFont"/>
    <w:link w:val="MacroText"/>
    <w:rsid w:val="00C04A89"/>
    <w:rPr>
      <w:rFonts w:ascii="Consolas" w:hAnsi="Consolas"/>
      <w:lang w:val="en-US" w:eastAsia="en-US"/>
    </w:rPr>
  </w:style>
  <w:style w:type="paragraph" w:customStyle="1" w:styleId="MessageHeader1">
    <w:name w:val="Message Header1"/>
    <w:basedOn w:val="Normal"/>
    <w:next w:val="MessageHeader"/>
    <w:link w:val="MessageHeaderChar"/>
    <w:rsid w:val="00C04A89"/>
    <w:pPr>
      <w:pBdr>
        <w:top w:val="single" w:sz="6" w:space="1" w:color="auto"/>
        <w:left w:val="single" w:sz="6" w:space="1" w:color="auto"/>
        <w:bottom w:val="single" w:sz="6" w:space="1" w:color="auto"/>
        <w:right w:val="single" w:sz="6" w:space="1" w:color="auto"/>
      </w:pBdr>
      <w:shd w:val="pct20" w:color="auto" w:fill="auto"/>
      <w:tabs>
        <w:tab w:val="left" w:pos="284"/>
      </w:tabs>
      <w:ind w:left="1080" w:hanging="1080"/>
      <w:jc w:val="both"/>
    </w:pPr>
    <w:rPr>
      <w:rFonts w:ascii="Cambria" w:eastAsia="SimSun" w:hAnsi="Cambria"/>
      <w:lang w:val="sr-Latn-ME" w:eastAsia="sr-Latn-ME"/>
    </w:rPr>
  </w:style>
  <w:style w:type="character" w:customStyle="1" w:styleId="MessageHeaderChar">
    <w:name w:val="Message Header Char"/>
    <w:basedOn w:val="DefaultParagraphFont"/>
    <w:link w:val="MessageHeader1"/>
    <w:rsid w:val="00C04A89"/>
    <w:rPr>
      <w:rFonts w:ascii="Cambria" w:eastAsia="SimSun" w:hAnsi="Cambria" w:cs="Times New Roman"/>
      <w:sz w:val="24"/>
      <w:szCs w:val="24"/>
      <w:shd w:val="pct20" w:color="auto" w:fill="auto"/>
    </w:rPr>
  </w:style>
  <w:style w:type="paragraph" w:styleId="NormalWeb">
    <w:name w:val="Normal (Web)"/>
    <w:basedOn w:val="Normal"/>
    <w:rsid w:val="00C04A89"/>
    <w:pPr>
      <w:tabs>
        <w:tab w:val="left" w:pos="284"/>
      </w:tabs>
      <w:jc w:val="both"/>
    </w:pPr>
    <w:rPr>
      <w:noProof/>
      <w:lang w:val="sr-Latn-RS"/>
    </w:rPr>
  </w:style>
  <w:style w:type="paragraph" w:styleId="NormalIndent">
    <w:name w:val="Normal Indent"/>
    <w:basedOn w:val="Normal"/>
    <w:rsid w:val="00C04A89"/>
    <w:pPr>
      <w:tabs>
        <w:tab w:val="left" w:pos="284"/>
      </w:tabs>
      <w:ind w:left="720"/>
      <w:jc w:val="both"/>
    </w:pPr>
    <w:rPr>
      <w:noProof/>
      <w:sz w:val="22"/>
      <w:lang w:val="sr-Latn-RS"/>
    </w:rPr>
  </w:style>
  <w:style w:type="paragraph" w:styleId="NoteHeading">
    <w:name w:val="Note Heading"/>
    <w:basedOn w:val="Normal"/>
    <w:next w:val="Normal"/>
    <w:link w:val="NoteHeadingChar"/>
    <w:rsid w:val="00C04A89"/>
    <w:pPr>
      <w:tabs>
        <w:tab w:val="left" w:pos="284"/>
      </w:tabs>
      <w:jc w:val="both"/>
    </w:pPr>
    <w:rPr>
      <w:noProof/>
      <w:sz w:val="22"/>
      <w:lang w:val="sr-Latn-RS"/>
    </w:rPr>
  </w:style>
  <w:style w:type="character" w:customStyle="1" w:styleId="NoteHeadingChar">
    <w:name w:val="Note Heading Char"/>
    <w:basedOn w:val="DefaultParagraphFont"/>
    <w:link w:val="NoteHeading"/>
    <w:rsid w:val="00C04A89"/>
    <w:rPr>
      <w:noProof/>
      <w:sz w:val="22"/>
      <w:szCs w:val="24"/>
      <w:lang w:val="sr-Latn-RS" w:eastAsia="en-US"/>
    </w:rPr>
  </w:style>
  <w:style w:type="paragraph" w:styleId="PlainText">
    <w:name w:val="Plain Text"/>
    <w:basedOn w:val="Normal"/>
    <w:link w:val="PlainTextChar"/>
    <w:rsid w:val="00C04A89"/>
    <w:pPr>
      <w:tabs>
        <w:tab w:val="left" w:pos="284"/>
      </w:tabs>
      <w:jc w:val="both"/>
    </w:pPr>
    <w:rPr>
      <w:rFonts w:ascii="Consolas" w:hAnsi="Consolas"/>
      <w:noProof/>
      <w:sz w:val="21"/>
      <w:szCs w:val="21"/>
      <w:lang w:val="sr-Latn-RS"/>
    </w:rPr>
  </w:style>
  <w:style w:type="character" w:customStyle="1" w:styleId="PlainTextChar">
    <w:name w:val="Plain Text Char"/>
    <w:basedOn w:val="DefaultParagraphFont"/>
    <w:link w:val="PlainText"/>
    <w:rsid w:val="00C04A89"/>
    <w:rPr>
      <w:rFonts w:ascii="Consolas" w:hAnsi="Consolas"/>
      <w:noProof/>
      <w:sz w:val="21"/>
      <w:szCs w:val="21"/>
      <w:lang w:val="sr-Latn-RS" w:eastAsia="en-US"/>
    </w:rPr>
  </w:style>
  <w:style w:type="paragraph" w:customStyle="1" w:styleId="Quote1">
    <w:name w:val="Quote1"/>
    <w:basedOn w:val="Normal"/>
    <w:next w:val="Normal"/>
    <w:uiPriority w:val="29"/>
    <w:qFormat/>
    <w:rsid w:val="00C04A89"/>
    <w:pPr>
      <w:tabs>
        <w:tab w:val="left" w:pos="284"/>
      </w:tabs>
      <w:jc w:val="both"/>
    </w:pPr>
    <w:rPr>
      <w:i/>
      <w:iCs/>
      <w:noProof/>
      <w:color w:val="000000"/>
      <w:sz w:val="22"/>
      <w:lang w:val="sr-Latn-RS"/>
    </w:rPr>
  </w:style>
  <w:style w:type="character" w:customStyle="1" w:styleId="QuoteChar">
    <w:name w:val="Quote Char"/>
    <w:basedOn w:val="DefaultParagraphFont"/>
    <w:link w:val="Quote"/>
    <w:uiPriority w:val="29"/>
    <w:rsid w:val="00C04A89"/>
    <w:rPr>
      <w:i/>
      <w:iCs/>
      <w:color w:val="000000"/>
      <w:sz w:val="22"/>
      <w:szCs w:val="24"/>
    </w:rPr>
  </w:style>
  <w:style w:type="paragraph" w:styleId="Salutation">
    <w:name w:val="Salutation"/>
    <w:basedOn w:val="Normal"/>
    <w:next w:val="Normal"/>
    <w:link w:val="SalutationChar"/>
    <w:rsid w:val="00C04A89"/>
    <w:pPr>
      <w:tabs>
        <w:tab w:val="left" w:pos="284"/>
      </w:tabs>
      <w:jc w:val="both"/>
    </w:pPr>
    <w:rPr>
      <w:noProof/>
      <w:sz w:val="22"/>
      <w:lang w:val="sr-Latn-RS"/>
    </w:rPr>
  </w:style>
  <w:style w:type="character" w:customStyle="1" w:styleId="SalutationChar">
    <w:name w:val="Salutation Char"/>
    <w:basedOn w:val="DefaultParagraphFont"/>
    <w:link w:val="Salutation"/>
    <w:rsid w:val="00C04A89"/>
    <w:rPr>
      <w:noProof/>
      <w:sz w:val="22"/>
      <w:szCs w:val="24"/>
      <w:lang w:val="sr-Latn-RS" w:eastAsia="en-US"/>
    </w:rPr>
  </w:style>
  <w:style w:type="paragraph" w:styleId="Signature">
    <w:name w:val="Signature"/>
    <w:basedOn w:val="Normal"/>
    <w:link w:val="SignatureChar"/>
    <w:rsid w:val="00C04A89"/>
    <w:pPr>
      <w:tabs>
        <w:tab w:val="left" w:pos="284"/>
      </w:tabs>
      <w:ind w:left="4320"/>
      <w:jc w:val="both"/>
    </w:pPr>
    <w:rPr>
      <w:noProof/>
      <w:sz w:val="22"/>
      <w:lang w:val="sr-Latn-RS"/>
    </w:rPr>
  </w:style>
  <w:style w:type="character" w:customStyle="1" w:styleId="SignatureChar">
    <w:name w:val="Signature Char"/>
    <w:basedOn w:val="DefaultParagraphFont"/>
    <w:link w:val="Signature"/>
    <w:rsid w:val="00C04A89"/>
    <w:rPr>
      <w:noProof/>
      <w:sz w:val="22"/>
      <w:szCs w:val="24"/>
      <w:lang w:val="sr-Latn-RS" w:eastAsia="en-US"/>
    </w:rPr>
  </w:style>
  <w:style w:type="paragraph" w:customStyle="1" w:styleId="Subtitle1">
    <w:name w:val="Subtitle1"/>
    <w:basedOn w:val="Normal"/>
    <w:next w:val="Normal"/>
    <w:qFormat/>
    <w:rsid w:val="00C04A89"/>
    <w:pPr>
      <w:numPr>
        <w:ilvl w:val="1"/>
      </w:numPr>
      <w:tabs>
        <w:tab w:val="left" w:pos="284"/>
      </w:tabs>
      <w:jc w:val="both"/>
    </w:pPr>
    <w:rPr>
      <w:rFonts w:ascii="Cambria" w:eastAsia="SimSun" w:hAnsi="Cambria"/>
      <w:i/>
      <w:iCs/>
      <w:noProof/>
      <w:color w:val="4F81BD"/>
      <w:spacing w:val="15"/>
      <w:lang w:val="sr-Latn-RS"/>
    </w:rPr>
  </w:style>
  <w:style w:type="character" w:customStyle="1" w:styleId="SubtitleChar">
    <w:name w:val="Subtitle Char"/>
    <w:basedOn w:val="DefaultParagraphFont"/>
    <w:link w:val="Subtitle"/>
    <w:rsid w:val="00C04A89"/>
    <w:rPr>
      <w:rFonts w:ascii="Cambria" w:eastAsia="SimSun" w:hAnsi="Cambria" w:cs="Times New Roman"/>
      <w:i/>
      <w:iCs/>
      <w:color w:val="4F81BD"/>
      <w:spacing w:val="15"/>
      <w:sz w:val="24"/>
      <w:szCs w:val="24"/>
    </w:rPr>
  </w:style>
  <w:style w:type="paragraph" w:styleId="TableofAuthorities">
    <w:name w:val="table of authorities"/>
    <w:basedOn w:val="Normal"/>
    <w:next w:val="Normal"/>
    <w:rsid w:val="00C04A89"/>
    <w:pPr>
      <w:ind w:left="220" w:hanging="220"/>
      <w:jc w:val="both"/>
    </w:pPr>
    <w:rPr>
      <w:noProof/>
      <w:sz w:val="22"/>
      <w:lang w:val="sr-Latn-RS"/>
    </w:rPr>
  </w:style>
  <w:style w:type="paragraph" w:styleId="TableofFigures">
    <w:name w:val="table of figures"/>
    <w:basedOn w:val="Normal"/>
    <w:next w:val="Normal"/>
    <w:rsid w:val="00C04A89"/>
    <w:pPr>
      <w:jc w:val="both"/>
    </w:pPr>
    <w:rPr>
      <w:noProof/>
      <w:sz w:val="22"/>
      <w:lang w:val="sr-Latn-RS"/>
    </w:rPr>
  </w:style>
  <w:style w:type="paragraph" w:customStyle="1" w:styleId="Title1">
    <w:name w:val="Title1"/>
    <w:basedOn w:val="Normal"/>
    <w:next w:val="Normal"/>
    <w:qFormat/>
    <w:rsid w:val="00C04A89"/>
    <w:pPr>
      <w:pBdr>
        <w:bottom w:val="single" w:sz="8" w:space="4" w:color="4F81BD"/>
      </w:pBdr>
      <w:tabs>
        <w:tab w:val="left" w:pos="284"/>
      </w:tabs>
      <w:spacing w:after="300"/>
      <w:contextualSpacing/>
      <w:jc w:val="both"/>
    </w:pPr>
    <w:rPr>
      <w:rFonts w:ascii="Cambria" w:eastAsia="SimSun" w:hAnsi="Cambria"/>
      <w:noProof/>
      <w:color w:val="17365D"/>
      <w:spacing w:val="5"/>
      <w:kern w:val="28"/>
      <w:sz w:val="52"/>
      <w:szCs w:val="52"/>
      <w:lang w:val="sr-Latn-RS"/>
    </w:rPr>
  </w:style>
  <w:style w:type="character" w:customStyle="1" w:styleId="TitleChar">
    <w:name w:val="Title Char"/>
    <w:basedOn w:val="DefaultParagraphFont"/>
    <w:link w:val="Title"/>
    <w:rsid w:val="00C04A89"/>
    <w:rPr>
      <w:rFonts w:ascii="Cambria" w:eastAsia="SimSun" w:hAnsi="Cambria" w:cs="Times New Roman"/>
      <w:color w:val="17365D"/>
      <w:spacing w:val="5"/>
      <w:kern w:val="28"/>
      <w:sz w:val="52"/>
      <w:szCs w:val="52"/>
    </w:rPr>
  </w:style>
  <w:style w:type="paragraph" w:customStyle="1" w:styleId="TOAHeading1">
    <w:name w:val="TOA Heading1"/>
    <w:basedOn w:val="Normal"/>
    <w:next w:val="Normal"/>
    <w:rsid w:val="00C04A89"/>
    <w:pPr>
      <w:tabs>
        <w:tab w:val="left" w:pos="284"/>
      </w:tabs>
      <w:spacing w:before="120"/>
      <w:jc w:val="both"/>
    </w:pPr>
    <w:rPr>
      <w:rFonts w:ascii="Cambria" w:eastAsia="SimSun" w:hAnsi="Cambria"/>
      <w:b/>
      <w:bCs/>
      <w:noProof/>
      <w:lang w:val="sr-Latn-RS"/>
    </w:rPr>
  </w:style>
  <w:style w:type="paragraph" w:styleId="TOC1">
    <w:name w:val="toc 1"/>
    <w:basedOn w:val="Normal"/>
    <w:next w:val="Normal"/>
    <w:autoRedefine/>
    <w:rsid w:val="00C04A89"/>
    <w:pPr>
      <w:spacing w:after="100"/>
      <w:jc w:val="both"/>
    </w:pPr>
    <w:rPr>
      <w:noProof/>
      <w:sz w:val="22"/>
      <w:lang w:val="sr-Latn-RS"/>
    </w:rPr>
  </w:style>
  <w:style w:type="paragraph" w:styleId="TOC2">
    <w:name w:val="toc 2"/>
    <w:basedOn w:val="Normal"/>
    <w:next w:val="Normal"/>
    <w:autoRedefine/>
    <w:rsid w:val="00C04A89"/>
    <w:pPr>
      <w:spacing w:after="100"/>
      <w:ind w:left="220"/>
      <w:jc w:val="both"/>
    </w:pPr>
    <w:rPr>
      <w:noProof/>
      <w:sz w:val="22"/>
      <w:lang w:val="sr-Latn-RS"/>
    </w:rPr>
  </w:style>
  <w:style w:type="paragraph" w:styleId="TOC3">
    <w:name w:val="toc 3"/>
    <w:basedOn w:val="Normal"/>
    <w:next w:val="Normal"/>
    <w:autoRedefine/>
    <w:rsid w:val="00C04A89"/>
    <w:pPr>
      <w:spacing w:after="100"/>
      <w:ind w:left="440"/>
      <w:jc w:val="both"/>
    </w:pPr>
    <w:rPr>
      <w:noProof/>
      <w:sz w:val="22"/>
      <w:lang w:val="sr-Latn-RS"/>
    </w:rPr>
  </w:style>
  <w:style w:type="paragraph" w:styleId="TOC4">
    <w:name w:val="toc 4"/>
    <w:basedOn w:val="Normal"/>
    <w:next w:val="Normal"/>
    <w:autoRedefine/>
    <w:rsid w:val="00C04A89"/>
    <w:pPr>
      <w:spacing w:after="100"/>
      <w:ind w:left="660"/>
      <w:jc w:val="both"/>
    </w:pPr>
    <w:rPr>
      <w:noProof/>
      <w:sz w:val="22"/>
      <w:lang w:val="sr-Latn-RS"/>
    </w:rPr>
  </w:style>
  <w:style w:type="paragraph" w:styleId="TOC5">
    <w:name w:val="toc 5"/>
    <w:basedOn w:val="Normal"/>
    <w:next w:val="Normal"/>
    <w:autoRedefine/>
    <w:rsid w:val="00C04A89"/>
    <w:pPr>
      <w:spacing w:after="100"/>
      <w:ind w:left="880"/>
      <w:jc w:val="both"/>
    </w:pPr>
    <w:rPr>
      <w:noProof/>
      <w:sz w:val="22"/>
      <w:lang w:val="sr-Latn-RS"/>
    </w:rPr>
  </w:style>
  <w:style w:type="paragraph" w:styleId="TOC6">
    <w:name w:val="toc 6"/>
    <w:basedOn w:val="Normal"/>
    <w:next w:val="Normal"/>
    <w:autoRedefine/>
    <w:rsid w:val="00C04A89"/>
    <w:pPr>
      <w:spacing w:after="100"/>
      <w:ind w:left="1100"/>
      <w:jc w:val="both"/>
    </w:pPr>
    <w:rPr>
      <w:noProof/>
      <w:sz w:val="22"/>
      <w:lang w:val="sr-Latn-RS"/>
    </w:rPr>
  </w:style>
  <w:style w:type="paragraph" w:styleId="TOC7">
    <w:name w:val="toc 7"/>
    <w:basedOn w:val="Normal"/>
    <w:next w:val="Normal"/>
    <w:autoRedefine/>
    <w:rsid w:val="00C04A89"/>
    <w:pPr>
      <w:spacing w:after="100"/>
      <w:ind w:left="1320"/>
      <w:jc w:val="both"/>
    </w:pPr>
    <w:rPr>
      <w:noProof/>
      <w:sz w:val="22"/>
      <w:lang w:val="sr-Latn-RS"/>
    </w:rPr>
  </w:style>
  <w:style w:type="paragraph" w:styleId="TOC8">
    <w:name w:val="toc 8"/>
    <w:basedOn w:val="Normal"/>
    <w:next w:val="Normal"/>
    <w:autoRedefine/>
    <w:rsid w:val="00C04A89"/>
    <w:pPr>
      <w:spacing w:after="100"/>
      <w:ind w:left="1540"/>
      <w:jc w:val="both"/>
    </w:pPr>
    <w:rPr>
      <w:noProof/>
      <w:sz w:val="22"/>
      <w:lang w:val="sr-Latn-RS"/>
    </w:rPr>
  </w:style>
  <w:style w:type="paragraph" w:styleId="TOC9">
    <w:name w:val="toc 9"/>
    <w:basedOn w:val="Normal"/>
    <w:next w:val="Normal"/>
    <w:autoRedefine/>
    <w:rsid w:val="00C04A89"/>
    <w:pPr>
      <w:spacing w:after="100"/>
      <w:ind w:left="1760"/>
      <w:jc w:val="both"/>
    </w:pPr>
    <w:rPr>
      <w:noProof/>
      <w:sz w:val="22"/>
      <w:lang w:val="sr-Latn-RS"/>
    </w:rPr>
  </w:style>
  <w:style w:type="paragraph" w:customStyle="1" w:styleId="TOCHeading1">
    <w:name w:val="TOC Heading1"/>
    <w:basedOn w:val="Heading1"/>
    <w:next w:val="Normal"/>
    <w:uiPriority w:val="39"/>
    <w:semiHidden/>
    <w:unhideWhenUsed/>
    <w:qFormat/>
    <w:rsid w:val="00C04A89"/>
    <w:pPr>
      <w:keepLines/>
      <w:spacing w:before="480"/>
      <w:jc w:val="both"/>
      <w:outlineLvl w:val="9"/>
    </w:pPr>
    <w:rPr>
      <w:rFonts w:ascii="Cambria" w:eastAsia="SimSun" w:hAnsi="Cambria" w:cs="Times New Roman"/>
      <w:i w:val="0"/>
      <w:iCs w:val="0"/>
      <w:color w:val="365F91"/>
      <w:sz w:val="28"/>
      <w:szCs w:val="28"/>
      <w:u w:val="none"/>
      <w:lang w:val="en-US"/>
    </w:rPr>
  </w:style>
  <w:style w:type="paragraph" w:styleId="Revision">
    <w:name w:val="Revision"/>
    <w:hidden/>
    <w:uiPriority w:val="99"/>
    <w:semiHidden/>
    <w:rsid w:val="00C04A89"/>
    <w:rPr>
      <w:noProof/>
      <w:sz w:val="22"/>
      <w:szCs w:val="24"/>
      <w:lang w:val="sr-Latn-RS" w:eastAsia="en-US"/>
    </w:rPr>
  </w:style>
  <w:style w:type="character" w:customStyle="1" w:styleId="tl8wme">
    <w:name w:val="tl8wme"/>
    <w:basedOn w:val="DefaultParagraphFont"/>
    <w:rsid w:val="00C04A89"/>
  </w:style>
  <w:style w:type="character" w:customStyle="1" w:styleId="ur">
    <w:name w:val="ur"/>
    <w:basedOn w:val="DefaultParagraphFont"/>
    <w:rsid w:val="00C04A89"/>
  </w:style>
  <w:style w:type="character" w:customStyle="1" w:styleId="vpqmgb">
    <w:name w:val="vpqmgb"/>
    <w:basedOn w:val="DefaultParagraphFont"/>
    <w:rsid w:val="00C04A89"/>
  </w:style>
  <w:style w:type="character" w:customStyle="1" w:styleId="sv">
    <w:name w:val="sv"/>
    <w:basedOn w:val="DefaultParagraphFont"/>
    <w:rsid w:val="00C04A89"/>
  </w:style>
  <w:style w:type="paragraph" w:styleId="BlockText">
    <w:name w:val="Block Text"/>
    <w:basedOn w:val="Normal"/>
    <w:rsid w:val="00C04A8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EnvelopeAddress">
    <w:name w:val="envelope address"/>
    <w:basedOn w:val="Normal"/>
    <w:rsid w:val="00C04A8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04A89"/>
    <w:rPr>
      <w:rFonts w:asciiTheme="majorHAnsi" w:eastAsiaTheme="majorEastAsia" w:hAnsiTheme="majorHAnsi" w:cstheme="majorBidi"/>
      <w:sz w:val="20"/>
      <w:szCs w:val="20"/>
    </w:rPr>
  </w:style>
  <w:style w:type="character" w:customStyle="1" w:styleId="Heading5Char1">
    <w:name w:val="Heading 5 Char1"/>
    <w:basedOn w:val="DefaultParagraphFont"/>
    <w:semiHidden/>
    <w:rsid w:val="00C04A89"/>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semiHidden/>
    <w:rsid w:val="00C04A89"/>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semiHidden/>
    <w:rsid w:val="00C04A89"/>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semiHidden/>
    <w:rsid w:val="00C04A89"/>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semiHidden/>
    <w:rsid w:val="00C04A89"/>
    <w:rPr>
      <w:rFonts w:asciiTheme="majorHAnsi" w:eastAsiaTheme="majorEastAsia" w:hAnsiTheme="majorHAnsi" w:cstheme="majorBidi"/>
      <w:i/>
      <w:iCs/>
      <w:color w:val="272727" w:themeColor="text1" w:themeTint="D8"/>
      <w:sz w:val="21"/>
      <w:szCs w:val="21"/>
      <w:lang w:val="en-US" w:eastAsia="en-US"/>
    </w:rPr>
  </w:style>
  <w:style w:type="paragraph" w:styleId="IntenseQuote">
    <w:name w:val="Intense Quote"/>
    <w:basedOn w:val="Normal"/>
    <w:next w:val="Normal"/>
    <w:link w:val="IntenseQuoteChar"/>
    <w:uiPriority w:val="30"/>
    <w:qFormat/>
    <w:rsid w:val="00C04A89"/>
    <w:pPr>
      <w:pBdr>
        <w:top w:val="single" w:sz="4" w:space="10" w:color="5B9BD5" w:themeColor="accent1"/>
        <w:bottom w:val="single" w:sz="4" w:space="10" w:color="5B9BD5" w:themeColor="accent1"/>
      </w:pBdr>
      <w:spacing w:before="360" w:after="360"/>
      <w:ind w:left="864" w:right="864"/>
      <w:jc w:val="center"/>
    </w:pPr>
    <w:rPr>
      <w:b/>
      <w:bCs/>
      <w:i/>
      <w:iCs/>
      <w:color w:val="4F81BD"/>
      <w:sz w:val="22"/>
      <w:lang w:val="sr-Latn-ME" w:eastAsia="sr-Latn-ME"/>
    </w:rPr>
  </w:style>
  <w:style w:type="character" w:customStyle="1" w:styleId="IntenseQuoteChar1">
    <w:name w:val="Intense Quote Char1"/>
    <w:basedOn w:val="DefaultParagraphFont"/>
    <w:uiPriority w:val="30"/>
    <w:rsid w:val="00C04A89"/>
    <w:rPr>
      <w:i/>
      <w:iCs/>
      <w:color w:val="5B9BD5" w:themeColor="accent1"/>
      <w:sz w:val="24"/>
      <w:szCs w:val="24"/>
      <w:lang w:val="en-US" w:eastAsia="en-US"/>
    </w:rPr>
  </w:style>
  <w:style w:type="paragraph" w:styleId="MessageHeader">
    <w:name w:val="Message Header"/>
    <w:basedOn w:val="Normal"/>
    <w:link w:val="MessageHeaderChar1"/>
    <w:rsid w:val="00C04A8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rsid w:val="00C04A89"/>
    <w:rPr>
      <w:rFonts w:asciiTheme="majorHAnsi" w:eastAsiaTheme="majorEastAsia" w:hAnsiTheme="majorHAnsi" w:cstheme="majorBidi"/>
      <w:sz w:val="24"/>
      <w:szCs w:val="24"/>
      <w:shd w:val="pct20" w:color="auto" w:fill="auto"/>
      <w:lang w:val="en-US" w:eastAsia="en-US"/>
    </w:rPr>
  </w:style>
  <w:style w:type="paragraph" w:styleId="Quote">
    <w:name w:val="Quote"/>
    <w:basedOn w:val="Normal"/>
    <w:next w:val="Normal"/>
    <w:link w:val="QuoteChar"/>
    <w:uiPriority w:val="29"/>
    <w:qFormat/>
    <w:rsid w:val="00C04A89"/>
    <w:pPr>
      <w:spacing w:before="200" w:after="160"/>
      <w:ind w:left="864" w:right="864"/>
      <w:jc w:val="center"/>
    </w:pPr>
    <w:rPr>
      <w:i/>
      <w:iCs/>
      <w:color w:val="000000"/>
      <w:sz w:val="22"/>
      <w:lang w:val="sr-Latn-ME" w:eastAsia="sr-Latn-ME"/>
    </w:rPr>
  </w:style>
  <w:style w:type="character" w:customStyle="1" w:styleId="QuoteChar1">
    <w:name w:val="Quote Char1"/>
    <w:basedOn w:val="DefaultParagraphFont"/>
    <w:uiPriority w:val="29"/>
    <w:rsid w:val="00C04A89"/>
    <w:rPr>
      <w:i/>
      <w:iCs/>
      <w:color w:val="404040" w:themeColor="text1" w:themeTint="BF"/>
      <w:sz w:val="24"/>
      <w:szCs w:val="24"/>
      <w:lang w:val="en-US" w:eastAsia="en-US"/>
    </w:rPr>
  </w:style>
  <w:style w:type="paragraph" w:styleId="Subtitle">
    <w:name w:val="Subtitle"/>
    <w:basedOn w:val="Normal"/>
    <w:next w:val="Normal"/>
    <w:link w:val="SubtitleChar"/>
    <w:qFormat/>
    <w:rsid w:val="00C04A89"/>
    <w:pPr>
      <w:numPr>
        <w:ilvl w:val="1"/>
      </w:numPr>
      <w:spacing w:after="160"/>
    </w:pPr>
    <w:rPr>
      <w:rFonts w:ascii="Cambria" w:eastAsia="SimSun" w:hAnsi="Cambria"/>
      <w:i/>
      <w:iCs/>
      <w:color w:val="4F81BD"/>
      <w:spacing w:val="15"/>
      <w:lang w:val="sr-Latn-ME" w:eastAsia="sr-Latn-ME"/>
    </w:rPr>
  </w:style>
  <w:style w:type="character" w:customStyle="1" w:styleId="SubtitleChar1">
    <w:name w:val="Subtitle Char1"/>
    <w:basedOn w:val="DefaultParagraphFont"/>
    <w:rsid w:val="00C04A89"/>
    <w:rPr>
      <w:rFonts w:asciiTheme="minorHAnsi" w:eastAsiaTheme="minorEastAsia" w:hAnsiTheme="minorHAnsi" w:cstheme="minorBidi"/>
      <w:color w:val="5A5A5A" w:themeColor="text1" w:themeTint="A5"/>
      <w:spacing w:val="15"/>
      <w:sz w:val="22"/>
      <w:szCs w:val="22"/>
      <w:lang w:val="en-US" w:eastAsia="en-US"/>
    </w:rPr>
  </w:style>
  <w:style w:type="paragraph" w:styleId="Title">
    <w:name w:val="Title"/>
    <w:basedOn w:val="Normal"/>
    <w:next w:val="Normal"/>
    <w:link w:val="TitleChar"/>
    <w:qFormat/>
    <w:rsid w:val="00C04A89"/>
    <w:pPr>
      <w:contextualSpacing/>
    </w:pPr>
    <w:rPr>
      <w:rFonts w:ascii="Cambria" w:eastAsia="SimSun" w:hAnsi="Cambria"/>
      <w:color w:val="17365D"/>
      <w:spacing w:val="5"/>
      <w:kern w:val="28"/>
      <w:sz w:val="52"/>
      <w:szCs w:val="52"/>
      <w:lang w:val="sr-Latn-ME" w:eastAsia="sr-Latn-ME"/>
    </w:rPr>
  </w:style>
  <w:style w:type="character" w:customStyle="1" w:styleId="TitleChar1">
    <w:name w:val="Title Char1"/>
    <w:basedOn w:val="DefaultParagraphFont"/>
    <w:rsid w:val="00C04A89"/>
    <w:rPr>
      <w:rFonts w:asciiTheme="majorHAnsi" w:eastAsiaTheme="majorEastAsia" w:hAnsiTheme="majorHAnsi" w:cstheme="majorBidi"/>
      <w:spacing w:val="-10"/>
      <w:kern w:val="28"/>
      <w:sz w:val="56"/>
      <w:szCs w:val="56"/>
      <w:lang w:val="en-US" w:eastAsia="en-US"/>
    </w:rPr>
  </w:style>
  <w:style w:type="character" w:customStyle="1" w:styleId="ParagraphChar">
    <w:name w:val="Paragraph Char"/>
    <w:link w:val="Paragraph"/>
    <w:locked/>
    <w:rsid w:val="00241BDE"/>
    <w:rPr>
      <w:rFonts w:ascii="Arial" w:hAnsi="Arial" w:cs="Arial"/>
      <w:sz w:val="24"/>
      <w:lang w:eastAsia="zh-CN"/>
    </w:rPr>
  </w:style>
  <w:style w:type="paragraph" w:customStyle="1" w:styleId="Paragraph">
    <w:name w:val="Paragraph"/>
    <w:basedOn w:val="Normal"/>
    <w:link w:val="ParagraphChar"/>
    <w:qFormat/>
    <w:rsid w:val="00241BDE"/>
    <w:pPr>
      <w:spacing w:after="250" w:line="300" w:lineRule="atLeast"/>
    </w:pPr>
    <w:rPr>
      <w:rFonts w:ascii="Arial" w:hAnsi="Arial" w:cs="Arial"/>
      <w:szCs w:val="20"/>
      <w:lang w:val="sr-Latn-ME" w:eastAsia="zh-CN"/>
    </w:rPr>
  </w:style>
  <w:style w:type="character" w:styleId="Hyperlink">
    <w:name w:val="Hyperlink"/>
    <w:basedOn w:val="DefaultParagraphFont"/>
    <w:rsid w:val="001665B4"/>
    <w:rPr>
      <w:color w:val="0563C1" w:themeColor="hyperlink"/>
      <w:u w:val="single"/>
    </w:rPr>
  </w:style>
  <w:style w:type="table" w:styleId="TableGrid">
    <w:name w:val="Table Grid"/>
    <w:basedOn w:val="TableNormal"/>
    <w:uiPriority w:val="39"/>
    <w:rsid w:val="00E14959"/>
    <w:rPr>
      <w:rFonts w:eastAsia="SimSun"/>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3 Char"/>
    <w:basedOn w:val="DefaultParagraphFont"/>
    <w:link w:val="ListParagraph"/>
    <w:uiPriority w:val="34"/>
    <w:locked/>
    <w:rsid w:val="00E14959"/>
    <w:rPr>
      <w:noProof/>
      <w:sz w:val="22"/>
      <w:szCs w:val="24"/>
      <w:lang w:val="sr-Latn-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3640">
      <w:bodyDiv w:val="1"/>
      <w:marLeft w:val="0"/>
      <w:marRight w:val="0"/>
      <w:marTop w:val="0"/>
      <w:marBottom w:val="0"/>
      <w:divBdr>
        <w:top w:val="none" w:sz="0" w:space="0" w:color="auto"/>
        <w:left w:val="none" w:sz="0" w:space="0" w:color="auto"/>
        <w:bottom w:val="none" w:sz="0" w:space="0" w:color="auto"/>
        <w:right w:val="none" w:sz="0" w:space="0" w:color="auto"/>
      </w:divBdr>
    </w:div>
    <w:div w:id="212350737">
      <w:bodyDiv w:val="1"/>
      <w:marLeft w:val="0"/>
      <w:marRight w:val="0"/>
      <w:marTop w:val="0"/>
      <w:marBottom w:val="0"/>
      <w:divBdr>
        <w:top w:val="none" w:sz="0" w:space="0" w:color="auto"/>
        <w:left w:val="none" w:sz="0" w:space="0" w:color="auto"/>
        <w:bottom w:val="none" w:sz="0" w:space="0" w:color="auto"/>
        <w:right w:val="none" w:sz="0" w:space="0" w:color="auto"/>
      </w:divBdr>
    </w:div>
    <w:div w:id="223494355">
      <w:bodyDiv w:val="1"/>
      <w:marLeft w:val="0"/>
      <w:marRight w:val="0"/>
      <w:marTop w:val="0"/>
      <w:marBottom w:val="0"/>
      <w:divBdr>
        <w:top w:val="none" w:sz="0" w:space="0" w:color="auto"/>
        <w:left w:val="none" w:sz="0" w:space="0" w:color="auto"/>
        <w:bottom w:val="none" w:sz="0" w:space="0" w:color="auto"/>
        <w:right w:val="none" w:sz="0" w:space="0" w:color="auto"/>
      </w:divBdr>
    </w:div>
    <w:div w:id="515927713">
      <w:bodyDiv w:val="1"/>
      <w:marLeft w:val="0"/>
      <w:marRight w:val="0"/>
      <w:marTop w:val="0"/>
      <w:marBottom w:val="0"/>
      <w:divBdr>
        <w:top w:val="none" w:sz="0" w:space="0" w:color="auto"/>
        <w:left w:val="none" w:sz="0" w:space="0" w:color="auto"/>
        <w:bottom w:val="none" w:sz="0" w:space="0" w:color="auto"/>
        <w:right w:val="none" w:sz="0" w:space="0" w:color="auto"/>
      </w:divBdr>
    </w:div>
    <w:div w:id="680274675">
      <w:bodyDiv w:val="1"/>
      <w:marLeft w:val="0"/>
      <w:marRight w:val="0"/>
      <w:marTop w:val="0"/>
      <w:marBottom w:val="0"/>
      <w:divBdr>
        <w:top w:val="none" w:sz="0" w:space="0" w:color="auto"/>
        <w:left w:val="none" w:sz="0" w:space="0" w:color="auto"/>
        <w:bottom w:val="none" w:sz="0" w:space="0" w:color="auto"/>
        <w:right w:val="none" w:sz="0" w:space="0" w:color="auto"/>
      </w:divBdr>
    </w:div>
    <w:div w:id="692997870">
      <w:bodyDiv w:val="1"/>
      <w:marLeft w:val="0"/>
      <w:marRight w:val="0"/>
      <w:marTop w:val="0"/>
      <w:marBottom w:val="0"/>
      <w:divBdr>
        <w:top w:val="none" w:sz="0" w:space="0" w:color="auto"/>
        <w:left w:val="none" w:sz="0" w:space="0" w:color="auto"/>
        <w:bottom w:val="none" w:sz="0" w:space="0" w:color="auto"/>
        <w:right w:val="none" w:sz="0" w:space="0" w:color="auto"/>
      </w:divBdr>
    </w:div>
    <w:div w:id="706444047">
      <w:bodyDiv w:val="1"/>
      <w:marLeft w:val="0"/>
      <w:marRight w:val="0"/>
      <w:marTop w:val="0"/>
      <w:marBottom w:val="0"/>
      <w:divBdr>
        <w:top w:val="none" w:sz="0" w:space="0" w:color="auto"/>
        <w:left w:val="none" w:sz="0" w:space="0" w:color="auto"/>
        <w:bottom w:val="none" w:sz="0" w:space="0" w:color="auto"/>
        <w:right w:val="none" w:sz="0" w:space="0" w:color="auto"/>
      </w:divBdr>
    </w:div>
    <w:div w:id="1704018754">
      <w:bodyDiv w:val="1"/>
      <w:marLeft w:val="0"/>
      <w:marRight w:val="0"/>
      <w:marTop w:val="0"/>
      <w:marBottom w:val="0"/>
      <w:divBdr>
        <w:top w:val="none" w:sz="0" w:space="0" w:color="auto"/>
        <w:left w:val="none" w:sz="0" w:space="0" w:color="auto"/>
        <w:bottom w:val="none" w:sz="0" w:space="0" w:color="auto"/>
        <w:right w:val="none" w:sz="0" w:space="0" w:color="auto"/>
      </w:divBdr>
    </w:div>
    <w:div w:id="1885827855">
      <w:bodyDiv w:val="1"/>
      <w:marLeft w:val="0"/>
      <w:marRight w:val="0"/>
      <w:marTop w:val="0"/>
      <w:marBottom w:val="0"/>
      <w:divBdr>
        <w:top w:val="none" w:sz="0" w:space="0" w:color="auto"/>
        <w:left w:val="none" w:sz="0" w:space="0" w:color="auto"/>
        <w:bottom w:val="none" w:sz="0" w:space="0" w:color="auto"/>
        <w:right w:val="none" w:sz="0" w:space="0" w:color="auto"/>
      </w:divBdr>
    </w:div>
    <w:div w:id="2031175748">
      <w:bodyDiv w:val="1"/>
      <w:marLeft w:val="0"/>
      <w:marRight w:val="0"/>
      <w:marTop w:val="0"/>
      <w:marBottom w:val="0"/>
      <w:divBdr>
        <w:top w:val="none" w:sz="0" w:space="0" w:color="auto"/>
        <w:left w:val="none" w:sz="0" w:space="0" w:color="auto"/>
        <w:bottom w:val="none" w:sz="0" w:space="0" w:color="auto"/>
        <w:right w:val="none" w:sz="0" w:space="0" w:color="auto"/>
      </w:divBdr>
    </w:div>
    <w:div w:id="2110076050">
      <w:bodyDiv w:val="1"/>
      <w:marLeft w:val="0"/>
      <w:marRight w:val="0"/>
      <w:marTop w:val="0"/>
      <w:marBottom w:val="0"/>
      <w:divBdr>
        <w:top w:val="none" w:sz="0" w:space="0" w:color="auto"/>
        <w:left w:val="none" w:sz="0" w:space="0" w:color="auto"/>
        <w:bottom w:val="none" w:sz="0" w:space="0" w:color="auto"/>
        <w:right w:val="none" w:sz="0" w:space="0" w:color="auto"/>
      </w:divBdr>
    </w:div>
    <w:div w:id="2125952239">
      <w:bodyDiv w:val="1"/>
      <w:marLeft w:val="0"/>
      <w:marRight w:val="0"/>
      <w:marTop w:val="0"/>
      <w:marBottom w:val="0"/>
      <w:divBdr>
        <w:top w:val="none" w:sz="0" w:space="0" w:color="auto"/>
        <w:left w:val="none" w:sz="0" w:space="0" w:color="auto"/>
        <w:bottom w:val="none" w:sz="0" w:space="0" w:color="auto"/>
        <w:right w:val="none" w:sz="0" w:space="0" w:color="auto"/>
      </w:divBdr>
    </w:div>
    <w:div w:id="213602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giflow-eforms.who-umc.org/me/meadr"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mailto:nezeljenadejstva@cinmed.m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nmed.m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2029-11-30T23:00:00+00:00</_dlc_ExpireDate>
    <TaxCatchAll xmlns="f191ad30-9ade-4f0c-b78e-cf30469879ae"/>
    <_dlc_ExpireDateSaved xmlns="http://schemas.microsoft.com/sharepoint/v3" xsi:nil="true"/>
    <TaxKeywordTaxHTField xmlns="4d6cc1eb-dd9e-41a8-9f6a-f7873aa9d563">
      <Terms xmlns="http://schemas.microsoft.com/office/infopath/2007/PartnerControls"/>
    </TaxKeywordTaxHTField>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B7878DD0066E459FDB71F8120D37B1" ma:contentTypeVersion="" ma:contentTypeDescription="Create a new document." ma:contentTypeScope="" ma:versionID="4ad6faad4087cf7fc08470d62333c32f">
  <xsd:schema xmlns:xsd="http://www.w3.org/2001/XMLSchema" xmlns:xs="http://www.w3.org/2001/XMLSchema" xmlns:p="http://schemas.microsoft.com/office/2006/metadata/properties" xmlns:ns1="http://schemas.microsoft.com/sharepoint/v3" xmlns:ns2="4d6cc1eb-dd9e-41a8-9f6a-f7873aa9d563" xmlns:ns3="f191ad30-9ade-4f0c-b78e-cf30469879ae" targetNamespace="http://schemas.microsoft.com/office/2006/metadata/properties" ma:root="true" ma:fieldsID="40f654dfa8259e42b9b5056281c8d6b8" ns1:_="" ns2:_="" ns3:_="">
    <xsd:import namespace="http://schemas.microsoft.com/sharepoint/v3"/>
    <xsd:import namespace="4d6cc1eb-dd9e-41a8-9f6a-f7873aa9d563"/>
    <xsd:import namespace="f191ad30-9ade-4f0c-b78e-cf30469879ae"/>
    <xsd:element name="properties">
      <xsd:complexType>
        <xsd:sequence>
          <xsd:element name="documentManagement">
            <xsd:complexType>
              <xsd:all>
                <xsd:element ref="ns1:AverageRating" minOccurs="0"/>
                <xsd:element ref="ns1:RatingCount" minOccurs="0"/>
                <xsd:element ref="ns2:TaxKeywordTaxHTField" minOccurs="0"/>
                <xsd:element ref="ns3:TaxCatchAll" minOccurs="0"/>
                <xsd:element ref="ns1:_dlc_ExpireDateSaved" minOccurs="0"/>
                <xsd:element ref="ns1:_dlc_ExpireDate" minOccurs="0"/>
                <xsd:element ref="ns1:_dlc_Exempt" minOccurs="0"/>
                <xsd:element ref="ns1:PublishingStartDate" minOccurs="0"/>
                <xsd:element ref="ns1:PublishingExpirationDate"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Rating_x0020__x0028_0_x002d_5_x0029_" ma:readOnly="true">
      <xsd:simpleType>
        <xsd:restriction base="dms:Number"/>
      </xsd:simpleType>
    </xsd:element>
    <xsd:element name="RatingCount" ma:index="9" nillable="true" ma:displayName="Number of Ratings" ma:decimals="0" ma:description="Number of ratings submitted" ma:internalName="Number_x0020_of_x0020_Ratings" ma:readOnly="true">
      <xsd:simpleType>
        <xsd:restriction base="dms:Number"/>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dlc_Exempt" ma:index="15" nillable="true" ma:displayName="Exempt from Policy" ma:hidden="true" ma:internalName="_dlc_Exempt" ma:readOnly="true">
      <xsd:simpleType>
        <xsd:restriction base="dms:Unknown"/>
      </xsd:simpleType>
    </xsd:element>
    <xsd:element name="PublishingStartDate" ma:index="16" nillable="true" ma:displayName="Scheduling Start Date" ma:internalName="PublishingStartDate">
      <xsd:simpleType>
        <xsd:restriction base="dms:Unknown"/>
      </xsd:simpleType>
    </xsd:element>
    <xsd:element name="PublishingExpirationDate" ma:index="17" nillable="true" ma:displayName="Scheduling End Date" ma:internalName="PublishingExpirationDate">
      <xsd:simpleType>
        <xsd:restriction base="dms:Unknown"/>
      </xsd:simpleType>
    </xsd:element>
    <xsd:element name="_vti_ItemDeclaredRecord" ma:index="18"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6cc1eb-dd9e-41a8-9f6a-f7873aa9d563"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Enterprise_x0020_Keywords"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30c1e6f-6601-440e-bb54-d33bd86c3aed}" ma:internalName="TaxCatchAll" ma:showField="CatchAllData" ma:web="4d6cc1eb-dd9e-41a8-9f6a-f7873aa9d5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47828-DDC3-4DC2-83DD-DDEFAE7B811E}">
  <ds:schemaRefs>
    <ds:schemaRef ds:uri="http://schemas.microsoft.com/office/2006/metadata/properties"/>
    <ds:schemaRef ds:uri="http://schemas.microsoft.com/office/infopath/2007/PartnerControls"/>
    <ds:schemaRef ds:uri="http://schemas.microsoft.com/sharepoint/v3"/>
    <ds:schemaRef ds:uri="f191ad30-9ade-4f0c-b78e-cf30469879ae"/>
    <ds:schemaRef ds:uri="4d6cc1eb-dd9e-41a8-9f6a-f7873aa9d563"/>
  </ds:schemaRefs>
</ds:datastoreItem>
</file>

<file path=customXml/itemProps2.xml><?xml version="1.0" encoding="utf-8"?>
<ds:datastoreItem xmlns:ds="http://schemas.openxmlformats.org/officeDocument/2006/customXml" ds:itemID="{BBEAE820-F5D7-43F8-959D-D7FB3AA2A3B0}">
  <ds:schemaRefs>
    <ds:schemaRef ds:uri="http://schemas.microsoft.com/sharepoint/v3/contenttype/forms"/>
  </ds:schemaRefs>
</ds:datastoreItem>
</file>

<file path=customXml/itemProps3.xml><?xml version="1.0" encoding="utf-8"?>
<ds:datastoreItem xmlns:ds="http://schemas.openxmlformats.org/officeDocument/2006/customXml" ds:itemID="{E19CA145-0219-4A6A-8D1D-B92035430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6cc1eb-dd9e-41a8-9f6a-f7873aa9d563"/>
    <ds:schemaRef ds:uri="f191ad30-9ade-4f0c-b78e-cf3046987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EE73D-C36E-4010-8C58-483FDFDA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61</Pages>
  <Words>27780</Words>
  <Characters>158350</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SAŽETAK KARAKTERISTIKA LIJEKA</vt:lpstr>
    </vt:vector>
  </TitlesOfParts>
  <Company>CALIMS</Company>
  <LinksUpToDate>false</LinksUpToDate>
  <CharactersWithSpaces>185759</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LIJEKA</dc:title>
  <dc:subject/>
  <dc:creator>tatjana.bankovic</dc:creator>
  <cp:keywords/>
  <cp:lastModifiedBy>Tamara Nikezić</cp:lastModifiedBy>
  <cp:revision>11</cp:revision>
  <cp:lastPrinted>2023-12-21T12:41:00Z</cp:lastPrinted>
  <dcterms:created xsi:type="dcterms:W3CDTF">2025-04-24T08:11:00Z</dcterms:created>
  <dcterms:modified xsi:type="dcterms:W3CDTF">2025-06-25T05:56:00Z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0x0101006AB7878DD0066E459FDB71F8120D37B1</vt:lpwstr>
  </property>
  <property fmtid="{D5CDD505-2E9C-101B-9397-08002B2CF9AE}" pid="4" name="TaxKeyword">
    <vt:lpwstr/>
  </property>
  <property fmtid="{D5CDD505-2E9C-101B-9397-08002B2CF9AE}" pid="5" name="_dlc_policyId">
    <vt:lpwstr>/team/2012035B/Medical</vt:lpwstr>
  </property>
  <property fmtid="{D5CDD505-2E9C-101B-9397-08002B2CF9AE}" pid="6" name="ItemRetentionFormula">
    <vt:lpwstr>&lt;formula id="Roche.Common.Coremap.ExpirationFormula" /&gt;</vt:lpwstr>
  </property>
</Properties>
</file>